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Beneficios del BPM en los negocios digitales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Evaluar beneficios esperados de BPM en un negocio digital con indicadores, condiciones y efectos sobre las personas.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hipotético: una tienda digital reduce el tiempo promedio de respuesta de cuarenta y ocho a treinta y seis horas tras reorganizar consultas. La reducción relativa es 25 %. Sin embargo, la tasa de respuestas que deben corregirse sube de 4 % a 9 %. Hay una mejora de velocidad, pero el beneficio global no puede declararse sin investigar calidad, casos pendientes y efectos en los clientes.</w:t>
      </w:r>
    </w:p>
    <w:p>
      <w:pPr>
        <w:pStyle w:val="Heading1"/>
      </w:pPr>
      <w:r>
        <w:t>1. Analizar — 5 puntos</w:t>
      </w:r>
    </w:p>
    <w:p>
      <w:r>
        <w:t>Identifica dos beneficios potenciales vinculados al problema del caso.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la reducción relativa de tiempo y la variación de correcciones.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 tablero con tiempo, calidad y experiencia, definiendo población y período.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participación del equipo y dos controles contra efectos no deseados.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1, tema 1.2.</w:t>
        <w:br/>
        <w:t>Dumas et al. (2018), Fundamentals of Business Process Management. Jeston y Nelis (2014), Business Process Management: Practical Guidelines to Successful Implementations.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Beneficios del BPM en los negocios digitales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