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Aspectos institucionales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Definir información institucional verificable que aporte identidad, transparencia y canales de atención al negocio electrónico.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Caso ficticio: Minga Cacao anuncia atención permanente, pero su equipo responde solo en horario laboral. Copió una política de devoluciones que menciona otra empresa y publica un sello sin respaldo. El rediseño institucional debe corregir las afirmaciones, publicar condiciones que la operación pueda cumplir y asignar a una persona responsable de consultas y revisiones. Antes de publicar datos personales de empleados debe comprobarse la autorización y necesidad.</w:t>
      </w:r>
    </w:p>
    <w:p>
      <w:pPr>
        <w:pStyle w:val="Heading1"/>
      </w:pPr>
      <w:r>
        <w:t>1. Analizar — 5 puntos</w:t>
      </w:r>
    </w:p>
    <w:p>
      <w:r>
        <w:t>Elabora una ficha institucional con identidad y tres evidencias verificables.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Diseña una política breve de atención diferenciando propuesta educativa y revisión jurídica.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Audita las tres afirmaciones del caso y establece qué evidencia exigirías.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Propón una revisión trimestral con responsables, registros y pruebas del contacto.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Negocios Electrónicos, unidad 1, tema 1.4.</w:t>
        <w:br/>
        <w:t>OECD (2016), Consumer Protection in E-commerce. Complemento contextual: revisar normativa y asesoramiento jurídico aplicables en Ecuador.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NEGOCIOS ELECTRÓNICOS / 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Aspectos institucionales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