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Tecnología en la gestión de cadena de valor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Relacionar tecnologías con actividades de la cadena de valor y evaluar su efecto operativo sin confundir digitalización con creación automática de valor.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Minga Cacao recibe pedidos por correo y actualiza inventario al final del día. Seis de cada cien pedidos prometen productos ya agotados. Se propone conectar pedidos e inventario para reservar existencias al confirmar. El proyecto debe considerar devoluciones, cancelaciones y recuperación tras una caída. Reducir compromisos incumplidos aporta valor solo si el registro sigue reflejando existencias reales.</w:t>
      </w:r>
    </w:p>
    <w:p>
      <w:pPr>
        <w:pStyle w:val="Heading1"/>
      </w:pPr>
      <w:r>
        <w:t>1. Analizar — 5 puntos</w:t>
      </w:r>
    </w:p>
    <w:p>
      <w:r>
        <w:t>Representa cuatro actividades de la cadena y sus relaciones en el caso.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Asocia dos tecnologías con problemas y responsables específicos.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Calcula la tasa inicial de pedidos con promesa incumplida y define su seguimiento.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Evalúa dos efectos en etapas posteriores y un plan de continuidad ante una caída.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Negocios Electrónicos, unidad 2, tema 2.1.</w:t>
        <w:br/>
        <w:t>Porter (1985), Competitive Advantage. Free Press. Laudon y Laudon, Management Information Systems: Managing the Digital Firm.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/ 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Tecnología en la gestión de cadena de valor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