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Rendimiento financiero de los negocios electrónicos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Calcular e interpretar indicadores financieros de un negocio electrónico considerando margen, inversión y limitaciones de los supuestos.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Ejemplo hipotético: una caja se vende en veinte dólares y tiene doce dólares de costo variable; los costos fijos del mes son ochocientos. La contribución es ocho y el equilibrio es cien cajas. Con ciento cincuenta cajas, el resultado operativo simple es cuatrocientos dólares, antes de partidas no incluidas. Si el costo variable aumenta a catorce, la contribución baja a seis y se requieren al menos ciento treinta y cuatro cajas para no perder.</w:t>
      </w:r>
    </w:p>
    <w:p>
      <w:pPr>
        <w:pStyle w:val="Heading1"/>
      </w:pPr>
      <w:r>
        <w:t>1. Analizar — 5 puntos</w:t>
      </w:r>
    </w:p>
    <w:p>
      <w:r>
        <w:t>Clasifica ingresos, costos variables, fijos e inversión en una tienda ficticia.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Calcula margen, equilibrio y resultado de 150 cajas con los datos iniciales.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Recalcula el equilibrio con costo variable de catorce y explica el redondeo.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Construye escenarios y distingue utilidad, flujo de caja y retorno de inversión.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3, tema 3.2.</w:t>
        <w:br/>
        <w:t>Brealey, Myers y Allen, Principles of Corporate Finance. Conceptos de flujos, inversión y valor temporal del dinero.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Rendimiento financiero de los negocios electrónicos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