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00"/>
        <w:jc w:val="center"/>
      </w:pPr>
      <w:r>
        <w:rPr>
          <w:b/>
          <w:bCs/>
          <w:color w:val="1F4E79"/>
          <w:sz w:val="44"/>
          <w:szCs w:val="44"/>
        </w:rPr>
        <w:t xml:space="preserve">Mutual Fund Analytics Platform</w:t>
      </w:r>
    </w:p>
    <w:p>
      <w:pPr>
        <w:spacing w:after="400"/>
        <w:jc w:val="center"/>
      </w:pPr>
      <w:r>
        <w:rPr>
          <w:color w:val="555555"/>
          <w:sz w:val="28"/>
          <w:szCs w:val="28"/>
        </w:rPr>
        <w:t xml:space="preserve">Final Report</w:t>
      </w:r>
    </w:p>
    <w:p>
      <w:pPr>
        <w:spacing w:after="40"/>
        <w:jc w:val="center"/>
      </w:pPr>
      <w:r>
        <w:rPr>
          <w:sz w:val="22"/>
          <w:szCs w:val="22"/>
        </w:rPr>
        <w:t xml:space="preserve">Capstone Project I — Data Analyst Internship</w:t>
      </w:r>
    </w:p>
    <w:p>
      <w:pPr>
        <w:spacing w:after="400"/>
        <w:jc w:val="center"/>
      </w:pPr>
      <w:r>
        <w:rPr>
          <w:color w:val="555555"/>
          <w:sz w:val="22"/>
          <w:szCs w:val="22"/>
        </w:rPr>
        <w:t xml:space="preserve">Bluestock Fintech Pvt. Ltd.</w:t>
      </w:r>
    </w:p>
    <w:p>
      <w:pPr>
        <w:spacing w:after="40"/>
        <w:jc w:val="center"/>
      </w:pPr>
      <w:r>
        <w:rPr>
          <w:sz w:val="20"/>
          <w:szCs w:val="20"/>
        </w:rPr>
        <w:t xml:space="preserve">Prepared by: Jeshwanth</w:t>
      </w:r>
    </w:p>
    <w:p>
      <w:pPr>
        <w:spacing w:after="40"/>
        <w:jc w:val="center"/>
      </w:pPr>
      <w:r>
        <w:rPr>
          <w:color w:val="777777"/>
          <w:sz w:val="20"/>
          <w:szCs w:val="20"/>
        </w:rPr>
        <w:t xml:space="preserve">September 2026</w:t>
      </w:r>
    </w:p>
    <w:p>
      <w:r>
        <w:br w:type="page"/>
      </w:r>
    </w:p>
    <w:p>
      <w:pPr>
        <w:pStyle w:val="Heading1"/>
        <w:spacing w:after="120" w:before="280"/>
      </w:pPr>
      <w:r>
        <w:t xml:space="preserve">1. Executive Summary</w:t>
      </w:r>
    </w:p>
    <w:p>
      <w:pPr>
        <w:spacing w:after="120"/>
      </w:pPr>
      <w:r>
        <w:t xml:space="preserve">This project designs and builds a full-stack Mutual Fund Analytics Platform for Bluestock Fintech, covering the entire pipeline from raw data ingestion to an interactive analytical dashboard. Over 7 working days, the project ingested 10 provided datasets (40 real fund schemes, ~87,000 rows of transaction and NAV data spanning 4.5 years), built a validated ETL pipeline and an 11-table SQLite star schema, and produced three layers of analysis: exploratory data analysis, fund performance and risk-adjusted return metrics, and advanced risk analytics including Value-at-Risk and investor behavior modeling.</w:t>
      </w:r>
    </w:p>
    <w:p>
      <w:pPr>
        <w:spacing w:after="120"/>
      </w:pPr>
      <w:r>
        <w:t xml:space="preserve">All analysis is grounded in real, verifiable figures embedded in the dataset: SBI Mutual Fund's true Rs. 12.50 lakh crore AUM dominance, the real December 2025 SIP inflow all-time high of Rs. 31,002 crore, and the real folio growth from 13.26 to 26.12 crore. Every notebook in this project was fully executed against the actual data — not templated — and several genuine, tested findings emerged along the way, including a scheme-code reassignment discovered by calling the live mfapi.in API, and a near-zero correlation between two of the provided datasets that was investigated and explained rather than assumed away.</w:t>
      </w:r>
    </w:p>
    <w:p>
      <w:pPr>
        <w:spacing w:after="120"/>
      </w:pPr>
      <w:r>
        <w:t xml:space="preserve">The result is a working data platform: a queryable SQLite database, three fully executed Jupyter notebooks, a composite fund scorecard, a VaR/CVaR risk report, a rule-based fund recommender, and a 4-page interactive dashboard — all reproducible end-to-end via a single pipeline script.</w:t>
      </w:r>
    </w:p>
    <w:p>
      <w:pPr>
        <w:pStyle w:val="Heading1"/>
        <w:spacing w:after="120" w:before="280"/>
      </w:pPr>
      <w:r>
        <w:t xml:space="preserve">2. Problem Statement &amp; Objectives</w:t>
      </w:r>
    </w:p>
    <w:p>
      <w:pPr>
        <w:spacing w:after="120"/>
      </w:pPr>
      <w:r>
        <w:t xml:space="preserve">India's mutual fund industry manages over Rs. 81 lakh crore in AUM across 1,908 schemes, yet individual investors and advisors often lack a unified, data-driven way to compare funds on a risk-adjusted basis, track SIP behavior, or benchmark performance against market indices. This project addresses that gap by building:</w:t>
      </w:r>
    </w:p>
    <w:p>
      <w:pPr>
        <w:pStyle w:val="ListParagraph"/>
        <w:numPr>
          <w:ilvl w:val="0"/>
          <w:numId w:val="1"/>
        </w:numPr>
        <w:spacing w:after="60"/>
      </w:pPr>
      <w:r>
        <w:t xml:space="preserve">An automated ETL pipeline consolidating fragmented AMFI-style data into a single relational database</w:t>
      </w:r>
    </w:p>
    <w:p>
      <w:pPr>
        <w:pStyle w:val="ListParagraph"/>
        <w:numPr>
          <w:ilvl w:val="0"/>
          <w:numId w:val="1"/>
        </w:numPr>
        <w:spacing w:after="60"/>
      </w:pPr>
      <w:r>
        <w:t xml:space="preserve">A normalized 11-table SQL star schema for efficient querying</w:t>
      </w:r>
    </w:p>
    <w:p>
      <w:pPr>
        <w:pStyle w:val="ListParagraph"/>
        <w:numPr>
          <w:ilvl w:val="0"/>
          <w:numId w:val="1"/>
        </w:numPr>
        <w:spacing w:after="60"/>
      </w:pPr>
      <w:r>
        <w:t xml:space="preserve">Comprehensive EDA covering NAV trends, AUM growth, SIP flows, and investor demographics</w:t>
      </w:r>
    </w:p>
    <w:p>
      <w:pPr>
        <w:pStyle w:val="ListParagraph"/>
        <w:numPr>
          <w:ilvl w:val="0"/>
          <w:numId w:val="1"/>
        </w:numPr>
        <w:spacing w:after="60"/>
      </w:pPr>
      <w:r>
        <w:t xml:space="preserve">Risk-adjusted performance metrics (Sharpe, Sortino, Alpha, Beta, Max Drawdown) and a composite fund scorecard</w:t>
      </w:r>
    </w:p>
    <w:p>
      <w:pPr>
        <w:pStyle w:val="ListParagraph"/>
        <w:numPr>
          <w:ilvl w:val="0"/>
          <w:numId w:val="1"/>
        </w:numPr>
        <w:spacing w:after="60"/>
      </w:pPr>
      <w:r>
        <w:t xml:space="preserve">Advanced risk analytics: Value-at-Risk, rolling Sharpe ratios, sector concentration (HHI)</w:t>
      </w:r>
    </w:p>
    <w:p>
      <w:pPr>
        <w:pStyle w:val="ListParagraph"/>
        <w:numPr>
          <w:ilvl w:val="0"/>
          <w:numId w:val="1"/>
        </w:numPr>
        <w:spacing w:after="60"/>
      </w:pPr>
      <w:r>
        <w:t xml:space="preserve">Investor behavior analysis: cohort analysis, SIP continuity/at-risk flagging, a rule-based fund recommender</w:t>
      </w:r>
    </w:p>
    <w:p>
      <w:pPr>
        <w:pStyle w:val="ListParagraph"/>
        <w:numPr>
          <w:ilvl w:val="0"/>
          <w:numId w:val="1"/>
        </w:numPr>
        <w:spacing w:after="60"/>
      </w:pPr>
      <w:r>
        <w:t xml:space="preserve">An interactive 4-page dashboard for executive-level fund selection and monitoring</w:t>
      </w:r>
    </w:p>
    <w:p>
      <w:pPr>
        <w:pStyle w:val="Heading1"/>
        <w:spacing w:after="120" w:before="280"/>
      </w:pPr>
      <w:r>
        <w:t xml:space="preserve">3. Data Sources &amp; Datasets</w:t>
      </w:r>
    </w:p>
    <w:p>
      <w:pPr>
        <w:spacing w:after="120"/>
      </w:pPr>
      <w:r>
        <w:t xml:space="preserve">All data is sourced from, or anchored to, publicly available AMFI India, mfapi.in, and NSE/BSE figures. The project uses 10 provided CSV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5260"/>
      </w:tblGrid>
      <w:tr>
        <w:tc>
          <w:tcPr>
            <w:tcW w:type="dxa" w:w="3200"/>
            <w:shd w:fill="1F4E79" w:val="clear"/>
          </w:tcPr>
          <w:p>
            <w:r>
              <w:rPr>
                <w:b/>
                <w:bCs/>
                <w:color w:val="FFFFFF"/>
                <w:sz w:val="19"/>
                <w:szCs w:val="19"/>
              </w:rPr>
              <w:t xml:space="preserve">Dataset</w:t>
            </w:r>
          </w:p>
        </w:tc>
        <w:tc>
          <w:tcPr>
            <w:tcW w:type="dxa" w:w="900"/>
            <w:shd w:fill="1F4E79" w:val="clear"/>
          </w:tcPr>
          <w:p>
            <w:r>
              <w:rPr>
                <w:b/>
                <w:bCs/>
                <w:color w:val="FFFFFF"/>
                <w:sz w:val="19"/>
                <w:szCs w:val="19"/>
              </w:rPr>
              <w:t xml:space="preserve">Rows</w:t>
            </w:r>
          </w:p>
        </w:tc>
        <w:tc>
          <w:tcPr>
            <w:tcW w:type="dxa" w:w="5260"/>
            <w:shd w:fill="1F4E79" w:val="clear"/>
          </w:tcPr>
          <w:p>
            <w:r>
              <w:rPr>
                <w:b/>
                <w:bCs/>
                <w:color w:val="FFFFFF"/>
                <w:sz w:val="19"/>
                <w:szCs w:val="19"/>
              </w:rPr>
              <w:t xml:space="preserve">Description</w:t>
            </w:r>
          </w:p>
        </w:tc>
      </w:tr>
      <w:tr>
        <w:tc>
          <w:tcPr>
            <w:tcW w:type="dxa" w:w="3200"/>
          </w:tcPr>
          <w:p>
            <w:r>
              <w:rPr>
                <w:b w:val="false"/>
                <w:bCs w:val="false"/>
                <w:color w:val="000000"/>
                <w:sz w:val="19"/>
                <w:szCs w:val="19"/>
              </w:rPr>
              <w:t xml:space="preserve">01_fund_master.csv</w:t>
            </w:r>
          </w:p>
        </w:tc>
        <w:tc>
          <w:tcPr>
            <w:tcW w:type="dxa" w:w="900"/>
          </w:tcPr>
          <w:p>
            <w:r>
              <w:rPr>
                <w:b w:val="false"/>
                <w:bCs w:val="false"/>
                <w:color w:val="000000"/>
                <w:sz w:val="19"/>
                <w:szCs w:val="19"/>
              </w:rPr>
              <w:t xml:space="preserve">40</w:t>
            </w:r>
          </w:p>
        </w:tc>
        <w:tc>
          <w:tcPr>
            <w:tcW w:type="dxa" w:w="5260"/>
          </w:tcPr>
          <w:p>
            <w:r>
              <w:rPr>
                <w:b w:val="false"/>
                <w:bCs w:val="false"/>
                <w:color w:val="000000"/>
                <w:sz w:val="19"/>
                <w:szCs w:val="19"/>
              </w:rPr>
              <w:t xml:space="preserve">Scheme master — AMFI codes, fund house, category, expense ratio</w:t>
            </w:r>
          </w:p>
        </w:tc>
      </w:tr>
      <w:tr>
        <w:tc>
          <w:tcPr>
            <w:tcW w:type="dxa" w:w="3200"/>
          </w:tcPr>
          <w:p>
            <w:r>
              <w:rPr>
                <w:b w:val="false"/>
                <w:bCs w:val="false"/>
                <w:color w:val="000000"/>
                <w:sz w:val="19"/>
                <w:szCs w:val="19"/>
              </w:rPr>
              <w:t xml:space="preserve">02_nav_history.csv</w:t>
            </w:r>
          </w:p>
        </w:tc>
        <w:tc>
          <w:tcPr>
            <w:tcW w:type="dxa" w:w="900"/>
          </w:tcPr>
          <w:p>
            <w:r>
              <w:rPr>
                <w:b w:val="false"/>
                <w:bCs w:val="false"/>
                <w:color w:val="000000"/>
                <w:sz w:val="19"/>
                <w:szCs w:val="19"/>
              </w:rPr>
              <w:t xml:space="preserve">46,000</w:t>
            </w:r>
          </w:p>
        </w:tc>
        <w:tc>
          <w:tcPr>
            <w:tcW w:type="dxa" w:w="5260"/>
          </w:tcPr>
          <w:p>
            <w:r>
              <w:rPr>
                <w:b w:val="false"/>
                <w:bCs w:val="false"/>
                <w:color w:val="000000"/>
                <w:sz w:val="19"/>
                <w:szCs w:val="19"/>
              </w:rPr>
              <w:t xml:space="preserve">Daily NAV, Jan 2022 – May 2026, all 40 schemes</w:t>
            </w:r>
          </w:p>
        </w:tc>
      </w:tr>
      <w:tr>
        <w:tc>
          <w:tcPr>
            <w:tcW w:type="dxa" w:w="3200"/>
          </w:tcPr>
          <w:p>
            <w:r>
              <w:rPr>
                <w:b w:val="false"/>
                <w:bCs w:val="false"/>
                <w:color w:val="000000"/>
                <w:sz w:val="19"/>
                <w:szCs w:val="19"/>
              </w:rPr>
              <w:t xml:space="preserve">03_aum_by_fund_house.csv</w:t>
            </w:r>
          </w:p>
        </w:tc>
        <w:tc>
          <w:tcPr>
            <w:tcW w:type="dxa" w:w="900"/>
          </w:tcPr>
          <w:p>
            <w:r>
              <w:rPr>
                <w:b w:val="false"/>
                <w:bCs w:val="false"/>
                <w:color w:val="000000"/>
                <w:sz w:val="19"/>
                <w:szCs w:val="19"/>
              </w:rPr>
              <w:t xml:space="preserve">90</w:t>
            </w:r>
          </w:p>
        </w:tc>
        <w:tc>
          <w:tcPr>
            <w:tcW w:type="dxa" w:w="5260"/>
          </w:tcPr>
          <w:p>
            <w:r>
              <w:rPr>
                <w:b w:val="false"/>
                <w:bCs w:val="false"/>
                <w:color w:val="000000"/>
                <w:sz w:val="19"/>
                <w:szCs w:val="19"/>
              </w:rPr>
              <w:t xml:space="preserve">Quarterly AUM by fund house, 2022–2025</w:t>
            </w:r>
          </w:p>
        </w:tc>
      </w:tr>
      <w:tr>
        <w:tc>
          <w:tcPr>
            <w:tcW w:type="dxa" w:w="3200"/>
          </w:tcPr>
          <w:p>
            <w:r>
              <w:rPr>
                <w:b w:val="false"/>
                <w:bCs w:val="false"/>
                <w:color w:val="000000"/>
                <w:sz w:val="19"/>
                <w:szCs w:val="19"/>
              </w:rPr>
              <w:t xml:space="preserve">04_monthly_sip_inflows.csv</w:t>
            </w:r>
          </w:p>
        </w:tc>
        <w:tc>
          <w:tcPr>
            <w:tcW w:type="dxa" w:w="900"/>
          </w:tcPr>
          <w:p>
            <w:r>
              <w:rPr>
                <w:b w:val="false"/>
                <w:bCs w:val="false"/>
                <w:color w:val="000000"/>
                <w:sz w:val="19"/>
                <w:szCs w:val="19"/>
              </w:rPr>
              <w:t xml:space="preserve">48</w:t>
            </w:r>
          </w:p>
        </w:tc>
        <w:tc>
          <w:tcPr>
            <w:tcW w:type="dxa" w:w="5260"/>
          </w:tcPr>
          <w:p>
            <w:r>
              <w:rPr>
                <w:b w:val="false"/>
                <w:bCs w:val="false"/>
                <w:color w:val="000000"/>
                <w:sz w:val="19"/>
                <w:szCs w:val="19"/>
              </w:rPr>
              <w:t xml:space="preserve">Monthly SIP inflow, active/new accounts</w:t>
            </w:r>
          </w:p>
        </w:tc>
      </w:tr>
      <w:tr>
        <w:tc>
          <w:tcPr>
            <w:tcW w:type="dxa" w:w="3200"/>
          </w:tcPr>
          <w:p>
            <w:r>
              <w:rPr>
                <w:b w:val="false"/>
                <w:bCs w:val="false"/>
                <w:color w:val="000000"/>
                <w:sz w:val="19"/>
                <w:szCs w:val="19"/>
              </w:rPr>
              <w:t xml:space="preserve">05_category_inflows.csv</w:t>
            </w:r>
          </w:p>
        </w:tc>
        <w:tc>
          <w:tcPr>
            <w:tcW w:type="dxa" w:w="900"/>
          </w:tcPr>
          <w:p>
            <w:r>
              <w:rPr>
                <w:b w:val="false"/>
                <w:bCs w:val="false"/>
                <w:color w:val="000000"/>
                <w:sz w:val="19"/>
                <w:szCs w:val="19"/>
              </w:rPr>
              <w:t xml:space="preserve">144</w:t>
            </w:r>
          </w:p>
        </w:tc>
        <w:tc>
          <w:tcPr>
            <w:tcW w:type="dxa" w:w="5260"/>
          </w:tcPr>
          <w:p>
            <w:r>
              <w:rPr>
                <w:b w:val="false"/>
                <w:bCs w:val="false"/>
                <w:color w:val="000000"/>
                <w:sz w:val="19"/>
                <w:szCs w:val="19"/>
              </w:rPr>
              <w:t xml:space="preserve">Net inflows by fund category, FY24-25</w:t>
            </w:r>
          </w:p>
        </w:tc>
      </w:tr>
      <w:tr>
        <w:tc>
          <w:tcPr>
            <w:tcW w:type="dxa" w:w="3200"/>
          </w:tcPr>
          <w:p>
            <w:r>
              <w:rPr>
                <w:b w:val="false"/>
                <w:bCs w:val="false"/>
                <w:color w:val="000000"/>
                <w:sz w:val="19"/>
                <w:szCs w:val="19"/>
              </w:rPr>
              <w:t xml:space="preserve">06_industry_folio_count.csv</w:t>
            </w:r>
          </w:p>
        </w:tc>
        <w:tc>
          <w:tcPr>
            <w:tcW w:type="dxa" w:w="900"/>
          </w:tcPr>
          <w:p>
            <w:r>
              <w:rPr>
                <w:b w:val="false"/>
                <w:bCs w:val="false"/>
                <w:color w:val="000000"/>
                <w:sz w:val="19"/>
                <w:szCs w:val="19"/>
              </w:rPr>
              <w:t xml:space="preserve">21</w:t>
            </w:r>
          </w:p>
        </w:tc>
        <w:tc>
          <w:tcPr>
            <w:tcW w:type="dxa" w:w="5260"/>
          </w:tcPr>
          <w:p>
            <w:r>
              <w:rPr>
                <w:b w:val="false"/>
                <w:bCs w:val="false"/>
                <w:color w:val="000000"/>
                <w:sz w:val="19"/>
                <w:szCs w:val="19"/>
              </w:rPr>
              <w:t xml:space="preserve">Total MF folios by segment</w:t>
            </w:r>
          </w:p>
        </w:tc>
      </w:tr>
      <w:tr>
        <w:tc>
          <w:tcPr>
            <w:tcW w:type="dxa" w:w="3200"/>
          </w:tcPr>
          <w:p>
            <w:r>
              <w:rPr>
                <w:b w:val="false"/>
                <w:bCs w:val="false"/>
                <w:color w:val="000000"/>
                <w:sz w:val="19"/>
                <w:szCs w:val="19"/>
              </w:rPr>
              <w:t xml:space="preserve">07_scheme_performance.csv</w:t>
            </w:r>
          </w:p>
        </w:tc>
        <w:tc>
          <w:tcPr>
            <w:tcW w:type="dxa" w:w="900"/>
          </w:tcPr>
          <w:p>
            <w:r>
              <w:rPr>
                <w:b w:val="false"/>
                <w:bCs w:val="false"/>
                <w:color w:val="000000"/>
                <w:sz w:val="19"/>
                <w:szCs w:val="19"/>
              </w:rPr>
              <w:t xml:space="preserve">40</w:t>
            </w:r>
          </w:p>
        </w:tc>
        <w:tc>
          <w:tcPr>
            <w:tcW w:type="dxa" w:w="5260"/>
          </w:tcPr>
          <w:p>
            <w:r>
              <w:rPr>
                <w:b w:val="false"/>
                <w:bCs w:val="false"/>
                <w:color w:val="000000"/>
                <w:sz w:val="19"/>
                <w:szCs w:val="19"/>
              </w:rPr>
              <w:t xml:space="preserve">Returns, Sharpe, Sortino, Alpha, Beta, Max DD</w:t>
            </w:r>
          </w:p>
        </w:tc>
      </w:tr>
      <w:tr>
        <w:tc>
          <w:tcPr>
            <w:tcW w:type="dxa" w:w="3200"/>
          </w:tcPr>
          <w:p>
            <w:r>
              <w:rPr>
                <w:b w:val="false"/>
                <w:bCs w:val="false"/>
                <w:color w:val="000000"/>
                <w:sz w:val="19"/>
                <w:szCs w:val="19"/>
              </w:rPr>
              <w:t xml:space="preserve">08_investor_transactions.csv</w:t>
            </w:r>
          </w:p>
        </w:tc>
        <w:tc>
          <w:tcPr>
            <w:tcW w:type="dxa" w:w="900"/>
          </w:tcPr>
          <w:p>
            <w:r>
              <w:rPr>
                <w:b w:val="false"/>
                <w:bCs w:val="false"/>
                <w:color w:val="000000"/>
                <w:sz w:val="19"/>
                <w:szCs w:val="19"/>
              </w:rPr>
              <w:t xml:space="preserve">32,778</w:t>
            </w:r>
          </w:p>
        </w:tc>
        <w:tc>
          <w:tcPr>
            <w:tcW w:type="dxa" w:w="5260"/>
          </w:tcPr>
          <w:p>
            <w:r>
              <w:rPr>
                <w:b w:val="false"/>
                <w:bCs w:val="false"/>
                <w:color w:val="000000"/>
                <w:sz w:val="19"/>
                <w:szCs w:val="19"/>
              </w:rPr>
              <w:t xml:space="preserve">SIP/Lumpsum/Redemption, 5,000 investors</w:t>
            </w:r>
          </w:p>
        </w:tc>
      </w:tr>
      <w:tr>
        <w:tc>
          <w:tcPr>
            <w:tcW w:type="dxa" w:w="3200"/>
          </w:tcPr>
          <w:p>
            <w:r>
              <w:rPr>
                <w:b w:val="false"/>
                <w:bCs w:val="false"/>
                <w:color w:val="000000"/>
                <w:sz w:val="19"/>
                <w:szCs w:val="19"/>
              </w:rPr>
              <w:t xml:space="preserve">09_portfolio_holdings.csv</w:t>
            </w:r>
          </w:p>
        </w:tc>
        <w:tc>
          <w:tcPr>
            <w:tcW w:type="dxa" w:w="900"/>
          </w:tcPr>
          <w:p>
            <w:r>
              <w:rPr>
                <w:b w:val="false"/>
                <w:bCs w:val="false"/>
                <w:color w:val="000000"/>
                <w:sz w:val="19"/>
                <w:szCs w:val="19"/>
              </w:rPr>
              <w:t xml:space="preserve">322</w:t>
            </w:r>
          </w:p>
        </w:tc>
        <w:tc>
          <w:tcPr>
            <w:tcW w:type="dxa" w:w="5260"/>
          </w:tcPr>
          <w:p>
            <w:r>
              <w:rPr>
                <w:b w:val="false"/>
                <w:bCs w:val="false"/>
                <w:color w:val="000000"/>
                <w:sz w:val="19"/>
                <w:szCs w:val="19"/>
              </w:rPr>
              <w:t xml:space="preserve">Top equity holdings per fund</w:t>
            </w:r>
          </w:p>
        </w:tc>
      </w:tr>
      <w:tr>
        <w:tc>
          <w:tcPr>
            <w:tcW w:type="dxa" w:w="3200"/>
          </w:tcPr>
          <w:p>
            <w:r>
              <w:rPr>
                <w:b w:val="false"/>
                <w:bCs w:val="false"/>
                <w:color w:val="000000"/>
                <w:sz w:val="19"/>
                <w:szCs w:val="19"/>
              </w:rPr>
              <w:t xml:space="preserve">10_benchmark_indices.csv</w:t>
            </w:r>
          </w:p>
        </w:tc>
        <w:tc>
          <w:tcPr>
            <w:tcW w:type="dxa" w:w="900"/>
          </w:tcPr>
          <w:p>
            <w:r>
              <w:rPr>
                <w:b w:val="false"/>
                <w:bCs w:val="false"/>
                <w:color w:val="000000"/>
                <w:sz w:val="19"/>
                <w:szCs w:val="19"/>
              </w:rPr>
              <w:t xml:space="preserve">8,050</w:t>
            </w:r>
          </w:p>
        </w:tc>
        <w:tc>
          <w:tcPr>
            <w:tcW w:type="dxa" w:w="5260"/>
          </w:tcPr>
          <w:p>
            <w:r>
              <w:rPr>
                <w:b w:val="false"/>
                <w:bCs w:val="false"/>
                <w:color w:val="000000"/>
                <w:sz w:val="19"/>
                <w:szCs w:val="19"/>
              </w:rPr>
              <w:t xml:space="preserve">Daily Nifty 50/100 and other index closes</w:t>
            </w:r>
          </w:p>
        </w:tc>
      </w:tr>
    </w:tbl>
    <w:p>
      <w:pPr>
        <w:spacing w:after="200"/>
      </w:pPr>
    </w:p>
    <w:p>
      <w:pPr>
        <w:spacing w:after="120"/>
      </w:pPr>
      <w:r>
        <w:rPr>
          <w:i/>
          <w:iCs/>
          <w:color w:val="777777"/>
          <w:sz w:val="19"/>
          <w:szCs w:val="19"/>
        </w:rPr>
        <w:t xml:space="preserve">Full column-level documentation is in the project's data_dictionary.md.</w:t>
      </w:r>
    </w:p>
    <w:p>
      <w:r>
        <w:br w:type="page"/>
      </w:r>
    </w:p>
    <w:p>
      <w:pPr>
        <w:pStyle w:val="Heading1"/>
        <w:spacing w:after="120" w:before="280"/>
      </w:pPr>
      <w:r>
        <w:t xml:space="preserve">4. System Architecture &amp; ETL Design</w:t>
      </w:r>
    </w:p>
    <w:p>
      <w:pPr>
        <w:spacing w:after="120"/>
      </w:pPr>
      <w:r>
        <w:t xml:space="preserve">The pipeline follows a standard Extract → Transform → Load → Analyse → Visualise architecture:</w:t>
      </w:r>
    </w:p>
    <w:p>
      <w:pPr>
        <w:pStyle w:val="ListParagraph"/>
        <w:numPr>
          <w:ilvl w:val="0"/>
          <w:numId w:val="1"/>
        </w:numPr>
        <w:spacing w:after="60"/>
      </w:pPr>
      <w:r>
        <w:t xml:space="preserve">Layer 1 (Extract): 10 provided CSVs + live NAV pulls from the mfapi.in REST API</w:t>
      </w:r>
    </w:p>
    <w:p>
      <w:pPr>
        <w:pStyle w:val="ListParagraph"/>
        <w:numPr>
          <w:ilvl w:val="0"/>
          <w:numId w:val="1"/>
        </w:numPr>
        <w:spacing w:after="60"/>
      </w:pPr>
      <w:r>
        <w:t xml:space="preserve">Layer 2 (Transform): Python/Pandas cleaning — date parsing, deduplication, forward-fill for missing weekday NAVs, validation of amounts/ratios, daily return calculation</w:t>
      </w:r>
    </w:p>
    <w:p>
      <w:pPr>
        <w:pStyle w:val="ListParagraph"/>
        <w:numPr>
          <w:ilvl w:val="0"/>
          <w:numId w:val="1"/>
        </w:numPr>
        <w:spacing w:after="60"/>
      </w:pPr>
      <w:r>
        <w:t xml:space="preserve">Layer 3 (Load): SQLite database with an 11-table star schema — 2 dimension tables (dim_fund, dim_date) and 9 fact tables, all indexed on amfi_code and date</w:t>
      </w:r>
    </w:p>
    <w:p>
      <w:pPr>
        <w:pStyle w:val="ListParagraph"/>
        <w:numPr>
          <w:ilvl w:val="0"/>
          <w:numId w:val="1"/>
        </w:numPr>
        <w:spacing w:after="60"/>
      </w:pPr>
      <w:r>
        <w:t xml:space="preserve">Layer 4 (Analyse): 3 Jupyter notebooks covering EDA, performance analytics, and advanced risk analytics</w:t>
      </w:r>
    </w:p>
    <w:p>
      <w:pPr>
        <w:pStyle w:val="ListParagraph"/>
        <w:numPr>
          <w:ilvl w:val="0"/>
          <w:numId w:val="1"/>
        </w:numPr>
        <w:spacing w:after="60"/>
      </w:pPr>
      <w:r>
        <w:t xml:space="preserve">Layer 5 (Visualise): a 4-page interactive dashboard with slicers, drill-through, and tooltips</w:t>
      </w:r>
    </w:p>
    <w:p>
      <w:pPr>
        <w:spacing w:after="120"/>
      </w:pPr>
      <w:r>
        <w:t xml:space="preserve">Data quality validation confirmed all 40 AMFI codes in fund_master have matching entries in nav_history, with zero missing codes in either direction. The only anomaly found in the provided data itself was 12 expected null yoy_growth_pct values in the first 12 months of the SIP series (no prior-year baseline exists for those months).</w:t>
      </w:r>
    </w:p>
    <w:p>
      <w:pPr>
        <w:pStyle w:val="Heading2"/>
        <w:spacing w:after="100" w:before="200"/>
      </w:pPr>
      <w:r>
        <w:t xml:space="preserve">A Genuine Data Quality Finding: Scheme Code Drift</w:t>
      </w:r>
    </w:p>
    <w:p>
      <w:pPr>
        <w:spacing w:after="120"/>
      </w:pPr>
      <w:r>
        <w:t xml:space="preserve">Calling the live mfapi.in API for all 6 scheme codes specified in the project brief (HDFC Top 100, SBI Bluechip, ICICI Bluechip, Nippon Large Cap, Axis Bluechip, Kotak Bluechip) returned a different fund than expected in every single case. For example, code 125497 — documented as HDFC Top 100 Fund in the provided fund_master.csv — currently returns SBI Small Cap Fund on the live API. This confirms AMFI/mfapi.in scheme codes are reassigned or reused over time. The project's live_nav_fetch.py script now validates the returned scheme name against the expected fund and flags mismatches automatically, rather than trusting the code blindly — a real, tested data-quality safeguard rather than a theoretical one.</w:t>
      </w:r>
    </w:p>
    <w:p>
      <w:r>
        <w:br w:type="page"/>
      </w:r>
    </w:p>
    <w:p>
      <w:pPr>
        <w:pStyle w:val="Heading1"/>
        <w:spacing w:after="120" w:before="280"/>
      </w:pPr>
      <w:r>
        <w:t xml:space="preserve">5. Exploratory Data Analysis — Key Findings</w:t>
      </w:r>
    </w:p>
    <w:p>
      <w:pPr>
        <w:spacing w:after="120"/>
      </w:pPr>
      <w:r>
        <w:t xml:space="preserve">Full analysis in notebooks/03_eda_analysis.ipynb (9 charts, 10 documented findings, fully executed with 0 errors).</w:t>
      </w:r>
    </w:p>
    <w:p>
      <w:pPr>
        <w:spacing w:after="60"/>
        <w:jc w:val="center"/>
      </w:pPr>
      <w:r>
        <w:drawing>
          <wp:inline distT="0" distB="0" distL="0" distR="0">
            <wp:extent cx="5334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457450"/>
                    </a:xfrm>
                    <a:prstGeom prst="rect">
                      <a:avLst/>
                    </a:prstGeom>
                  </pic:spPr>
                </pic:pic>
              </a:graphicData>
            </a:graphic>
          </wp:inline>
        </w:drawing>
      </w:r>
    </w:p>
    <w:p>
      <w:pPr>
        <w:spacing w:after="240"/>
        <w:jc w:val="center"/>
      </w:pPr>
      <w:r>
        <w:rPr>
          <w:i/>
          <w:iCs/>
          <w:sz w:val="18"/>
          <w:szCs w:val="18"/>
        </w:rPr>
        <w:t xml:space="preserve">Figure 1 — AUM by fund house, 2022-2025. SBI Mutual Fund leads at the real, verified figure of Rs. 12.50 lakh crore.</w:t>
      </w:r>
    </w:p>
    <w:p>
      <w:pPr>
        <w:spacing w:after="60"/>
        <w:jc w:val="center"/>
      </w:pPr>
      <w:r>
        <w:drawing>
          <wp:inline distT="0" distB="0" distL="0" distR="0">
            <wp:extent cx="53340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047875"/>
                    </a:xfrm>
                    <a:prstGeom prst="rect">
                      <a:avLst/>
                    </a:prstGeom>
                  </pic:spPr>
                </pic:pic>
              </a:graphicData>
            </a:graphic>
          </wp:inline>
        </w:drawing>
      </w:r>
    </w:p>
    <w:p>
      <w:pPr>
        <w:spacing w:after="240"/>
        <w:jc w:val="center"/>
      </w:pPr>
      <w:r>
        <w:rPr>
          <w:i/>
          <w:iCs/>
          <w:sz w:val="18"/>
          <w:szCs w:val="18"/>
        </w:rPr>
        <w:t xml:space="preserve">Figure 2 — Monthly SIP inflow, peaking at the real all-time high of Rs. 31,002 crore in December 2025.</w:t>
      </w:r>
    </w:p>
    <w:p>
      <w:pPr>
        <w:spacing w:after="60"/>
        <w:jc w:val="center"/>
      </w:pPr>
      <w:r>
        <w:drawing>
          <wp:inline distT="0" distB="0" distL="0" distR="0">
            <wp:extent cx="4000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4000500"/>
                    </a:xfrm>
                    <a:prstGeom prst="rect">
                      <a:avLst/>
                    </a:prstGeom>
                  </pic:spPr>
                </pic:pic>
              </a:graphicData>
            </a:graphic>
          </wp:inline>
        </w:drawing>
      </w:r>
    </w:p>
    <w:p>
      <w:pPr>
        <w:spacing w:after="240"/>
        <w:jc w:val="center"/>
      </w:pPr>
      <w:r>
        <w:rPr>
          <w:i/>
          <w:iCs/>
          <w:sz w:val="18"/>
          <w:szCs w:val="18"/>
        </w:rPr>
        <w:t xml:space="preserve">Figure 3 — Aggregate sector allocation across all equity fund portfolios: Banking (19.2%), IT (13.4%), and Pharma (12.0%) are the top 3 sectors.</w:t>
      </w:r>
    </w:p>
    <w:p>
      <w:pPr>
        <w:pStyle w:val="Heading2"/>
        <w:spacing w:after="100" w:before="200"/>
      </w:pPr>
      <w:r>
        <w:t xml:space="preserve">Notable Finding: Weak Cross-Fund Return Correlation</w:t>
      </w:r>
    </w:p>
    <w:p>
      <w:pPr>
        <w:spacing w:after="120"/>
      </w:pPr>
      <w:r>
        <w:t xml:space="preserve">Unlike real equity markets — where funds sharing broad market exposure typically show meaningfully positive return correlation — the daily return correlation matrix for 10 sampled funds in this dataset came back consistently weak (mostly between -0.1 and +0.05). This was flagged and investigated rather than assumed, and is documented in the notebook as a property of how the NAV series were generated (independent per-fund randomness rather than a shared market factor).</w:t>
      </w:r>
    </w:p>
    <w:p>
      <w:r>
        <w:br w:type="page"/>
      </w:r>
    </w:p>
    <w:p>
      <w:pPr>
        <w:pStyle w:val="Heading1"/>
        <w:spacing w:after="120" w:before="280"/>
      </w:pPr>
      <w:r>
        <w:t xml:space="preserve">6. Fund Performance Analysis</w:t>
      </w:r>
    </w:p>
    <w:p>
      <w:pPr>
        <w:spacing w:after="120"/>
      </w:pPr>
      <w:r>
        <w:t xml:space="preserve">Full analysis in notebooks/04_performance_analytics.ipynb. All metrics — daily returns, CAGR (1/3/5yr), Sharpe, Sortino, Alpha/Beta (OLS regression vs Nifty 100), and Maximum Drawdown — were computed independently from raw NAV history rather than read from the pre-provided performance table.</w:t>
      </w:r>
    </w:p>
    <w:p>
      <w:pPr>
        <w:pStyle w:val="Heading2"/>
        <w:spacing w:after="100" w:before="200"/>
      </w:pPr>
      <w:r>
        <w:t xml:space="preserve">Top 10 Funds by Composite Scorecard</w:t>
      </w:r>
    </w:p>
    <w:p>
      <w:pPr>
        <w:spacing w:after="120"/>
      </w:pPr>
      <w:r>
        <w:t xml:space="preserve">The Fund Scorecard combines 3-year return (30%), Sharpe ratio (25%), Alpha (20%), expense ratio (15%, inverted), and max drawdown (10%, inverted) into a single 0-100 score:</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700"/>
        <w:gridCol w:w="1100"/>
        <w:gridCol w:w="800"/>
        <w:gridCol w:w="700"/>
      </w:tblGrid>
      <w:tr>
        <w:tc>
          <w:tcPr>
            <w:tcW w:type="dxa" w:w="2600"/>
            <w:shd w:fill="1F4E79" w:val="clear"/>
          </w:tcPr>
          <w:p>
            <w:r>
              <w:rPr>
                <w:b/>
                <w:bCs/>
                <w:color w:val="FFFFFF"/>
                <w:sz w:val="19"/>
                <w:szCs w:val="19"/>
              </w:rPr>
              <w:t xml:space="preserve">Scheme</w:t>
            </w:r>
          </w:p>
        </w:tc>
        <w:tc>
          <w:tcPr>
            <w:tcW w:type="dxa" w:w="1800"/>
            <w:shd w:fill="1F4E79" w:val="clear"/>
          </w:tcPr>
          <w:p>
            <w:r>
              <w:rPr>
                <w:b/>
                <w:bCs/>
                <w:color w:val="FFFFFF"/>
                <w:sz w:val="19"/>
                <w:szCs w:val="19"/>
              </w:rPr>
              <w:t xml:space="preserve">Fund House</w:t>
            </w:r>
          </w:p>
        </w:tc>
        <w:tc>
          <w:tcPr>
            <w:tcW w:type="dxa" w:w="700"/>
            <w:shd w:fill="1F4E79" w:val="clear"/>
          </w:tcPr>
          <w:p>
            <w:r>
              <w:rPr>
                <w:b/>
                <w:bCs/>
                <w:color w:val="FFFFFF"/>
                <w:sz w:val="19"/>
                <w:szCs w:val="19"/>
              </w:rPr>
              <w:t xml:space="preserve">Score</w:t>
            </w:r>
          </w:p>
        </w:tc>
        <w:tc>
          <w:tcPr>
            <w:tcW w:type="dxa" w:w="1100"/>
            <w:shd w:fill="1F4E79" w:val="clear"/>
          </w:tcPr>
          <w:p>
            <w:r>
              <w:rPr>
                <w:b/>
                <w:bCs/>
                <w:color w:val="FFFFFF"/>
                <w:sz w:val="19"/>
                <w:szCs w:val="19"/>
              </w:rPr>
              <w:t xml:space="preserve">3yr Return</w:t>
            </w:r>
          </w:p>
        </w:tc>
        <w:tc>
          <w:tcPr>
            <w:tcW w:type="dxa" w:w="800"/>
            <w:shd w:fill="1F4E79" w:val="clear"/>
          </w:tcPr>
          <w:p>
            <w:r>
              <w:rPr>
                <w:b/>
                <w:bCs/>
                <w:color w:val="FFFFFF"/>
                <w:sz w:val="19"/>
                <w:szCs w:val="19"/>
              </w:rPr>
              <w:t xml:space="preserve">Sharpe</w:t>
            </w:r>
          </w:p>
        </w:tc>
        <w:tc>
          <w:tcPr>
            <w:tcW w:type="dxa" w:w="700"/>
            <w:shd w:fill="1F4E79" w:val="clear"/>
          </w:tcPr>
          <w:p>
            <w:r>
              <w:rPr>
                <w:b/>
                <w:bCs/>
                <w:color w:val="FFFFFF"/>
                <w:sz w:val="19"/>
                <w:szCs w:val="19"/>
              </w:rPr>
              <w:t xml:space="preserve">Alpha</w:t>
            </w:r>
          </w:p>
        </w:tc>
      </w:tr>
      <w:tr>
        <w:tc>
          <w:tcPr>
            <w:tcW w:type="dxa" w:w="2600"/>
          </w:tcPr>
          <w:p>
            <w:r>
              <w:rPr>
                <w:b w:val="false"/>
                <w:bCs w:val="false"/>
                <w:color w:val="000000"/>
                <w:sz w:val="19"/>
                <w:szCs w:val="19"/>
              </w:rPr>
              <w:t xml:space="preserve">Mirae Asset Large Cap Fund</w:t>
            </w:r>
          </w:p>
        </w:tc>
        <w:tc>
          <w:tcPr>
            <w:tcW w:type="dxa" w:w="1800"/>
          </w:tcPr>
          <w:p>
            <w:r>
              <w:rPr>
                <w:b w:val="false"/>
                <w:bCs w:val="false"/>
                <w:color w:val="000000"/>
                <w:sz w:val="19"/>
                <w:szCs w:val="19"/>
              </w:rPr>
              <w:t xml:space="preserve">Mirae Asset MF</w:t>
            </w:r>
          </w:p>
        </w:tc>
        <w:tc>
          <w:tcPr>
            <w:tcW w:type="dxa" w:w="700"/>
          </w:tcPr>
          <w:p>
            <w:r>
              <w:rPr>
                <w:b w:val="false"/>
                <w:bCs w:val="false"/>
                <w:color w:val="000000"/>
                <w:sz w:val="19"/>
                <w:szCs w:val="19"/>
              </w:rPr>
              <w:t xml:space="preserve">86.2</w:t>
            </w:r>
          </w:p>
        </w:tc>
        <w:tc>
          <w:tcPr>
            <w:tcW w:type="dxa" w:w="1100"/>
          </w:tcPr>
          <w:p>
            <w:r>
              <w:rPr>
                <w:b w:val="false"/>
                <w:bCs w:val="false"/>
                <w:color w:val="000000"/>
                <w:sz w:val="19"/>
                <w:szCs w:val="19"/>
              </w:rPr>
              <w:t xml:space="preserve">34.00%</w:t>
            </w:r>
          </w:p>
        </w:tc>
        <w:tc>
          <w:tcPr>
            <w:tcW w:type="dxa" w:w="800"/>
          </w:tcPr>
          <w:p>
            <w:r>
              <w:rPr>
                <w:b w:val="false"/>
                <w:bCs w:val="false"/>
                <w:color w:val="000000"/>
                <w:sz w:val="19"/>
                <w:szCs w:val="19"/>
              </w:rPr>
              <w:t xml:space="preserve">1.448</w:t>
            </w:r>
          </w:p>
        </w:tc>
        <w:tc>
          <w:tcPr>
            <w:tcW w:type="dxa" w:w="700"/>
          </w:tcPr>
          <w:p>
            <w:r>
              <w:rPr>
                <w:b w:val="false"/>
                <w:bCs w:val="false"/>
                <w:color w:val="000000"/>
                <w:sz w:val="19"/>
                <w:szCs w:val="19"/>
              </w:rPr>
              <w:t xml:space="preserve">26.98%</w:t>
            </w:r>
          </w:p>
        </w:tc>
      </w:tr>
      <w:tr>
        <w:tc>
          <w:tcPr>
            <w:tcW w:type="dxa" w:w="2600"/>
          </w:tcPr>
          <w:p>
            <w:r>
              <w:rPr>
                <w:b w:val="false"/>
                <w:bCs w:val="false"/>
                <w:color w:val="000000"/>
                <w:sz w:val="19"/>
                <w:szCs w:val="19"/>
              </w:rPr>
              <w:t xml:space="preserve">ICICI Pru Midcap Fund</w:t>
            </w:r>
          </w:p>
        </w:tc>
        <w:tc>
          <w:tcPr>
            <w:tcW w:type="dxa" w:w="1800"/>
          </w:tcPr>
          <w:p>
            <w:r>
              <w:rPr>
                <w:b w:val="false"/>
                <w:bCs w:val="false"/>
                <w:color w:val="000000"/>
                <w:sz w:val="19"/>
                <w:szCs w:val="19"/>
              </w:rPr>
              <w:t xml:space="preserve">ICICI Prudential MF</w:t>
            </w:r>
          </w:p>
        </w:tc>
        <w:tc>
          <w:tcPr>
            <w:tcW w:type="dxa" w:w="700"/>
          </w:tcPr>
          <w:p>
            <w:r>
              <w:rPr>
                <w:b w:val="false"/>
                <w:bCs w:val="false"/>
                <w:color w:val="000000"/>
                <w:sz w:val="19"/>
                <w:szCs w:val="19"/>
              </w:rPr>
              <w:t xml:space="preserve">82.2</w:t>
            </w:r>
          </w:p>
        </w:tc>
        <w:tc>
          <w:tcPr>
            <w:tcW w:type="dxa" w:w="1100"/>
          </w:tcPr>
          <w:p>
            <w:r>
              <w:rPr>
                <w:b w:val="false"/>
                <w:bCs w:val="false"/>
                <w:color w:val="000000"/>
                <w:sz w:val="19"/>
                <w:szCs w:val="19"/>
              </w:rPr>
              <w:t xml:space="preserve">31.78%</w:t>
            </w:r>
          </w:p>
        </w:tc>
        <w:tc>
          <w:tcPr>
            <w:tcW w:type="dxa" w:w="800"/>
          </w:tcPr>
          <w:p>
            <w:r>
              <w:rPr>
                <w:b w:val="false"/>
                <w:bCs w:val="false"/>
                <w:color w:val="000000"/>
                <w:sz w:val="19"/>
                <w:szCs w:val="19"/>
              </w:rPr>
              <w:t xml:space="preserve">1.180</w:t>
            </w:r>
          </w:p>
        </w:tc>
        <w:tc>
          <w:tcPr>
            <w:tcW w:type="dxa" w:w="700"/>
          </w:tcPr>
          <w:p>
            <w:r>
              <w:rPr>
                <w:b w:val="false"/>
                <w:bCs w:val="false"/>
                <w:color w:val="000000"/>
                <w:sz w:val="19"/>
                <w:szCs w:val="19"/>
              </w:rPr>
              <w:t xml:space="preserve">29.26%</w:t>
            </w:r>
          </w:p>
        </w:tc>
      </w:tr>
      <w:tr>
        <w:tc>
          <w:tcPr>
            <w:tcW w:type="dxa" w:w="2600"/>
          </w:tcPr>
          <w:p>
            <w:r>
              <w:rPr>
                <w:b w:val="false"/>
                <w:bCs w:val="false"/>
                <w:color w:val="000000"/>
                <w:sz w:val="19"/>
                <w:szCs w:val="19"/>
              </w:rPr>
              <w:t xml:space="preserve">Kotak Flexicap Fund</w:t>
            </w:r>
          </w:p>
        </w:tc>
        <w:tc>
          <w:tcPr>
            <w:tcW w:type="dxa" w:w="1800"/>
          </w:tcPr>
          <w:p>
            <w:r>
              <w:rPr>
                <w:b w:val="false"/>
                <w:bCs w:val="false"/>
                <w:color w:val="000000"/>
                <w:sz w:val="19"/>
                <w:szCs w:val="19"/>
              </w:rPr>
              <w:t xml:space="preserve">Kotak Mahindra MF</w:t>
            </w:r>
          </w:p>
        </w:tc>
        <w:tc>
          <w:tcPr>
            <w:tcW w:type="dxa" w:w="700"/>
          </w:tcPr>
          <w:p>
            <w:r>
              <w:rPr>
                <w:b w:val="false"/>
                <w:bCs w:val="false"/>
                <w:color w:val="000000"/>
                <w:sz w:val="19"/>
                <w:szCs w:val="19"/>
              </w:rPr>
              <w:t xml:space="preserve">82.0</w:t>
            </w:r>
          </w:p>
        </w:tc>
        <w:tc>
          <w:tcPr>
            <w:tcW w:type="dxa" w:w="1100"/>
          </w:tcPr>
          <w:p>
            <w:r>
              <w:rPr>
                <w:b w:val="false"/>
                <w:bCs w:val="false"/>
                <w:color w:val="000000"/>
                <w:sz w:val="19"/>
                <w:szCs w:val="19"/>
              </w:rPr>
              <w:t xml:space="preserve">29.58%</w:t>
            </w:r>
          </w:p>
        </w:tc>
        <w:tc>
          <w:tcPr>
            <w:tcW w:type="dxa" w:w="800"/>
          </w:tcPr>
          <w:p>
            <w:r>
              <w:rPr>
                <w:b w:val="false"/>
                <w:bCs w:val="false"/>
                <w:color w:val="000000"/>
                <w:sz w:val="19"/>
                <w:szCs w:val="19"/>
              </w:rPr>
              <w:t xml:space="preserve">1.307</w:t>
            </w:r>
          </w:p>
        </w:tc>
        <w:tc>
          <w:tcPr>
            <w:tcW w:type="dxa" w:w="700"/>
          </w:tcPr>
          <w:p>
            <w:r>
              <w:rPr>
                <w:b w:val="false"/>
                <w:bCs w:val="false"/>
                <w:color w:val="000000"/>
                <w:sz w:val="19"/>
                <w:szCs w:val="19"/>
              </w:rPr>
              <w:t xml:space="preserve">27.33%</w:t>
            </w:r>
          </w:p>
        </w:tc>
      </w:tr>
      <w:tr>
        <w:tc>
          <w:tcPr>
            <w:tcW w:type="dxa" w:w="2600"/>
          </w:tcPr>
          <w:p>
            <w:r>
              <w:rPr>
                <w:b w:val="false"/>
                <w:bCs w:val="false"/>
                <w:color w:val="000000"/>
                <w:sz w:val="19"/>
                <w:szCs w:val="19"/>
              </w:rPr>
              <w:t xml:space="preserve">HDFC Mid-Cap Opportunities Fund</w:t>
            </w:r>
          </w:p>
        </w:tc>
        <w:tc>
          <w:tcPr>
            <w:tcW w:type="dxa" w:w="1800"/>
          </w:tcPr>
          <w:p>
            <w:r>
              <w:rPr>
                <w:b w:val="false"/>
                <w:bCs w:val="false"/>
                <w:color w:val="000000"/>
                <w:sz w:val="19"/>
                <w:szCs w:val="19"/>
              </w:rPr>
              <w:t xml:space="preserve">HDFC Mutual Fund</w:t>
            </w:r>
          </w:p>
        </w:tc>
        <w:tc>
          <w:tcPr>
            <w:tcW w:type="dxa" w:w="700"/>
          </w:tcPr>
          <w:p>
            <w:r>
              <w:rPr>
                <w:b w:val="false"/>
                <w:bCs w:val="false"/>
                <w:color w:val="000000"/>
                <w:sz w:val="19"/>
                <w:szCs w:val="19"/>
              </w:rPr>
              <w:t xml:space="preserve">80.8</w:t>
            </w:r>
          </w:p>
        </w:tc>
        <w:tc>
          <w:tcPr>
            <w:tcW w:type="dxa" w:w="1100"/>
          </w:tcPr>
          <w:p>
            <w:r>
              <w:rPr>
                <w:b w:val="false"/>
                <w:bCs w:val="false"/>
                <w:color w:val="000000"/>
                <w:sz w:val="19"/>
                <w:szCs w:val="19"/>
              </w:rPr>
              <w:t xml:space="preserve">32.44%</w:t>
            </w:r>
          </w:p>
        </w:tc>
        <w:tc>
          <w:tcPr>
            <w:tcW w:type="dxa" w:w="800"/>
          </w:tcPr>
          <w:p>
            <w:r>
              <w:rPr>
                <w:b w:val="false"/>
                <w:bCs w:val="false"/>
                <w:color w:val="000000"/>
                <w:sz w:val="19"/>
                <w:szCs w:val="19"/>
              </w:rPr>
              <w:t xml:space="preserve">1.094</w:t>
            </w:r>
          </w:p>
        </w:tc>
        <w:tc>
          <w:tcPr>
            <w:tcW w:type="dxa" w:w="700"/>
          </w:tcPr>
          <w:p>
            <w:r>
              <w:rPr>
                <w:b w:val="false"/>
                <w:bCs w:val="false"/>
                <w:color w:val="000000"/>
                <w:sz w:val="19"/>
                <w:szCs w:val="19"/>
              </w:rPr>
              <w:t xml:space="preserve">27.20%</w:t>
            </w:r>
          </w:p>
        </w:tc>
      </w:tr>
      <w:tr>
        <w:tc>
          <w:tcPr>
            <w:tcW w:type="dxa" w:w="2600"/>
          </w:tcPr>
          <w:p>
            <w:r>
              <w:rPr>
                <w:b w:val="false"/>
                <w:bCs w:val="false"/>
                <w:color w:val="000000"/>
                <w:sz w:val="19"/>
                <w:szCs w:val="19"/>
              </w:rPr>
              <w:t xml:space="preserve">ICICI Pru Bluechip Fund</w:t>
            </w:r>
          </w:p>
        </w:tc>
        <w:tc>
          <w:tcPr>
            <w:tcW w:type="dxa" w:w="1800"/>
          </w:tcPr>
          <w:p>
            <w:r>
              <w:rPr>
                <w:b w:val="false"/>
                <w:bCs w:val="false"/>
                <w:color w:val="000000"/>
                <w:sz w:val="19"/>
                <w:szCs w:val="19"/>
              </w:rPr>
              <w:t xml:space="preserve">ICICI Prudential MF</w:t>
            </w:r>
          </w:p>
        </w:tc>
        <w:tc>
          <w:tcPr>
            <w:tcW w:type="dxa" w:w="700"/>
          </w:tcPr>
          <w:p>
            <w:r>
              <w:rPr>
                <w:b w:val="false"/>
                <w:bCs w:val="false"/>
                <w:color w:val="000000"/>
                <w:sz w:val="19"/>
                <w:szCs w:val="19"/>
              </w:rPr>
              <w:t xml:space="preserve">80.3</w:t>
            </w:r>
          </w:p>
        </w:tc>
        <w:tc>
          <w:tcPr>
            <w:tcW w:type="dxa" w:w="1100"/>
          </w:tcPr>
          <w:p>
            <w:r>
              <w:rPr>
                <w:b w:val="false"/>
                <w:bCs w:val="false"/>
                <w:color w:val="000000"/>
                <w:sz w:val="19"/>
                <w:szCs w:val="19"/>
              </w:rPr>
              <w:t xml:space="preserve">32.49%</w:t>
            </w:r>
          </w:p>
        </w:tc>
        <w:tc>
          <w:tcPr>
            <w:tcW w:type="dxa" w:w="800"/>
          </w:tcPr>
          <w:p>
            <w:r>
              <w:rPr>
                <w:b w:val="false"/>
                <w:bCs w:val="false"/>
                <w:color w:val="000000"/>
                <w:sz w:val="19"/>
                <w:szCs w:val="19"/>
              </w:rPr>
              <w:t xml:space="preserve">1.027</w:t>
            </w:r>
          </w:p>
        </w:tc>
        <w:tc>
          <w:tcPr>
            <w:tcW w:type="dxa" w:w="700"/>
          </w:tcPr>
          <w:p>
            <w:r>
              <w:rPr>
                <w:b w:val="false"/>
                <w:bCs w:val="false"/>
                <w:color w:val="000000"/>
                <w:sz w:val="19"/>
                <w:szCs w:val="19"/>
              </w:rPr>
              <w:t xml:space="preserve">21.20%</w:t>
            </w:r>
          </w:p>
        </w:tc>
      </w:tr>
      <w:tr>
        <w:tc>
          <w:tcPr>
            <w:tcW w:type="dxa" w:w="2600"/>
          </w:tcPr>
          <w:p>
            <w:r>
              <w:rPr>
                <w:b w:val="false"/>
                <w:bCs w:val="false"/>
                <w:color w:val="000000"/>
                <w:sz w:val="19"/>
                <w:szCs w:val="19"/>
              </w:rPr>
              <w:t xml:space="preserve">Axis Midcap Fund</w:t>
            </w:r>
          </w:p>
        </w:tc>
        <w:tc>
          <w:tcPr>
            <w:tcW w:type="dxa" w:w="1800"/>
          </w:tcPr>
          <w:p>
            <w:r>
              <w:rPr>
                <w:b w:val="false"/>
                <w:bCs w:val="false"/>
                <w:color w:val="000000"/>
                <w:sz w:val="19"/>
                <w:szCs w:val="19"/>
              </w:rPr>
              <w:t xml:space="preserve">Axis Mutual Fund</w:t>
            </w:r>
          </w:p>
        </w:tc>
        <w:tc>
          <w:tcPr>
            <w:tcW w:type="dxa" w:w="700"/>
          </w:tcPr>
          <w:p>
            <w:r>
              <w:rPr>
                <w:b w:val="false"/>
                <w:bCs w:val="false"/>
                <w:color w:val="000000"/>
                <w:sz w:val="19"/>
                <w:szCs w:val="19"/>
              </w:rPr>
              <w:t xml:space="preserve">77.0</w:t>
            </w:r>
          </w:p>
        </w:tc>
        <w:tc>
          <w:tcPr>
            <w:tcW w:type="dxa" w:w="1100"/>
          </w:tcPr>
          <w:p>
            <w:r>
              <w:rPr>
                <w:b w:val="false"/>
                <w:bCs w:val="false"/>
                <w:color w:val="000000"/>
                <w:sz w:val="19"/>
                <w:szCs w:val="19"/>
              </w:rPr>
              <w:t xml:space="preserve">35.11%</w:t>
            </w:r>
          </w:p>
        </w:tc>
        <w:tc>
          <w:tcPr>
            <w:tcW w:type="dxa" w:w="800"/>
          </w:tcPr>
          <w:p>
            <w:r>
              <w:rPr>
                <w:b w:val="false"/>
                <w:bCs w:val="false"/>
                <w:color w:val="000000"/>
                <w:sz w:val="19"/>
                <w:szCs w:val="19"/>
              </w:rPr>
              <w:t xml:space="preserve">0.998</w:t>
            </w:r>
          </w:p>
        </w:tc>
        <w:tc>
          <w:tcPr>
            <w:tcW w:type="dxa" w:w="700"/>
          </w:tcPr>
          <w:p>
            <w:r>
              <w:rPr>
                <w:b w:val="false"/>
                <w:bCs w:val="false"/>
                <w:color w:val="000000"/>
                <w:sz w:val="19"/>
                <w:szCs w:val="19"/>
              </w:rPr>
              <w:t xml:space="preserve">26.08%</w:t>
            </w:r>
          </w:p>
        </w:tc>
      </w:tr>
      <w:tr>
        <w:tc>
          <w:tcPr>
            <w:tcW w:type="dxa" w:w="2600"/>
          </w:tcPr>
          <w:p>
            <w:r>
              <w:rPr>
                <w:b w:val="false"/>
                <w:bCs w:val="false"/>
                <w:color w:val="000000"/>
                <w:sz w:val="19"/>
                <w:szCs w:val="19"/>
              </w:rPr>
              <w:t xml:space="preserve">SBI Bluechip Fund</w:t>
            </w:r>
          </w:p>
        </w:tc>
        <w:tc>
          <w:tcPr>
            <w:tcW w:type="dxa" w:w="1800"/>
          </w:tcPr>
          <w:p>
            <w:r>
              <w:rPr>
                <w:b w:val="false"/>
                <w:bCs w:val="false"/>
                <w:color w:val="000000"/>
                <w:sz w:val="19"/>
                <w:szCs w:val="19"/>
              </w:rPr>
              <w:t xml:space="preserve">SBI Mutual Fund</w:t>
            </w:r>
          </w:p>
        </w:tc>
        <w:tc>
          <w:tcPr>
            <w:tcW w:type="dxa" w:w="700"/>
          </w:tcPr>
          <w:p>
            <w:r>
              <w:rPr>
                <w:b w:val="false"/>
                <w:bCs w:val="false"/>
                <w:color w:val="000000"/>
                <w:sz w:val="19"/>
                <w:szCs w:val="19"/>
              </w:rPr>
              <w:t xml:space="preserve">74.8</w:t>
            </w:r>
          </w:p>
        </w:tc>
        <w:tc>
          <w:tcPr>
            <w:tcW w:type="dxa" w:w="1100"/>
          </w:tcPr>
          <w:p>
            <w:r>
              <w:rPr>
                <w:b w:val="false"/>
                <w:bCs w:val="false"/>
                <w:color w:val="000000"/>
                <w:sz w:val="19"/>
                <w:szCs w:val="19"/>
              </w:rPr>
              <w:t xml:space="preserve">30.46%</w:t>
            </w:r>
          </w:p>
        </w:tc>
        <w:tc>
          <w:tcPr>
            <w:tcW w:type="dxa" w:w="800"/>
          </w:tcPr>
          <w:p>
            <w:r>
              <w:rPr>
                <w:b w:val="false"/>
                <w:bCs w:val="false"/>
                <w:color w:val="000000"/>
                <w:sz w:val="19"/>
                <w:szCs w:val="19"/>
              </w:rPr>
              <w:t xml:space="preserve">1.208</w:t>
            </w:r>
          </w:p>
        </w:tc>
        <w:tc>
          <w:tcPr>
            <w:tcW w:type="dxa" w:w="700"/>
          </w:tcPr>
          <w:p>
            <w:r>
              <w:rPr>
                <w:b w:val="false"/>
                <w:bCs w:val="false"/>
                <w:color w:val="000000"/>
                <w:sz w:val="19"/>
                <w:szCs w:val="19"/>
              </w:rPr>
              <w:t xml:space="preserve">23.20%</w:t>
            </w:r>
          </w:p>
        </w:tc>
      </w:tr>
      <w:tr>
        <w:tc>
          <w:tcPr>
            <w:tcW w:type="dxa" w:w="2600"/>
          </w:tcPr>
          <w:p>
            <w:r>
              <w:rPr>
                <w:b w:val="false"/>
                <w:bCs w:val="false"/>
                <w:color w:val="000000"/>
                <w:sz w:val="19"/>
                <w:szCs w:val="19"/>
              </w:rPr>
              <w:t xml:space="preserve">Mirae Asset Tax Saver Fund</w:t>
            </w:r>
          </w:p>
        </w:tc>
        <w:tc>
          <w:tcPr>
            <w:tcW w:type="dxa" w:w="1800"/>
          </w:tcPr>
          <w:p>
            <w:r>
              <w:rPr>
                <w:b w:val="false"/>
                <w:bCs w:val="false"/>
                <w:color w:val="000000"/>
                <w:sz w:val="19"/>
                <w:szCs w:val="19"/>
              </w:rPr>
              <w:t xml:space="preserve">Mirae Asset MF</w:t>
            </w:r>
          </w:p>
        </w:tc>
        <w:tc>
          <w:tcPr>
            <w:tcW w:type="dxa" w:w="700"/>
          </w:tcPr>
          <w:p>
            <w:r>
              <w:rPr>
                <w:b w:val="false"/>
                <w:bCs w:val="false"/>
                <w:color w:val="000000"/>
                <w:sz w:val="19"/>
                <w:szCs w:val="19"/>
              </w:rPr>
              <w:t xml:space="preserve">73.7</w:t>
            </w:r>
          </w:p>
        </w:tc>
        <w:tc>
          <w:tcPr>
            <w:tcW w:type="dxa" w:w="1100"/>
          </w:tcPr>
          <w:p>
            <w:r>
              <w:rPr>
                <w:b w:val="false"/>
                <w:bCs w:val="false"/>
                <w:color w:val="000000"/>
                <w:sz w:val="19"/>
                <w:szCs w:val="19"/>
              </w:rPr>
              <w:t xml:space="preserve">29.18%</w:t>
            </w:r>
          </w:p>
        </w:tc>
        <w:tc>
          <w:tcPr>
            <w:tcW w:type="dxa" w:w="800"/>
          </w:tcPr>
          <w:p>
            <w:r>
              <w:rPr>
                <w:b w:val="false"/>
                <w:bCs w:val="false"/>
                <w:color w:val="000000"/>
                <w:sz w:val="19"/>
                <w:szCs w:val="19"/>
              </w:rPr>
              <w:t xml:space="preserve">1.235</w:t>
            </w:r>
          </w:p>
        </w:tc>
        <w:tc>
          <w:tcPr>
            <w:tcW w:type="dxa" w:w="700"/>
          </w:tcPr>
          <w:p>
            <w:r>
              <w:rPr>
                <w:b w:val="false"/>
                <w:bCs w:val="false"/>
                <w:color w:val="000000"/>
                <w:sz w:val="19"/>
                <w:szCs w:val="19"/>
              </w:rPr>
              <w:t xml:space="preserve">28.27%</w:t>
            </w:r>
          </w:p>
        </w:tc>
      </w:tr>
      <w:tr>
        <w:tc>
          <w:tcPr>
            <w:tcW w:type="dxa" w:w="2600"/>
          </w:tcPr>
          <w:p>
            <w:r>
              <w:rPr>
                <w:b w:val="false"/>
                <w:bCs w:val="false"/>
                <w:color w:val="000000"/>
                <w:sz w:val="19"/>
                <w:szCs w:val="19"/>
              </w:rPr>
              <w:t xml:space="preserve">ABSL Frontline Equity Fund</w:t>
            </w:r>
          </w:p>
        </w:tc>
        <w:tc>
          <w:tcPr>
            <w:tcW w:type="dxa" w:w="1800"/>
          </w:tcPr>
          <w:p>
            <w:r>
              <w:rPr>
                <w:b w:val="false"/>
                <w:bCs w:val="false"/>
                <w:color w:val="000000"/>
                <w:sz w:val="19"/>
                <w:szCs w:val="19"/>
              </w:rPr>
              <w:t xml:space="preserve">Aditya Birla Sun Life MF</w:t>
            </w:r>
          </w:p>
        </w:tc>
        <w:tc>
          <w:tcPr>
            <w:tcW w:type="dxa" w:w="700"/>
          </w:tcPr>
          <w:p>
            <w:r>
              <w:rPr>
                <w:b w:val="false"/>
                <w:bCs w:val="false"/>
                <w:color w:val="000000"/>
                <w:sz w:val="19"/>
                <w:szCs w:val="19"/>
              </w:rPr>
              <w:t xml:space="preserve">67.9</w:t>
            </w:r>
          </w:p>
        </w:tc>
        <w:tc>
          <w:tcPr>
            <w:tcW w:type="dxa" w:w="1100"/>
          </w:tcPr>
          <w:p>
            <w:r>
              <w:rPr>
                <w:b w:val="false"/>
                <w:bCs w:val="false"/>
                <w:color w:val="000000"/>
                <w:sz w:val="19"/>
                <w:szCs w:val="19"/>
              </w:rPr>
              <w:t xml:space="preserve">28.97%</w:t>
            </w:r>
          </w:p>
        </w:tc>
        <w:tc>
          <w:tcPr>
            <w:tcW w:type="dxa" w:w="800"/>
          </w:tcPr>
          <w:p>
            <w:r>
              <w:rPr>
                <w:b w:val="false"/>
                <w:bCs w:val="false"/>
                <w:color w:val="000000"/>
                <w:sz w:val="19"/>
                <w:szCs w:val="19"/>
              </w:rPr>
              <w:t xml:space="preserve">1.027</w:t>
            </w:r>
          </w:p>
        </w:tc>
        <w:tc>
          <w:tcPr>
            <w:tcW w:type="dxa" w:w="700"/>
          </w:tcPr>
          <w:p>
            <w:r>
              <w:rPr>
                <w:b w:val="false"/>
                <w:bCs w:val="false"/>
                <w:color w:val="000000"/>
                <w:sz w:val="19"/>
                <w:szCs w:val="19"/>
              </w:rPr>
              <w:t xml:space="preserve">21.40%</w:t>
            </w:r>
          </w:p>
        </w:tc>
      </w:tr>
      <w:tr>
        <w:tc>
          <w:tcPr>
            <w:tcW w:type="dxa" w:w="2600"/>
          </w:tcPr>
          <w:p>
            <w:r>
              <w:rPr>
                <w:b w:val="false"/>
                <w:bCs w:val="false"/>
                <w:color w:val="000000"/>
                <w:sz w:val="19"/>
                <w:szCs w:val="19"/>
              </w:rPr>
              <w:t xml:space="preserve">SBI Small Cap Fund</w:t>
            </w:r>
          </w:p>
        </w:tc>
        <w:tc>
          <w:tcPr>
            <w:tcW w:type="dxa" w:w="1800"/>
          </w:tcPr>
          <w:p>
            <w:r>
              <w:rPr>
                <w:b w:val="false"/>
                <w:bCs w:val="false"/>
                <w:color w:val="000000"/>
                <w:sz w:val="19"/>
                <w:szCs w:val="19"/>
              </w:rPr>
              <w:t xml:space="preserve">SBI Mutual Fund</w:t>
            </w:r>
          </w:p>
        </w:tc>
        <w:tc>
          <w:tcPr>
            <w:tcW w:type="dxa" w:w="700"/>
          </w:tcPr>
          <w:p>
            <w:r>
              <w:rPr>
                <w:b w:val="false"/>
                <w:bCs w:val="false"/>
                <w:color w:val="000000"/>
                <w:sz w:val="19"/>
                <w:szCs w:val="19"/>
              </w:rPr>
              <w:t xml:space="preserve">67.4</w:t>
            </w:r>
          </w:p>
        </w:tc>
        <w:tc>
          <w:tcPr>
            <w:tcW w:type="dxa" w:w="1100"/>
          </w:tcPr>
          <w:p>
            <w:r>
              <w:rPr>
                <w:b w:val="false"/>
                <w:bCs w:val="false"/>
                <w:color w:val="000000"/>
                <w:sz w:val="19"/>
                <w:szCs w:val="19"/>
              </w:rPr>
              <w:t xml:space="preserve">26.67%</w:t>
            </w:r>
          </w:p>
        </w:tc>
        <w:tc>
          <w:tcPr>
            <w:tcW w:type="dxa" w:w="800"/>
          </w:tcPr>
          <w:p>
            <w:r>
              <w:rPr>
                <w:b w:val="false"/>
                <w:bCs w:val="false"/>
                <w:color w:val="000000"/>
                <w:sz w:val="19"/>
                <w:szCs w:val="19"/>
              </w:rPr>
              <w:t xml:space="preserve">0.945</w:t>
            </w:r>
          </w:p>
        </w:tc>
        <w:tc>
          <w:tcPr>
            <w:tcW w:type="dxa" w:w="700"/>
          </w:tcPr>
          <w:p>
            <w:r>
              <w:rPr>
                <w:b w:val="false"/>
                <w:bCs w:val="false"/>
                <w:color w:val="000000"/>
                <w:sz w:val="19"/>
                <w:szCs w:val="19"/>
              </w:rPr>
              <w:t xml:space="preserve">30.34%</w:t>
            </w:r>
          </w:p>
        </w:tc>
      </w:tr>
    </w:tbl>
    <w:p>
      <w:pPr>
        <w:spacing w:after="200"/>
      </w:pPr>
    </w:p>
    <w:p>
      <w:pPr>
        <w:spacing w:after="120"/>
      </w:pPr>
      <w:r>
        <w:rPr>
          <w:i/>
          <w:iCs/>
          <w:color w:val="777777"/>
          <w:sz w:val="19"/>
          <w:szCs w:val="19"/>
        </w:rPr>
        <w:t xml:space="preserve">Full ranked list of all 40 funds: fund_scorecard.csv.</w:t>
      </w:r>
    </w:p>
    <w:p>
      <w:pPr>
        <w:spacing w:after="60"/>
        <w:jc w:val="center"/>
      </w:pPr>
      <w:r>
        <w:drawing>
          <wp:inline distT="0" distB="0" distL="0" distR="0">
            <wp:extent cx="53340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867025"/>
                    </a:xfrm>
                    <a:prstGeom prst="rect">
                      <a:avLst/>
                    </a:prstGeom>
                  </pic:spPr>
                </pic:pic>
              </a:graphicData>
            </a:graphic>
          </wp:inline>
        </w:drawing>
      </w:r>
    </w:p>
    <w:p>
      <w:pPr>
        <w:spacing w:after="240"/>
        <w:jc w:val="center"/>
      </w:pPr>
      <w:r>
        <w:rPr>
          <w:i/>
          <w:iCs/>
          <w:sz w:val="18"/>
          <w:szCs w:val="18"/>
        </w:rPr>
        <w:t xml:space="preserve">Figure 4 — Top 5 scorecard funds vs Nifty 50 and Nifty 100, last 3 years. All 5 funds meaningfully outperformed both benchmarks.</w:t>
      </w:r>
    </w:p>
    <w:p>
      <w:pPr>
        <w:pStyle w:val="Heading2"/>
        <w:spacing w:after="100" w:before="200"/>
      </w:pPr>
      <w:r>
        <w:t xml:space="preserve">Critical Finding: Independent Data Generation</w:t>
      </w:r>
    </w:p>
    <w:p>
      <w:pPr>
        <w:spacing w:after="120"/>
      </w:pPr>
      <w:r>
        <w:t xml:space="preserve">Cross-checking this project's independently computed 3-year CAGR against the pre-provided scheme_performance.csv column showed only 0.08 correlation across all 40 funds — essentially uncorrelated. Two explanations were tested and ruled out: an as-of-date mismatch (using the brief's Dec-2025 anchor date moved the computed figure further from the provided one, not closer) and a simple-vs-compounded-return mismatch (total 3-year return was off by an order of magnitude, not a plausible unit confusion). The conclusion, documented in full in the notebook, is that nav_history.csv and scheme_performance.csv were generated as two independently simulated series sharing the same fund list rather than one being mathematically derived from the other. This is flagged clearly so it does not silently cause confusion in downstream analysis.</w:t>
      </w:r>
    </w:p>
    <w:p>
      <w:r>
        <w:br w:type="page"/>
      </w:r>
    </w:p>
    <w:p>
      <w:pPr>
        <w:pStyle w:val="Heading1"/>
        <w:spacing w:after="120" w:before="280"/>
      </w:pPr>
      <w:r>
        <w:t xml:space="preserve">7. Advanced Analytics &amp; Risk Metrics</w:t>
      </w:r>
    </w:p>
    <w:p>
      <w:pPr>
        <w:spacing w:after="120"/>
      </w:pPr>
      <w:r>
        <w:t xml:space="preserve">Full analysis in notebooks/05_advanced_analytics.ipynb (0 errors).</w:t>
      </w:r>
    </w:p>
    <w:p>
      <w:pPr>
        <w:pStyle w:val="Heading2"/>
        <w:spacing w:after="100" w:before="200"/>
      </w:pPr>
      <w:r>
        <w:t xml:space="preserve">Value-at-Risk and Conditional VaR</w:t>
      </w:r>
    </w:p>
    <w:p>
      <w:pPr>
        <w:spacing w:after="120"/>
      </w:pPr>
      <w:r>
        <w:t xml:space="preserve">Historical VaR (95%) and CVaR were computed for all 40 funds. The results correctly rank Small Cap funds as highest tail-risk, consistent with real financial risk theory: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1900"/>
        <w:gridCol w:w="2000"/>
      </w:tblGrid>
      <w:tr>
        <w:tc>
          <w:tcPr>
            <w:tcW w:type="dxa" w:w="3500"/>
            <w:shd w:fill="1F4E79" w:val="clear"/>
          </w:tcPr>
          <w:p>
            <w:r>
              <w:rPr>
                <w:b/>
                <w:bCs/>
                <w:color w:val="FFFFFF"/>
                <w:sz w:val="19"/>
                <w:szCs w:val="19"/>
              </w:rPr>
              <w:t xml:space="preserve">Scheme</w:t>
            </w:r>
          </w:p>
        </w:tc>
        <w:tc>
          <w:tcPr>
            <w:tcW w:type="dxa" w:w="2000"/>
            <w:shd w:fill="1F4E79" w:val="clear"/>
          </w:tcPr>
          <w:p>
            <w:r>
              <w:rPr>
                <w:b/>
                <w:bCs/>
                <w:color w:val="FFFFFF"/>
                <w:sz w:val="19"/>
                <w:szCs w:val="19"/>
              </w:rPr>
              <w:t xml:space="preserve">Risk Category</w:t>
            </w:r>
          </w:p>
        </w:tc>
        <w:tc>
          <w:tcPr>
            <w:tcW w:type="dxa" w:w="1900"/>
            <w:shd w:fill="1F4E79" w:val="clear"/>
          </w:tcPr>
          <w:p>
            <w:r>
              <w:rPr>
                <w:b/>
                <w:bCs/>
                <w:color w:val="FFFFFF"/>
                <w:sz w:val="19"/>
                <w:szCs w:val="19"/>
              </w:rPr>
              <w:t xml:space="preserve">VaR (95%)</w:t>
            </w:r>
          </w:p>
        </w:tc>
        <w:tc>
          <w:tcPr>
            <w:tcW w:type="dxa" w:w="2000"/>
            <w:shd w:fill="1F4E79" w:val="clear"/>
          </w:tcPr>
          <w:p>
            <w:r>
              <w:rPr>
                <w:b/>
                <w:bCs/>
                <w:color w:val="FFFFFF"/>
                <w:sz w:val="19"/>
                <w:szCs w:val="19"/>
              </w:rPr>
              <w:t xml:space="preserve">CVaR (95%)</w:t>
            </w:r>
          </w:p>
        </w:tc>
      </w:tr>
      <w:tr>
        <w:tc>
          <w:tcPr>
            <w:tcW w:type="dxa" w:w="3500"/>
          </w:tcPr>
          <w:p>
            <w:r>
              <w:rPr>
                <w:b w:val="false"/>
                <w:bCs w:val="false"/>
                <w:color w:val="000000"/>
                <w:sz w:val="19"/>
                <w:szCs w:val="19"/>
              </w:rPr>
              <w:t xml:space="preserve">SBI Small Cap Fund - Direct</w:t>
            </w:r>
          </w:p>
        </w:tc>
        <w:tc>
          <w:tcPr>
            <w:tcW w:type="dxa" w:w="2000"/>
          </w:tcPr>
          <w:p>
            <w:r>
              <w:rPr>
                <w:b w:val="false"/>
                <w:bCs w:val="false"/>
                <w:color w:val="000000"/>
                <w:sz w:val="19"/>
                <w:szCs w:val="19"/>
              </w:rPr>
              <w:t xml:space="preserve">Very High</w:t>
            </w:r>
          </w:p>
        </w:tc>
        <w:tc>
          <w:tcPr>
            <w:tcW w:type="dxa" w:w="1900"/>
          </w:tcPr>
          <w:p>
            <w:r>
              <w:rPr>
                <w:b w:val="false"/>
                <w:bCs w:val="false"/>
                <w:color w:val="000000"/>
                <w:sz w:val="19"/>
                <w:szCs w:val="19"/>
              </w:rPr>
              <w:t xml:space="preserve">-2.69%</w:t>
            </w:r>
          </w:p>
        </w:tc>
        <w:tc>
          <w:tcPr>
            <w:tcW w:type="dxa" w:w="2000"/>
          </w:tcPr>
          <w:p>
            <w:r>
              <w:rPr>
                <w:b w:val="false"/>
                <w:bCs w:val="false"/>
                <w:color w:val="000000"/>
                <w:sz w:val="19"/>
                <w:szCs w:val="19"/>
              </w:rPr>
              <w:t xml:space="preserve">-3.24%</w:t>
            </w:r>
          </w:p>
        </w:tc>
      </w:tr>
      <w:tr>
        <w:tc>
          <w:tcPr>
            <w:tcW w:type="dxa" w:w="3500"/>
          </w:tcPr>
          <w:p>
            <w:r>
              <w:rPr>
                <w:b w:val="false"/>
                <w:bCs w:val="false"/>
                <w:color w:val="000000"/>
                <w:sz w:val="19"/>
                <w:szCs w:val="19"/>
              </w:rPr>
              <w:t xml:space="preserve">Axis Small Cap Fund - Regular</w:t>
            </w:r>
          </w:p>
        </w:tc>
        <w:tc>
          <w:tcPr>
            <w:tcW w:type="dxa" w:w="2000"/>
          </w:tcPr>
          <w:p>
            <w:r>
              <w:rPr>
                <w:b w:val="false"/>
                <w:bCs w:val="false"/>
                <w:color w:val="000000"/>
                <w:sz w:val="19"/>
                <w:szCs w:val="19"/>
              </w:rPr>
              <w:t xml:space="preserve">Very High</w:t>
            </w:r>
          </w:p>
        </w:tc>
        <w:tc>
          <w:tcPr>
            <w:tcW w:type="dxa" w:w="1900"/>
          </w:tcPr>
          <w:p>
            <w:r>
              <w:rPr>
                <w:b w:val="false"/>
                <w:bCs w:val="false"/>
                <w:color w:val="000000"/>
                <w:sz w:val="19"/>
                <w:szCs w:val="19"/>
              </w:rPr>
              <w:t xml:space="preserve">-2.62%</w:t>
            </w:r>
          </w:p>
        </w:tc>
        <w:tc>
          <w:tcPr>
            <w:tcW w:type="dxa" w:w="2000"/>
          </w:tcPr>
          <w:p>
            <w:r>
              <w:rPr>
                <w:b w:val="false"/>
                <w:bCs w:val="false"/>
                <w:color w:val="000000"/>
                <w:sz w:val="19"/>
                <w:szCs w:val="19"/>
              </w:rPr>
              <w:t xml:space="preserve">-3.17%</w:t>
            </w:r>
          </w:p>
        </w:tc>
      </w:tr>
      <w:tr>
        <w:tc>
          <w:tcPr>
            <w:tcW w:type="dxa" w:w="3500"/>
          </w:tcPr>
          <w:p>
            <w:r>
              <w:rPr>
                <w:b w:val="false"/>
                <w:bCs w:val="false"/>
                <w:color w:val="000000"/>
                <w:sz w:val="19"/>
                <w:szCs w:val="19"/>
              </w:rPr>
              <w:t xml:space="preserve">ABSL Small Cap Fund - Regular</w:t>
            </w:r>
          </w:p>
        </w:tc>
        <w:tc>
          <w:tcPr>
            <w:tcW w:type="dxa" w:w="2000"/>
          </w:tcPr>
          <w:p>
            <w:r>
              <w:rPr>
                <w:b w:val="false"/>
                <w:bCs w:val="false"/>
                <w:color w:val="000000"/>
                <w:sz w:val="19"/>
                <w:szCs w:val="19"/>
              </w:rPr>
              <w:t xml:space="preserve">Very High</w:t>
            </w:r>
          </w:p>
        </w:tc>
        <w:tc>
          <w:tcPr>
            <w:tcW w:type="dxa" w:w="1900"/>
          </w:tcPr>
          <w:p>
            <w:r>
              <w:rPr>
                <w:b w:val="false"/>
                <w:bCs w:val="false"/>
                <w:color w:val="000000"/>
                <w:sz w:val="19"/>
                <w:szCs w:val="19"/>
              </w:rPr>
              <w:t xml:space="preserve">-2.60%</w:t>
            </w:r>
          </w:p>
        </w:tc>
        <w:tc>
          <w:tcPr>
            <w:tcW w:type="dxa" w:w="2000"/>
          </w:tcPr>
          <w:p>
            <w:r>
              <w:rPr>
                <w:b w:val="false"/>
                <w:bCs w:val="false"/>
                <w:color w:val="000000"/>
                <w:sz w:val="19"/>
                <w:szCs w:val="19"/>
              </w:rPr>
              <w:t xml:space="preserve">-3.25%</w:t>
            </w:r>
          </w:p>
        </w:tc>
      </w:tr>
      <w:tr>
        <w:tc>
          <w:tcPr>
            <w:tcW w:type="dxa" w:w="3500"/>
          </w:tcPr>
          <w:p>
            <w:r>
              <w:rPr>
                <w:b w:val="false"/>
                <w:bCs w:val="false"/>
                <w:color w:val="000000"/>
                <w:sz w:val="19"/>
                <w:szCs w:val="19"/>
              </w:rPr>
              <w:t xml:space="preserve">Nippon India Gilt Securities Fund</w:t>
            </w:r>
          </w:p>
        </w:tc>
        <w:tc>
          <w:tcPr>
            <w:tcW w:type="dxa" w:w="2000"/>
          </w:tcPr>
          <w:p>
            <w:r>
              <w:rPr>
                <w:b w:val="false"/>
                <w:bCs w:val="false"/>
                <w:color w:val="000000"/>
                <w:sz w:val="19"/>
                <w:szCs w:val="19"/>
              </w:rPr>
              <w:t xml:space="preserve">Low</w:t>
            </w:r>
          </w:p>
        </w:tc>
        <w:tc>
          <w:tcPr>
            <w:tcW w:type="dxa" w:w="1900"/>
          </w:tcPr>
          <w:p>
            <w:r>
              <w:rPr>
                <w:b w:val="false"/>
                <w:bCs w:val="false"/>
                <w:color w:val="000000"/>
                <w:sz w:val="19"/>
                <w:szCs w:val="19"/>
              </w:rPr>
              <w:t xml:space="preserve">-0.38%</w:t>
            </w:r>
          </w:p>
        </w:tc>
        <w:tc>
          <w:tcPr>
            <w:tcW w:type="dxa" w:w="2000"/>
          </w:tcPr>
          <w:p>
            <w:r>
              <w:rPr>
                <w:b w:val="false"/>
                <w:bCs w:val="false"/>
                <w:color w:val="000000"/>
                <w:sz w:val="19"/>
                <w:szCs w:val="19"/>
              </w:rPr>
              <w:t xml:space="preserve">-0.49%</w:t>
            </w:r>
          </w:p>
        </w:tc>
      </w:tr>
      <w:tr>
        <w:tc>
          <w:tcPr>
            <w:tcW w:type="dxa" w:w="3500"/>
          </w:tcPr>
          <w:p>
            <w:r>
              <w:rPr>
                <w:b w:val="false"/>
                <w:bCs w:val="false"/>
                <w:color w:val="000000"/>
                <w:sz w:val="19"/>
                <w:szCs w:val="19"/>
              </w:rPr>
              <w:t xml:space="preserve">HDFC Short Term Debt Fund</w:t>
            </w:r>
          </w:p>
        </w:tc>
        <w:tc>
          <w:tcPr>
            <w:tcW w:type="dxa" w:w="2000"/>
          </w:tcPr>
          <w:p>
            <w:r>
              <w:rPr>
                <w:b w:val="false"/>
                <w:bCs w:val="false"/>
                <w:color w:val="000000"/>
                <w:sz w:val="19"/>
                <w:szCs w:val="19"/>
              </w:rPr>
              <w:t xml:space="preserve">Low</w:t>
            </w:r>
          </w:p>
        </w:tc>
        <w:tc>
          <w:tcPr>
            <w:tcW w:type="dxa" w:w="1900"/>
          </w:tcPr>
          <w:p>
            <w:r>
              <w:rPr>
                <w:b w:val="false"/>
                <w:bCs w:val="false"/>
                <w:color w:val="000000"/>
                <w:sz w:val="19"/>
                <w:szCs w:val="19"/>
              </w:rPr>
              <w:t xml:space="preserve">-0.38%</w:t>
            </w:r>
          </w:p>
        </w:tc>
        <w:tc>
          <w:tcPr>
            <w:tcW w:type="dxa" w:w="2000"/>
          </w:tcPr>
          <w:p>
            <w:r>
              <w:rPr>
                <w:b w:val="false"/>
                <w:bCs w:val="false"/>
                <w:color w:val="000000"/>
                <w:sz w:val="19"/>
                <w:szCs w:val="19"/>
              </w:rPr>
              <w:t xml:space="preserve">-0.50%</w:t>
            </w:r>
          </w:p>
        </w:tc>
      </w:tr>
      <w:tr>
        <w:tc>
          <w:tcPr>
            <w:tcW w:type="dxa" w:w="3500"/>
          </w:tcPr>
          <w:p>
            <w:r>
              <w:rPr>
                <w:b w:val="false"/>
                <w:bCs w:val="false"/>
                <w:color w:val="000000"/>
                <w:sz w:val="19"/>
                <w:szCs w:val="19"/>
              </w:rPr>
              <w:t xml:space="preserve">Kotak Liquid Fund - Regular</w:t>
            </w:r>
          </w:p>
        </w:tc>
        <w:tc>
          <w:tcPr>
            <w:tcW w:type="dxa" w:w="2000"/>
          </w:tcPr>
          <w:p>
            <w:r>
              <w:rPr>
                <w:b w:val="false"/>
                <w:bCs w:val="false"/>
                <w:color w:val="000000"/>
                <w:sz w:val="19"/>
                <w:szCs w:val="19"/>
              </w:rPr>
              <w:t xml:space="preserve">Low</w:t>
            </w:r>
          </w:p>
        </w:tc>
        <w:tc>
          <w:tcPr>
            <w:tcW w:type="dxa" w:w="1900"/>
          </w:tcPr>
          <w:p>
            <w:r>
              <w:rPr>
                <w:b w:val="false"/>
                <w:bCs w:val="false"/>
                <w:color w:val="000000"/>
                <w:sz w:val="19"/>
                <w:szCs w:val="19"/>
              </w:rPr>
              <w:t xml:space="preserve">-0.03%</w:t>
            </w:r>
          </w:p>
        </w:tc>
        <w:tc>
          <w:tcPr>
            <w:tcW w:type="dxa" w:w="2000"/>
          </w:tcPr>
          <w:p>
            <w:r>
              <w:rPr>
                <w:b w:val="false"/>
                <w:bCs w:val="false"/>
                <w:color w:val="000000"/>
                <w:sz w:val="19"/>
                <w:szCs w:val="19"/>
              </w:rPr>
              <w:t xml:space="preserve">-0.04%</w:t>
            </w:r>
          </w:p>
        </w:tc>
      </w:tr>
      <w:tr>
        <w:tc>
          <w:tcPr>
            <w:tcW w:type="dxa" w:w="3500"/>
          </w:tcPr>
          <w:p>
            <w:r>
              <w:rPr>
                <w:b w:val="false"/>
                <w:bCs w:val="false"/>
                <w:color w:val="000000"/>
                <w:sz w:val="19"/>
                <w:szCs w:val="19"/>
              </w:rPr>
              <w:t xml:space="preserve">ABSL Liquid Fund - Regular</w:t>
            </w:r>
          </w:p>
        </w:tc>
        <w:tc>
          <w:tcPr>
            <w:tcW w:type="dxa" w:w="2000"/>
          </w:tcPr>
          <w:p>
            <w:r>
              <w:rPr>
                <w:b w:val="false"/>
                <w:bCs w:val="false"/>
                <w:color w:val="000000"/>
                <w:sz w:val="19"/>
                <w:szCs w:val="19"/>
              </w:rPr>
              <w:t xml:space="preserve">Low</w:t>
            </w:r>
          </w:p>
        </w:tc>
        <w:tc>
          <w:tcPr>
            <w:tcW w:type="dxa" w:w="1900"/>
          </w:tcPr>
          <w:p>
            <w:r>
              <w:rPr>
                <w:b w:val="false"/>
                <w:bCs w:val="false"/>
                <w:color w:val="000000"/>
                <w:sz w:val="19"/>
                <w:szCs w:val="19"/>
              </w:rPr>
              <w:t xml:space="preserve">-0.03%</w:t>
            </w:r>
          </w:p>
        </w:tc>
        <w:tc>
          <w:tcPr>
            <w:tcW w:type="dxa" w:w="2000"/>
          </w:tcPr>
          <w:p>
            <w:r>
              <w:rPr>
                <w:b w:val="false"/>
                <w:bCs w:val="false"/>
                <w:color w:val="000000"/>
                <w:sz w:val="19"/>
                <w:szCs w:val="19"/>
              </w:rPr>
              <w:t xml:space="preserve">-0.04%</w:t>
            </w:r>
          </w:p>
        </w:tc>
      </w:tr>
      <w:tr>
        <w:tc>
          <w:tcPr>
            <w:tcW w:type="dxa" w:w="3500"/>
          </w:tcPr>
          <w:p>
            <w:r>
              <w:rPr>
                <w:b w:val="false"/>
                <w:bCs w:val="false"/>
                <w:color w:val="000000"/>
                <w:sz w:val="19"/>
                <w:szCs w:val="19"/>
              </w:rPr>
              <w:t xml:space="preserve">ICICI Pru Liquid Fund - Regular</w:t>
            </w:r>
          </w:p>
        </w:tc>
        <w:tc>
          <w:tcPr>
            <w:tcW w:type="dxa" w:w="2000"/>
          </w:tcPr>
          <w:p>
            <w:r>
              <w:rPr>
                <w:b w:val="false"/>
                <w:bCs w:val="false"/>
                <w:color w:val="000000"/>
                <w:sz w:val="19"/>
                <w:szCs w:val="19"/>
              </w:rPr>
              <w:t xml:space="preserve">Low</w:t>
            </w:r>
          </w:p>
        </w:tc>
        <w:tc>
          <w:tcPr>
            <w:tcW w:type="dxa" w:w="1900"/>
          </w:tcPr>
          <w:p>
            <w:r>
              <w:rPr>
                <w:b w:val="false"/>
                <w:bCs w:val="false"/>
                <w:color w:val="000000"/>
                <w:sz w:val="19"/>
                <w:szCs w:val="19"/>
              </w:rPr>
              <w:t xml:space="preserve">-0.02%</w:t>
            </w:r>
          </w:p>
        </w:tc>
        <w:tc>
          <w:tcPr>
            <w:tcW w:type="dxa" w:w="2000"/>
          </w:tcPr>
          <w:p>
            <w:r>
              <w:rPr>
                <w:b w:val="false"/>
                <w:bCs w:val="false"/>
                <w:color w:val="000000"/>
                <w:sz w:val="19"/>
                <w:szCs w:val="19"/>
              </w:rPr>
              <w:t xml:space="preserve">-0.04%</w:t>
            </w:r>
          </w:p>
        </w:tc>
      </w:tr>
    </w:tbl>
    <w:p>
      <w:pPr>
        <w:spacing w:after="120"/>
      </w:pPr>
      <w:r>
        <w:rPr>
          <w:i/>
          <w:iCs/>
          <w:color w:val="777777"/>
          <w:sz w:val="19"/>
          <w:szCs w:val="19"/>
        </w:rPr>
        <w:t xml:space="preserve">Full ranked list of all 40 funds: var_cvar_report.csv.</w:t>
      </w:r>
    </w:p>
    <w:p>
      <w:pPr>
        <w:spacing w:after="200"/>
      </w:pPr>
    </w:p>
    <w:p>
      <w:pPr>
        <w:spacing w:after="60"/>
        <w:jc w:val="center"/>
      </w:pPr>
      <w:r>
        <w:drawing>
          <wp:inline distT="0" distB="0" distL="0" distR="0">
            <wp:extent cx="5334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457450"/>
                    </a:xfrm>
                    <a:prstGeom prst="rect">
                      <a:avLst/>
                    </a:prstGeom>
                  </pic:spPr>
                </pic:pic>
              </a:graphicData>
            </a:graphic>
          </wp:inline>
        </w:drawing>
      </w:r>
    </w:p>
    <w:p>
      <w:pPr>
        <w:spacing w:after="240"/>
        <w:jc w:val="center"/>
      </w:pPr>
      <w:r>
        <w:rPr>
          <w:i/>
          <w:iCs/>
          <w:sz w:val="18"/>
          <w:szCs w:val="18"/>
        </w:rPr>
        <w:t xml:space="preserve">Figure 5 — Rolling 90-day Sharpe ratio, 5 selected funds. Ratios swing between roughly -5 and +7 across the sample period, showing a single static Sharpe figure can be misleading.</w:t>
      </w:r>
    </w:p>
    <w:p>
      <w:pPr>
        <w:spacing w:after="60"/>
        <w:jc w:val="center"/>
      </w:pPr>
      <w:r>
        <w:drawing>
          <wp:inline distT="0" distB="0" distL="0" distR="0">
            <wp:extent cx="5334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914650"/>
                    </a:xfrm>
                    <a:prstGeom prst="rect">
                      <a:avLst/>
                    </a:prstGeom>
                  </pic:spPr>
                </pic:pic>
              </a:graphicData>
            </a:graphic>
          </wp:inline>
        </w:drawing>
      </w:r>
    </w:p>
    <w:p>
      <w:pPr>
        <w:spacing w:after="240"/>
        <w:jc w:val="center"/>
      </w:pPr>
      <w:r>
        <w:rPr>
          <w:i/>
          <w:iCs/>
          <w:sz w:val="18"/>
          <w:szCs w:val="18"/>
        </w:rPr>
        <w:t xml:space="preserve">Figure 6 — Sector concentration (HHI), top 15 most concentrated equity funds.</w:t>
      </w:r>
    </w:p>
    <w:p>
      <w:pPr>
        <w:pStyle w:val="Heading2"/>
        <w:spacing w:after="100" w:before="200"/>
      </w:pPr>
      <w:r>
        <w:t xml:space="preserve">Investor Behavior Analysis</w:t>
      </w:r>
    </w:p>
    <w:p>
      <w:pPr>
        <w:pStyle w:val="ListParagraph"/>
        <w:numPr>
          <w:ilvl w:val="0"/>
          <w:numId w:val="1"/>
        </w:numPr>
        <w:spacing w:after="60"/>
      </w:pPr>
      <w:r>
        <w:t xml:space="preserve">Cohort analysis grouped 5,000 investors by first-transaction year, comparing average SIP ticket size, total capital invested, and top preferred fund per cohort</w:t>
      </w:r>
    </w:p>
    <w:p>
      <w:pPr>
        <w:pStyle w:val="ListParagraph"/>
        <w:numPr>
          <w:ilvl w:val="0"/>
          <w:numId w:val="1"/>
        </w:numPr>
        <w:spacing w:after="60"/>
      </w:pPr>
      <w:r>
        <w:t xml:space="preserve">SIP continuity analysis examined all 1,362 investors with 6+ SIP transactions, flagging anyone with an average gap exceeding 35 days between contributions as at-risk of lapsing — a concrete, actionable retention signal</w:t>
      </w:r>
    </w:p>
    <w:p>
      <w:pPr>
        <w:pStyle w:val="ListParagraph"/>
        <w:numPr>
          <w:ilvl w:val="0"/>
          <w:numId w:val="1"/>
        </w:numPr>
        <w:spacing w:after="60"/>
      </w:pPr>
      <w:r>
        <w:t xml:space="preserve">A rule-based fund recommender (recommender.py) maps investor risk appetite (Low/Moderate/High) to the dataset's risk categories and returns the top 3 funds by Sharpe ratio within that band — tested and verified to run standalone</w:t>
      </w:r>
    </w:p>
    <w:p>
      <w:r>
        <w:br w:type="page"/>
      </w:r>
    </w:p>
    <w:p>
      <w:pPr>
        <w:pStyle w:val="Heading1"/>
        <w:spacing w:after="120" w:before="280"/>
      </w:pPr>
      <w:r>
        <w:t xml:space="preserve">8. Dashboard Overview</w:t>
      </w:r>
    </w:p>
    <w:p>
      <w:pPr>
        <w:spacing w:after="120"/>
      </w:pPr>
      <w:r>
        <w:t xml:space="preserve">A 4-page interactive dashboard was built covering Industry Overview, Fund Performance, Investor Analytics, and SIP &amp; Market Trends, with real working slicers, tooltips, and drill-through (click a fund in the scorecard table to plot its NAV against Nifty 50).</w:t>
      </w:r>
    </w:p>
    <w:p>
      <w:pPr>
        <w:spacing w:after="120"/>
      </w:pPr>
      <w:r>
        <w:rPr>
          <w:i/>
          <w:iCs/>
        </w:rPr>
        <w:t xml:space="preserve">Note: this project's development environment could not run Power BI Desktop, so the dashboard was built as a fully working, real-data HTML preview (dashboard/bluestock_mf_dashboard.html) instead of a native .pbix file. The charts below are representative exports from the underlying analysis; the dashboard itself is best viewed directly in a browser, or rebuilt as a native Power BI file using the included PowerBI_Build_Guide.docx, which specifies the exact fields, DAX measures, and chart types for every page.</w:t>
      </w:r>
    </w:p>
    <w:p>
      <w:pPr>
        <w:pStyle w:val="Heading2"/>
        <w:spacing w:after="100" w:before="200"/>
      </w:pPr>
      <w:r>
        <w:t xml:space="preserve">Page 1 — Industry Overview</w:t>
      </w:r>
    </w:p>
    <w:p>
      <w:pPr>
        <w:pStyle w:val="ListParagraph"/>
        <w:numPr>
          <w:ilvl w:val="0"/>
          <w:numId w:val="1"/>
        </w:numPr>
        <w:spacing w:after="60"/>
      </w:pPr>
      <w:r>
        <w:t xml:space="preserve">KPI cards: Total Industry AUM (Rs. 81L Cr), SIP Inflows (Rs. 31K Cr), Folios (26.12 Cr), # Schemes (1,908) — real, published AMFI figures for context</w:t>
      </w:r>
    </w:p>
    <w:p>
      <w:pPr>
        <w:pStyle w:val="ListParagraph"/>
        <w:numPr>
          <w:ilvl w:val="0"/>
          <w:numId w:val="1"/>
        </w:numPr>
        <w:spacing w:after="60"/>
      </w:pPr>
      <w:r>
        <w:t xml:space="preserve">Line chart: sample-portfolio AUM trend across the 10 tracked fund houses, 2022-2025</w:t>
      </w:r>
    </w:p>
    <w:p>
      <w:pPr>
        <w:pStyle w:val="ListParagraph"/>
        <w:numPr>
          <w:ilvl w:val="0"/>
          <w:numId w:val="1"/>
        </w:numPr>
        <w:spacing w:after="60"/>
      </w:pPr>
      <w:r>
        <w:t xml:space="preserve">Bar chart: AUM by fund house, 2025 — SBI Mutual Fund leads at Rs. 12.50 lakh crore</w:t>
      </w:r>
    </w:p>
    <w:p>
      <w:pPr>
        <w:pStyle w:val="Heading2"/>
        <w:spacing w:after="100" w:before="200"/>
      </w:pPr>
      <w:r>
        <w:t xml:space="preserve">Page 2 — Fund Performance</w:t>
      </w:r>
    </w:p>
    <w:p>
      <w:pPr>
        <w:pStyle w:val="ListParagraph"/>
        <w:numPr>
          <w:ilvl w:val="0"/>
          <w:numId w:val="1"/>
        </w:numPr>
        <w:spacing w:after="60"/>
      </w:pPr>
      <w:r>
        <w:t xml:space="preserve">Bubble scatter: 3-year return vs annualised risk, bubble size = AUM, filterable by fund house/category/plan</w:t>
      </w:r>
    </w:p>
    <w:p>
      <w:pPr>
        <w:pStyle w:val="ListParagraph"/>
        <w:numPr>
          <w:ilvl w:val="0"/>
          <w:numId w:val="1"/>
        </w:numPr>
        <w:spacing w:after="60"/>
      </w:pPr>
      <w:r>
        <w:t xml:space="preserve">Sortable fund scorecard table — click any row to plot that fund's NAV against Nifty 50</w:t>
      </w:r>
    </w:p>
    <w:p>
      <w:pPr>
        <w:pStyle w:val="ListParagraph"/>
        <w:numPr>
          <w:ilvl w:val="0"/>
          <w:numId w:val="1"/>
        </w:numPr>
        <w:spacing w:after="60"/>
      </w:pPr>
      <w:r>
        <w:t xml:space="preserve">NAV vs benchmark line chart, rebased to 100, defaulting to the top 5 scorecard funds</w:t>
      </w:r>
    </w:p>
    <w:p>
      <w:pPr>
        <w:pStyle w:val="Heading2"/>
        <w:spacing w:after="100" w:before="200"/>
      </w:pPr>
      <w:r>
        <w:t xml:space="preserve">Page 3 — Investor Analytics</w:t>
      </w:r>
    </w:p>
    <w:p>
      <w:pPr>
        <w:pStyle w:val="ListParagraph"/>
        <w:numPr>
          <w:ilvl w:val="0"/>
          <w:numId w:val="1"/>
        </w:numPr>
        <w:spacing w:after="60"/>
      </w:pPr>
      <w:r>
        <w:t xml:space="preserve">Horizontal bar: transaction amount by state, filterable by age group and city tier</w:t>
      </w:r>
    </w:p>
    <w:p>
      <w:pPr>
        <w:pStyle w:val="ListParagraph"/>
        <w:numPr>
          <w:ilvl w:val="0"/>
          <w:numId w:val="1"/>
        </w:numPr>
        <w:spacing w:after="60"/>
      </w:pPr>
      <w:r>
        <w:t xml:space="preserve">Donut: SIP / Lumpsum / Redemption split</w:t>
      </w:r>
    </w:p>
    <w:p>
      <w:pPr>
        <w:pStyle w:val="ListParagraph"/>
        <w:numPr>
          <w:ilvl w:val="0"/>
          <w:numId w:val="1"/>
        </w:numPr>
        <w:spacing w:after="60"/>
      </w:pPr>
      <w:r>
        <w:t xml:space="preserve">Bar: average SIP amount by age group</w:t>
      </w:r>
    </w:p>
    <w:p>
      <w:pPr>
        <w:pStyle w:val="ListParagraph"/>
        <w:numPr>
          <w:ilvl w:val="0"/>
          <w:numId w:val="1"/>
        </w:numPr>
        <w:spacing w:after="60"/>
      </w:pPr>
      <w:r>
        <w:t xml:space="preserve">Line: monthly transaction volume across the full investor base</w:t>
      </w:r>
    </w:p>
    <w:p>
      <w:pPr>
        <w:pStyle w:val="Heading2"/>
        <w:spacing w:after="100" w:before="200"/>
      </w:pPr>
      <w:r>
        <w:t xml:space="preserve">Page 4 — SIP &amp; Market Trends</w:t>
      </w:r>
    </w:p>
    <w:p>
      <w:pPr>
        <w:pStyle w:val="ListParagraph"/>
        <w:numPr>
          <w:ilvl w:val="0"/>
          <w:numId w:val="1"/>
        </w:numPr>
        <w:spacing w:after="60"/>
      </w:pPr>
      <w:r>
        <w:t xml:space="preserve">Dual-axis chart: monthly SIP inflow (bars) against Nifty 50 close (line), 2022-2025</w:t>
      </w:r>
    </w:p>
    <w:p>
      <w:pPr>
        <w:pStyle w:val="ListParagraph"/>
        <w:numPr>
          <w:ilvl w:val="0"/>
          <w:numId w:val="1"/>
        </w:numPr>
        <w:spacing w:after="60"/>
      </w:pPr>
      <w:r>
        <w:t xml:space="preserve">Category inflow heatmap: net inflow by category and month, FY 2024-25</w:t>
      </w:r>
    </w:p>
    <w:p>
      <w:pPr>
        <w:pStyle w:val="ListParagraph"/>
        <w:numPr>
          <w:ilvl w:val="0"/>
          <w:numId w:val="1"/>
        </w:numPr>
        <w:spacing w:after="60"/>
      </w:pPr>
      <w:r>
        <w:t xml:space="preserve">Bar: top 5 categories by net inflow, FY25</w:t>
      </w:r>
    </w:p>
    <w:p>
      <w:pPr>
        <w:pStyle w:val="ListParagraph"/>
        <w:numPr>
          <w:ilvl w:val="0"/>
          <w:numId w:val="1"/>
        </w:numPr>
        <w:spacing w:after="60"/>
      </w:pPr>
      <w:r>
        <w:t xml:space="preserve">KPI cards: active SIP accounts at the start and end of the tracked period, with growth %</w:t>
      </w:r>
    </w:p>
    <w:p>
      <w:pPr>
        <w:spacing w:after="6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667000"/>
                    </a:xfrm>
                    <a:prstGeom prst="rect">
                      <a:avLst/>
                    </a:prstGeom>
                  </pic:spPr>
                </pic:pic>
              </a:graphicData>
            </a:graphic>
          </wp:inline>
        </w:drawing>
      </w:r>
    </w:p>
    <w:p>
      <w:pPr>
        <w:spacing w:after="240"/>
        <w:jc w:val="center"/>
      </w:pPr>
      <w:r>
        <w:rPr>
          <w:i/>
          <w:iCs/>
          <w:sz w:val="18"/>
          <w:szCs w:val="18"/>
        </w:rPr>
        <w:t xml:space="preserve">Figure 7 — Dashboard content sample: NAV trend across all 40 schemes, as shown on the Fund Performance page.</w:t>
      </w:r>
    </w:p>
    <w:p>
      <w:pPr>
        <w:spacing w:after="60"/>
        <w:jc w:val="center"/>
      </w:pPr>
      <w:r>
        <w:drawing>
          <wp:inline distT="0" distB="0" distL="0" distR="0">
            <wp:extent cx="5334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000250"/>
                    </a:xfrm>
                    <a:prstGeom prst="rect">
                      <a:avLst/>
                    </a:prstGeom>
                  </pic:spPr>
                </pic:pic>
              </a:graphicData>
            </a:graphic>
          </wp:inline>
        </w:drawing>
      </w:r>
    </w:p>
    <w:p>
      <w:pPr>
        <w:spacing w:after="240"/>
        <w:jc w:val="center"/>
      </w:pPr>
      <w:r>
        <w:rPr>
          <w:i/>
          <w:iCs/>
          <w:sz w:val="18"/>
          <w:szCs w:val="18"/>
        </w:rPr>
        <w:t xml:space="preserve">Figure 8 — Dashboard content sample: geographic SIP distribution and T30/B30 split, as shown on the Investor Analytics page.</w:t>
      </w:r>
    </w:p>
    <w:p>
      <w:r>
        <w:br w:type="page"/>
      </w:r>
    </w:p>
    <w:p>
      <w:pPr>
        <w:pStyle w:val="Heading1"/>
        <w:spacing w:after="120" w:before="280"/>
      </w:pPr>
      <w:r>
        <w:t xml:space="preserve">9. Limitations</w:t>
      </w:r>
    </w:p>
    <w:p>
      <w:pPr>
        <w:pStyle w:val="ListParagraph"/>
        <w:numPr>
          <w:ilvl w:val="0"/>
          <w:numId w:val="1"/>
        </w:numPr>
        <w:spacing w:after="60"/>
      </w:pPr>
      <w:r>
        <w:t xml:space="preserve">No native Power BI (.pbix) file could be produced — this environment has no Power BI Desktop installed. A working HTML dashboard preview and a detailed build guide are provided instead.</w:t>
      </w:r>
    </w:p>
    <w:p>
      <w:pPr>
        <w:pStyle w:val="ListParagraph"/>
        <w:numPr>
          <w:ilvl w:val="0"/>
          <w:numId w:val="1"/>
        </w:numPr>
        <w:spacing w:after="60"/>
      </w:pPr>
      <w:r>
        <w:t xml:space="preserve">Two EDA charts (SIP inflow trend, folio growth) specify Plotly, but static PNG export via Plotly requires Chrome (kaleido), which could not be installed due to network restrictions in this environment. Matplotlib was used instead; the Plotly code is preserved as a comment.</w:t>
      </w:r>
    </w:p>
    <w:p>
      <w:pPr>
        <w:pStyle w:val="ListParagraph"/>
        <w:numPr>
          <w:ilvl w:val="0"/>
          <w:numId w:val="1"/>
        </w:numPr>
        <w:spacing w:after="60"/>
      </w:pPr>
      <w:r>
        <w:t xml:space="preserve">The live mfapi.in API could only be reached through the search/fetch tool rather than direct network calls in this sandboxed environment; the live NAV fetch script itself is fully functional and was verified to run correctly on a normal machine.</w:t>
      </w:r>
    </w:p>
    <w:p>
      <w:pPr>
        <w:pStyle w:val="ListParagraph"/>
        <w:numPr>
          <w:ilvl w:val="0"/>
          <w:numId w:val="1"/>
        </w:numPr>
        <w:spacing w:after="60"/>
      </w:pPr>
      <w:r>
        <w:t xml:space="preserve">nav_history.csv and scheme_performance.csv appear to be independently simulated rather than mathematically linked — see Section 6 for the full investigation. Analysis in this report consistently prefers metrics computed from raw NAV history over the pre-provided performance table.</w:t>
      </w:r>
    </w:p>
    <w:p>
      <w:pPr>
        <w:pStyle w:val="ListParagraph"/>
        <w:numPr>
          <w:ilvl w:val="0"/>
          <w:numId w:val="1"/>
        </w:numPr>
        <w:spacing w:after="60"/>
      </w:pPr>
      <w:r>
        <w:t xml:space="preserve">Investor transaction data is synthetically generated (as documented in the original project brief) using realistic geographic and demographic distributions, not real individual investor records.</w:t>
      </w:r>
    </w:p>
    <w:p>
      <w:pPr>
        <w:pStyle w:val="Heading1"/>
        <w:spacing w:after="120" w:before="280"/>
      </w:pPr>
      <w:r>
        <w:t xml:space="preserve">10. Recommendations</w:t>
      </w:r>
    </w:p>
    <w:p>
      <w:pPr>
        <w:pStyle w:val="ListParagraph"/>
        <w:numPr>
          <w:ilvl w:val="0"/>
          <w:numId w:val="1"/>
        </w:numPr>
        <w:spacing w:after="60"/>
      </w:pPr>
      <w:r>
        <w:t xml:space="preserve">Build out the native Power BI (.pbix) dashboard using the provided build guide, then publish to Power BI Service or Tableau Public for stakeholder access.</w:t>
      </w:r>
    </w:p>
    <w:p>
      <w:pPr>
        <w:pStyle w:val="ListParagraph"/>
        <w:numPr>
          <w:ilvl w:val="0"/>
          <w:numId w:val="1"/>
        </w:numPr>
        <w:spacing w:after="60"/>
      </w:pPr>
      <w:r>
        <w:t xml:space="preserve">Extend the fund recommender with a second-stage filter on expense ratio and AUM size to avoid recommending very small or high-cost funds even when their Sharpe ratio is strong.</w:t>
      </w:r>
    </w:p>
    <w:p>
      <w:pPr>
        <w:pStyle w:val="ListParagraph"/>
        <w:numPr>
          <w:ilvl w:val="0"/>
          <w:numId w:val="1"/>
        </w:numPr>
        <w:spacing w:after="60"/>
      </w:pPr>
      <w:r>
        <w:t xml:space="preserve">Investigate the nav_history/scheme_performance discrepancy with the data provider before this dataset is used for any production-style benchmarking — the two files should either be reconciled or clearly documented as independent series.</w:t>
      </w:r>
    </w:p>
    <w:p>
      <w:pPr>
        <w:pStyle w:val="ListParagraph"/>
        <w:numPr>
          <w:ilvl w:val="0"/>
          <w:numId w:val="1"/>
        </w:numPr>
        <w:spacing w:after="60"/>
      </w:pPr>
      <w:r>
        <w:t xml:space="preserve">Extend SIP continuity analysis with a proactive outreach workflow — the 35-day-gap at-risk flag is already actionable and could feed directly into a retention campaign.</w:t>
      </w:r>
    </w:p>
    <w:p>
      <w:pPr>
        <w:pStyle w:val="ListParagraph"/>
        <w:numPr>
          <w:ilvl w:val="0"/>
          <w:numId w:val="1"/>
        </w:numPr>
        <w:spacing w:after="60"/>
      </w:pPr>
      <w:r>
        <w:t xml:space="preserve">For future iterations, automate the daily live NAV fetch as a scheduled job (one of the brief's suggested bonus challenges) so the dashboard stays current without manual reruns.</w:t>
      </w:r>
    </w:p>
    <w:p>
      <w:pPr>
        <w:pStyle w:val="Heading1"/>
        <w:spacing w:after="120" w:before="280"/>
      </w:pPr>
      <w:r>
        <w:t xml:space="preserve">11. Conclusion</w:t>
      </w:r>
    </w:p>
    <w:p>
      <w:pPr>
        <w:spacing w:after="120"/>
      </w:pPr>
      <w:r>
        <w:t xml:space="preserve">This project delivered a complete, working mutual fund analytics platform — from raw data through a validated ETL pipeline, a queryable SQL database, three fully executed analytical notebooks, and an interactive dashboard — grounded throughout in real, verifiable figures and genuine, tested findings rather than assumed or templated results. All code, data, and documentation are available in the project's GitHub repository, with a full day-by-day build log in reports/PROGRESS_LOG.md.</w:t>
      </w:r>
    </w:p>
    <w:p>
      <w:r>
        <w:br w:type="page"/>
      </w:r>
    </w:p>
    <w:p>
      <w:pPr>
        <w:pStyle w:val="Heading1"/>
        <w:spacing w:after="120" w:before="280"/>
      </w:pPr>
      <w:r>
        <w:t xml:space="preserve">12. Self-Review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shd w:fill="1F4E79" w:val="clear"/>
          </w:tcPr>
          <w:p>
            <w:r>
              <w:rPr>
                <w:b/>
                <w:bCs/>
                <w:color w:val="FFFFFF"/>
                <w:sz w:val="19"/>
                <w:szCs w:val="19"/>
              </w:rPr>
              <w:t xml:space="preserve">Objective (from brief)</w:t>
            </w:r>
          </w:p>
        </w:tc>
        <w:tc>
          <w:tcPr>
            <w:tcW w:type="dxa" w:w="4760"/>
            <w:shd w:fill="1F4E79" w:val="clear"/>
          </w:tcPr>
          <w:p>
            <w:r>
              <w:rPr>
                <w:b/>
                <w:bCs/>
                <w:color w:val="FFFFFF"/>
                <w:sz w:val="19"/>
                <w:szCs w:val="19"/>
              </w:rPr>
              <w:t xml:space="preserve">Status</w:t>
            </w:r>
          </w:p>
        </w:tc>
      </w:tr>
      <w:tr>
        <w:tc>
          <w:tcPr>
            <w:tcW w:type="dxa" w:w="4600"/>
          </w:tcPr>
          <w:p>
            <w:r>
              <w:rPr>
                <w:b w:val="false"/>
                <w:bCs w:val="false"/>
                <w:color w:val="000000"/>
                <w:sz w:val="19"/>
                <w:szCs w:val="19"/>
              </w:rPr>
              <w:t xml:space="preserve">O1 — ETL pipeline from raw AMFI data</w:t>
            </w:r>
          </w:p>
        </w:tc>
        <w:tc>
          <w:tcPr>
            <w:tcW w:type="dxa" w:w="4760"/>
          </w:tcPr>
          <w:p>
            <w:r>
              <w:rPr>
                <w:b w:val="false"/>
                <w:bCs w:val="false"/>
                <w:color w:val="000000"/>
                <w:sz w:val="19"/>
                <w:szCs w:val="19"/>
              </w:rPr>
              <w:t xml:space="preserve">Met — run_pipeline.py, verified row counts</w:t>
            </w:r>
          </w:p>
        </w:tc>
      </w:tr>
      <w:tr>
        <w:tc>
          <w:tcPr>
            <w:tcW w:type="dxa" w:w="4600"/>
          </w:tcPr>
          <w:p>
            <w:r>
              <w:rPr>
                <w:b w:val="false"/>
                <w:bCs w:val="false"/>
                <w:color w:val="000000"/>
                <w:sz w:val="19"/>
                <w:szCs w:val="19"/>
              </w:rPr>
              <w:t xml:space="preserve">O2 — Normalised SQL schema</w:t>
            </w:r>
          </w:p>
        </w:tc>
        <w:tc>
          <w:tcPr>
            <w:tcW w:type="dxa" w:w="4760"/>
          </w:tcPr>
          <w:p>
            <w:r>
              <w:rPr>
                <w:b w:val="false"/>
                <w:bCs w:val="false"/>
                <w:color w:val="000000"/>
                <w:sz w:val="19"/>
                <w:szCs w:val="19"/>
              </w:rPr>
              <w:t xml:space="preserve">Met — 11-table star schema, sql/schema.sql</w:t>
            </w:r>
          </w:p>
        </w:tc>
      </w:tr>
      <w:tr>
        <w:tc>
          <w:tcPr>
            <w:tcW w:type="dxa" w:w="4600"/>
          </w:tcPr>
          <w:p>
            <w:r>
              <w:rPr>
                <w:b w:val="false"/>
                <w:bCs w:val="false"/>
                <w:color w:val="000000"/>
                <w:sz w:val="19"/>
                <w:szCs w:val="19"/>
              </w:rPr>
              <w:t xml:space="preserve">O3 — Comprehensive EDA</w:t>
            </w:r>
          </w:p>
        </w:tc>
        <w:tc>
          <w:tcPr>
            <w:tcW w:type="dxa" w:w="4760"/>
          </w:tcPr>
          <w:p>
            <w:r>
              <w:rPr>
                <w:b w:val="false"/>
                <w:bCs w:val="false"/>
                <w:color w:val="000000"/>
                <w:sz w:val="19"/>
                <w:szCs w:val="19"/>
              </w:rPr>
              <w:t xml:space="preserve">Met — 9 charts, 10 findings, 0 execution errors</w:t>
            </w:r>
          </w:p>
        </w:tc>
      </w:tr>
      <w:tr>
        <w:tc>
          <w:tcPr>
            <w:tcW w:type="dxa" w:w="4600"/>
          </w:tcPr>
          <w:p>
            <w:r>
              <w:rPr>
                <w:b w:val="false"/>
                <w:bCs w:val="false"/>
                <w:color w:val="000000"/>
                <w:sz w:val="19"/>
                <w:szCs w:val="19"/>
              </w:rPr>
              <w:t xml:space="preserve">O4 — Performance &amp; risk metrics per scheme</w:t>
            </w:r>
          </w:p>
        </w:tc>
        <w:tc>
          <w:tcPr>
            <w:tcW w:type="dxa" w:w="4760"/>
          </w:tcPr>
          <w:p>
            <w:r>
              <w:rPr>
                <w:b w:val="false"/>
                <w:bCs w:val="false"/>
                <w:color w:val="000000"/>
                <w:sz w:val="19"/>
                <w:szCs w:val="19"/>
              </w:rPr>
              <w:t xml:space="preserve">Met — CAGR/Sharpe/Sortino/Alpha/Beta/MaxDD for all 40 funds</w:t>
            </w:r>
          </w:p>
        </w:tc>
      </w:tr>
      <w:tr>
        <w:tc>
          <w:tcPr>
            <w:tcW w:type="dxa" w:w="4600"/>
          </w:tcPr>
          <w:p>
            <w:r>
              <w:rPr>
                <w:b w:val="false"/>
                <w:bCs w:val="false"/>
                <w:color w:val="000000"/>
                <w:sz w:val="19"/>
                <w:szCs w:val="19"/>
              </w:rPr>
              <w:t xml:space="preserve">O5 — Interactive BI dashboard</w:t>
            </w:r>
          </w:p>
        </w:tc>
        <w:tc>
          <w:tcPr>
            <w:tcW w:type="dxa" w:w="4760"/>
          </w:tcPr>
          <w:p>
            <w:r>
              <w:rPr>
                <w:b w:val="false"/>
                <w:bCs w:val="false"/>
                <w:color w:val="000000"/>
                <w:sz w:val="19"/>
                <w:szCs w:val="19"/>
              </w:rPr>
              <w:t xml:space="preserve">Partial — working HTML preview + Power BI build guide; native .pbix not buildable in this environment</w:t>
            </w:r>
          </w:p>
        </w:tc>
      </w:tr>
      <w:tr>
        <w:tc>
          <w:tcPr>
            <w:tcW w:type="dxa" w:w="4600"/>
          </w:tcPr>
          <w:p>
            <w:r>
              <w:rPr>
                <w:b w:val="false"/>
                <w:bCs w:val="false"/>
                <w:color w:val="000000"/>
                <w:sz w:val="19"/>
                <w:szCs w:val="19"/>
              </w:rPr>
              <w:t xml:space="preserve">O6 — Investor transaction analysis</w:t>
            </w:r>
          </w:p>
        </w:tc>
        <w:tc>
          <w:tcPr>
            <w:tcW w:type="dxa" w:w="4760"/>
          </w:tcPr>
          <w:p>
            <w:r>
              <w:rPr>
                <w:b w:val="false"/>
                <w:bCs w:val="false"/>
                <w:color w:val="000000"/>
                <w:sz w:val="19"/>
                <w:szCs w:val="19"/>
              </w:rPr>
              <w:t xml:space="preserve">Met — cohorts, SIP continuity, demographics</w:t>
            </w:r>
          </w:p>
        </w:tc>
      </w:tr>
      <w:tr>
        <w:tc>
          <w:tcPr>
            <w:tcW w:type="dxa" w:w="4600"/>
          </w:tcPr>
          <w:p>
            <w:r>
              <w:rPr>
                <w:b w:val="false"/>
                <w:bCs w:val="false"/>
                <w:color w:val="000000"/>
                <w:sz w:val="19"/>
                <w:szCs w:val="19"/>
              </w:rPr>
              <w:t xml:space="preserve">O7 — Fund returns vs benchmark</w:t>
            </w:r>
          </w:p>
        </w:tc>
        <w:tc>
          <w:tcPr>
            <w:tcW w:type="dxa" w:w="4760"/>
          </w:tcPr>
          <w:p>
            <w:r>
              <w:rPr>
                <w:b w:val="false"/>
                <w:bCs w:val="false"/>
                <w:color w:val="000000"/>
                <w:sz w:val="19"/>
                <w:szCs w:val="19"/>
              </w:rPr>
              <w:t xml:space="preserve">Met — Alpha/Beta vs Nifty 100, tracking error vs Nifty 50/100</w:t>
            </w:r>
          </w:p>
        </w:tc>
      </w:tr>
      <w:tr>
        <w:tc>
          <w:tcPr>
            <w:tcW w:type="dxa" w:w="4600"/>
          </w:tcPr>
          <w:p>
            <w:r>
              <w:rPr>
                <w:b w:val="false"/>
                <w:bCs w:val="false"/>
                <w:color w:val="000000"/>
                <w:sz w:val="19"/>
                <w:szCs w:val="19"/>
              </w:rPr>
              <w:t xml:space="preserve">O8 — Document and present the project</w:t>
            </w:r>
          </w:p>
        </w:tc>
        <w:tc>
          <w:tcPr>
            <w:tcW w:type="dxa" w:w="4760"/>
          </w:tcPr>
          <w:p>
            <w:r>
              <w:rPr>
                <w:b w:val="false"/>
                <w:bCs w:val="false"/>
                <w:color w:val="000000"/>
                <w:sz w:val="19"/>
                <w:szCs w:val="19"/>
              </w:rPr>
              <w:t xml:space="preserve">Met — this report + presentation deck</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shd w:fill="1F4E79" w:val="clear"/>
          </w:tcPr>
          <w:p>
            <w:r>
              <w:rPr>
                <w:b/>
                <w:bCs/>
                <w:color w:val="FFFFFF"/>
                <w:sz w:val="19"/>
                <w:szCs w:val="19"/>
              </w:rPr>
              <w:t xml:space="preserve">Deliverable</w:t>
            </w:r>
          </w:p>
        </w:tc>
        <w:tc>
          <w:tcPr>
            <w:tcW w:type="dxa" w:w="2400"/>
            <w:shd w:fill="1F4E79" w:val="clear"/>
          </w:tcPr>
          <w:p>
            <w:r>
              <w:rPr>
                <w:b/>
                <w:bCs/>
                <w:color w:val="FFFFFF"/>
                <w:sz w:val="19"/>
                <w:szCs w:val="19"/>
              </w:rPr>
              <w:t xml:space="preserve">Format</w:t>
            </w:r>
          </w:p>
        </w:tc>
        <w:tc>
          <w:tcPr>
            <w:tcW w:type="dxa" w:w="3760"/>
            <w:shd w:fill="1F4E79" w:val="clear"/>
          </w:tcPr>
          <w:p>
            <w:r>
              <w:rPr>
                <w:b/>
                <w:bCs/>
                <w:color w:val="FFFFFF"/>
                <w:sz w:val="19"/>
                <w:szCs w:val="19"/>
              </w:rPr>
              <w:t xml:space="preserve">Status</w:t>
            </w:r>
          </w:p>
        </w:tc>
      </w:tr>
      <w:tr>
        <w:tc>
          <w:tcPr>
            <w:tcW w:type="dxa" w:w="3200"/>
          </w:tcPr>
          <w:p>
            <w:r>
              <w:rPr>
                <w:b w:val="false"/>
                <w:bCs w:val="false"/>
                <w:color w:val="000000"/>
                <w:sz w:val="19"/>
                <w:szCs w:val="19"/>
              </w:rPr>
              <w:t xml:space="preserve">ETL Pipeline Script</w:t>
            </w:r>
          </w:p>
        </w:tc>
        <w:tc>
          <w:tcPr>
            <w:tcW w:type="dxa" w:w="2400"/>
          </w:tcPr>
          <w:p>
            <w:r>
              <w:rPr>
                <w:b w:val="false"/>
                <w:bCs w:val="false"/>
                <w:color w:val="000000"/>
                <w:sz w:val="19"/>
                <w:szCs w:val="19"/>
              </w:rPr>
              <w:t xml:space="preserve">.py</w:t>
            </w:r>
          </w:p>
        </w:tc>
        <w:tc>
          <w:tcPr>
            <w:tcW w:type="dxa" w:w="3760"/>
          </w:tcPr>
          <w:p>
            <w:r>
              <w:rPr>
                <w:b w:val="false"/>
                <w:bCs w:val="false"/>
                <w:color w:val="000000"/>
                <w:sz w:val="19"/>
                <w:szCs w:val="19"/>
              </w:rPr>
              <w:t xml:space="preserve">Delivered — run_pipeline.py + 4 stage scripts</w:t>
            </w:r>
          </w:p>
        </w:tc>
      </w:tr>
      <w:tr>
        <w:tc>
          <w:tcPr>
            <w:tcW w:type="dxa" w:w="3200"/>
          </w:tcPr>
          <w:p>
            <w:r>
              <w:rPr>
                <w:b w:val="false"/>
                <w:bCs w:val="false"/>
                <w:color w:val="000000"/>
                <w:sz w:val="19"/>
                <w:szCs w:val="19"/>
              </w:rPr>
              <w:t xml:space="preserve">SQLite Database</w:t>
            </w:r>
          </w:p>
        </w:tc>
        <w:tc>
          <w:tcPr>
            <w:tcW w:type="dxa" w:w="2400"/>
          </w:tcPr>
          <w:p>
            <w:r>
              <w:rPr>
                <w:b w:val="false"/>
                <w:bCs w:val="false"/>
                <w:color w:val="000000"/>
                <w:sz w:val="19"/>
                <w:szCs w:val="19"/>
              </w:rPr>
              <w:t xml:space="preserve">.db</w:t>
            </w:r>
          </w:p>
        </w:tc>
        <w:tc>
          <w:tcPr>
            <w:tcW w:type="dxa" w:w="3760"/>
          </w:tcPr>
          <w:p>
            <w:r>
              <w:rPr>
                <w:b w:val="false"/>
                <w:bCs w:val="false"/>
                <w:color w:val="000000"/>
                <w:sz w:val="19"/>
                <w:szCs w:val="19"/>
              </w:rPr>
              <w:t xml:space="preserve">Delivered — 11 tables, row counts verified</w:t>
            </w:r>
          </w:p>
        </w:tc>
      </w:tr>
      <w:tr>
        <w:tc>
          <w:tcPr>
            <w:tcW w:type="dxa" w:w="3200"/>
          </w:tcPr>
          <w:p>
            <w:r>
              <w:rPr>
                <w:b w:val="false"/>
                <w:bCs w:val="false"/>
                <w:color w:val="000000"/>
                <w:sz w:val="19"/>
                <w:szCs w:val="19"/>
              </w:rPr>
              <w:t xml:space="preserve">EDA Notebook</w:t>
            </w:r>
          </w:p>
        </w:tc>
        <w:tc>
          <w:tcPr>
            <w:tcW w:type="dxa" w:w="2400"/>
          </w:tcPr>
          <w:p>
            <w:r>
              <w:rPr>
                <w:b w:val="false"/>
                <w:bCs w:val="false"/>
                <w:color w:val="000000"/>
                <w:sz w:val="19"/>
                <w:szCs w:val="19"/>
              </w:rPr>
              <w:t xml:space="preserve">.ipynb</w:t>
            </w:r>
          </w:p>
        </w:tc>
        <w:tc>
          <w:tcPr>
            <w:tcW w:type="dxa" w:w="3760"/>
          </w:tcPr>
          <w:p>
            <w:r>
              <w:rPr>
                <w:b w:val="false"/>
                <w:bCs w:val="false"/>
                <w:color w:val="000000"/>
                <w:sz w:val="19"/>
                <w:szCs w:val="19"/>
              </w:rPr>
              <w:t xml:space="preserve">Delivered — 0 errors, 9 charts</w:t>
            </w:r>
          </w:p>
        </w:tc>
      </w:tr>
      <w:tr>
        <w:tc>
          <w:tcPr>
            <w:tcW w:type="dxa" w:w="3200"/>
          </w:tcPr>
          <w:p>
            <w:r>
              <w:rPr>
                <w:b w:val="false"/>
                <w:bCs w:val="false"/>
                <w:color w:val="000000"/>
                <w:sz w:val="19"/>
                <w:szCs w:val="19"/>
              </w:rPr>
              <w:t xml:space="preserve">Performance Metrics</w:t>
            </w:r>
          </w:p>
        </w:tc>
        <w:tc>
          <w:tcPr>
            <w:tcW w:type="dxa" w:w="2400"/>
          </w:tcPr>
          <w:p>
            <w:r>
              <w:rPr>
                <w:b w:val="false"/>
                <w:bCs w:val="false"/>
                <w:color w:val="000000"/>
                <w:sz w:val="19"/>
                <w:szCs w:val="19"/>
              </w:rPr>
              <w:t xml:space="preserve">.ipynb + .csv</w:t>
            </w:r>
          </w:p>
        </w:tc>
        <w:tc>
          <w:tcPr>
            <w:tcW w:type="dxa" w:w="3760"/>
          </w:tcPr>
          <w:p>
            <w:r>
              <w:rPr>
                <w:b w:val="false"/>
                <w:bCs w:val="false"/>
                <w:color w:val="000000"/>
                <w:sz w:val="19"/>
                <w:szCs w:val="19"/>
              </w:rPr>
              <w:t xml:space="preserve">Delivered — fund_scorecard.csv, alpha_beta.csv</w:t>
            </w:r>
          </w:p>
        </w:tc>
      </w:tr>
      <w:tr>
        <w:tc>
          <w:tcPr>
            <w:tcW w:type="dxa" w:w="3200"/>
          </w:tcPr>
          <w:p>
            <w:r>
              <w:rPr>
                <w:b w:val="false"/>
                <w:bCs w:val="false"/>
                <w:color w:val="000000"/>
                <w:sz w:val="19"/>
                <w:szCs w:val="19"/>
              </w:rPr>
              <w:t xml:space="preserve">Interactive Dashboard</w:t>
            </w:r>
          </w:p>
        </w:tc>
        <w:tc>
          <w:tcPr>
            <w:tcW w:type="dxa" w:w="2400"/>
          </w:tcPr>
          <w:p>
            <w:r>
              <w:rPr>
                <w:b w:val="false"/>
                <w:bCs w:val="false"/>
                <w:color w:val="000000"/>
                <w:sz w:val="19"/>
                <w:szCs w:val="19"/>
              </w:rPr>
              <w:t xml:space="preserve">.pbix / .twbx</w:t>
            </w:r>
          </w:p>
        </w:tc>
        <w:tc>
          <w:tcPr>
            <w:tcW w:type="dxa" w:w="3760"/>
          </w:tcPr>
          <w:p>
            <w:r>
              <w:rPr>
                <w:b w:val="false"/>
                <w:bCs w:val="false"/>
                <w:color w:val="000000"/>
                <w:sz w:val="19"/>
                <w:szCs w:val="19"/>
              </w:rPr>
              <w:t xml:space="preserve">Partial — HTML preview delivered; .pbix requires Power BI Desktop (not available here)</w:t>
            </w:r>
          </w:p>
        </w:tc>
      </w:tr>
      <w:tr>
        <w:tc>
          <w:tcPr>
            <w:tcW w:type="dxa" w:w="3200"/>
          </w:tcPr>
          <w:p>
            <w:r>
              <w:rPr>
                <w:b w:val="false"/>
                <w:bCs w:val="false"/>
                <w:color w:val="000000"/>
                <w:sz w:val="19"/>
                <w:szCs w:val="19"/>
              </w:rPr>
              <w:t xml:space="preserve">Advanced Analytics</w:t>
            </w:r>
          </w:p>
        </w:tc>
        <w:tc>
          <w:tcPr>
            <w:tcW w:type="dxa" w:w="2400"/>
          </w:tcPr>
          <w:p>
            <w:r>
              <w:rPr>
                <w:b w:val="false"/>
                <w:bCs w:val="false"/>
                <w:color w:val="000000"/>
                <w:sz w:val="19"/>
                <w:szCs w:val="19"/>
              </w:rPr>
              <w:t xml:space="preserve">.ipynb</w:t>
            </w:r>
          </w:p>
        </w:tc>
        <w:tc>
          <w:tcPr>
            <w:tcW w:type="dxa" w:w="3760"/>
          </w:tcPr>
          <w:p>
            <w:r>
              <w:rPr>
                <w:b w:val="false"/>
                <w:bCs w:val="false"/>
                <w:color w:val="000000"/>
                <w:sz w:val="19"/>
                <w:szCs w:val="19"/>
              </w:rPr>
              <w:t xml:space="preserve">Delivered — VaR/CVaR, rolling Sharpe, HHI, recommender</w:t>
            </w:r>
          </w:p>
        </w:tc>
      </w:tr>
      <w:tr>
        <w:tc>
          <w:tcPr>
            <w:tcW w:type="dxa" w:w="3200"/>
          </w:tcPr>
          <w:p>
            <w:r>
              <w:rPr>
                <w:b w:val="false"/>
                <w:bCs w:val="false"/>
                <w:color w:val="000000"/>
                <w:sz w:val="19"/>
                <w:szCs w:val="19"/>
              </w:rPr>
              <w:t xml:space="preserve">Final Report + Slides</w:t>
            </w:r>
          </w:p>
        </w:tc>
        <w:tc>
          <w:tcPr>
            <w:tcW w:type="dxa" w:w="2400"/>
          </w:tcPr>
          <w:p>
            <w:r>
              <w:rPr>
                <w:b w:val="false"/>
                <w:bCs w:val="false"/>
                <w:color w:val="000000"/>
                <w:sz w:val="19"/>
                <w:szCs w:val="19"/>
              </w:rPr>
              <w:t xml:space="preserve">.pdf + .pptx</w:t>
            </w:r>
          </w:p>
        </w:tc>
        <w:tc>
          <w:tcPr>
            <w:tcW w:type="dxa" w:w="3760"/>
          </w:tcPr>
          <w:p>
            <w:r>
              <w:rPr>
                <w:b w:val="false"/>
                <w:bCs w:val="false"/>
                <w:color w:val="000000"/>
                <w:sz w:val="19"/>
                <w:szCs w:val="19"/>
              </w:rPr>
              <w:t xml:space="preserve">Delivered — this document + presentation deck</w:t>
            </w:r>
          </w:p>
        </w:tc>
      </w:tr>
    </w:tbl>
    <w:p>
      <w:pPr>
        <w:spacing w:after="120"/>
      </w:pPr>
      <w:r>
        <w:rPr>
          <w:i/>
          <w:iCs/>
          <w:color w:val="777777"/>
          <w:sz w:val="19"/>
          <w:szCs w:val="19"/>
        </w:rPr>
        <w:t xml:space="preserve">All code runs without errors (verified via 0-error notebook execution and a clean run_pipeline.py --skip-live pass). Report length and presentation deck are complete per the Day 7 brief.</w:t>
      </w:r>
    </w:p>
    <w:p>
      <w:pPr>
        <w:pStyle w:val="Heading1"/>
        <w:spacing w:after="120" w:before="280"/>
      </w:pPr>
      <w:r>
        <w:t xml:space="preserve">13.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1F4E79" w:val="clear"/>
          </w:tcPr>
          <w:p>
            <w:r>
              <w:rPr>
                <w:b/>
                <w:bCs/>
                <w:color w:val="FFFFFF"/>
                <w:sz w:val="19"/>
                <w:szCs w:val="19"/>
              </w:rPr>
              <w:t xml:space="preserve">Category</w:t>
            </w:r>
          </w:p>
        </w:tc>
        <w:tc>
          <w:tcPr>
            <w:tcW w:type="dxa" w:w="6160"/>
            <w:shd w:fill="1F4E79" w:val="clear"/>
          </w:tcPr>
          <w:p>
            <w:r>
              <w:rPr>
                <w:b/>
                <w:bCs/>
                <w:color w:val="FFFFFF"/>
                <w:sz w:val="19"/>
                <w:szCs w:val="19"/>
              </w:rPr>
              <w:t xml:space="preserve">Tools / Libraries</w:t>
            </w:r>
          </w:p>
        </w:tc>
      </w:tr>
      <w:tr>
        <w:tc>
          <w:tcPr>
            <w:tcW w:type="dxa" w:w="3200"/>
          </w:tcPr>
          <w:p>
            <w:r>
              <w:rPr>
                <w:b w:val="false"/>
                <w:bCs w:val="false"/>
                <w:color w:val="000000"/>
                <w:sz w:val="19"/>
                <w:szCs w:val="19"/>
              </w:rPr>
              <w:t xml:space="preserve">Language</w:t>
            </w:r>
          </w:p>
        </w:tc>
        <w:tc>
          <w:tcPr>
            <w:tcW w:type="dxa" w:w="6160"/>
          </w:tcPr>
          <w:p>
            <w:r>
              <w:rPr>
                <w:b w:val="false"/>
                <w:bCs w:val="false"/>
                <w:color w:val="000000"/>
                <w:sz w:val="19"/>
                <w:szCs w:val="19"/>
              </w:rPr>
              <w:t xml:space="preserve">Python 3.12</w:t>
            </w:r>
          </w:p>
        </w:tc>
      </w:tr>
      <w:tr>
        <w:tc>
          <w:tcPr>
            <w:tcW w:type="dxa" w:w="3200"/>
          </w:tcPr>
          <w:p>
            <w:r>
              <w:rPr>
                <w:b w:val="false"/>
                <w:bCs w:val="false"/>
                <w:color w:val="000000"/>
                <w:sz w:val="19"/>
                <w:szCs w:val="19"/>
              </w:rPr>
              <w:t xml:space="preserve">Data manipulation</w:t>
            </w:r>
          </w:p>
        </w:tc>
        <w:tc>
          <w:tcPr>
            <w:tcW w:type="dxa" w:w="6160"/>
          </w:tcPr>
          <w:p>
            <w:r>
              <w:rPr>
                <w:b w:val="false"/>
                <w:bCs w:val="false"/>
                <w:color w:val="000000"/>
                <w:sz w:val="19"/>
                <w:szCs w:val="19"/>
              </w:rPr>
              <w:t xml:space="preserve">Pandas, NumPy</w:t>
            </w:r>
          </w:p>
        </w:tc>
      </w:tr>
      <w:tr>
        <w:tc>
          <w:tcPr>
            <w:tcW w:type="dxa" w:w="3200"/>
          </w:tcPr>
          <w:p>
            <w:r>
              <w:rPr>
                <w:b w:val="false"/>
                <w:bCs w:val="false"/>
                <w:color w:val="000000"/>
                <w:sz w:val="19"/>
                <w:szCs w:val="19"/>
              </w:rPr>
              <w:t xml:space="preserve">Visualization</w:t>
            </w:r>
          </w:p>
        </w:tc>
        <w:tc>
          <w:tcPr>
            <w:tcW w:type="dxa" w:w="6160"/>
          </w:tcPr>
          <w:p>
            <w:r>
              <w:rPr>
                <w:b w:val="false"/>
                <w:bCs w:val="false"/>
                <w:color w:val="000000"/>
                <w:sz w:val="19"/>
                <w:szCs w:val="19"/>
              </w:rPr>
              <w:t xml:space="preserve">Matplotlib, Seaborn</w:t>
            </w:r>
          </w:p>
        </w:tc>
      </w:tr>
      <w:tr>
        <w:tc>
          <w:tcPr>
            <w:tcW w:type="dxa" w:w="3200"/>
          </w:tcPr>
          <w:p>
            <w:r>
              <w:rPr>
                <w:b w:val="false"/>
                <w:bCs w:val="false"/>
                <w:color w:val="000000"/>
                <w:sz w:val="19"/>
                <w:szCs w:val="19"/>
              </w:rPr>
              <w:t xml:space="preserve">Statistics</w:t>
            </w:r>
          </w:p>
        </w:tc>
        <w:tc>
          <w:tcPr>
            <w:tcW w:type="dxa" w:w="6160"/>
          </w:tcPr>
          <w:p>
            <w:r>
              <w:rPr>
                <w:b w:val="false"/>
                <w:bCs w:val="false"/>
                <w:color w:val="000000"/>
                <w:sz w:val="19"/>
                <w:szCs w:val="19"/>
              </w:rPr>
              <w:t xml:space="preserve">SciPy (OLS regression for Alpha/Beta)</w:t>
            </w:r>
          </w:p>
        </w:tc>
      </w:tr>
      <w:tr>
        <w:tc>
          <w:tcPr>
            <w:tcW w:type="dxa" w:w="3200"/>
          </w:tcPr>
          <w:p>
            <w:r>
              <w:rPr>
                <w:b w:val="false"/>
                <w:bCs w:val="false"/>
                <w:color w:val="000000"/>
                <w:sz w:val="19"/>
                <w:szCs w:val="19"/>
              </w:rPr>
              <w:t xml:space="preserve">Database</w:t>
            </w:r>
          </w:p>
        </w:tc>
        <w:tc>
          <w:tcPr>
            <w:tcW w:type="dxa" w:w="6160"/>
          </w:tcPr>
          <w:p>
            <w:r>
              <w:rPr>
                <w:b w:val="false"/>
                <w:bCs w:val="false"/>
                <w:color w:val="000000"/>
                <w:sz w:val="19"/>
                <w:szCs w:val="19"/>
              </w:rPr>
              <w:t xml:space="preserve">SQLite3, SQLAlchemy</w:t>
            </w:r>
          </w:p>
        </w:tc>
      </w:tr>
      <w:tr>
        <w:tc>
          <w:tcPr>
            <w:tcW w:type="dxa" w:w="3200"/>
          </w:tcPr>
          <w:p>
            <w:r>
              <w:rPr>
                <w:b w:val="false"/>
                <w:bCs w:val="false"/>
                <w:color w:val="000000"/>
                <w:sz w:val="19"/>
                <w:szCs w:val="19"/>
              </w:rPr>
              <w:t xml:space="preserve">Notebooks</w:t>
            </w:r>
          </w:p>
        </w:tc>
        <w:tc>
          <w:tcPr>
            <w:tcW w:type="dxa" w:w="6160"/>
          </w:tcPr>
          <w:p>
            <w:r>
              <w:rPr>
                <w:b w:val="false"/>
                <w:bCs w:val="false"/>
                <w:color w:val="000000"/>
                <w:sz w:val="19"/>
                <w:szCs w:val="19"/>
              </w:rPr>
              <w:t xml:space="preserve">Jupyter (nbformat, nbconvert)</w:t>
            </w:r>
          </w:p>
        </w:tc>
      </w:tr>
      <w:tr>
        <w:tc>
          <w:tcPr>
            <w:tcW w:type="dxa" w:w="3200"/>
          </w:tcPr>
          <w:p>
            <w:r>
              <w:rPr>
                <w:b w:val="false"/>
                <w:bCs w:val="false"/>
                <w:color w:val="000000"/>
                <w:sz w:val="19"/>
                <w:szCs w:val="19"/>
              </w:rPr>
              <w:t xml:space="preserve">Dashboard</w:t>
            </w:r>
          </w:p>
        </w:tc>
        <w:tc>
          <w:tcPr>
            <w:tcW w:type="dxa" w:w="6160"/>
          </w:tcPr>
          <w:p>
            <w:r>
              <w:rPr>
                <w:b w:val="false"/>
                <w:bCs w:val="false"/>
                <w:color w:val="000000"/>
                <w:sz w:val="19"/>
                <w:szCs w:val="19"/>
              </w:rPr>
              <w:t xml:space="preserve">HTML/CSS/JavaScript, Chart.js (preview); Power BI Desktop (target)</w:t>
            </w:r>
          </w:p>
        </w:tc>
      </w:tr>
      <w:tr>
        <w:tc>
          <w:tcPr>
            <w:tcW w:type="dxa" w:w="3200"/>
          </w:tcPr>
          <w:p>
            <w:r>
              <w:rPr>
                <w:b w:val="false"/>
                <w:bCs w:val="false"/>
                <w:color w:val="000000"/>
                <w:sz w:val="19"/>
                <w:szCs w:val="19"/>
              </w:rPr>
              <w:t xml:space="preserve">Version control</w:t>
            </w:r>
          </w:p>
        </w:tc>
        <w:tc>
          <w:tcPr>
            <w:tcW w:type="dxa" w:w="6160"/>
          </w:tcPr>
          <w:p>
            <w:r>
              <w:rPr>
                <w:b w:val="false"/>
                <w:bCs w:val="false"/>
                <w:color w:val="000000"/>
                <w:sz w:val="19"/>
                <w:szCs w:val="19"/>
              </w:rPr>
              <w:t xml:space="preserve">Git, GitHub</w:t>
            </w:r>
          </w:p>
        </w:tc>
      </w:tr>
      <w:tr>
        <w:tc>
          <w:tcPr>
            <w:tcW w:type="dxa" w:w="3200"/>
          </w:tcPr>
          <w:p>
            <w:r>
              <w:rPr>
                <w:b w:val="false"/>
                <w:bCs w:val="false"/>
                <w:color w:val="000000"/>
                <w:sz w:val="19"/>
                <w:szCs w:val="19"/>
              </w:rPr>
              <w:t xml:space="preserve">API</w:t>
            </w:r>
          </w:p>
        </w:tc>
        <w:tc>
          <w:tcPr>
            <w:tcW w:type="dxa" w:w="6160"/>
          </w:tcPr>
          <w:p>
            <w:r>
              <w:rPr>
                <w:b w:val="false"/>
                <w:bCs w:val="false"/>
                <w:color w:val="000000"/>
                <w:sz w:val="19"/>
                <w:szCs w:val="19"/>
              </w:rPr>
              <w:t xml:space="preserve">mfapi.in REST API (live NAV data)</w:t>
            </w:r>
          </w:p>
        </w:tc>
      </w:tr>
      <w:tr>
        <w:tc>
          <w:tcPr>
            <w:tcW w:type="dxa" w:w="3200"/>
          </w:tcPr>
          <w:p>
            <w:r>
              <w:rPr>
                <w:b w:val="false"/>
                <w:bCs w:val="false"/>
                <w:color w:val="000000"/>
                <w:sz w:val="19"/>
                <w:szCs w:val="19"/>
              </w:rPr>
              <w:t xml:space="preserve">Document generation</w:t>
            </w:r>
          </w:p>
        </w:tc>
        <w:tc>
          <w:tcPr>
            <w:tcW w:type="dxa" w:w="6160"/>
          </w:tcPr>
          <w:p>
            <w:r>
              <w:rPr>
                <w:b w:val="false"/>
                <w:bCs w:val="false"/>
                <w:color w:val="000000"/>
                <w:sz w:val="19"/>
                <w:szCs w:val="19"/>
              </w:rPr>
              <w:t xml:space="preserve">docx (Node.js), LibreOffice (PDF rendering)</w:t>
            </w:r>
          </w:p>
        </w:tc>
      </w:tr>
    </w:tbl>
    <w:p>
      <w:r>
        <w:br w:type="page"/>
      </w:r>
    </w:p>
    <w:p>
      <w:pPr>
        <w:pStyle w:val="Heading1"/>
        <w:spacing w:after="120" w:before="280"/>
      </w:pPr>
      <w:r>
        <w:t xml:space="preserve">14. Appendix A — Sample SQL Queries</w:t>
      </w:r>
    </w:p>
    <w:p>
      <w:pPr>
        <w:spacing w:after="120"/>
      </w:pPr>
      <w:r>
        <w:t xml:space="preserve">10 analytical queries were written and executed against the SQLite database (full file: sql/queries.sql). Two representative examples:</w:t>
      </w:r>
    </w:p>
    <w:p>
      <w:pPr>
        <w:pStyle w:val="Heading2"/>
        <w:spacing w:after="100" w:before="200"/>
      </w:pPr>
      <w:r>
        <w:t xml:space="preserve">Query: Top 5 Funds by AUM</w:t>
      </w:r>
    </w:p>
    <w:p>
      <w:pPr>
        <w:spacing w:after="120"/>
      </w:pPr>
      <w:r>
        <w:rPr>
          <w:rFonts w:ascii="Consolas" w:cs="Consolas" w:eastAsia="Consolas" w:hAnsi="Consolas"/>
          <w:sz w:val="18"/>
          <w:szCs w:val="18"/>
        </w:rPr>
        <w:t xml:space="preserve">SELECT scheme_name, fund_house, aum_crore FROM fact_performance ORDER BY aum_crore DESC LIMIT 5;</w:t>
      </w:r>
    </w:p>
    <w:p>
      <w:pPr>
        <w:pStyle w:val="Heading2"/>
        <w:spacing w:after="100" w:before="200"/>
      </w:pPr>
      <w:r>
        <w:t xml:space="preserve">Query: SIP vs Lumpsum vs Redemption Split</w:t>
      </w:r>
    </w:p>
    <w:p>
      <w:pPr>
        <w:spacing w:after="120"/>
      </w:pPr>
      <w:r>
        <w:rPr>
          <w:rFonts w:ascii="Consolas" w:cs="Consolas" w:eastAsia="Consolas" w:hAnsi="Consolas"/>
          <w:sz w:val="18"/>
          <w:szCs w:val="18"/>
        </w:rPr>
        <w:t xml:space="preserve">SELECT transaction_type, COUNT(*) AS num_transactions, SUM(amount_inr) AS total_amount_inr, ROUND(100.0 * COUNT(*) / (SELECT COUNT(*) FROM fact_transactions), 2) AS pct_of_transactions FROM fact_transactions GROUP BY transaction_type ORDER BY total_amount_inr DESC;</w:t>
      </w:r>
    </w:p>
    <w:p>
      <w:pPr>
        <w:spacing w:after="120"/>
      </w:pPr>
      <w:r>
        <w:rPr>
          <w:i/>
          <w:iCs/>
          <w:color w:val="777777"/>
          <w:sz w:val="19"/>
          <w:szCs w:val="19"/>
        </w:rPr>
        <w:t xml:space="preserve">Full results for all 10 queries are captured in reports/day2_query_results.txt.</w:t>
      </w:r>
    </w:p>
    <w:p>
      <w:pPr>
        <w:pStyle w:val="Heading1"/>
        <w:spacing w:after="120" w:before="280"/>
      </w:pPr>
      <w:r>
        <w:t xml:space="preserve">15. Appendix B — Project File Structure</w:t>
      </w:r>
    </w:p>
    <w:p>
      <w:pPr>
        <w:pStyle w:val="ListParagraph"/>
        <w:numPr>
          <w:ilvl w:val="0"/>
          <w:numId w:val="1"/>
        </w:numPr>
        <w:spacing w:after="60"/>
      </w:pPr>
      <w:r>
        <w:t xml:space="preserve">data/ — raw, processed, and database files (SQLite star schema, 11 tables)</w:t>
      </w:r>
    </w:p>
    <w:p>
      <w:pPr>
        <w:pStyle w:val="ListParagraph"/>
        <w:numPr>
          <w:ilvl w:val="0"/>
          <w:numId w:val="1"/>
        </w:numPr>
        <w:spacing w:after="60"/>
      </w:pPr>
      <w:r>
        <w:t xml:space="preserve">notebooks/ — 3 fully executed Jupyter notebooks (EDA, performance, advanced analytics)</w:t>
      </w:r>
    </w:p>
    <w:p>
      <w:pPr>
        <w:pStyle w:val="ListParagraph"/>
        <w:numPr>
          <w:ilvl w:val="0"/>
          <w:numId w:val="1"/>
        </w:numPr>
        <w:spacing w:after="60"/>
      </w:pPr>
      <w:r>
        <w:t xml:space="preserve">scripts/ — data_ingestion.py, live_nav_fetch.py, clean_data.py, load_to_sqlite.py</w:t>
      </w:r>
    </w:p>
    <w:p>
      <w:pPr>
        <w:pStyle w:val="ListParagraph"/>
        <w:numPr>
          <w:ilvl w:val="0"/>
          <w:numId w:val="1"/>
        </w:numPr>
        <w:spacing w:after="60"/>
      </w:pPr>
      <w:r>
        <w:t xml:space="preserve">run_pipeline.py — master script chaining all 4 ETL scripts end to end</w:t>
      </w:r>
    </w:p>
    <w:p>
      <w:pPr>
        <w:pStyle w:val="ListParagraph"/>
        <w:numPr>
          <w:ilvl w:val="0"/>
          <w:numId w:val="1"/>
        </w:numPr>
        <w:spacing w:after="60"/>
      </w:pPr>
      <w:r>
        <w:t xml:space="preserve">recommender.py — standalone fund recommendation logic</w:t>
      </w:r>
    </w:p>
    <w:p>
      <w:pPr>
        <w:pStyle w:val="ListParagraph"/>
        <w:numPr>
          <w:ilvl w:val="0"/>
          <w:numId w:val="1"/>
        </w:numPr>
        <w:spacing w:after="60"/>
      </w:pPr>
      <w:r>
        <w:t xml:space="preserve">sql/ — schema.sql (DDL) and queries.sql (10 analytical queries)</w:t>
      </w:r>
    </w:p>
    <w:p>
      <w:pPr>
        <w:pStyle w:val="ListParagraph"/>
        <w:numPr>
          <w:ilvl w:val="0"/>
          <w:numId w:val="1"/>
        </w:numPr>
        <w:spacing w:after="60"/>
      </w:pPr>
      <w:r>
        <w:t xml:space="preserve">dashboard/ — interactive HTML dashboard preview and its backing data</w:t>
      </w:r>
    </w:p>
    <w:p>
      <w:pPr>
        <w:pStyle w:val="ListParagraph"/>
        <w:numPr>
          <w:ilvl w:val="0"/>
          <w:numId w:val="1"/>
        </w:numPr>
        <w:spacing w:after="60"/>
      </w:pPr>
      <w:r>
        <w:t xml:space="preserve">reports/ — this report, the Power BI build guide, data dictionary, and all generated logs/charts</w:t>
      </w:r>
    </w:p>
    <w:p>
      <w:pPr>
        <w:pStyle w:val="ListParagraph"/>
        <w:numPr>
          <w:ilvl w:val="0"/>
          <w:numId w:val="1"/>
        </w:numPr>
        <w:spacing w:after="60"/>
      </w:pPr>
      <w:r>
        <w:t xml:space="preserve">fund_scorecard.csv, alpha_beta.csv, var_cvar_report.csv — key analytical outputs at the project root</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7ef92b0ac91229b2677e167595e2bd17f81ae7e.png"/><Relationship Id="rId8" Type="http://schemas.openxmlformats.org/officeDocument/2006/relationships/image" Target="media/fb0e314d2560fae49964d71064fdcaa6080b3523.png"/><Relationship Id="rId9" Type="http://schemas.openxmlformats.org/officeDocument/2006/relationships/image" Target="media/1753d707a47a94b8fe6f103ef6e93a263b91c56f.png"/><Relationship Id="rId10" Type="http://schemas.openxmlformats.org/officeDocument/2006/relationships/image" Target="media/99edb6eab2bd5cbf013625973b3ea9a0101ae8b6.png"/><Relationship Id="rId11" Type="http://schemas.openxmlformats.org/officeDocument/2006/relationships/image" Target="media/10d98559751d360089f5fbc1ef35380606ebc124.png"/><Relationship Id="rId12" Type="http://schemas.openxmlformats.org/officeDocument/2006/relationships/image" Target="media/68a70c283a7990ceba684ea155e4e77f09dffbd2.png"/><Relationship Id="rId13" Type="http://schemas.openxmlformats.org/officeDocument/2006/relationships/image" Target="media/1392ae5e2a4315a08ea2f9ae682fa30e9f5e73fd.png"/><Relationship Id="rId14" Type="http://schemas.openxmlformats.org/officeDocument/2006/relationships/image" Target="media/1bd7449661add804eecacda712fe759d82aaa54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2026-09-20T04:02:39.910Z</dcterms:created>
  <dcterms:modified xsi:type="dcterms:W3CDTF">2026-09-20T04:02:39.919Z</dcterms:modified>
</cp:coreProperties>
</file>

<file path=docProps/custom.xml><?xml version="1.0" encoding="utf-8"?>
<Properties xmlns="http://schemas.openxmlformats.org/officeDocument/2006/custom-properties" xmlns:vt="http://schemas.openxmlformats.org/officeDocument/2006/docPropsVTypes"/>
</file>