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52"/>
          <w:szCs w:val="52"/>
        </w:rPr>
        <w:t xml:space="preserve">OWN CURA</w:t>
      </w:r>
    </w:p>
    <w:p>
      <w:pPr>
        <w:spacing w:after="40"/>
      </w:pPr>
      <w:r>
        <w:rPr>
          <w:b/>
          <w:bCs/>
          <w:color w:val="0F6E6A"/>
          <w:sz w:val="28"/>
          <w:szCs w:val="28"/>
        </w:rPr>
        <w:t xml:space="preserve">Vision, Positioning &amp; First-Cycle Execution Plan</w:t>
      </w:r>
    </w:p>
    <w:p>
      <w:pPr>
        <w:spacing w:after="400"/>
      </w:pPr>
      <w:r>
        <w:rPr>
          <w:i/>
          <w:iCs/>
          <w:color w:val="555555"/>
          <w:sz w:val="20"/>
          <w:szCs w:val="20"/>
        </w:rPr>
        <w:t xml:space="preserve">Working document for founder and team review  |  August 2026  |  v4</w:t>
      </w:r>
    </w:p>
    <w:p>
      <w:pPr>
        <w:spacing w:after="200"/>
      </w:pPr>
      <w:r>
        <w:rPr>
          <w:b/>
          <w:bCs/>
          <w:sz w:val="20"/>
          <w:szCs w:val="20"/>
        </w:rPr>
        <w:t xml:space="preserve">Reading key: </w:t>
      </w:r>
      <w:r>
        <w:rPr>
          <w:b/>
          <w:bCs/>
          <w:color w:val="FFFFFF"/>
          <w:sz w:val="18"/>
          <w:szCs w:val="18"/>
          <w:shd w:fill="ADB5BD" w:val="clear"/>
        </w:rPr>
        <w:t xml:space="preserve"> FACT </w:t>
      </w:r>
      <w:r>
        <w:t xml:space="preserve">  </w:t>
      </w:r>
      <w:r>
        <w:rPr>
          <w:b/>
          <w:bCs/>
          <w:color w:val="FFFFFF"/>
          <w:sz w:val="18"/>
          <w:szCs w:val="18"/>
          <w:shd w:fill="8A8FBF" w:val="clear"/>
        </w:rPr>
        <w:t xml:space="preserve"> ASSUMPTION </w:t>
      </w:r>
      <w:r>
        <w:t xml:space="preserve">  </w:t>
      </w:r>
      <w:r>
        <w:rPr>
          <w:b/>
          <w:bCs/>
          <w:color w:val="FFFFFF"/>
          <w:sz w:val="18"/>
          <w:szCs w:val="18"/>
          <w:shd w:fill="D9694F" w:val="clear"/>
        </w:rPr>
        <w:t xml:space="preserve"> HYPOTHESIS </w:t>
      </w:r>
      <w:r>
        <w:t xml:space="preserve">  </w:t>
      </w:r>
      <w:r>
        <w:rPr>
          <w:b/>
          <w:bCs/>
          <w:color w:val="FFFFFF"/>
          <w:sz w:val="18"/>
          <w:szCs w:val="18"/>
          <w:shd w:fill="0F6E6A" w:val="clear"/>
        </w:rPr>
        <w:t xml:space="preserve"> RECOMMENDATION </w:t>
      </w:r>
      <w:r>
        <w:t xml:space="preserve">  </w:t>
      </w:r>
      <w:r>
        <w:rPr>
          <w:b/>
          <w:bCs/>
          <w:color w:val="FFFFFF"/>
          <w:sz w:val="18"/>
          <w:szCs w:val="18"/>
          <w:shd w:fill="C0392B" w:val="clear"/>
        </w:rPr>
        <w:t xml:space="preserve"> OPEN QUESTION </w:t>
      </w:r>
    </w:p>
    <w:p>
      <w:pPr>
        <w:spacing w:after="160" w:line="300"/>
      </w:pPr>
      <w:r>
        <w:rPr>
          <w:color w:val="222222"/>
          <w:sz w:val="22"/>
          <w:szCs w:val="22"/>
        </w:rPr>
        <w:t xml:space="preserve">This document consolidates the working plan for Own Cura as it now stands, after several rounds of thinking through the model. It supersedes the transactions-only framing of the earlier draft. The core shift: Own Cura is not a brokerage and should never feel like one. It is a growth platform for independent practices, where a sale to Roots Health (or anyone else) is one path among several — not the point of the visit.</w:t>
      </w:r>
    </w:p>
    <w:p>
      <w:pPr>
        <w:pStyle w:val="Heading1"/>
        <w:pBdr>
          <w:bottom w:val="single" w:color="0F6E6A" w:sz="6" w:space="4"/>
        </w:pBdr>
        <w:spacing w:after="200" w:before="400"/>
      </w:pPr>
      <w:r>
        <w:t xml:space="preserve">1. The One-Sentence Version</w:t>
      </w:r>
    </w:p>
    <w:p>
      <w:pPr>
        <w:spacing w:after="120"/>
      </w:pPr>
      <w:r>
        <w:rPr>
          <w:b/>
          <w:bCs/>
          <w:sz w:val="22"/>
          <w:szCs w:val="22"/>
        </w:rPr>
        <w:t xml:space="preserve">Own Cura helps independent practices grow — however that looks for you.</w:t>
      </w:r>
    </w:p>
    <w:p>
      <w:pPr>
        <w:spacing w:after="160" w:line="300"/>
      </w:pPr>
      <w:r>
        <w:rPr>
          <w:color w:val="222222"/>
          <w:sz w:val="22"/>
          <w:szCs w:val="22"/>
        </w:rPr>
        <w:t xml:space="preserve">Practices can understand their value, explore a path forward (grow independently, bring in support, or sell), and eventually run on AI tools built for how independent healthcare actually operates. Roots Health, the operating company behind Own Cura, is proof this works — not a hidden hand steering every visitor toward a sale.</w:t>
      </w:r>
    </w:p>
    <w:p>
      <w:pPr>
        <w:pStyle w:val="Heading1"/>
        <w:pBdr>
          <w:bottom w:val="single" w:color="0F6E6A" w:sz="6" w:space="4"/>
        </w:pBdr>
        <w:spacing w:after="200" w:before="400"/>
      </w:pPr>
      <w:r>
        <w:t xml:space="preserve">2. Why “Eventually” Matters — The Shopify Sequencing Parallel</w:t>
      </w:r>
    </w:p>
    <w:p>
      <w:pPr>
        <w:spacing w:after="160" w:line="300"/>
      </w:pPr>
      <w:r>
        <w:rPr>
          <w:color w:val="222222"/>
          <w:sz w:val="22"/>
          <w:szCs w:val="22"/>
        </w:rPr>
        <w:t xml:space="preserve">Own Cura's long-term destination is genuinely “Shopify for healthcare.” The mistake would be building toward that description directly, instead of building the way Shopify actually did. Shopify was not a platform on day one — it started in 2006 as a single snowboard shop's online store, then became a hosted storefront tool other small merchants could use. Only years later, once thousands of merchants were already running real revenue through it, did payments, capital, fulfillment, and point-of-sale get layered on. The ecosystem was built on top of a working core product with real usage — it was never announced ahead of it.</w:t>
      </w:r>
    </w:p>
    <w:p>
      <w:pPr>
        <w:spacing w:after="160" w:line="300"/>
      </w:pPr>
      <w:r>
        <w:rPr>
          <w:b/>
          <w:bCs/>
          <w:color w:val="FFFFFF"/>
          <w:sz w:val="18"/>
          <w:szCs w:val="18"/>
          <w:shd w:fill="0F6E6A" w:val="clear"/>
        </w:rPr>
        <w:t xml:space="preserve"> RECOMMENDATION </w:t>
      </w:r>
      <w:r>
        <w:rPr>
          <w:sz w:val="22"/>
          <w:szCs w:val="22"/>
        </w:rPr>
        <w:t xml:space="preserve">  Hold the two descriptions separately, deliberately: “Shopify for healthcare” is the answer to “why are we doing this” — it belongs in the deck, in investor conversations, in how the founder talks about the long-term company. “We help independent practices grow, however that looks for them” (Section 1) is the answer to “what is this” — it's what an actual visitor to the site should read. These are not in tension. Shopify talked about itself as infrastructure for commerce too, eventually — just not in year one, and not before the storefront tool worked.</w:t>
      </w:r>
    </w:p>
    <w:p>
      <w:pPr>
        <w:spacing w:after="160" w:line="300"/>
      </w:pPr>
      <w:r>
        <w:rPr>
          <w:color w:val="222222"/>
          <w:sz w:val="22"/>
          <w:szCs w:val="22"/>
        </w:rPr>
        <w:t xml:space="preserve">The parallel holds at every layer already in this document:</w:t>
      </w:r>
    </w:p>
    <w:p>
      <w:pPr>
        <w:pStyle w:val="ListParagraph"/>
        <w:numPr>
          <w:ilvl w:val="0"/>
          <w:numId w:val="2"/>
        </w:numPr>
        <w:spacing w:after="90" w:line="280"/>
      </w:pPr>
      <w:r>
        <w:rPr>
          <w:sz w:val="22"/>
          <w:szCs w:val="22"/>
        </w:rPr>
        <w:t xml:space="preserve">Shopify's first real product was one thing done well (hosted storefronts) — Own Cura's is the valuation tool and the growth-path framing (Pillars 1 and 2).</w:t>
      </w:r>
    </w:p>
    <w:p>
      <w:pPr>
        <w:pStyle w:val="ListParagraph"/>
        <w:numPr>
          <w:ilvl w:val="0"/>
          <w:numId w:val="2"/>
        </w:numPr>
        <w:spacing w:after="90" w:line="280"/>
      </w:pPr>
      <w:r>
        <w:rPr>
          <w:sz w:val="22"/>
          <w:szCs w:val="22"/>
        </w:rPr>
        <w:t xml:space="preserve">Shopify earned merchant trust with a working tool before ever asking for a cut of their payments — Own Cura earns a practice's trust with a real valuation and honest options before Roots Health shows up as a buyer (Section 3).</w:t>
      </w:r>
    </w:p>
    <w:p>
      <w:pPr>
        <w:pStyle w:val="ListParagraph"/>
        <w:numPr>
          <w:ilvl w:val="0"/>
          <w:numId w:val="2"/>
        </w:numPr>
        <w:spacing w:after="90" w:line="280"/>
      </w:pPr>
      <w:r>
        <w:rPr>
          <w:sz w:val="22"/>
          <w:szCs w:val="22"/>
        </w:rPr>
        <w:t xml:space="preserve">Shopify's ecosystem (apps, payments, capital) grew out of merchants already living inside the product — Own Cura's ecosystem (the agent stack, staffing, financing, credentialing) should grow out of practices already living inside Pillars 1 and 2, not launch alongside them (Sections 4, 9, 12).</w:t>
      </w:r>
    </w:p>
    <w:p>
      <w:pPr>
        <w:spacing w:after="160" w:line="300"/>
      </w:pPr>
      <w:r>
        <w:rPr>
          <w:b/>
          <w:bCs/>
          <w:color w:val="FFFFFF"/>
          <w:sz w:val="18"/>
          <w:szCs w:val="18"/>
          <w:shd w:fill="D9694F" w:val="clear"/>
        </w:rPr>
        <w:t xml:space="preserve"> HYPOTHESIS </w:t>
      </w:r>
      <w:r>
        <w:rPr>
          <w:sz w:val="22"/>
          <w:szCs w:val="22"/>
        </w:rPr>
        <w:t xml:space="preserve">  The temptation to build toward the full platform vision directly will resurface, especially once fundraising conversations reference “Shopify for healthcare” as the pitch. When it does, the test is the same one Shopify would have failed in 2006: is the core product (Pillars 1 and 2) working well enough, for enough real practices, to justify the next layer — or is the next layer being added because the vision calls for it on a slide.</w:t>
      </w:r>
    </w:p>
    <w:p>
      <w:pPr>
        <w:pStyle w:val="Heading1"/>
        <w:pBdr>
          <w:bottom w:val="single" w:color="0F6E6A" w:sz="6" w:space="4"/>
        </w:pBdr>
        <w:spacing w:after="200" w:before="400"/>
      </w:pPr>
      <w:r>
        <w:t xml:space="preserve">3. What Own Cura Is, and Is Not</w:t>
      </w:r>
    </w:p>
    <w:p>
      <w:pPr>
        <w:spacing w:after="160" w:line="300"/>
      </w:pPr>
      <w:r>
        <w:rPr>
          <w:b/>
          <w:bCs/>
          <w:color w:val="FFFFFF"/>
          <w:sz w:val="18"/>
          <w:szCs w:val="18"/>
          <w:shd w:fill="0F6E6A" w:val="clear"/>
        </w:rPr>
        <w:t xml:space="preserve"> RECOMMENDATION </w:t>
      </w:r>
      <w:r>
        <w:rPr>
          <w:sz w:val="22"/>
          <w:szCs w:val="22"/>
        </w:rPr>
        <w:t xml:space="preserve">  Say this to anyone who asks: Own Cura is a growth platform for independent practices, not a business brokerage. A brokerage's entire model is the transaction fee — nothing happens for the practice before or after the sale. Own Cura's model is that the sale is one outcome among several, and the visit is framed around growth from the first click.</w:t>
      </w:r>
    </w:p>
    <w:p>
      <w:pPr>
        <w:spacing w:after="160" w:line="300"/>
      </w:pPr>
      <w:r>
        <w:rPr>
          <w:color w:val="222222"/>
          <w:sz w:val="22"/>
          <w:szCs w:val="22"/>
        </w:rPr>
        <w:t xml:space="preserve">This does not mean hiding that Roots Health acquires practices. It means the acquisition option shows up as one path a practice can choose, after they've gotten something useful (a valuation, a way to see their options) — not as the reason the page exists.</w:t>
      </w:r>
    </w:p>
    <w:p>
      <w:pPr>
        <w:spacing w:after="160" w:line="300"/>
      </w:pPr>
      <w:r>
        <w:rPr>
          <w:b/>
          <w:bCs/>
          <w:color w:val="FFFFFF"/>
          <w:sz w:val="18"/>
          <w:szCs w:val="18"/>
          <w:shd w:fill="C0392B" w:val="clear"/>
        </w:rPr>
        <w:t xml:space="preserve"> OPEN QUESTION </w:t>
      </w:r>
      <w:r>
        <w:rPr>
          <w:sz w:val="22"/>
          <w:szCs w:val="22"/>
        </w:rPr>
        <w:t xml:space="preserve">  Confirm with the founder: is the intent for Own Cura's public brand to eventually become known independently of Roots Health (the way Shopify is known independently of any one merchant), or is Own Cura always going to be read as “Roots Health's front door”? This changes how much the site should foreground Roots Health versus treat it as one growth option among equals.</w:t>
      </w:r>
    </w:p>
    <w:p>
      <w:pPr>
        <w:pStyle w:val="Heading1"/>
        <w:pBdr>
          <w:bottom w:val="single" w:color="0F6E6A" w:sz="6" w:space="4"/>
        </w:pBdr>
        <w:spacing w:after="200" w:before="400"/>
      </w:pPr>
      <w:r>
        <w:t xml:space="preserve">4. The Three Pillars</w:t>
      </w:r>
    </w:p>
    <w:p>
      <w:pPr>
        <w:pStyle w:val="Heading3"/>
        <w:spacing w:after="100" w:before="200"/>
      </w:pPr>
      <w:r>
        <w:t xml:space="preserve">Pillar 1 — Understand Your Value</w:t>
      </w:r>
    </w:p>
    <w:p>
      <w:pPr>
        <w:spacing w:after="160" w:line="300"/>
      </w:pPr>
      <w:r>
        <w:rPr>
          <w:color w:val="222222"/>
          <w:sz w:val="22"/>
          <w:szCs w:val="22"/>
        </w:rPr>
        <w:t xml:space="preserve">The valuation tool. Live now. Built on comparable-transaction data Roots Health has reviewed across acquired, evaluated, and market-listed practices. Framed honestly as a comparables-based estimate, not an AI model, not an appraisal (see Section 5 on the data itself).</w:t>
      </w:r>
    </w:p>
    <w:p>
      <w:pPr>
        <w:pStyle w:val="Heading3"/>
        <w:spacing w:after="100" w:before="200"/>
      </w:pPr>
      <w:r>
        <w:t xml:space="preserve">Pillar 2 — Find Your Path</w:t>
      </w:r>
    </w:p>
    <w:p>
      <w:pPr>
        <w:spacing w:after="160" w:line="300"/>
      </w:pPr>
      <w:r>
        <w:rPr>
          <w:color w:val="222222"/>
          <w:sz w:val="22"/>
          <w:szCs w:val="22"/>
        </w:rPr>
        <w:t xml:space="preserve">Once a practice has a valuation, they choose a path: keep growing independently with resources/content, bring in operational support, explore a confidential sale (including to Roots Health, disclosed plainly), or connect with other practices/partners in the marketplace. This is where the “not a brokerage” framing does its real work — the sale option sits next to other options, not above them.</w:t>
      </w:r>
    </w:p>
    <w:p>
      <w:pPr>
        <w:pStyle w:val="Heading3"/>
        <w:spacing w:after="100" w:before="200"/>
      </w:pPr>
      <w:r>
        <w:t xml:space="preserve">Pillar 3 — Grow With AI (Coming Soon)</w:t>
      </w:r>
    </w:p>
    <w:p>
      <w:pPr>
        <w:spacing w:after="160" w:line="300"/>
      </w:pPr>
      <w:r>
        <w:rPr>
          <w:color w:val="222222"/>
          <w:sz w:val="22"/>
          <w:szCs w:val="22"/>
        </w:rPr>
        <w:t xml:space="preserve">The agent stack. Explicitly not deployed anywhere yet, including inside Roots Health's own clinics, and not claimed as live. Presented as a waitlist: “we're building AI tools for scheduling, billing, and patient communication — join the list to be first.” This is a strength, not a gap, if it's kept honest: it gives Own Cura something to show momentum on (waitlist growth, specialty interest) without overclaiming a capability that doesn't exist yet.</w:t>
      </w:r>
    </w:p>
    <w:p>
      <w:pPr>
        <w:spacing w:after="160" w:line="300"/>
      </w:pPr>
      <w:r>
        <w:rPr>
          <w:b/>
          <w:bCs/>
          <w:color w:val="FFFFFF"/>
          <w:sz w:val="18"/>
          <w:szCs w:val="18"/>
          <w:shd w:fill="0F6E6A" w:val="clear"/>
        </w:rPr>
        <w:t xml:space="preserve"> RECOMMENDATION </w:t>
      </w:r>
      <w:r>
        <w:rPr>
          <w:sz w:val="22"/>
          <w:szCs w:val="22"/>
        </w:rPr>
        <w:t xml:space="preserve">  Never let the coming-soon framing bleed into Pillars 1 and 2. Those need to feel finished and real, even if small, or the whole site reads as vaporware.</w:t>
      </w:r>
    </w:p>
    <w:p>
      <w:pPr>
        <w:pStyle w:val="Heading1"/>
        <w:pBdr>
          <w:bottom w:val="single" w:color="0F6E6A" w:sz="6" w:space="4"/>
        </w:pBdr>
        <w:spacing w:after="200" w:before="400"/>
      </w:pPr>
      <w:r>
        <w:t xml:space="preserve">5. The Valuation Engine</w:t>
      </w:r>
    </w:p>
    <w:p>
      <w:pPr>
        <w:spacing w:after="160" w:line="300"/>
      </w:pPr>
      <w:r>
        <w:rPr>
          <w:b/>
          <w:bCs/>
          <w:color w:val="FFFFFF"/>
          <w:sz w:val="18"/>
          <w:szCs w:val="18"/>
          <w:shd w:fill="ADB5BD" w:val="clear"/>
        </w:rPr>
        <w:t xml:space="preserve"> FACT </w:t>
      </w:r>
      <w:r>
        <w:rPr>
          <w:sz w:val="22"/>
          <w:szCs w:val="22"/>
        </w:rPr>
        <w:t xml:space="preserve">  NDA review is complete: using CIM (Confidential Information Memorandum) data and Roots Health's own clinic financials to build the valuation engine has been confirmed clear. The open question flagged in the earlier draft of this document is resolved.</w:t>
      </w:r>
    </w:p>
    <w:p>
      <w:pPr>
        <w:pStyle w:val="Heading3"/>
        <w:spacing w:after="100" w:before="200"/>
      </w:pPr>
      <w:r>
        <w:t xml:space="preserve">5.1 Data sources, and why they are not treated as equal</w:t>
      </w:r>
    </w:p>
    <w:p>
      <w:pPr>
        <w:spacing w:after="160" w:line="300"/>
      </w:pPr>
      <w:r>
        <w:rPr>
          <w:color w:val="222222"/>
          <w:sz w:val="22"/>
          <w:szCs w:val="22"/>
        </w:rPr>
        <w:t xml:space="preserve">Two sources feed the engine, and they carry different weight because they are different kinds of data:</w:t>
      </w:r>
    </w:p>
    <w:p>
      <w:pPr>
        <w:pStyle w:val="ListParagraph"/>
        <w:numPr>
          <w:ilvl w:val="0"/>
          <w:numId w:val="2"/>
        </w:numPr>
        <w:spacing w:after="90" w:line="280"/>
      </w:pPr>
      <w:r>
        <w:rPr>
          <w:sz w:val="22"/>
          <w:szCs w:val="22"/>
        </w:rPr>
        <w:t xml:space="preserve">CIMs from evaluated and passed-on clinics — seller/broker-prepared deal documents (financials, patient volume, payer mix, asking price). These are deal-stage, often optimistic (add-backs, normalized EBITDA assuming a buyer's efficiencies), and where the deal was passed on, there is no close price to check the CIM's numbers against — this is asking-side data, not transaction-side data.</w:t>
      </w:r>
    </w:p>
    <w:p>
      <w:pPr>
        <w:pStyle w:val="ListParagraph"/>
        <w:numPr>
          <w:ilvl w:val="0"/>
          <w:numId w:val="2"/>
        </w:numPr>
        <w:spacing w:after="90" w:line="280"/>
      </w:pPr>
      <w:r>
        <w:rPr>
          <w:sz w:val="22"/>
          <w:szCs w:val="22"/>
        </w:rPr>
        <w:t xml:space="preserve">Trailing financials from the 9–10 clinics Roots Health operates today — realized, not projected, performance. This is the highest-confidence data in the set and should be weighted above CIM figures accordingly.</w:t>
      </w:r>
    </w:p>
    <w:p>
      <w:pPr>
        <w:spacing w:after="160" w:line="300"/>
      </w:pPr>
      <w:r>
        <w:rPr>
          <w:b/>
          <w:bCs/>
          <w:color w:val="FFFFFF"/>
          <w:sz w:val="18"/>
          <w:szCs w:val="18"/>
          <w:shd w:fill="0F6E6A" w:val="clear"/>
        </w:rPr>
        <w:t xml:space="preserve"> RECOMMENDATION </w:t>
      </w:r>
      <w:r>
        <w:rPr>
          <w:sz w:val="22"/>
          <w:szCs w:val="22"/>
        </w:rPr>
        <w:t xml:space="preserve">  Keep the three-bucket structure (Closed/Acquired, Evaluated/Passed, Market Listings) exactly so CIM asking-price data and Roots Health's own realized numbers never blend into one undifferentiated pile. Every output the engine produces should be traceable back to which bucket its comps came from.</w:t>
      </w:r>
    </w:p>
    <w:p>
      <w:pPr>
        <w:pStyle w:val="Heading3"/>
        <w:spacing w:after="100" w:before="200"/>
      </w:pPr>
      <w:r>
        <w:t xml:space="preserve">5.2 What gets built: a comparables engine, not a trained model</w:t>
      </w:r>
    </w:p>
    <w:p>
      <w:pPr>
        <w:spacing w:after="160" w:line="300"/>
      </w:pPr>
      <w:r>
        <w:rPr>
          <w:b/>
          <w:bCs/>
          <w:color w:val="FFFFFF"/>
          <w:sz w:val="18"/>
          <w:szCs w:val="18"/>
          <w:shd w:fill="ADB5BD" w:val="clear"/>
        </w:rPr>
        <w:t xml:space="preserve"> FACT </w:t>
      </w:r>
      <w:r>
        <w:rPr>
          <w:sz w:val="22"/>
          <w:szCs w:val="22"/>
        </w:rPr>
        <w:t xml:space="preserve">  The usable dataset today is roughly 15–20 data points across both sources. That is enough for a solid comparables-based estimate. It is not enough to train a statistical model in any meaningful sense — a model fit to 15 points overfits and produces false precision.</w:t>
      </w:r>
    </w:p>
    <w:p>
      <w:pPr>
        <w:spacing w:after="160" w:line="300"/>
      </w:pPr>
      <w:r>
        <w:rPr>
          <w:b/>
          <w:bCs/>
          <w:color w:val="FFFFFF"/>
          <w:sz w:val="18"/>
          <w:szCs w:val="18"/>
          <w:shd w:fill="0F6E6A" w:val="clear"/>
        </w:rPr>
        <w:t xml:space="preserve"> RECOMMENDATION </w:t>
      </w:r>
      <w:r>
        <w:rPr>
          <w:sz w:val="22"/>
          <w:szCs w:val="22"/>
        </w:rPr>
        <w:t xml:space="preserve">  Build a comparables engine: compute an EBITDA/SDE multiple for each comp, segment by specialty and rough size band, and use the spread within a segment (e.g., the 25th–75th percentile of the multiples actually on hand) as the bracket applied to a new practice's reported EBITDA. Where a segment has only one or two comps, say so explicitly — “insufficient comparable data for this specialty yet” — rather than forcing a confident-looking range on a segment that doesn't support one.</w:t>
      </w:r>
    </w:p>
    <w:p>
      <w:pPr>
        <w:spacing w:after="160" w:line="300"/>
      </w:pPr>
      <w:r>
        <w:rPr>
          <w:b/>
          <w:bCs/>
          <w:color w:val="FFFFFF"/>
          <w:sz w:val="18"/>
          <w:szCs w:val="18"/>
          <w:shd w:fill="0F6E6A" w:val="clear"/>
        </w:rPr>
        <w:t xml:space="preserve"> RECOMMENDATION </w:t>
      </w:r>
      <w:r>
        <w:rPr>
          <w:sz w:val="22"/>
          <w:szCs w:val="22"/>
        </w:rPr>
        <w:t xml:space="preserve">  Describe this externally as “based on comparable transactions we've reviewed,” never as “our AI model” or “trained on our data.” The comparables framing is both more accurate and more defensible if a seller's accountant asks how many data points it's based on — a predictable question. Keep the Main Street multiple band separate from any platform-scale opportunity, which should be flagged and referred out rather than forced through the same bracket.</w:t>
      </w:r>
    </w:p>
    <w:p>
      <w:pPr>
        <w:pStyle w:val="Heading3"/>
        <w:spacing w:after="100" w:before="200"/>
      </w:pPr>
      <w:r>
        <w:t xml:space="preserve">5.3 The feedback loop</w:t>
      </w:r>
    </w:p>
    <w:p>
      <w:pPr>
        <w:spacing w:after="160" w:line="300"/>
      </w:pPr>
      <w:r>
        <w:rPr>
          <w:color w:val="222222"/>
          <w:sz w:val="22"/>
          <w:szCs w:val="22"/>
        </w:rPr>
        <w:t xml:space="preserve">Every time a new deal closes — Roots Health's own, or one tracked through the market — two things happen: the data point is added to the comp set, and the bracket the engine would have quoted before that deal closed is checked against what it actually closed at. Tracking that hit rate over time is the mechanism behind the “accuracy vs. actual closes” metric already in this plan — this is what turns it from a one-time build into something that gets more credible with use.</w:t>
      </w:r>
    </w:p>
    <w:p>
      <w:pPr>
        <w:pStyle w:val="Heading3"/>
        <w:spacing w:after="100" w:before="200"/>
      </w:pPr>
      <w:r>
        <w:t xml:space="preserve">5.4 Build sequence</w:t>
      </w:r>
    </w:p>
    <w:p>
      <w:pPr>
        <w:pStyle w:val="ListParagraph"/>
        <w:numPr>
          <w:ilvl w:val="0"/>
          <w:numId w:val="2"/>
        </w:numPr>
        <w:spacing w:after="90" w:line="280"/>
      </w:pPr>
      <w:r>
        <w:rPr>
          <w:sz w:val="22"/>
          <w:szCs w:val="22"/>
        </w:rPr>
        <w:t xml:space="preserve">Structured extraction template: one row per CIM/clinic — specialty, geography, revenue, EBITDA, providers, patient volume, payer mix, asking price, close price if known, outcome, source bucket.</w:t>
      </w:r>
    </w:p>
    <w:p>
      <w:pPr>
        <w:pStyle w:val="ListParagraph"/>
        <w:numPr>
          <w:ilvl w:val="0"/>
          <w:numId w:val="2"/>
        </w:numPr>
        <w:spacing w:after="90" w:line="280"/>
      </w:pPr>
      <w:r>
        <w:rPr>
          <w:sz w:val="22"/>
          <w:szCs w:val="22"/>
        </w:rPr>
        <w:t xml:space="preserve">Manual extraction into that template first, at 15–20 documents — faster and more reliable right now than building CIM-parsing automation before the data model itself is proven.</w:t>
      </w:r>
    </w:p>
    <w:p>
      <w:pPr>
        <w:pStyle w:val="ListParagraph"/>
        <w:numPr>
          <w:ilvl w:val="0"/>
          <w:numId w:val="2"/>
        </w:numPr>
        <w:spacing w:after="90" w:line="280"/>
      </w:pPr>
      <w:r>
        <w:rPr>
          <w:sz w:val="22"/>
          <w:szCs w:val="22"/>
        </w:rPr>
        <w:t xml:space="preserve">The comparables/bracket calculation (5.2) applied on top of the completed template.</w:t>
      </w:r>
    </w:p>
    <w:p>
      <w:pPr>
        <w:pStyle w:val="ListParagraph"/>
        <w:numPr>
          <w:ilvl w:val="0"/>
          <w:numId w:val="2"/>
        </w:numPr>
        <w:spacing w:after="90" w:line="280"/>
      </w:pPr>
      <w:r>
        <w:rPr>
          <w:sz w:val="22"/>
          <w:szCs w:val="22"/>
        </w:rPr>
        <w:t xml:space="preserve">The feedback loop (5.3) wired in as each new deal closes, not deferred to a later phase.</w:t>
      </w:r>
    </w:p>
    <w:p>
      <w:pPr>
        <w:pStyle w:val="Heading1"/>
        <w:pBdr>
          <w:bottom w:val="single" w:color="0F6E6A" w:sz="6" w:space="4"/>
        </w:pBdr>
        <w:spacing w:after="200" w:before="400"/>
      </w:pPr>
      <w:r>
        <w:t xml:space="preserve">6. Seller Experience — No Public Interest Signals</w:t>
      </w:r>
    </w:p>
    <w:p>
      <w:pPr>
        <w:spacing w:after="160" w:line="300"/>
      </w:pPr>
      <w:r>
        <w:rPr>
          <w:color w:val="222222"/>
          <w:sz w:val="22"/>
          <w:szCs w:val="22"/>
        </w:rPr>
        <w:t xml:space="preserve">The idea of showing “N people are interested in this clinic” publicly, Instagram/LinkedIn-style, is off the table as designed. It breaks the confidentiality promise the moment anyone who knows the practice — a referring physician, competitor, landlord, or employee — sees it, and can trigger exactly the outcome sellers fear (staff leaving, patients leaving, a competitor undercutting) before any deal closes.</w:t>
      </w:r>
    </w:p>
    <w:p>
      <w:pPr>
        <w:spacing w:after="160" w:line="300"/>
      </w:pPr>
      <w:r>
        <w:rPr>
          <w:b/>
          <w:bCs/>
          <w:color w:val="FFFFFF"/>
          <w:sz w:val="18"/>
          <w:szCs w:val="18"/>
          <w:shd w:fill="0F6E6A" w:val="clear"/>
        </w:rPr>
        <w:t xml:space="preserve"> RECOMMENDATION </w:t>
      </w:r>
      <w:r>
        <w:rPr>
          <w:sz w:val="22"/>
          <w:szCs w:val="22"/>
        </w:rPr>
        <w:t xml:space="preserve">  Replace with two private mechanisms instead: (1) a private seller-facing signal — “3 qualified buyers have requested information on your listing this week”, visible only to that seller; (2) anonymized aggregate market signal for buyer-side marketing — “14 primary care practices in Texas are actively fielding buyer interest this month”, which carries the same urgency without exposing any one practice.</w:t>
      </w:r>
    </w:p>
    <w:p>
      <w:pPr>
        <w:spacing w:after="160" w:line="300"/>
      </w:pPr>
      <w:r>
        <w:rPr>
          <w:color w:val="222222"/>
          <w:sz w:val="22"/>
          <w:szCs w:val="22"/>
        </w:rPr>
        <w:t xml:space="preserve">The seller-side funnel otherwise stays as previously specified: valuation → profile → range → “would you consider a path forward” → confidential conversation → (optional) listing → NDA → diligence → outcome. Every submission confidential by default.</w:t>
      </w:r>
    </w:p>
    <w:p>
      <w:pPr>
        <w:pStyle w:val="Heading1"/>
        <w:pBdr>
          <w:bottom w:val="single" w:color="0F6E6A" w:sz="6" w:space="4"/>
        </w:pBdr>
        <w:spacing w:after="200" w:before="400"/>
      </w:pPr>
      <w:r>
        <w:t xml:space="preserve">7. Broker Strategy</w:t>
      </w:r>
    </w:p>
    <w:p>
      <w:pPr>
        <w:pStyle w:val="ListParagraph"/>
        <w:numPr>
          <w:ilvl w:val="0"/>
          <w:numId w:val="2"/>
        </w:numPr>
        <w:spacing w:after="90" w:line="280"/>
      </w:pPr>
      <w:r>
        <w:rPr>
          <w:sz w:val="22"/>
          <w:szCs w:val="22"/>
        </w:rPr>
        <w:t xml:space="preserve">Lead every broker email with Roots Health's track record — “9–10 acquisitions closed over 15 years, 6–7 more in active evaluation” — before anything about the platform. Brokers get generic “we're looking to acquire” emails constantly; a real track record is what gets a reply.</w:t>
      </w:r>
    </w:p>
    <w:p>
      <w:pPr>
        <w:pStyle w:val="ListParagraph"/>
        <w:numPr>
          <w:ilvl w:val="0"/>
          <w:numId w:val="2"/>
        </w:numPr>
        <w:spacing w:after="90" w:line="280"/>
      </w:pPr>
      <w:r>
        <w:rPr>
          <w:sz w:val="22"/>
          <w:szCs w:val="22"/>
        </w:rPr>
        <w:t xml:space="preserve">Do not scrape listing platforms (BizBuySell, PracticeFinder, etc.) for broker contacts — likely a terms-of-service violation. Source from IBBA and state business-broker association directories, M&amp;A advisory firm sites, and manual/native LinkedIn outreach instead.</w:t>
      </w:r>
    </w:p>
    <w:p>
      <w:pPr>
        <w:pStyle w:val="ListParagraph"/>
        <w:numPr>
          <w:ilvl w:val="0"/>
          <w:numId w:val="2"/>
        </w:numPr>
        <w:spacing w:after="90" w:line="280"/>
      </w:pPr>
      <w:r>
        <w:rPr>
          <w:sz w:val="22"/>
          <w:szCs w:val="22"/>
        </w:rPr>
        <w:t xml:space="preserve">Send a first batch of 20–30 emails, measure reply rate, adjust the message, then scale. Use a separate sending subdomain for cold outreach so a rough first batch doesn't damage the main domain's deliverability.</w:t>
      </w:r>
    </w:p>
    <w:p>
      <w:pPr>
        <w:pStyle w:val="ListParagraph"/>
        <w:numPr>
          <w:ilvl w:val="0"/>
          <w:numId w:val="2"/>
        </w:numPr>
        <w:spacing w:after="90" w:line="280"/>
      </w:pPr>
      <w:r>
        <w:rPr>
          <w:sz w:val="22"/>
          <w:szCs w:val="22"/>
        </w:rPr>
        <w:t xml:space="preserve">Position as a buyer-supply partner (“send us more qualified buyers”), never as a competing listing site.</w:t>
      </w:r>
    </w:p>
    <w:p>
      <w:pPr>
        <w:pStyle w:val="Heading1"/>
        <w:pBdr>
          <w:bottom w:val="single" w:color="0F6E6A" w:sz="6" w:space="4"/>
        </w:pBdr>
        <w:spacing w:after="200" w:before="400"/>
      </w:pPr>
      <w:r>
        <w:t xml:space="preserve">8. Buyer-Side Marketing</w:t>
      </w:r>
    </w:p>
    <w:p>
      <w:pPr>
        <w:pStyle w:val="ListParagraph"/>
        <w:numPr>
          <w:ilvl w:val="0"/>
          <w:numId w:val="2"/>
        </w:numPr>
        <w:spacing w:after="90" w:line="280"/>
      </w:pPr>
      <w:r>
        <w:rPr>
          <w:sz w:val="22"/>
          <w:szCs w:val="22"/>
        </w:rPr>
        <w:t xml:space="preserve">Lead with something concrete and real — “6 independent practices in TX/CA are currently exploring a next step, see if any match what you're looking to own” — not a generic “check out our website” invitation.</w:t>
      </w:r>
    </w:p>
    <w:p>
      <w:pPr>
        <w:pStyle w:val="ListParagraph"/>
        <w:numPr>
          <w:ilvl w:val="0"/>
          <w:numId w:val="2"/>
        </w:numPr>
        <w:spacing w:after="90" w:line="280"/>
      </w:pPr>
      <w:r>
        <w:rPr>
          <w:sz w:val="22"/>
          <w:szCs w:val="22"/>
        </w:rPr>
        <w:t xml:space="preserve">LinkedIn content should center physician-ownership economics and real platform activity (aggregate signals from Section 5), not generic health-tech messaging.</w:t>
      </w:r>
    </w:p>
    <w:p>
      <w:pPr>
        <w:pStyle w:val="ListParagraph"/>
        <w:numPr>
          <w:ilvl w:val="0"/>
          <w:numId w:val="2"/>
        </w:numPr>
        <w:spacing w:after="90" w:line="280"/>
      </w:pPr>
      <w:r>
        <w:rPr>
          <w:sz w:val="22"/>
          <w:szCs w:val="22"/>
        </w:rPr>
        <w:t xml:space="preserve">Email and LinkedIn are the right channels for V1; no paid acquisition spend until the valuation-tool-to-conversation conversion rate is known (Section 9).</w:t>
      </w:r>
    </w:p>
    <w:p>
      <w:pPr>
        <w:pStyle w:val="Heading1"/>
        <w:pBdr>
          <w:bottom w:val="single" w:color="0F6E6A" w:sz="6" w:space="4"/>
        </w:pBdr>
        <w:spacing w:after="200" w:before="400"/>
      </w:pPr>
      <w:r>
        <w:t xml:space="preserve">9. The Agent Stack — Positioned as “Coming Soon,” Not Claimed</w:t>
      </w:r>
    </w:p>
    <w:p>
      <w:pPr>
        <w:spacing w:after="160" w:line="300"/>
      </w:pPr>
      <w:r>
        <w:rPr>
          <w:color w:val="222222"/>
          <w:sz w:val="22"/>
          <w:szCs w:val="22"/>
        </w:rPr>
        <w:t xml:space="preserve">The agent stack is not built, and is not running inside Roots Health's own clinics yet. Say so. This is Pillar 3 and should be run as a waitlist: capture who signs up, from which practices and specialties, as an early demand signal — not as a feature list implying current capability.</w:t>
      </w:r>
    </w:p>
    <w:p>
      <w:pPr>
        <w:spacing w:after="160" w:line="300"/>
      </w:pPr>
      <w:r>
        <w:rPr>
          <w:b/>
          <w:bCs/>
          <w:color w:val="FFFFFF"/>
          <w:sz w:val="18"/>
          <w:szCs w:val="18"/>
          <w:shd w:fill="0F6E6A" w:val="clear"/>
        </w:rPr>
        <w:t xml:space="preserve"> RECOMMENDATION </w:t>
      </w:r>
      <w:r>
        <w:rPr>
          <w:sz w:val="22"/>
          <w:szCs w:val="22"/>
        </w:rPr>
        <w:t xml:space="preserve">  Study current comparables before finalizing this pitch: Corner Health (AI-native operating system for provider-owned primary care, $32.5M Series A, Oak HC/FT) and Nitra ($187M raised, AI agents on independent-practice back-office work) are the closest live comps and are worth reading closely for how they talk about the stack versus physician ownership.</w:t>
      </w:r>
    </w:p>
    <w:p>
      <w:pPr>
        <w:pStyle w:val="Heading1"/>
        <w:pBdr>
          <w:bottom w:val="single" w:color="0F6E6A" w:sz="6" w:space="4"/>
        </w:pBdr>
        <w:spacing w:after="200" w:before="400"/>
      </w:pPr>
      <w:r>
        <w:t xml:space="preserve">10. Iteration Methodology</w:t>
      </w:r>
    </w:p>
    <w:p>
      <w:pPr>
        <w:spacing w:after="160" w:line="300"/>
      </w:pPr>
      <w:r>
        <w:rPr>
          <w:color w:val="222222"/>
          <w:sz w:val="22"/>
          <w:szCs w:val="22"/>
        </w:rPr>
        <w:t xml:space="preserve">Run this as small, falsifiable weekly cycles, not a general “build toward the vision” effort:</w:t>
      </w:r>
    </w:p>
    <w:p>
      <w:pPr>
        <w:pStyle w:val="ListParagraph"/>
        <w:numPr>
          <w:ilvl w:val="0"/>
          <w:numId w:val="2"/>
        </w:numPr>
        <w:spacing w:after="90" w:line="280"/>
      </w:pPr>
      <w:r>
        <w:rPr>
          <w:sz w:val="22"/>
          <w:szCs w:val="22"/>
        </w:rPr>
        <w:t xml:space="preserve">One hypothesis per cycle — e.g., “sellers who complete the valuation tool will request a conversation at a meaningful rate,” not a feature to ship.</w:t>
      </w:r>
    </w:p>
    <w:p>
      <w:pPr>
        <w:pStyle w:val="ListParagraph"/>
        <w:numPr>
          <w:ilvl w:val="0"/>
          <w:numId w:val="2"/>
        </w:numPr>
        <w:spacing w:after="90" w:line="280"/>
      </w:pPr>
      <w:r>
        <w:rPr>
          <w:sz w:val="22"/>
          <w:szCs w:val="22"/>
        </w:rPr>
        <w:t xml:space="preserve">One channel per cycle — don't test broker email, LinkedIn, and paid together, or you won't know what caused what.</w:t>
      </w:r>
    </w:p>
    <w:p>
      <w:pPr>
        <w:pStyle w:val="ListParagraph"/>
        <w:numPr>
          <w:ilvl w:val="0"/>
          <w:numId w:val="2"/>
        </w:numPr>
        <w:spacing w:after="90" w:line="280"/>
      </w:pPr>
      <w:r>
        <w:rPr>
          <w:sz w:val="22"/>
          <w:szCs w:val="22"/>
        </w:rPr>
        <w:t xml:space="preserve">One number that tells you if it worked — completion-to-conversation rate, broker reply rate, waitlist signups — not page views.</w:t>
      </w:r>
    </w:p>
    <w:p>
      <w:pPr>
        <w:pStyle w:val="ListParagraph"/>
        <w:numPr>
          <w:ilvl w:val="0"/>
          <w:numId w:val="2"/>
        </w:numPr>
        <w:spacing w:after="90" w:line="280"/>
      </w:pPr>
      <w:r>
        <w:rPr>
          <w:sz w:val="22"/>
          <w:szCs w:val="22"/>
        </w:rPr>
        <w:t xml:space="preserve">A one-paragraph end-of-week note on what happened and what changes next. This is the step most often skipped and the one that actually compounds into the team getting good at this fast.</w:t>
      </w:r>
    </w:p>
    <w:p>
      <w:pPr>
        <w:pStyle w:val="ListParagraph"/>
        <w:numPr>
          <w:ilvl w:val="0"/>
          <w:numId w:val="2"/>
        </w:numPr>
        <w:spacing w:after="90" w:line="280"/>
      </w:pPr>
      <w:r>
        <w:rPr>
          <w:sz w:val="22"/>
          <w:szCs w:val="22"/>
        </w:rPr>
        <w:t xml:space="preserve">Add a new feature only once the current one is working, or you know specifically why it isn't.</w:t>
      </w:r>
    </w:p>
    <w:p>
      <w:pPr>
        <w:spacing w:after="160" w:line="300"/>
      </w:pPr>
      <w:r>
        <w:rPr>
          <w:b/>
          <w:bCs/>
          <w:color w:val="FFFFFF"/>
          <w:sz w:val="18"/>
          <w:szCs w:val="18"/>
          <w:shd w:fill="0F6E6A" w:val="clear"/>
        </w:rPr>
        <w:t xml:space="preserve"> RECOMMENDATION </w:t>
      </w:r>
      <w:r>
        <w:rPr>
          <w:sz w:val="22"/>
          <w:szCs w:val="22"/>
        </w:rPr>
        <w:t xml:space="preserve">  Cycle 1: valuation tool live on clean data (Section 4) → 20–30 broker emails (Section 6) → measure completion-to-conversation rate and broker reply rate → adjust before adding anything new.</w:t>
      </w:r>
    </w:p>
    <w:p>
      <w:pPr>
        <w:pStyle w:val="Heading1"/>
        <w:pBdr>
          <w:bottom w:val="single" w:color="0F6E6A" w:sz="6" w:space="4"/>
        </w:pBdr>
        <w:spacing w:after="200" w:before="400"/>
      </w:pPr>
      <w:r>
        <w:t xml:space="preserve">11. Phasing</w:t>
      </w:r>
    </w:p>
    <w:p>
      <w:pPr>
        <w:pStyle w:val="ListParagraph"/>
        <w:numPr>
          <w:ilvl w:val="0"/>
          <w:numId w:val="2"/>
        </w:numPr>
        <w:spacing w:after="90" w:line="280"/>
      </w:pPr>
      <w:r>
        <w:rPr>
          <w:sz w:val="22"/>
          <w:szCs w:val="22"/>
        </w:rPr>
        <w:t xml:space="preserve">Phase 0 (now): internal valuation engine + structured dataset, used by the acquisitions team; landing page live with the three-pillar framing and coming-soon waitlist.</w:t>
      </w:r>
    </w:p>
    <w:p>
      <w:pPr>
        <w:pStyle w:val="ListParagraph"/>
        <w:numPr>
          <w:ilvl w:val="0"/>
          <w:numId w:val="2"/>
        </w:numPr>
        <w:spacing w:after="90" w:line="280"/>
      </w:pPr>
      <w:r>
        <w:rPr>
          <w:sz w:val="22"/>
          <w:szCs w:val="22"/>
        </w:rPr>
        <w:t xml:space="preserve">Phase 1: closed batch outreach to brokers and a small set of physician buyers; manual matching; prove match → conversation conversion.</w:t>
      </w:r>
    </w:p>
    <w:p>
      <w:pPr>
        <w:pStyle w:val="ListParagraph"/>
        <w:numPr>
          <w:ilvl w:val="0"/>
          <w:numId w:val="2"/>
        </w:numPr>
        <w:spacing w:after="90" w:line="280"/>
      </w:pPr>
      <w:r>
        <w:rPr>
          <w:sz w:val="22"/>
          <w:szCs w:val="22"/>
        </w:rPr>
        <w:t xml:space="preserve">Phase 2 (conditional): open the marketplace more broadly, only once Phase 1 shows real conversion — not on a fixed calendar date.</w:t>
      </w:r>
    </w:p>
    <w:p>
      <w:pPr>
        <w:pStyle w:val="Heading1"/>
        <w:pBdr>
          <w:bottom w:val="single" w:color="0F6E6A" w:sz="6" w:space="4"/>
        </w:pBdr>
        <w:spacing w:after="200" w:before="400"/>
      </w:pPr>
      <w:r>
        <w:t xml:space="preserve">12. What We Will Not Do</w:t>
      </w:r>
    </w:p>
    <w:p>
      <w:pPr>
        <w:pStyle w:val="ListParagraph"/>
        <w:numPr>
          <w:ilvl w:val="0"/>
          <w:numId w:val="2"/>
        </w:numPr>
        <w:spacing w:after="90" w:line="280"/>
      </w:pPr>
      <w:r>
        <w:rPr>
          <w:sz w:val="22"/>
          <w:szCs w:val="22"/>
        </w:rPr>
        <w:t xml:space="preserve">Will not imply Own Cura is a neutral marketplace while obscuring that Roots Health is frequently the buyer — disclose it, framed as credibility, not caveat.</w:t>
      </w:r>
    </w:p>
    <w:p>
      <w:pPr>
        <w:pStyle w:val="ListParagraph"/>
        <w:numPr>
          <w:ilvl w:val="0"/>
          <w:numId w:val="2"/>
        </w:numPr>
        <w:spacing w:after="90" w:line="280"/>
      </w:pPr>
      <w:r>
        <w:rPr>
          <w:sz w:val="22"/>
          <w:szCs w:val="22"/>
        </w:rPr>
        <w:t xml:space="preserve">Will not build a public per-listing interest feed (Section 5).</w:t>
      </w:r>
    </w:p>
    <w:p>
      <w:pPr>
        <w:pStyle w:val="ListParagraph"/>
        <w:numPr>
          <w:ilvl w:val="0"/>
          <w:numId w:val="2"/>
        </w:numPr>
        <w:spacing w:after="90" w:line="280"/>
      </w:pPr>
      <w:r>
        <w:rPr>
          <w:sz w:val="22"/>
          <w:szCs w:val="22"/>
        </w:rPr>
        <w:t xml:space="preserve">Will not use NDA-covered financials in any model or product until the NDA scope is confirmed (Section 4).</w:t>
      </w:r>
    </w:p>
    <w:p>
      <w:pPr>
        <w:pStyle w:val="ListParagraph"/>
        <w:numPr>
          <w:ilvl w:val="0"/>
          <w:numId w:val="2"/>
        </w:numPr>
        <w:spacing w:after="90" w:line="280"/>
      </w:pPr>
      <w:r>
        <w:rPr>
          <w:sz w:val="22"/>
          <w:szCs w:val="22"/>
        </w:rPr>
        <w:t xml:space="preserve">Will not claim the agent stack is live, tested, or deployed anywhere before it actually is (Section 8).</w:t>
      </w:r>
    </w:p>
    <w:p>
      <w:pPr>
        <w:pStyle w:val="ListParagraph"/>
        <w:numPr>
          <w:ilvl w:val="0"/>
          <w:numId w:val="2"/>
        </w:numPr>
        <w:spacing w:after="90" w:line="280"/>
      </w:pPr>
      <w:r>
        <w:rPr>
          <w:sz w:val="22"/>
          <w:szCs w:val="22"/>
        </w:rPr>
        <w:t xml:space="preserve">Will not scrape broker/listing platforms for contact data (Section 6).</w:t>
      </w:r>
    </w:p>
    <w:p>
      <w:pPr>
        <w:pStyle w:val="ListParagraph"/>
        <w:numPr>
          <w:ilvl w:val="0"/>
          <w:numId w:val="2"/>
        </w:numPr>
        <w:spacing w:after="90" w:line="280"/>
      </w:pPr>
      <w:r>
        <w:rPr>
          <w:sz w:val="22"/>
          <w:szCs w:val="22"/>
        </w:rPr>
        <w:t xml:space="preserve">Will not launch the staffing marketplace (MDs, nurses, MAs) alongside the transactions/growth marketplace — sequence it after this wedge proves out; Vivian Health and Incredible Health each raised $60–80M+ and took years to reach liquidity in staffing alone, a higher-frequency but still slow category.</w:t>
      </w:r>
    </w:p>
    <w:p>
      <w:pPr>
        <w:pStyle w:val="ListParagraph"/>
        <w:numPr>
          <w:ilvl w:val="0"/>
          <w:numId w:val="2"/>
        </w:numPr>
        <w:spacing w:after="90" w:line="280"/>
      </w:pPr>
      <w:r>
        <w:rPr>
          <w:sz w:val="22"/>
          <w:szCs w:val="22"/>
        </w:rPr>
        <w:t xml:space="preserve">Will not run more than one untested hypothesis/channel at a time (Section 9).</w:t>
      </w:r>
    </w:p>
    <w:p>
      <w:pPr>
        <w:pStyle w:val="Heading1"/>
        <w:pBdr>
          <w:bottom w:val="single" w:color="0F6E6A" w:sz="6" w:space="4"/>
        </w:pBdr>
        <w:spacing w:after="200" w:before="400"/>
      </w:pPr>
      <w:r>
        <w:t xml:space="preserve">13. Open Questions for the Founder</w:t>
      </w:r>
    </w:p>
    <w:p>
      <w:pPr>
        <w:spacing w:after="160" w:line="300"/>
      </w:pPr>
      <w:r>
        <w:rPr>
          <w:b/>
          <w:bCs/>
          <w:color w:val="FFFFFF"/>
          <w:sz w:val="18"/>
          <w:szCs w:val="18"/>
          <w:shd w:fill="C0392B" w:val="clear"/>
        </w:rPr>
        <w:t xml:space="preserve"> OPEN QUESTION </w:t>
      </w:r>
      <w:r>
        <w:rPr>
          <w:sz w:val="22"/>
          <w:szCs w:val="22"/>
        </w:rPr>
        <w:t xml:space="preserve">  Is Own Cura meant to become a brand independent of Roots Health over time, or always presented as Roots Health's platform? (Section 2)</w:t>
      </w:r>
    </w:p>
    <w:p>
      <w:pPr>
        <w:spacing w:after="160" w:line="300"/>
      </w:pPr>
      <w:r>
        <w:rPr>
          <w:b/>
          <w:bCs/>
          <w:color w:val="FFFFFF"/>
          <w:sz w:val="18"/>
          <w:szCs w:val="18"/>
          <w:shd w:fill="C0392B" w:val="clear"/>
        </w:rPr>
        <w:t xml:space="preserve"> OPEN QUESTION </w:t>
      </w:r>
      <w:r>
        <w:rPr>
          <w:sz w:val="22"/>
          <w:szCs w:val="22"/>
        </w:rPr>
        <w:t xml:space="preserve">  Has anyone reviewed the actual NDA language on the evaluated/acquired deals for what the financial data can be used for beyond that one deal's evaluation? (Section 4)</w:t>
      </w:r>
    </w:p>
    <w:p>
      <w:pPr>
        <w:spacing w:after="160" w:line="300"/>
      </w:pPr>
      <w:r>
        <w:rPr>
          <w:b/>
          <w:bCs/>
          <w:color w:val="FFFFFF"/>
          <w:sz w:val="18"/>
          <w:szCs w:val="18"/>
          <w:shd w:fill="C0392B" w:val="clear"/>
        </w:rPr>
        <w:t xml:space="preserve"> OPEN QUESTION </w:t>
      </w:r>
      <w:r>
        <w:rPr>
          <w:sz w:val="22"/>
          <w:szCs w:val="22"/>
        </w:rPr>
        <w:t xml:space="preserve">  What is the realistic timeline for the first agent-stack deployment — even internally at one Roots Health clinic — and should Pillar 3's waitlist messaging be tied to a date or left open-ended?</w:t>
      </w:r>
    </w:p>
    <w:p>
      <w:pPr>
        <w:spacing w:after="160" w:line="300"/>
      </w:pPr>
      <w:r>
        <w:rPr>
          <w:b/>
          <w:bCs/>
          <w:color w:val="FFFFFF"/>
          <w:sz w:val="18"/>
          <w:szCs w:val="18"/>
          <w:shd w:fill="C0392B" w:val="clear"/>
        </w:rPr>
        <w:t xml:space="preserve"> OPEN QUESTION </w:t>
      </w:r>
      <w:r>
        <w:rPr>
          <w:sz w:val="22"/>
          <w:szCs w:val="22"/>
        </w:rPr>
        <w:t xml:space="preserve">  Has Roots Health's MSO/ownership structure been reviewed against 2026 CPOM enforcement standards in CA and TX specifically? (carried over from the original strategy document)</w:t>
      </w:r>
    </w:p>
    <w:p>
      <w:pPr>
        <w:pBdr>
          <w:top w:val="single" w:color="0F6E6A" w:sz="6" w:space="8"/>
        </w:pBdr>
        <w:spacing w:before="400"/>
      </w:pPr>
      <w:r>
        <w:rPr>
          <w:i/>
          <w:iCs/>
          <w:color w:val="555555"/>
          <w:sz w:val="20"/>
          <w:szCs w:val="20"/>
        </w:rPr>
        <w:t xml:space="preserve">Companion: updated landing page prototype implementing the three-pillar structure and coming-soon agent waitlist.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2026-08-25T12:25:51.689Z</dcterms:created>
  <dcterms:modified xsi:type="dcterms:W3CDTF">2026-08-25T12:25:51.704Z</dcterms:modified>
</cp:coreProperties>
</file>

<file path=docProps/custom.xml><?xml version="1.0" encoding="utf-8"?>
<Properties xmlns="http://schemas.openxmlformats.org/officeDocument/2006/custom-properties" xmlns:vt="http://schemas.openxmlformats.org/officeDocument/2006/docPropsVTypes"/>
</file>