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[Enter Team ID]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Pocket Smart 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Pocket Smart AI prompt-to-response workflow, conversation handling, and AI service integration.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676400" cy="930705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Response Quality - [measured result]; Successful Requests - [count/total]; Average Response Time - [ms]. Do not report model accuracy unless measured.</w:t>
            </w:r>
          </w:p>
        </w:tc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line="276" w:lineRule="auto"/>
              <w:ind w:left="9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676400" cy="923871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>
            <w:r>
              <w:t>AI output confidence (if exposed by the selected model/API): record the returned value and interpretation; otherwise mark N/A.</w:t>
            </w:r>
          </w:p>
        </w:tc>
        <w:tc>
          <w:tcPr/>
          <w:p>
            <w:r>
              <w:t>AI output confidence (if exposed by the selected model/API): record the returned value and interpretation; otherwise mark N/A.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676400" cy="3810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905000" cy="4953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