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272CB01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39911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06BDF02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Pocket Smart AI</w:t>
      </w:r>
    </w:p>
    <w:p w14:paraId="3615B145" w14:textId="77777777" w:rsidR="00C415A7" w:rsidRDefault="00C415A7" w:rsidP="00C415A7">
      <w:r>
        <w:t>Project Description: An AI-powered pocket assistant that accepts user prompts and provides helpful, context-aware responses.</w:t>
      </w:r>
    </w:p>
    <w:p w14:paraId="793E7356" w14:textId="77777777" w:rsidR="00C415A7" w:rsidRDefault="00C415A7" w:rsidP="00C415A7">
      <w:r>
        <w:t>Project Version: 1.0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>
        <w:tc>
          <w:tcPr>
            <w:tcW w:type="dxa" w:w="1285"/>
          </w:tcPr>
          <w:p>
            <w:r>
              <w:t>TC-001</w:t>
            </w:r>
          </w:p>
        </w:tc>
        <w:tc>
          <w:tcPr>
            <w:tcW w:type="dxa" w:w="1285"/>
          </w:tcPr>
          <w:p>
            <w:r>
              <w:t>Submit a valid prompt</w:t>
            </w:r>
          </w:p>
        </w:tc>
        <w:tc>
          <w:tcPr>
            <w:tcW w:type="dxa" w:w="2245"/>
          </w:tcPr>
          <w:p>
            <w:r>
              <w:t>Open app; enter a clear prompt; submit</w:t>
            </w:r>
          </w:p>
        </w:tc>
        <w:tc>
          <w:tcPr>
            <w:tcW w:type="dxa" w:w="1276"/>
          </w:tcPr>
          <w:p>
            <w:r>
              <w:t>A relevant response is displayed</w:t>
            </w:r>
          </w:p>
        </w:tc>
        <w:tc>
          <w:tcPr>
            <w:tcW w:type="dxa" w:w="1275"/>
          </w:tcPr>
          <w:p>
            <w:r/>
          </w:p>
        </w:tc>
        <w:tc>
          <w:tcPr>
            <w:tcW w:type="dxa" w:w="1276"/>
          </w:tcPr>
          <w:p>
            <w:r/>
          </w:p>
        </w:tc>
      </w:tr>
      <w:tr>
        <w:tc>
          <w:tcPr>
            <w:tcW w:type="dxa" w:w="1285"/>
          </w:tcPr>
          <w:p>
            <w:r>
              <w:t>TC-002</w:t>
            </w:r>
          </w:p>
        </w:tc>
        <w:tc>
          <w:tcPr>
            <w:tcW w:type="dxa" w:w="1285"/>
          </w:tcPr>
          <w:p>
            <w:r>
              <w:t>Empty prompt validation</w:t>
            </w:r>
          </w:p>
        </w:tc>
        <w:tc>
          <w:tcPr>
            <w:tcW w:type="dxa" w:w="2245"/>
          </w:tcPr>
          <w:p>
            <w:r>
              <w:t>Submit with prompt field empty</w:t>
            </w:r>
          </w:p>
        </w:tc>
        <w:tc>
          <w:tcPr>
            <w:tcW w:type="dxa" w:w="1276"/>
          </w:tcPr>
          <w:p>
            <w:r>
              <w:t>Submission is prevented or a clear validation message appears</w:t>
            </w:r>
          </w:p>
        </w:tc>
        <w:tc>
          <w:tcPr>
            <w:tcW w:type="dxa" w:w="1275"/>
          </w:tcPr>
          <w:p>
            <w:r/>
          </w:p>
        </w:tc>
        <w:tc>
          <w:tcPr>
            <w:tcW w:type="dxa" w:w="1276"/>
          </w:tcPr>
          <w:p>
            <w:r/>
          </w:p>
        </w:tc>
      </w:tr>
      <w:tr>
        <w:tc>
          <w:tcPr>
            <w:tcW w:type="dxa" w:w="1285"/>
          </w:tcPr>
          <w:p>
            <w:r>
              <w:t>TC-003</w:t>
            </w:r>
          </w:p>
        </w:tc>
        <w:tc>
          <w:tcPr>
            <w:tcW w:type="dxa" w:w="1285"/>
          </w:tcPr>
          <w:p>
            <w:r>
              <w:t>Follow-up prompt</w:t>
            </w:r>
          </w:p>
        </w:tc>
        <w:tc>
          <w:tcPr>
            <w:tcW w:type="dxa" w:w="2245"/>
          </w:tcPr>
          <w:p>
            <w:r>
              <w:t>Ask a follow-up question in the same conversation</w:t>
            </w:r>
          </w:p>
        </w:tc>
        <w:tc>
          <w:tcPr>
            <w:tcW w:type="dxa" w:w="1276"/>
          </w:tcPr>
          <w:p>
            <w:r>
              <w:t>Response reflects relevant prior context when supported</w:t>
            </w:r>
          </w:p>
        </w:tc>
        <w:tc>
          <w:tcPr>
            <w:tcW w:type="dxa" w:w="1275"/>
          </w:tcPr>
          <w:p>
            <w:r/>
          </w:p>
        </w:tc>
        <w:tc>
          <w:tcPr>
            <w:tcW w:type="dxa" w:w="1276"/>
          </w:tcPr>
          <w:p>
            <w:r/>
          </w:p>
        </w:tc>
      </w:tr>
      <w:tr>
        <w:tc>
          <w:tcPr>
            <w:tcW w:type="dxa" w:w="1285"/>
          </w:tcPr>
          <w:p>
            <w:r>
              <w:t>TC-004</w:t>
            </w:r>
          </w:p>
        </w:tc>
        <w:tc>
          <w:tcPr>
            <w:tcW w:type="dxa" w:w="1285"/>
          </w:tcPr>
          <w:p>
            <w:r>
              <w:t>Service/API error</w:t>
            </w:r>
          </w:p>
        </w:tc>
        <w:tc>
          <w:tcPr>
            <w:tcW w:type="dxa" w:w="2245"/>
          </w:tcPr>
          <w:p>
            <w:r>
              <w:t>Test with service unavailable or invalid configuration</w:t>
            </w:r>
          </w:p>
        </w:tc>
        <w:tc>
          <w:tcPr>
            <w:tcW w:type="dxa" w:w="1276"/>
          </w:tcPr>
          <w:p>
            <w:r>
              <w:t>Helpful error appears; app remains usable</w:t>
            </w:r>
          </w:p>
        </w:tc>
        <w:tc>
          <w:tcPr>
            <w:tcW w:type="dxa" w:w="1275"/>
          </w:tcPr>
          <w:p>
            <w:r/>
          </w:p>
        </w:tc>
        <w:tc>
          <w:tcPr>
            <w:tcW w:type="dxa" w:w="1276"/>
          </w:tcPr>
          <w:p>
            <w:r/>
          </w:p>
        </w:tc>
      </w:tr>
      <w:tr>
        <w:tc>
          <w:tcPr>
            <w:tcW w:type="dxa" w:w="1285"/>
          </w:tcPr>
          <w:p>
            <w:r>
              <w:t>TC-005</w:t>
            </w:r>
          </w:p>
        </w:tc>
        <w:tc>
          <w:tcPr>
            <w:tcW w:type="dxa" w:w="1285"/>
          </w:tcPr>
          <w:p>
            <w:r>
              <w:t>Loading and repeated requests</w:t>
            </w:r>
          </w:p>
        </w:tc>
        <w:tc>
          <w:tcPr>
            <w:tcW w:type="dxa" w:w="2245"/>
          </w:tcPr>
          <w:p>
            <w:r>
              <w:t>Submit prompts repeatedly and observe loading states</w:t>
            </w:r>
          </w:p>
        </w:tc>
        <w:tc>
          <w:tcPr>
            <w:tcW w:type="dxa" w:w="1276"/>
          </w:tcPr>
          <w:p>
            <w:r>
              <w:t>No duplicate or frozen UI; each request is clearly represented</w:t>
            </w:r>
          </w:p>
        </w:tc>
        <w:tc>
          <w:tcPr>
            <w:tcW w:type="dxa" w:w="1275"/>
          </w:tcPr>
          <w:p>
            <w:r/>
          </w:p>
        </w:tc>
        <w:tc>
          <w:tcPr>
            <w:tcW w:type="dxa" w:w="1276"/>
          </w:tcPr>
          <w:p>
            <w:r/>
          </w:p>
        </w:tc>
      </w:tr>
      <w:tr>
        <w:tc>
          <w:tcPr>
            <w:tcW w:type="dxa" w:w="1285"/>
          </w:tcPr>
          <w:p>
            <w:r>
              <w:t>TC-006</w:t>
            </w:r>
          </w:p>
        </w:tc>
        <w:tc>
          <w:tcPr>
            <w:tcW w:type="dxa" w:w="1285"/>
          </w:tcPr>
          <w:p>
            <w:r>
              <w:t>Mobile / responsive layout</w:t>
            </w:r>
          </w:p>
        </w:tc>
        <w:tc>
          <w:tcPr>
            <w:tcW w:type="dxa" w:w="2245"/>
          </w:tcPr>
          <w:p>
            <w:r>
              <w:t>Use supported phone and desktop viewport sizes</w:t>
            </w:r>
          </w:p>
        </w:tc>
        <w:tc>
          <w:tcPr>
            <w:tcW w:type="dxa" w:w="1276"/>
          </w:tcPr>
          <w:p>
            <w:r>
              <w:t>Input, response, and controls remain readable and usable</w:t>
            </w:r>
          </w:p>
        </w:tc>
        <w:tc>
          <w:tcPr>
            <w:tcW w:type="dxa" w:w="1275"/>
          </w:tcPr>
          <w:p>
            <w:r/>
          </w:p>
        </w:tc>
        <w:tc>
          <w:tcPr>
            <w:tcW w:type="dxa" w:w="1276"/>
          </w:tcPr>
          <w:p>
            <w:r/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 xml:space="preserve">[Describe the issue or bug </w:t>
            </w:r>
            <w:r>
              <w:lastRenderedPageBreak/>
              <w:t>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lastRenderedPageBreak/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[Low/Medium/High]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Any additional comments or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p>
      <w:r>
        <w:t>Pocket Smart AI scope: validate prompt entry, AI-generated responses, conversation flow, loading states, error handling, and usability across supported devices.</w:t>
      </w:r>
    </w:p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