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 Ethics Curriculum Overview</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google drive, you will find 5 different case studies that can be used throughout the duration of an introductory coding course in Python. Each case study includes a document titled </w:t>
      </w:r>
      <w:r w:rsidDel="00000000" w:rsidR="00000000" w:rsidRPr="00000000">
        <w:rPr>
          <w:b w:val="1"/>
          <w:rtl w:val="0"/>
        </w:rPr>
        <w:t xml:space="preserve">(Teacher) Case Study X </w:t>
      </w:r>
      <w:r w:rsidDel="00000000" w:rsidR="00000000" w:rsidRPr="00000000">
        <w:rPr>
          <w:rtl w:val="0"/>
        </w:rPr>
        <w:t xml:space="preserve">with a summary of that case study, the intended timeline of instruction, tips to get the students thinking critically, the CS concepts that are included, the CS ethics concepts that are included, resources to assign students for the unit, and discussion questions to help guide class discussion on the topics.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case study is accompanied by a slide deck to help teach and guide class discussion and/or a coding activity that can be used as homework or as an in-class activity to aid with the topics that are being taught. The coding activities all have a writeup titled </w:t>
      </w:r>
      <w:r w:rsidDel="00000000" w:rsidR="00000000" w:rsidRPr="00000000">
        <w:rPr>
          <w:b w:val="1"/>
          <w:rtl w:val="0"/>
        </w:rPr>
        <w:t xml:space="preserve">(Student) Case Study X </w:t>
      </w:r>
      <w:r w:rsidDel="00000000" w:rsidR="00000000" w:rsidRPr="00000000">
        <w:rPr>
          <w:rtl w:val="0"/>
        </w:rPr>
        <w:t xml:space="preserve">that explains the coding problems in detail. As well, each coding activity has a formatted Jupyter notebook template that can be given to the students to help them complete the coding problems and keep their code / problems organized. Finally, all of the coding solutions are in the case study folder in both Jupyter notebook format and in .py format.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Case Studies: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Thinking Through Classification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Making Sense of Technology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Power of Data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Moral Machine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Sentiment Decider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curriculum is a work in progress, so any feedback is always welcome!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