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0CF" w:rsidRDefault="00CA41A6">
      <w:pPr>
        <w:rPr>
          <w:rFonts w:ascii="Courier" w:hAnsi="Courier"/>
        </w:rPr>
      </w:pPr>
      <w:r>
        <w:rPr>
          <w:rFonts w:ascii="Courier" w:hAnsi="Courier"/>
        </w:rPr>
        <w:t>Notas explicativas:</w:t>
      </w:r>
    </w:p>
    <w:p w:rsidR="00CA41A6" w:rsidRDefault="00CA41A6">
      <w:pPr>
        <w:rPr>
          <w:rFonts w:ascii="Courier" w:hAnsi="Courier"/>
        </w:rPr>
      </w:pPr>
    </w:p>
    <w:p w:rsidR="00CA41A6" w:rsidRDefault="00CA41A6">
      <w:pPr>
        <w:rPr>
          <w:rFonts w:ascii="Courier" w:hAnsi="Courier"/>
        </w:rPr>
      </w:pPr>
      <w:r>
        <w:rPr>
          <w:rFonts w:ascii="Courier" w:hAnsi="Courier"/>
        </w:rPr>
        <w:t xml:space="preserve">1.Obtenemos desde el </w:t>
      </w:r>
      <w:proofErr w:type="spellStart"/>
      <w:r>
        <w:rPr>
          <w:rFonts w:ascii="Courier" w:hAnsi="Courier"/>
        </w:rPr>
        <w:t>Scada</w:t>
      </w:r>
      <w:proofErr w:type="spellEnd"/>
      <w:r>
        <w:rPr>
          <w:rFonts w:ascii="Courier" w:hAnsi="Courier"/>
        </w:rPr>
        <w:t xml:space="preserve"> </w:t>
      </w:r>
      <w:r w:rsidR="00C44870">
        <w:rPr>
          <w:rFonts w:ascii="Courier" w:hAnsi="Courier"/>
        </w:rPr>
        <w:t>un</w:t>
      </w:r>
      <w:r>
        <w:rPr>
          <w:rFonts w:ascii="Courier" w:hAnsi="Courier"/>
        </w:rPr>
        <w:t xml:space="preserve"> año de datos de procesos del funcionamiento de una turbina de gas. “TBM_data.csv”. Este  fichero consta de 169 variables y más de 10.000 registros.</w:t>
      </w:r>
    </w:p>
    <w:p w:rsidR="00F75BFE" w:rsidRDefault="00F75BFE">
      <w:pPr>
        <w:rPr>
          <w:rFonts w:ascii="Courier" w:hAnsi="Courier"/>
        </w:rPr>
      </w:pPr>
    </w:p>
    <w:p w:rsidR="00CA41A6" w:rsidRDefault="00CA41A6">
      <w:pPr>
        <w:rPr>
          <w:rFonts w:ascii="Courier" w:hAnsi="Courier"/>
        </w:rPr>
      </w:pPr>
      <w:r>
        <w:rPr>
          <w:rFonts w:ascii="Courier" w:hAnsi="Courier"/>
        </w:rPr>
        <w:t xml:space="preserve">2. En el Notebook </w:t>
      </w:r>
      <w:proofErr w:type="spellStart"/>
      <w:r>
        <w:rPr>
          <w:rFonts w:ascii="Courier" w:hAnsi="Courier"/>
        </w:rPr>
        <w:t>Obtencion_Ficheros.ipynb</w:t>
      </w:r>
      <w:proofErr w:type="spellEnd"/>
      <w:r>
        <w:rPr>
          <w:rFonts w:ascii="Courier" w:hAnsi="Courier"/>
        </w:rPr>
        <w:t>, y en el script get_files.py, tenemos el código para obtener:</w:t>
      </w:r>
    </w:p>
    <w:p w:rsidR="00CA41A6" w:rsidRDefault="00CA41A6" w:rsidP="00CA41A6">
      <w:pPr>
        <w:ind w:firstLine="708"/>
        <w:rPr>
          <w:rFonts w:ascii="Courier" w:hAnsi="Courier"/>
        </w:rPr>
      </w:pPr>
      <w:r>
        <w:rPr>
          <w:rFonts w:ascii="Courier" w:hAnsi="Courier"/>
        </w:rPr>
        <w:t xml:space="preserve">i. Un fichero de entrenamiento para el modelo con los </w:t>
      </w:r>
      <w:r w:rsidR="00F75BFE">
        <w:rPr>
          <w:rFonts w:ascii="Courier" w:hAnsi="Courier"/>
        </w:rPr>
        <w:t>seis</w:t>
      </w:r>
      <w:r>
        <w:rPr>
          <w:rFonts w:ascii="Courier" w:hAnsi="Courier"/>
        </w:rPr>
        <w:t xml:space="preserve"> primeros meses del año (u otro intervalo de tiempo deseado)</w:t>
      </w:r>
    </w:p>
    <w:p w:rsidR="00CA41A6" w:rsidRDefault="00CA41A6" w:rsidP="00CA41A6">
      <w:pPr>
        <w:ind w:firstLine="708"/>
        <w:rPr>
          <w:rFonts w:ascii="Courier" w:hAnsi="Courier"/>
        </w:rPr>
      </w:pPr>
      <w:r>
        <w:rPr>
          <w:rFonts w:ascii="Courier" w:hAnsi="Courier"/>
        </w:rPr>
        <w:t xml:space="preserve">ii. Un obtención masiva de ficheros más pequeños para </w:t>
      </w:r>
      <w:r w:rsidR="00645C15">
        <w:rPr>
          <w:rFonts w:ascii="Courier" w:hAnsi="Courier"/>
        </w:rPr>
        <w:t>simular el control diario</w:t>
      </w:r>
      <w:r>
        <w:rPr>
          <w:rFonts w:ascii="Courier" w:hAnsi="Courier"/>
        </w:rPr>
        <w:t>, que nos servirán para el análisis de patologías de la máquina, sensibilidad a las condiciones del sistema, etc.</w:t>
      </w:r>
    </w:p>
    <w:p w:rsidR="00F75BFE" w:rsidRDefault="00F75BFE" w:rsidP="00F75BFE">
      <w:pPr>
        <w:rPr>
          <w:rFonts w:ascii="Courier" w:hAnsi="Courier"/>
        </w:rPr>
      </w:pPr>
    </w:p>
    <w:p w:rsidR="00F75BFE" w:rsidRDefault="00F75BFE" w:rsidP="00F75BFE">
      <w:pPr>
        <w:rPr>
          <w:rFonts w:ascii="Courier" w:hAnsi="Courier"/>
        </w:rPr>
      </w:pPr>
      <w:r>
        <w:rPr>
          <w:rFonts w:ascii="Courier" w:hAnsi="Courier"/>
        </w:rPr>
        <w:t>3. Ejecutar la primera celda</w:t>
      </w:r>
      <w:r w:rsidR="00C44870">
        <w:rPr>
          <w:rFonts w:ascii="Courier" w:hAnsi="Courier"/>
        </w:rPr>
        <w:t xml:space="preserve"> del Notebook</w:t>
      </w:r>
      <w:r>
        <w:rPr>
          <w:rFonts w:ascii="Courier" w:hAnsi="Courier"/>
        </w:rPr>
        <w:t xml:space="preserve"> </w:t>
      </w:r>
      <w:proofErr w:type="spellStart"/>
      <w:r w:rsidR="00C44870">
        <w:rPr>
          <w:rFonts w:ascii="Courier" w:hAnsi="Courier"/>
        </w:rPr>
        <w:t>Obtencion_Ficheros.ipynb</w:t>
      </w:r>
      <w:proofErr w:type="spellEnd"/>
      <w:r w:rsidR="00C44870">
        <w:rPr>
          <w:rFonts w:ascii="Courier" w:hAnsi="Courier"/>
        </w:rPr>
        <w:t xml:space="preserve">  </w:t>
      </w:r>
      <w:r>
        <w:rPr>
          <w:rFonts w:ascii="Courier" w:hAnsi="Courier"/>
        </w:rPr>
        <w:t>nos debe dar un fichero “data.train.csv” que lo us</w:t>
      </w:r>
      <w:r w:rsidR="00645C15">
        <w:rPr>
          <w:rFonts w:ascii="Courier" w:hAnsi="Courier"/>
        </w:rPr>
        <w:t>a</w:t>
      </w:r>
      <w:r>
        <w:rPr>
          <w:rFonts w:ascii="Courier" w:hAnsi="Courier"/>
        </w:rPr>
        <w:t xml:space="preserve">remos en </w:t>
      </w:r>
      <w:r w:rsidR="00645C15">
        <w:rPr>
          <w:rFonts w:ascii="Courier" w:hAnsi="Courier"/>
        </w:rPr>
        <w:t>el</w:t>
      </w:r>
      <w:r>
        <w:rPr>
          <w:rFonts w:ascii="Courier" w:hAnsi="Courier"/>
        </w:rPr>
        <w:t xml:space="preserve"> siguiente para el proceso de aprendizaje autom</w:t>
      </w:r>
      <w:r w:rsidR="00645C15">
        <w:rPr>
          <w:rFonts w:ascii="Courier" w:hAnsi="Courier"/>
        </w:rPr>
        <w:t>á</w:t>
      </w:r>
      <w:r>
        <w:rPr>
          <w:rFonts w:ascii="Courier" w:hAnsi="Courier"/>
        </w:rPr>
        <w:t>tico.</w:t>
      </w:r>
      <w:r w:rsidR="00C44870">
        <w:rPr>
          <w:rFonts w:ascii="Courier" w:hAnsi="Courier"/>
        </w:rPr>
        <w:t xml:space="preserve"> Ejecutar la segunda celda nos devolverá 211 ficheros “</w:t>
      </w:r>
      <w:proofErr w:type="spellStart"/>
      <w:r w:rsidR="00C44870">
        <w:rPr>
          <w:rFonts w:ascii="Courier" w:hAnsi="Courier"/>
        </w:rPr>
        <w:t>data_train</w:t>
      </w:r>
      <w:proofErr w:type="spellEnd"/>
      <w:r w:rsidR="00C44870">
        <w:rPr>
          <w:rFonts w:ascii="Courier" w:hAnsi="Courier"/>
        </w:rPr>
        <w:t>_(i).</w:t>
      </w:r>
      <w:proofErr w:type="spellStart"/>
      <w:r w:rsidR="00C44870">
        <w:rPr>
          <w:rFonts w:ascii="Courier" w:hAnsi="Courier"/>
        </w:rPr>
        <w:t>csv</w:t>
      </w:r>
      <w:proofErr w:type="spellEnd"/>
      <w:r w:rsidR="00C44870">
        <w:rPr>
          <w:rFonts w:ascii="Courier" w:hAnsi="Courier"/>
        </w:rPr>
        <w:t>” para la simulación de control diario.</w:t>
      </w:r>
    </w:p>
    <w:p w:rsidR="00F75BFE" w:rsidRDefault="00F75BFE" w:rsidP="00F75BFE">
      <w:pPr>
        <w:rPr>
          <w:rFonts w:ascii="Courier" w:hAnsi="Courier"/>
        </w:rPr>
      </w:pPr>
    </w:p>
    <w:p w:rsidR="00F75BFE" w:rsidRDefault="00F75BFE" w:rsidP="00F75BFE">
      <w:pPr>
        <w:rPr>
          <w:rFonts w:ascii="Courier" w:hAnsi="Courier"/>
        </w:rPr>
      </w:pPr>
      <w:r>
        <w:rPr>
          <w:rFonts w:ascii="Courier" w:hAnsi="Courier"/>
        </w:rPr>
        <w:t>4. En el Notebook MLconSeleccion</w:t>
      </w:r>
      <w:r w:rsidR="00645C15">
        <w:rPr>
          <w:rFonts w:ascii="Courier" w:hAnsi="Courier"/>
        </w:rPr>
        <w:t>_r2</w:t>
      </w:r>
      <w:r>
        <w:rPr>
          <w:rFonts w:ascii="Courier" w:hAnsi="Courier"/>
        </w:rPr>
        <w:t>.ipynb, obtenemos el modelo entrenado y con las variables seleccionadas</w:t>
      </w:r>
      <w:r w:rsidR="00645C15">
        <w:rPr>
          <w:rFonts w:ascii="Courier" w:hAnsi="Courier"/>
        </w:rPr>
        <w:t xml:space="preserve">, atendiendo al criterio de selección de características Forward de mejor r2, Igualmente en el Notebook </w:t>
      </w:r>
      <w:proofErr w:type="spellStart"/>
      <w:r w:rsidR="00645C15">
        <w:rPr>
          <w:rFonts w:ascii="Courier" w:hAnsi="Courier"/>
        </w:rPr>
        <w:t>MLconSeleccion_K.ipynb</w:t>
      </w:r>
      <w:proofErr w:type="spellEnd"/>
      <w:r w:rsidR="00645C15">
        <w:rPr>
          <w:rFonts w:ascii="Courier" w:hAnsi="Courier"/>
        </w:rPr>
        <w:t xml:space="preserve">, obtenemos el modelo entrenado con el criterio de selección de características </w:t>
      </w:r>
      <w:proofErr w:type="spellStart"/>
      <w:r w:rsidR="00645C15">
        <w:rPr>
          <w:rFonts w:ascii="Courier" w:hAnsi="Courier"/>
        </w:rPr>
        <w:t>SElectKBest</w:t>
      </w:r>
      <w:proofErr w:type="spellEnd"/>
      <w:r>
        <w:rPr>
          <w:rFonts w:ascii="Courier" w:hAnsi="Courier"/>
        </w:rPr>
        <w:t>. Se utilizan dos scripts ModReg_TG.py y f_Selection.py, que poseen diferentes funciones para el desarrollo del código</w:t>
      </w:r>
      <w:r w:rsidR="00322DFE">
        <w:rPr>
          <w:rFonts w:ascii="Courier" w:hAnsi="Courier"/>
        </w:rPr>
        <w:t xml:space="preserve"> y obtención de estadísticos</w:t>
      </w:r>
      <w:r>
        <w:rPr>
          <w:rFonts w:ascii="Courier" w:hAnsi="Courier"/>
        </w:rPr>
        <w:t>.</w:t>
      </w:r>
    </w:p>
    <w:p w:rsidR="00645C15" w:rsidRDefault="00645C15" w:rsidP="00F75BFE">
      <w:pPr>
        <w:rPr>
          <w:rFonts w:ascii="Courier" w:hAnsi="Courier"/>
        </w:rPr>
      </w:pPr>
    </w:p>
    <w:p w:rsidR="00F75BFE" w:rsidRDefault="00645C15" w:rsidP="00F75BFE">
      <w:pPr>
        <w:rPr>
          <w:rFonts w:ascii="Courier" w:hAnsi="Courier"/>
        </w:rPr>
      </w:pPr>
      <w:r>
        <w:rPr>
          <w:rFonts w:ascii="Courier" w:hAnsi="Courier"/>
        </w:rPr>
        <w:t xml:space="preserve">5. Conclusiones </w:t>
      </w:r>
      <w:r w:rsidR="00C44870">
        <w:rPr>
          <w:rFonts w:ascii="Courier" w:hAnsi="Courier"/>
        </w:rPr>
        <w:t>sobre,</w:t>
      </w:r>
      <w:r>
        <w:rPr>
          <w:rFonts w:ascii="Courier" w:hAnsi="Courier"/>
        </w:rPr>
        <w:t xml:space="preserve"> qué modelo de selección es más eficiente.</w:t>
      </w:r>
    </w:p>
    <w:p w:rsidR="00645C15" w:rsidRDefault="00645C15" w:rsidP="00F75BFE">
      <w:pPr>
        <w:rPr>
          <w:rFonts w:ascii="Courier" w:hAnsi="Courier"/>
        </w:rPr>
      </w:pPr>
    </w:p>
    <w:p w:rsidR="00645C15" w:rsidRDefault="00645C15" w:rsidP="00F75BFE">
      <w:pPr>
        <w:rPr>
          <w:rFonts w:ascii="Courier" w:hAnsi="Courier"/>
        </w:rPr>
      </w:pPr>
      <w:r w:rsidRPr="00645C15">
        <w:rPr>
          <w:rFonts w:ascii="Courier" w:hAnsi="Courier"/>
        </w:rPr>
        <w:t xml:space="preserve">6. En Notebook </w:t>
      </w:r>
      <w:proofErr w:type="spellStart"/>
      <w:r w:rsidRPr="00645C15">
        <w:rPr>
          <w:rFonts w:ascii="Courier" w:hAnsi="Courier"/>
        </w:rPr>
        <w:t>OYMconDL_TBM.ipynb</w:t>
      </w:r>
      <w:proofErr w:type="spellEnd"/>
      <w:r w:rsidRPr="00645C15">
        <w:rPr>
          <w:rFonts w:ascii="Courier" w:hAnsi="Courier"/>
        </w:rPr>
        <w:t>, entrenamo</w:t>
      </w:r>
      <w:r>
        <w:rPr>
          <w:rFonts w:ascii="Courier" w:hAnsi="Courier"/>
        </w:rPr>
        <w:t>s</w:t>
      </w:r>
      <w:r w:rsidRPr="00645C15">
        <w:rPr>
          <w:rFonts w:ascii="Courier" w:hAnsi="Courier"/>
        </w:rPr>
        <w:t xml:space="preserve"> los modelos </w:t>
      </w:r>
      <w:r>
        <w:rPr>
          <w:rFonts w:ascii="Courier" w:hAnsi="Courier"/>
        </w:rPr>
        <w:t>de control diario. En este caso sólo se utilizan las variables seleccionadas en el paso anterior. Utilizamos el criterio de selección de variables</w:t>
      </w:r>
      <w:r w:rsidR="00122EC1">
        <w:rPr>
          <w:rFonts w:ascii="Courier" w:hAnsi="Courier"/>
        </w:rPr>
        <w:t xml:space="preserve"> Forward de mejor r2, para obtener la sensibilidad del sistema a cada variable.</w:t>
      </w:r>
    </w:p>
    <w:p w:rsidR="00122EC1" w:rsidRDefault="00122EC1" w:rsidP="00F75BFE">
      <w:pPr>
        <w:rPr>
          <w:rFonts w:ascii="Courier" w:hAnsi="Courier"/>
        </w:rPr>
      </w:pPr>
    </w:p>
    <w:p w:rsidR="00122EC1" w:rsidRDefault="00122EC1" w:rsidP="00F75BFE">
      <w:pPr>
        <w:rPr>
          <w:rFonts w:ascii="Courier" w:hAnsi="Courier"/>
        </w:rPr>
      </w:pPr>
      <w:r>
        <w:rPr>
          <w:rFonts w:ascii="Courier" w:hAnsi="Courier"/>
        </w:rPr>
        <w:t xml:space="preserve">7. Por último, y mediante el mismo Notebook del paso 6., obtenemos un </w:t>
      </w:r>
      <w:proofErr w:type="spellStart"/>
      <w:r>
        <w:rPr>
          <w:rFonts w:ascii="Courier" w:hAnsi="Courier"/>
        </w:rPr>
        <w:t>dataframe</w:t>
      </w:r>
      <w:proofErr w:type="spellEnd"/>
      <w:r>
        <w:rPr>
          <w:rFonts w:ascii="Courier" w:hAnsi="Courier"/>
        </w:rPr>
        <w:t xml:space="preserve"> con la estructura mostrada en la siguiente tabla</w:t>
      </w:r>
    </w:p>
    <w:p w:rsidR="00122EC1" w:rsidRDefault="00122EC1" w:rsidP="00F75BFE">
      <w:pPr>
        <w:rPr>
          <w:rFonts w:ascii="Courier" w:hAnsi="Courier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64"/>
        <w:gridCol w:w="1410"/>
        <w:gridCol w:w="1397"/>
        <w:gridCol w:w="1406"/>
        <w:gridCol w:w="1401"/>
        <w:gridCol w:w="1410"/>
      </w:tblGrid>
      <w:tr w:rsidR="00122EC1" w:rsidTr="001D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Fecha Análisis</w:t>
            </w:r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Nombre Variable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R2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 xml:space="preserve">Valor Medio 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 xml:space="preserve">% </w:t>
            </w: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desv</w:t>
            </w:r>
            <w:proofErr w:type="spellEnd"/>
            <w:r>
              <w:rPr>
                <w:rFonts w:ascii="Palatino" w:eastAsiaTheme="minorHAnsi" w:hAnsi="Palatino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Std</w:t>
            </w:r>
            <w:proofErr w:type="spellEnd"/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Coef</w:t>
            </w:r>
            <w:proofErr w:type="spellEnd"/>
            <w:r>
              <w:rPr>
                <w:rFonts w:ascii="Palatino" w:eastAsiaTheme="minorHAnsi" w:hAnsi="Palatino" w:cstheme="minorBidi"/>
                <w:lang w:eastAsia="en-US"/>
              </w:rPr>
              <w:t xml:space="preserve"> Variable (W)</w:t>
            </w:r>
          </w:p>
        </w:tc>
      </w:tr>
      <w:tr w:rsidR="00122EC1" w:rsidTr="001D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rPr>
                <w:rFonts w:ascii="Palatino" w:eastAsiaTheme="minorHAnsi" w:hAnsi="Palatino" w:cstheme="minorBidi"/>
                <w:lang w:eastAsia="en-US"/>
              </w:rPr>
            </w:pP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dd</w:t>
            </w:r>
            <w:proofErr w:type="spellEnd"/>
            <w:r>
              <w:rPr>
                <w:rFonts w:ascii="Palatino" w:eastAsiaTheme="minorHAnsi" w:hAnsi="Palatino" w:cstheme="minorBidi"/>
                <w:lang w:eastAsia="en-US"/>
              </w:rPr>
              <w:t>/mm/</w:t>
            </w: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aa</w:t>
            </w:r>
            <w:proofErr w:type="spellEnd"/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Bias</w:t>
            </w:r>
            <w:proofErr w:type="spellEnd"/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Std</w:t>
            </w:r>
            <w:proofErr w:type="spellEnd"/>
            <w:r>
              <w:rPr>
                <w:rFonts w:ascii="Palatino" w:eastAsiaTheme="minorHAnsi" w:hAnsi="Palatino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Dev</w:t>
            </w:r>
            <w:proofErr w:type="spellEnd"/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</w:tr>
      <w:tr w:rsidR="00122EC1" w:rsidTr="001D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Pr="003D651A" w:rsidRDefault="00122EC1" w:rsidP="001D56A5">
            <w:pPr>
              <w:rPr>
                <w:b w:val="0"/>
              </w:rPr>
            </w:pPr>
            <w:proofErr w:type="spellStart"/>
            <w:r w:rsidRPr="003D651A">
              <w:rPr>
                <w:rFonts w:ascii="Palatino" w:hAnsi="Palatino"/>
                <w:b w:val="0"/>
              </w:rPr>
              <w:t>dd</w:t>
            </w:r>
            <w:proofErr w:type="spellEnd"/>
            <w:r w:rsidRPr="003D651A">
              <w:rPr>
                <w:rFonts w:ascii="Palatino" w:hAnsi="Palatino"/>
                <w:b w:val="0"/>
              </w:rPr>
              <w:t>/mm/</w:t>
            </w:r>
            <w:proofErr w:type="spellStart"/>
            <w:r w:rsidRPr="003D651A">
              <w:rPr>
                <w:rFonts w:ascii="Palatino" w:hAnsi="Palatino"/>
                <w:b w:val="0"/>
              </w:rPr>
              <w:t>aa</w:t>
            </w:r>
            <w:proofErr w:type="spellEnd"/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Variable 1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</w:tr>
      <w:tr w:rsidR="00122EC1" w:rsidTr="001D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Pr="003D651A" w:rsidRDefault="00122EC1" w:rsidP="001D56A5">
            <w:pPr>
              <w:rPr>
                <w:b w:val="0"/>
              </w:rPr>
            </w:pPr>
            <w:proofErr w:type="spellStart"/>
            <w:r w:rsidRPr="003D651A">
              <w:rPr>
                <w:rFonts w:ascii="Palatino" w:hAnsi="Palatino"/>
                <w:b w:val="0"/>
              </w:rPr>
              <w:t>dd</w:t>
            </w:r>
            <w:proofErr w:type="spellEnd"/>
            <w:r w:rsidRPr="003D651A">
              <w:rPr>
                <w:rFonts w:ascii="Palatino" w:hAnsi="Palatino"/>
                <w:b w:val="0"/>
              </w:rPr>
              <w:t>/mm/</w:t>
            </w:r>
            <w:proofErr w:type="spellStart"/>
            <w:r w:rsidRPr="003D651A">
              <w:rPr>
                <w:rFonts w:ascii="Palatino" w:hAnsi="Palatino"/>
                <w:b w:val="0"/>
              </w:rPr>
              <w:t>aa</w:t>
            </w:r>
            <w:proofErr w:type="spellEnd"/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…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…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…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…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…</w:t>
            </w:r>
          </w:p>
        </w:tc>
      </w:tr>
      <w:tr w:rsidR="00122EC1" w:rsidTr="001D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Pr="003D651A" w:rsidRDefault="00122EC1" w:rsidP="001D56A5">
            <w:pPr>
              <w:rPr>
                <w:b w:val="0"/>
              </w:rPr>
            </w:pPr>
            <w:proofErr w:type="spellStart"/>
            <w:r w:rsidRPr="003D651A">
              <w:rPr>
                <w:rFonts w:ascii="Palatino" w:hAnsi="Palatino"/>
                <w:b w:val="0"/>
              </w:rPr>
              <w:lastRenderedPageBreak/>
              <w:t>dd</w:t>
            </w:r>
            <w:proofErr w:type="spellEnd"/>
            <w:r w:rsidRPr="003D651A">
              <w:rPr>
                <w:rFonts w:ascii="Palatino" w:hAnsi="Palatino"/>
                <w:b w:val="0"/>
              </w:rPr>
              <w:t>/mm/</w:t>
            </w:r>
            <w:proofErr w:type="spellStart"/>
            <w:r w:rsidRPr="003D651A">
              <w:rPr>
                <w:rFonts w:ascii="Palatino" w:hAnsi="Palatino"/>
                <w:b w:val="0"/>
              </w:rPr>
              <w:t>aa</w:t>
            </w:r>
            <w:proofErr w:type="spellEnd"/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Variable n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</w:p>
        </w:tc>
      </w:tr>
      <w:tr w:rsidR="00122EC1" w:rsidTr="001D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Pr="003D651A" w:rsidRDefault="00122EC1" w:rsidP="001D56A5">
            <w:pPr>
              <w:rPr>
                <w:b w:val="0"/>
              </w:rPr>
            </w:pPr>
            <w:proofErr w:type="spellStart"/>
            <w:r w:rsidRPr="003D651A">
              <w:rPr>
                <w:rFonts w:ascii="Palatino" w:hAnsi="Palatino"/>
                <w:b w:val="0"/>
              </w:rPr>
              <w:t>dd</w:t>
            </w:r>
            <w:proofErr w:type="spellEnd"/>
            <w:r w:rsidRPr="003D651A">
              <w:rPr>
                <w:rFonts w:ascii="Palatino" w:hAnsi="Palatino"/>
                <w:b w:val="0"/>
              </w:rPr>
              <w:t>/mm/</w:t>
            </w:r>
            <w:proofErr w:type="spellStart"/>
            <w:r w:rsidRPr="003D651A">
              <w:rPr>
                <w:rFonts w:ascii="Palatino" w:hAnsi="Palatino"/>
                <w:b w:val="0"/>
              </w:rPr>
              <w:t>aa</w:t>
            </w:r>
            <w:proofErr w:type="spellEnd"/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Desv</w:t>
            </w:r>
            <w:proofErr w:type="spellEnd"/>
            <w:r>
              <w:rPr>
                <w:rFonts w:ascii="Palatino" w:eastAsiaTheme="minorHAnsi" w:hAnsi="Palatino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="Palatino" w:eastAsiaTheme="minorHAnsi" w:hAnsi="Palatino" w:cstheme="minorBidi"/>
                <w:lang w:eastAsia="en-US"/>
              </w:rPr>
              <w:t>Tecnico</w:t>
            </w:r>
            <w:proofErr w:type="spellEnd"/>
            <w:r>
              <w:rPr>
                <w:rFonts w:ascii="Palatino" w:eastAsiaTheme="minorHAnsi" w:hAnsi="Palatino" w:cstheme="minorBidi"/>
                <w:lang w:eastAsia="en-US"/>
              </w:rPr>
              <w:t xml:space="preserve"> %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%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</w:tr>
      <w:tr w:rsidR="00122EC1" w:rsidTr="001D5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Pr="003D651A" w:rsidRDefault="00122EC1" w:rsidP="001D56A5">
            <w:pPr>
              <w:rPr>
                <w:b w:val="0"/>
              </w:rPr>
            </w:pPr>
            <w:proofErr w:type="spellStart"/>
            <w:r w:rsidRPr="003D651A">
              <w:rPr>
                <w:rFonts w:ascii="Palatino" w:hAnsi="Palatino"/>
                <w:b w:val="0"/>
              </w:rPr>
              <w:t>dd</w:t>
            </w:r>
            <w:proofErr w:type="spellEnd"/>
            <w:r w:rsidRPr="003D651A">
              <w:rPr>
                <w:rFonts w:ascii="Palatino" w:hAnsi="Palatino"/>
                <w:b w:val="0"/>
              </w:rPr>
              <w:t>/mm/</w:t>
            </w:r>
            <w:proofErr w:type="spellStart"/>
            <w:r w:rsidRPr="003D651A">
              <w:rPr>
                <w:rFonts w:ascii="Palatino" w:hAnsi="Palatino"/>
                <w:b w:val="0"/>
              </w:rPr>
              <w:t>aa</w:t>
            </w:r>
            <w:proofErr w:type="spellEnd"/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R2_Train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0.xx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</w:tr>
      <w:tr w:rsidR="00122EC1" w:rsidTr="001D5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122EC1" w:rsidRPr="003D651A" w:rsidRDefault="00122EC1" w:rsidP="001D56A5">
            <w:pPr>
              <w:rPr>
                <w:b w:val="0"/>
              </w:rPr>
            </w:pPr>
            <w:proofErr w:type="spellStart"/>
            <w:r w:rsidRPr="003D651A">
              <w:rPr>
                <w:rFonts w:ascii="Palatino" w:hAnsi="Palatino"/>
                <w:b w:val="0"/>
              </w:rPr>
              <w:t>dd</w:t>
            </w:r>
            <w:proofErr w:type="spellEnd"/>
            <w:r w:rsidRPr="003D651A">
              <w:rPr>
                <w:rFonts w:ascii="Palatino" w:hAnsi="Palatino"/>
                <w:b w:val="0"/>
              </w:rPr>
              <w:t>/mm/</w:t>
            </w:r>
            <w:proofErr w:type="spellStart"/>
            <w:r w:rsidRPr="003D651A">
              <w:rPr>
                <w:rFonts w:ascii="Palatino" w:hAnsi="Palatino"/>
                <w:b w:val="0"/>
              </w:rPr>
              <w:t>aa</w:t>
            </w:r>
            <w:proofErr w:type="spellEnd"/>
          </w:p>
        </w:tc>
        <w:tc>
          <w:tcPr>
            <w:tcW w:w="1414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R2 Test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0.xx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  <w:tc>
          <w:tcPr>
            <w:tcW w:w="1415" w:type="dxa"/>
          </w:tcPr>
          <w:p w:rsidR="00122EC1" w:rsidRDefault="00122EC1" w:rsidP="001D56A5">
            <w:pPr>
              <w:pStyle w:val="NormalWeb"/>
              <w:tabs>
                <w:tab w:val="left" w:pos="12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" w:eastAsiaTheme="minorHAnsi" w:hAnsi="Palatino" w:cstheme="minorBidi"/>
                <w:lang w:eastAsia="en-US"/>
              </w:rPr>
            </w:pPr>
            <w:r>
              <w:rPr>
                <w:rFonts w:ascii="Palatino" w:eastAsiaTheme="minorHAnsi" w:hAnsi="Palatino" w:cstheme="minorBidi"/>
                <w:lang w:eastAsia="en-US"/>
              </w:rPr>
              <w:t>-</w:t>
            </w:r>
          </w:p>
        </w:tc>
      </w:tr>
    </w:tbl>
    <w:p w:rsidR="00122EC1" w:rsidRPr="00645C15" w:rsidRDefault="00122EC1" w:rsidP="00F75BFE">
      <w:pPr>
        <w:rPr>
          <w:rFonts w:ascii="Courier" w:hAnsi="Courier"/>
        </w:rPr>
      </w:pPr>
    </w:p>
    <w:p w:rsidR="00322DFE" w:rsidRPr="00645C15" w:rsidRDefault="00322DFE" w:rsidP="00F75BFE">
      <w:pPr>
        <w:rPr>
          <w:rFonts w:ascii="Courier" w:hAnsi="Courier"/>
        </w:rPr>
      </w:pPr>
    </w:p>
    <w:p w:rsidR="00322DFE" w:rsidRDefault="00122EC1" w:rsidP="00F75BFE">
      <w:pPr>
        <w:rPr>
          <w:rFonts w:ascii="Courier" w:hAnsi="Courier"/>
        </w:rPr>
      </w:pPr>
      <w:r>
        <w:rPr>
          <w:rFonts w:ascii="Courier" w:hAnsi="Courier"/>
        </w:rPr>
        <w:t xml:space="preserve">Estos mismos datos son pasados a formato </w:t>
      </w:r>
      <w:proofErr w:type="spellStart"/>
      <w:r>
        <w:rPr>
          <w:rFonts w:ascii="Courier" w:hAnsi="Courier"/>
        </w:rPr>
        <w:t>json</w:t>
      </w:r>
      <w:proofErr w:type="spellEnd"/>
      <w:r>
        <w:rPr>
          <w:rFonts w:ascii="Courier" w:hAnsi="Courier"/>
        </w:rPr>
        <w:t>, en</w:t>
      </w:r>
      <w:r w:rsidR="00C44870">
        <w:rPr>
          <w:rFonts w:ascii="Courier" w:hAnsi="Courier"/>
        </w:rPr>
        <w:t>v</w:t>
      </w:r>
      <w:r>
        <w:rPr>
          <w:rFonts w:ascii="Courier" w:hAnsi="Courier"/>
        </w:rPr>
        <w:t xml:space="preserve">iados a </w:t>
      </w:r>
      <w:proofErr w:type="spellStart"/>
      <w:r>
        <w:rPr>
          <w:rFonts w:ascii="Courier" w:hAnsi="Courier"/>
        </w:rPr>
        <w:t>MongoDB</w:t>
      </w:r>
      <w:proofErr w:type="spellEnd"/>
      <w:r>
        <w:rPr>
          <w:rFonts w:ascii="Courier" w:hAnsi="Courier"/>
        </w:rPr>
        <w:t xml:space="preserve"> y mediante una conexión entre Mongo y </w:t>
      </w:r>
      <w:proofErr w:type="spellStart"/>
      <w:r>
        <w:rPr>
          <w:rFonts w:ascii="Courier" w:hAnsi="Courier"/>
        </w:rPr>
        <w:t>Tableau</w:t>
      </w:r>
      <w:proofErr w:type="spellEnd"/>
      <w:r>
        <w:rPr>
          <w:rFonts w:ascii="Courier" w:hAnsi="Courier"/>
        </w:rPr>
        <w:t>, pueden ser visualizados.</w:t>
      </w:r>
      <w:r w:rsidR="00C44870">
        <w:rPr>
          <w:rFonts w:ascii="Courier" w:hAnsi="Courier"/>
        </w:rPr>
        <w:t xml:space="preserve"> (Los pasos de configuración serán explicados en al memoria del TFM).</w:t>
      </w:r>
    </w:p>
    <w:p w:rsidR="00122EC1" w:rsidRDefault="00122EC1" w:rsidP="00F75BFE">
      <w:pPr>
        <w:rPr>
          <w:rFonts w:ascii="Courier" w:hAnsi="Courier"/>
        </w:rPr>
      </w:pPr>
    </w:p>
    <w:p w:rsidR="00122EC1" w:rsidRPr="00645C15" w:rsidRDefault="00122EC1" w:rsidP="00F75BFE">
      <w:pPr>
        <w:rPr>
          <w:rFonts w:ascii="Courier" w:hAnsi="Courier"/>
        </w:rPr>
      </w:pPr>
      <w:r>
        <w:rPr>
          <w:rFonts w:ascii="Courier" w:hAnsi="Courier"/>
        </w:rPr>
        <w:t xml:space="preserve">El código </w:t>
      </w:r>
      <w:bookmarkStart w:id="0" w:name="_GoBack"/>
      <w:bookmarkEnd w:id="0"/>
      <w:r>
        <w:rPr>
          <w:rFonts w:ascii="Courier" w:hAnsi="Courier"/>
        </w:rPr>
        <w:t>se recoge en el Script ModDL.py, que contiene las funciones.</w:t>
      </w:r>
    </w:p>
    <w:sectPr w:rsidR="00122EC1" w:rsidRPr="00645C15" w:rsidSect="003711A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88"/>
    <w:rsid w:val="0003429B"/>
    <w:rsid w:val="00122EC1"/>
    <w:rsid w:val="00322DFE"/>
    <w:rsid w:val="003711A4"/>
    <w:rsid w:val="00645C15"/>
    <w:rsid w:val="00886E01"/>
    <w:rsid w:val="008B1A1C"/>
    <w:rsid w:val="00911D88"/>
    <w:rsid w:val="00C44870"/>
    <w:rsid w:val="00CA41A6"/>
    <w:rsid w:val="00D36915"/>
    <w:rsid w:val="00E31798"/>
    <w:rsid w:val="00F473AF"/>
    <w:rsid w:val="00F7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0ABBB"/>
  <w15:chartTrackingRefBased/>
  <w15:docId w15:val="{4D3C9A7F-BD1A-344D-9AE4-B7A0A534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E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table" w:styleId="Tabladecuadrcula4">
    <w:name w:val="Grid Table 4"/>
    <w:basedOn w:val="Tablanormal"/>
    <w:uiPriority w:val="49"/>
    <w:rsid w:val="00122E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2019-02-26T14:41:00Z</dcterms:created>
  <dcterms:modified xsi:type="dcterms:W3CDTF">2019-03-23T09:14:00Z</dcterms:modified>
</cp:coreProperties>
</file>