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Roboto" w:hAnsi="Roboto"/>
          <w:b/>
          <w:i w:val="0"/>
          <w:color w:val="2478AA"/>
          <w:sz w:val="96"/>
        </w:rPr>
        <w:t>BB1</w:t>
      </w:r>
    </w:p>
    <w:p>
      <w:pPr>
        <w:jc w:val="center"/>
      </w:pPr>
      <w:r>
        <w:rPr>
          <w:rFonts w:ascii="Roboto" w:hAnsi="Roboto"/>
          <w:b/>
          <w:i w:val="0"/>
          <w:color w:val="2478AA"/>
          <w:sz w:val="56"/>
        </w:rPr>
        <w:t>Technical Notes</w:t>
      </w:r>
    </w:p>
    <w:p>
      <w:pPr>
        <w:spacing w:before="800"/>
        <w:jc w:val="center"/>
      </w:pPr>
      <w:r>
        <w:rPr>
          <w:rFonts w:ascii="Roboto" w:hAnsi="Roboto"/>
          <w:b/>
          <w:i w:val="0"/>
          <w:color w:val="C0282E"/>
          <w:sz w:val="44"/>
        </w:rPr>
        <w:t>Quorum</w:t>
      </w:r>
    </w:p>
    <w:p>
      <w:pPr>
        <w:jc w:val="center"/>
      </w:pPr>
      <w:r>
        <w:rPr>
          <w:rFonts w:ascii="Roboto" w:hAnsi="Roboto"/>
          <w:b/>
          <w:i w:val="0"/>
          <w:color w:val="2478AA"/>
          <w:sz w:val="36"/>
        </w:rPr>
        <w:t>Customer Statement</w:t>
      </w:r>
    </w:p>
    <w:p>
      <w:pPr>
        <w:spacing w:before="800"/>
        <w:jc w:val="center"/>
      </w:pPr>
      <w:r>
        <w:rPr>
          <w:rFonts w:ascii="Roboto" w:hAnsi="Roboto"/>
          <w:b w:val="0"/>
          <w:i w:val="0"/>
          <w:color w:val="9B9692"/>
          <w:sz w:val="22"/>
        </w:rPr>
        <w:t>Author: Jared Espineli   |   Date: 8 September 2026</w:t>
      </w:r>
    </w:p>
    <w:p>
      <w:r>
        <w:br w:type="page"/>
      </w:r>
    </w:p>
    <w:p>
      <w:pPr>
        <w:spacing w:before="280" w:after="120"/>
      </w:pPr>
      <w:r>
        <w:rPr>
          <w:rFonts w:ascii="Roboto" w:hAnsi="Roboto"/>
          <w:b/>
          <w:i w:val="0"/>
          <w:color w:val="2478AA"/>
          <w:sz w:val="32"/>
        </w:rPr>
        <w:t>1. Overview</w:t>
      </w:r>
    </w:p>
    <w:p>
      <w:pPr>
        <w:spacing w:before="200" w:after="120"/>
      </w:pPr>
      <w:r>
        <w:rPr>
          <w:rFonts w:ascii="Roboto" w:hAnsi="Roboto"/>
          <w:b/>
          <w:i w:val="0"/>
          <w:color w:val="2478AA"/>
          <w:sz w:val="26"/>
        </w:rPr>
        <w:t>1.1 Introduction</w:t>
      </w:r>
    </w:p>
    <w:p>
      <w:pPr>
        <w:spacing w:before="40" w:after="160"/>
      </w:pPr>
      <w:r>
        <w:rPr>
          <w:rFonts w:ascii="Roboto" w:hAnsi="Roboto"/>
          <w:b w:val="0"/>
          <w:i w:val="0"/>
          <w:color w:val="000000"/>
          <w:sz w:val="20"/>
        </w:rPr>
        <w:t>The Customer Statement customisation gives Quorum's finance team an on-demand way to produce and distribute tenant statements straight out of NetSuite. Rather than assembling invoice, payment and ageing detail by hand for each tenant, a user searches for a customer or a customer category, marks one or more tenants from the results, and either prints a merged PDF statement or emails each tenant their own statement - both built in the background so a large batch of tenants doesn't time out or lock up the browser. Each statement mirrors Quorum's existing tenant statement design: entity and property detail, itemised activity for the billing month with a running balance, current-month totals, and an ageing summary.</w:t>
      </w:r>
    </w:p>
    <w:p>
      <w:pPr>
        <w:spacing w:before="200" w:after="120"/>
      </w:pPr>
      <w:r>
        <w:rPr>
          <w:rFonts w:ascii="Roboto" w:hAnsi="Roboto"/>
          <w:b/>
          <w:i w:val="0"/>
          <w:color w:val="2478AA"/>
          <w:sz w:val="26"/>
        </w:rPr>
        <w:t>1.2 BRS / Specification</w:t>
      </w:r>
    </w:p>
    <w:p>
      <w:pPr>
        <w:spacing w:after="80"/>
      </w:pPr>
      <w:r>
        <w:rPr>
          <w:rFonts w:ascii="Roboto" w:hAnsi="Roboto"/>
          <w:b/>
          <w:i w:val="0"/>
          <w:color w:val="000000"/>
          <w:sz w:val="20"/>
        </w:rPr>
        <w:t xml:space="preserve">Service Request: </w:t>
      </w:r>
      <w:hyperlink r:id="rId9">
        <w:r>
          <w:rPr>
            <w:rFonts w:ascii="Roboto" w:hAnsi="Roboto"/>
            <w:color w:val="2478AA"/>
            <w:u w:val="single"/>
            <w:sz w:val="20"/>
          </w:rPr>
          <w:t>Customer Statement - Service Request</w:t>
        </w:r>
      </w:hyperlink>
    </w:p>
    <w:p>
      <w:pPr>
        <w:spacing w:after="80"/>
      </w:pPr>
      <w:r>
        <w:rPr>
          <w:rFonts w:ascii="Roboto" w:hAnsi="Roboto"/>
          <w:b/>
          <w:i w:val="0"/>
          <w:color w:val="000000"/>
          <w:sz w:val="20"/>
        </w:rPr>
        <w:t xml:space="preserve">Related BRS (contract/charge data this report depends on): </w:t>
      </w:r>
      <w:hyperlink r:id="rId10">
        <w:r>
          <w:rPr>
            <w:rFonts w:ascii="Roboto" w:hAnsi="Roboto"/>
            <w:color w:val="2478AA"/>
            <w:u w:val="single"/>
            <w:sz w:val="20"/>
          </w:rPr>
          <w:t>Quorum Contracts</w:t>
        </w:r>
      </w:hyperlink>
    </w:p>
    <w:p>
      <w:pPr>
        <w:spacing w:after="240"/>
      </w:pPr>
      <w:r>
        <w:rPr>
          <w:rFonts w:ascii="Roboto" w:hAnsi="Roboto"/>
          <w:b/>
          <w:i w:val="0"/>
          <w:color w:val="000000"/>
          <w:sz w:val="20"/>
        </w:rPr>
        <w:t xml:space="preserve">Reference sample statements: </w:t>
      </w:r>
      <w:hyperlink r:id="rId11">
        <w:r>
          <w:rPr>
            <w:rFonts w:ascii="Roboto" w:hAnsi="Roboto"/>
            <w:color w:val="2478AA"/>
            <w:u w:val="single"/>
            <w:sz w:val="20"/>
          </w:rPr>
          <w:t>Customer Statements (Drive folder)</w:t>
        </w:r>
      </w:hyperlink>
    </w:p>
    <w:p>
      <w:pPr>
        <w:spacing w:before="200" w:after="120"/>
      </w:pPr>
      <w:r>
        <w:rPr>
          <w:rFonts w:ascii="Roboto" w:hAnsi="Roboto"/>
          <w:b/>
          <w:i w:val="0"/>
          <w:color w:val="2478AA"/>
          <w:sz w:val="26"/>
        </w:rPr>
        <w:t>1.3 Development Environment</w:t>
      </w:r>
    </w:p>
    <w:p>
      <w:pPr>
        <w:spacing w:before="40" w:after="160"/>
      </w:pPr>
      <w:r>
        <w:rPr>
          <w:rFonts w:ascii="Roboto" w:hAnsi="Roboto"/>
          <w:b w:val="0"/>
          <w:i w:val="0"/>
          <w:color w:val="000000"/>
          <w:sz w:val="20"/>
        </w:rPr>
        <w:t>Quorum Production - NetSuite Account 11536405. This customisation was built and is deployed directly in the production account; there is no separate sandbox deployment for it.</w:t>
      </w:r>
    </w:p>
    <w:p>
      <w:pPr>
        <w:spacing w:before="200" w:after="120"/>
      </w:pPr>
      <w:r>
        <w:rPr>
          <w:rFonts w:ascii="Roboto" w:hAnsi="Roboto"/>
          <w:b/>
          <w:i w:val="0"/>
          <w:color w:val="C0282E"/>
          <w:sz w:val="28"/>
        </w:rPr>
        <w:t>1.4 Business Requirements</w:t>
      </w:r>
    </w:p>
    <w:p>
      <w:pPr>
        <w:spacing w:before="200" w:after="120"/>
      </w:pPr>
      <w:r>
        <w:rPr>
          <w:rFonts w:ascii="Roboto" w:hAnsi="Roboto"/>
          <w:b/>
          <w:i w:val="0"/>
          <w:color w:val="2478AA"/>
          <w:sz w:val="26"/>
        </w:rPr>
        <w:t>1.4.1 Summary</w:t>
      </w:r>
    </w:p>
    <w:p>
      <w:pPr>
        <w:spacing w:before="40" w:after="160"/>
      </w:pPr>
      <w:r>
        <w:rPr>
          <w:rFonts w:ascii="Roboto" w:hAnsi="Roboto"/>
          <w:b w:val="0"/>
          <w:i w:val="0"/>
          <w:color w:val="000000"/>
          <w:sz w:val="20"/>
        </w:rPr>
        <w:t>Quorum's finance team currently produces tenant statements outside of NetSuite, pulling invoice, payment and ageing detail together by hand for every tenant each billing cycle. The Customer Statement customisation moves that process into NetSuite itself: a user searches for the customer or customer category they want to statement, marks the tenants to include, and generates either a single merged PDF covering every marked tenant or an individual email to each one, complete with their own statement PDF attached. Because generation runs as a background job rather than inline in the browser, the same flow scales from a single tenant to a large batch without failing on load or execution-time limits. The result is a faster, more consistent statement run each month, with the underlying data - invoices, credits, payments, deposits and refunds - always drawn live from NetSuite rather than a separate spreadsheet.</w:t>
      </w:r>
    </w:p>
    <w:p>
      <w:pPr>
        <w:spacing w:before="200" w:after="120"/>
      </w:pPr>
      <w:r>
        <w:rPr>
          <w:rFonts w:ascii="Roboto" w:hAnsi="Roboto"/>
          <w:b/>
          <w:i w:val="0"/>
          <w:color w:val="2478AA"/>
          <w:sz w:val="26"/>
        </w:rPr>
        <w:t>1.4.2 Finding a customer and starting a statement run</w:t>
      </w:r>
    </w:p>
    <w:p>
      <w:pPr>
        <w:spacing w:before="40" w:after="160"/>
      </w:pPr>
      <w:r>
        <w:rPr>
          <w:rFonts w:ascii="Roboto" w:hAnsi="Roboto"/>
          <w:b w:val="0"/>
          <w:i w:val="0"/>
          <w:color w:val="000000"/>
          <w:sz w:val="20"/>
        </w:rPr>
        <w:t>A statement run starts on the Customer Statement page, a simple search screen offering a Customer field and a Category field alongside a Search Customer button. A user can search by a single named customer, or leave Customer blank and choose a Customer Category instead to bring back every tenant in that category; when both are filled in, the Customer selection takes priority. Clicking Search Customer carries that selection through to the Generate Statement page, where the matching tenants are listed ready for selection.</w:t>
      </w:r>
    </w:p>
    <w:p>
      <w:pPr>
        <w:spacing w:before="200" w:after="120"/>
      </w:pPr>
      <w:r>
        <w:rPr>
          <w:rFonts w:ascii="Roboto" w:hAnsi="Roboto"/>
          <w:b/>
          <w:i w:val="0"/>
          <w:color w:val="2478AA"/>
          <w:sz w:val="26"/>
        </w:rPr>
        <w:t>1.4.3 Selecting customers for a statement run</w:t>
      </w:r>
    </w:p>
    <w:p>
      <w:pPr>
        <w:spacing w:before="40" w:after="160"/>
      </w:pPr>
      <w:r>
        <w:rPr>
          <w:rFonts w:ascii="Roboto" w:hAnsi="Roboto"/>
          <w:b w:val="0"/>
          <w:i w:val="0"/>
          <w:color w:val="000000"/>
          <w:sz w:val="20"/>
        </w:rPr>
        <w:t>The Generate Statement page lists the matching customers in a paginated Customer List, fifteen tenants per page, showing each tenant's name, subsidiary, currency and current balance alongside a selection checkbox. A user can tick individual tenants, or use Select All to mark every tenant across every page of the current search in one click, and Clear All to start over; a page-range dropdown above the list moves between pages without losing marks made on other pages, so a tenant marked on page one stays marked while page three is being reviewed. Before a statement can be generated or emailed, a Start Date and a Statement Date must both be set, and Roll Prior Charges into B/f - which folds older charges and payments into a single opening balance rather than itemising them - defaults to on.</w:t>
      </w:r>
    </w:p>
    <w:p>
      <w:pPr>
        <w:spacing w:before="200" w:after="120"/>
      </w:pPr>
      <w:r>
        <w:rPr>
          <w:rFonts w:ascii="Roboto" w:hAnsi="Roboto"/>
          <w:b/>
          <w:i w:val="0"/>
          <w:color w:val="2478AA"/>
          <w:sz w:val="26"/>
        </w:rPr>
        <w:t>1.4.4 Generating the merged statement PDF in the background</w:t>
      </w:r>
    </w:p>
    <w:p>
      <w:pPr>
        <w:spacing w:before="40" w:after="160"/>
      </w:pPr>
      <w:r>
        <w:rPr>
          <w:rFonts w:ascii="Roboto" w:hAnsi="Roboto"/>
          <w:b w:val="0"/>
          <w:i w:val="0"/>
          <w:color w:val="000000"/>
          <w:sz w:val="20"/>
        </w:rPr>
        <w:t>Clicking Generate Statement opens a new browser tab and queues a background job that builds one statement page per marked tenant, running each tenant's own set of queries independently so a large selection can't exhaust a single request's execution time. That tab shows a progress bar, driven by the job's own reported completion, while the job runs; once every page is built, the job merges them into one PDF - separated by a page break per tenant - and the tab automatically opens the finished document. If a particular tenant's statement can't be built, that page shows a short error instead of stopping the whole batch, so the rest of the run still completes.</w:t>
      </w:r>
    </w:p>
    <w:p>
      <w:pPr>
        <w:spacing w:before="200" w:after="120"/>
      </w:pPr>
      <w:r>
        <w:rPr>
          <w:rFonts w:ascii="Roboto" w:hAnsi="Roboto"/>
          <w:b/>
          <w:i w:val="0"/>
          <w:color w:val="2478AA"/>
          <w:sz w:val="26"/>
        </w:rPr>
        <w:t>1.4.5 What the statement itself shows</w:t>
      </w:r>
    </w:p>
    <w:p>
      <w:pPr>
        <w:spacing w:before="40" w:after="160"/>
      </w:pPr>
      <w:r>
        <w:rPr>
          <w:rFonts w:ascii="Roboto" w:hAnsi="Roboto"/>
          <w:b w:val="0"/>
          <w:i w:val="0"/>
          <w:color w:val="000000"/>
          <w:sz w:val="20"/>
        </w:rPr>
        <w:t>Each tenant's statement page follows Quorum's existing tenant statement design: the entity name, VAT and registration numbers, the property and unit, and the tenant's own registration and VAT numbers, deposit and bank guarantee, printed in a panel alongside the tenant's billing address. Below that, an activity table lists every invoice line, payment, credit, deposit and refund posted in the statement period with a running balance, opening with a Balance Brought Forward figure when Roll Prior Charges is on. A totals block then shows Arrears/Prepaid, the current month's charges split into Exclusive/Tax/Inclusive, and the overall Amount Due, followed by a Queries panel with the finance team's contact details and an ageing summary split into Current, 30, 60, 90 and 120+ day buckets.</w:t>
      </w:r>
    </w:p>
    <w:p>
      <w:pPr>
        <w:spacing w:before="200" w:after="120"/>
      </w:pPr>
      <w:r>
        <w:rPr>
          <w:rFonts w:ascii="Roboto" w:hAnsi="Roboto"/>
          <w:b/>
          <w:i w:val="0"/>
          <w:color w:val="2478AA"/>
          <w:sz w:val="26"/>
        </w:rPr>
        <w:t>1.4.6 Balance roll-up and the statement period</w:t>
      </w:r>
    </w:p>
    <w:p>
      <w:pPr>
        <w:spacing w:before="40" w:after="160"/>
      </w:pPr>
      <w:r>
        <w:rPr>
          <w:rFonts w:ascii="Roboto" w:hAnsi="Roboto"/>
          <w:b w:val="0"/>
          <w:i w:val="0"/>
          <w:color w:val="000000"/>
          <w:sz w:val="20"/>
        </w:rPr>
        <w:t>Quorum bills in advance, so a statement dated in a given month is for charges due the following month; the customisation carries that same one-month offset through every statement it produces. When Roll Prior Charges into B/f is switched on - the default - invoices and credit memos from before the billing month, and payments, deposits and refunds from before the previous statement, are folded into a single Balance Brought Forward figure instead of being listed line by line, keeping the statement focused on the current period's activity while the ageing summary still reflects everything still outstanding.</w:t>
      </w:r>
    </w:p>
    <w:p>
      <w:pPr>
        <w:spacing w:before="200" w:after="120"/>
      </w:pPr>
      <w:r>
        <w:rPr>
          <w:rFonts w:ascii="Roboto" w:hAnsi="Roboto"/>
          <w:b/>
          <w:i w:val="0"/>
          <w:color w:val="2478AA"/>
          <w:sz w:val="26"/>
        </w:rPr>
        <w:t>1.4.7 Emailing statements to customers</w:t>
      </w:r>
    </w:p>
    <w:p>
      <w:pPr>
        <w:spacing w:before="40" w:after="160"/>
      </w:pPr>
      <w:r>
        <w:rPr>
          <w:rFonts w:ascii="Roboto" w:hAnsi="Roboto"/>
          <w:b w:val="0"/>
          <w:i w:val="0"/>
          <w:color w:val="000000"/>
          <w:sz w:val="20"/>
        </w:rPr>
        <w:t>Email Statement works the same way as generating a PDF, but sends each marked tenant their own single-page statement by email instead of opening one merged document. Each tenant's statement is emailed to the address held on their customer record, with a CC address sent alongside it where one is on file; a tenant with no statement email on file is skipped rather than failing the run, and any tenant whose email genuinely fails to send is reported separately. The sender shown on each email is the Customer Statement Author configured against the tenant's own subsidiary, so different subsidiaries can email statements from different people rather than all sharing one fixed sender; a tenant whose subsidiary has no author configured is likewise skipped, with the reason recorded for follow-up. Once every marked tenant has been processed, the same progress tab shows a summary of how many statements were sent, skipped and failed, so the user knows immediately whether every tenant received their statement.</w:t>
      </w:r>
    </w:p>
    <w:p>
      <w:pPr>
        <w:spacing w:before="200" w:after="120"/>
      </w:pPr>
      <w:r>
        <w:rPr>
          <w:rFonts w:ascii="Roboto" w:hAnsi="Roboto"/>
          <w:b/>
          <w:i w:val="0"/>
          <w:color w:val="2478AA"/>
          <w:sz w:val="26"/>
        </w:rPr>
        <w:t>1.4.8 Scheduled monthly email run</w:t>
      </w:r>
    </w:p>
    <w:p>
      <w:pPr>
        <w:spacing w:before="40" w:after="160"/>
      </w:pPr>
      <w:r>
        <w:rPr>
          <w:rFonts w:ascii="Roboto" w:hAnsi="Roboto"/>
          <w:b w:val="0"/>
          <w:i w:val="0"/>
          <w:color w:val="000000"/>
          <w:sz w:val="20"/>
        </w:rPr>
        <w:t>Alongside the on-demand Email Statement button, the same background job also runs itself automatically once a month, on the 20th, with no user needing to open the Generate Statement page at all. Rather than a user-marked subset of tenants, this scheduled run processes every tenant returned by the same Customer List search the Generate Statement page itself searches from, so keeping that search's criteria current is what keeps the scheduled run's coverage current. Because there is no form to read a Start Date and Statement Date from on a scheduled run, the job works them out itself from the date it fires: the Statement Date is always the 20th of the current month, and the Start Date is the 1st of the month two months before it - the same one-month-in-advance billing logic used everywhere else in this customisation then bills that period one month ahead, exactly as an equivalent manually-entered run would. Roll Prior Charges into B/f still defaults on. Every other part of the process - the per-tenant statement PDF, the per-subsidiary sender and Queries panel detail, and the skip/fail handling - works identically whether a run was triggered by a user or by the schedule.</w:t>
      </w:r>
    </w:p>
    <w:p>
      <w:r>
        <w:br w:type="page"/>
      </w:r>
    </w:p>
    <w:p>
      <w:pPr>
        <w:spacing w:before="280" w:after="120"/>
      </w:pPr>
      <w:r>
        <w:rPr>
          <w:rFonts w:ascii="Roboto" w:hAnsi="Roboto"/>
          <w:b/>
          <w:i w:val="0"/>
          <w:color w:val="2478AA"/>
          <w:sz w:val="32"/>
        </w:rPr>
        <w:t>2. Components</w:t>
      </w:r>
    </w:p>
    <w:p>
      <w:pPr>
        <w:spacing w:before="40" w:after="160"/>
      </w:pPr>
      <w:r>
        <w:rPr>
          <w:rFonts w:ascii="Roboto" w:hAnsi="Roboto"/>
          <w:b w:val="0"/>
          <w:i w:val="0"/>
          <w:color w:val="000000"/>
          <w:sz w:val="20"/>
        </w:rPr>
        <w:t>This customisation introduces no new custom records or custom lists. It reads Quorum's standard AR transactions (invoices, credit memos, payments, deposits and refunds) via SuiteQL, together with a handful of custom fields and segments on the Customer, Transaction and Subsidiary records - most added in an earlier phase of the Quorum implementation and documented below as reference context, but three Subsidiary fields (Customer Statement Author, Queries Email, Queries Whatsapp Number - Section 2.2) were added as part of this phase, replacing a single hardcoded sender and hardcoded Queries panel text with per-subsidiary values. The property/lease hierarchy described in the Business Requirement (Building, Block, Floor, Unit, Contract, Charges) belongs to the separate Quorum Contracts customisation; per that document's own assumption, its monthly scripts must run before this report so the resulting invoice data is in place to statement.</w:t>
      </w:r>
    </w:p>
    <w:p>
      <w:pPr>
        <w:spacing w:before="200" w:after="120"/>
      </w:pPr>
      <w:r>
        <w:rPr>
          <w:rFonts w:ascii="Roboto" w:hAnsi="Roboto"/>
          <w:b/>
          <w:i w:val="0"/>
          <w:color w:val="C0282E"/>
          <w:sz w:val="28"/>
        </w:rPr>
        <w:t>2.1 Custom Records</w:t>
      </w:r>
    </w:p>
    <w:p>
      <w:pPr>
        <w:spacing w:before="40" w:after="160"/>
      </w:pPr>
      <w:r>
        <w:rPr>
          <w:rFonts w:ascii="Roboto" w:hAnsi="Roboto"/>
          <w:b w:val="0"/>
          <w:i w:val="0"/>
          <w:color w:val="000000"/>
          <w:sz w:val="20"/>
        </w:rPr>
        <w:t>No new custom records were created by this customisation.</w:t>
      </w:r>
    </w:p>
    <w:p>
      <w:pPr>
        <w:spacing w:before="200" w:after="120"/>
      </w:pPr>
      <w:r>
        <w:rPr>
          <w:rFonts w:ascii="Roboto" w:hAnsi="Roboto"/>
          <w:b/>
          <w:i w:val="0"/>
          <w:color w:val="C0282E"/>
          <w:sz w:val="28"/>
        </w:rPr>
        <w:t>2.2 Custom Fields Referenced (pre-existing)</w:t>
      </w:r>
    </w:p>
    <w:tbl>
      <w:tblPr>
        <w:tblW w:type="auto" w:w="0"/>
        <w:jc w:val="center"/>
        <w:tblLook w:firstColumn="1" w:firstRow="1" w:lastColumn="0" w:lastRow="0" w:noHBand="0" w:noVBand="1" w:val="04A0"/>
        <w:tblLayout w:type="fixed"/>
        <w:tblW w:w="9639" w:type="dxa"/>
      </w:tblPr>
      <w:tblGrid>
        <w:gridCol w:w="1984"/>
        <w:gridCol w:w="2608"/>
        <w:gridCol w:w="2268"/>
        <w:gridCol w:w="1247"/>
        <w:gridCol w:w="1530"/>
      </w:tblGrid>
      <w:tr>
        <w:tc>
          <w:tcPr>
            <w:tcW w:type="dxa" w:w="1984"/>
            <w:tcW w:w="198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Name</w:t>
            </w:r>
          </w:p>
        </w:tc>
        <w:tc>
          <w:tcPr>
            <w:tcW w:type="dxa" w:w="2608"/>
            <w:tcW w:w="260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Field Internal ID</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Applied To</w:t>
            </w:r>
          </w:p>
        </w:tc>
        <w:tc>
          <w:tcPr>
            <w:tcW w:type="dxa" w:w="1247"/>
            <w:tcW w:w="124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1531"/>
            <w:tcW w:w="1530"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Description</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Statement Email</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custentity_​bb1_​statement_​email</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Comma-separated statement recipient address(es), read by Email Statement</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Statement Email CC</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custentity_​bb1_​statement_​email_​cc</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Comma-separated CC address(es), read by Email Statement</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Company Registration No.</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custentity_​alf_​company_​reg_​num</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Recipient Registration No.</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Bank Guarantee</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custentity_​bb1_​bank_​guarantee</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Decimal</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Bank Guarantee in the entity panel</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VAT Reg. Number</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vatregnumber</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(standard)</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Recipient VAT No.</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Deposit Balance</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depositbalance</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(standard)</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Decimal</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Deposit</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subsidiary</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(standard)</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Fallback source for the statement's subsidiary when the invoice line carries none</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 Legal Name</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custbody_​alf_​subsidiary_​legal_​name</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Entity</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 Address</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custbody_​alf_​subsidiary_​address</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Entity address - queried, not currently rendered on the page</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Currency Symbol</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custbody_​alf_​currency_​symbol</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Prefixes the Amount Due figure; defaults to R when blank</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Payment Reference</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custbody_​alf_​payment_​reference</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Queried but not currently printed - the statement's Payment Reference line actually prints the customer's Entity ID (entityid) instead. Worth confirming with Quorum which value should show.</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Bank Details (to print)</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custbody_​alf_​bank_​det_​to_​print</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Long Text</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Pre-formatted bank detail block printed beside the totals</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Building</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cseg_​bb1_​building</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 - Custom Segment</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Property</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cseg_bb1_unit</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 - Custom Segment</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Unit No.</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Federal ID Number</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federalidnumber</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 (standard)</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Entity VAT No.</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PeachPayments URL</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custrecord_​bb1_​peach_​payment_​url</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Payment link - href of the clickable Peach Payments logo (see custrecord_bb1_peach_payment_image below)</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PeachPayments Logo</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custrecord_​bb1_​peach_​payment_​image</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 (File)</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File Cabinet id of the Peach Payments logo image shown beside the Queries panel</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Statement Author</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custrecord_​bb1_​cust_​statement_​author</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List/Record (Employee)</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Employee that statement emails for this subsidiary's customers are sent as - resolved per customer via their subsidiary; a customer whose subsidiary has none configured is skipped rather than emailed</w:t>
            </w:r>
          </w:p>
        </w:tc>
      </w:tr>
      <w:tr>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Queries Email</w:t>
            </w:r>
          </w:p>
        </w:tc>
        <w:tc>
          <w:tcPr>
            <w:tcW w:type="dxa" w:w="2608"/>
            <w:tcW w:w="260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custrecord_​bb1_​queries_​email</w:t>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1247"/>
            <w:tcW w:w="124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on the statement's Queries panel; blank on the PDF if not configured for that subsidiary</w:t>
            </w:r>
          </w:p>
        </w:tc>
      </w:tr>
      <w:tr>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Queries Whatsapp Number</w:t>
            </w:r>
          </w:p>
        </w:tc>
        <w:tc>
          <w:tcPr>
            <w:tcW w:type="dxa" w:w="2608"/>
            <w:tcW w:w="260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custrecord_​bb1_​queries_​whatsapp</w:t>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1247"/>
            <w:tcW w:w="124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Free Text</w:t>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Printed as the Whatsapp Nr line on the Queries panel; blank on the PDF if not configured</w:t>
            </w:r>
          </w:p>
        </w:tc>
      </w:tr>
    </w:tbl>
    <w:p>
      <w:pPr>
        <w:spacing w:before="40" w:after="280"/>
      </w:pPr>
      <w:r>
        <w:rPr>
          <w:rFonts w:ascii="Roboto" w:hAnsi="Roboto"/>
          <w:b w:val="0"/>
          <w:i/>
          <w:color w:val="9B9692"/>
          <w:sz w:val="16"/>
        </w:rPr>
        <w:t>All of the above were added directly in the NetSuite UI (either during earlier project phases, or this one for the three Subsidiary fields added 8 September 2026) and are not tracked in this project's SDF source.</w:t>
      </w:r>
    </w:p>
    <w:p>
      <w:pPr>
        <w:spacing w:before="200" w:after="120"/>
      </w:pPr>
      <w:r>
        <w:rPr>
          <w:rFonts w:ascii="Roboto" w:hAnsi="Roboto"/>
          <w:b/>
          <w:i w:val="0"/>
          <w:color w:val="C0282E"/>
          <w:sz w:val="28"/>
        </w:rPr>
        <w:t>2.3 Custom Lists</w:t>
      </w:r>
    </w:p>
    <w:p>
      <w:pPr>
        <w:spacing w:before="40" w:after="160"/>
      </w:pPr>
      <w:r>
        <w:rPr>
          <w:rFonts w:ascii="Roboto" w:hAnsi="Roboto"/>
          <w:b w:val="0"/>
          <w:i w:val="0"/>
          <w:color w:val="000000"/>
          <w:sz w:val="20"/>
        </w:rPr>
        <w:t>No new custom lists were created by this customisation.</w:t>
      </w:r>
    </w:p>
    <w:p>
      <w:pPr>
        <w:spacing w:before="200" w:after="120"/>
      </w:pPr>
      <w:r>
        <w:rPr>
          <w:rFonts w:ascii="Roboto" w:hAnsi="Roboto"/>
          <w:b/>
          <w:i w:val="0"/>
          <w:color w:val="C0282E"/>
          <w:sz w:val="28"/>
        </w:rPr>
        <w:t>2.4 Scripts</w:t>
      </w:r>
    </w:p>
    <w:p>
      <w:pPr>
        <w:spacing w:before="40" w:after="200"/>
      </w:pPr>
      <w:r>
        <w:rPr>
          <w:rFonts w:ascii="Roboto" w:hAnsi="Roboto"/>
          <w:b w:val="0"/>
          <w:i w:val="0"/>
          <w:color w:val="9B9692"/>
          <w:sz w:val="18"/>
        </w:rPr>
        <w:t>File cabinet path: SuiteScripts/[QPG] Customer Statement/</w:t>
      </w:r>
    </w:p>
    <w:tbl>
      <w:tblPr>
        <w:tblW w:type="auto" w:w="0"/>
        <w:jc w:val="center"/>
        <w:tblLook w:firstColumn="1" w:firstRow="1" w:lastColumn="0" w:lastRow="0" w:noHBand="0" w:noVBand="1" w:val="04A0"/>
        <w:tblLayout w:type="fixed"/>
        <w:tblW w:w="9639" w:type="dxa"/>
      </w:tblPr>
      <w:tblGrid>
        <w:gridCol w:w="2664"/>
        <w:gridCol w:w="567"/>
        <w:gridCol w:w="4252"/>
        <w:gridCol w:w="2154"/>
      </w:tblGrid>
      <w:tr>
        <w:tc>
          <w:tcPr>
            <w:tcW w:type="dxa" w:w="2665"/>
            <w:tcW w:w="266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File Name</w:t>
            </w:r>
          </w:p>
        </w:tc>
        <w:tc>
          <w:tcPr>
            <w:tcW w:type="dxa" w:w="567"/>
            <w:tcW w:w="567"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Type</w:t>
            </w:r>
          </w:p>
        </w:tc>
        <w:tc>
          <w:tcPr>
            <w:tcW w:type="dxa" w:w="4252"/>
            <w:tcW w:w="4252"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Function</w:t>
            </w:r>
          </w:p>
        </w:tc>
        <w:tc>
          <w:tcPr>
            <w:tcW w:type="dxa" w:w="2154"/>
            <w:tcW w:w="215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Deployed To</w:t>
            </w:r>
          </w:p>
        </w:tc>
      </w:tr>
      <w:tr>
        <w:tc>
          <w:tcPr>
            <w:tcW w:type="dxa" w:w="2665"/>
            <w:tcW w:w="266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bb1_​qpg_​cstmt_​cls_​sl.​js</w:t>
            </w:r>
          </w:p>
        </w:tc>
        <w:tc>
          <w:tcPr>
            <w:tcW w:type="dxa" w:w="567"/>
            <w:tcW w:w="56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w:t>
            </w:r>
          </w:p>
        </w:tc>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 renders the Customer Statement search form (Customer/Category + Search Customer button)</w:t>
            </w:r>
          </w:p>
        </w:tc>
        <w:tc>
          <w:tcPr>
            <w:tcW w:type="dxa" w:w="2154"/>
            <w:tcW w:w="215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Standalone - customscript_bb1_qpg_cstmt_cls_sl</w:t>
            </w:r>
          </w:p>
        </w:tc>
      </w:tr>
      <w:tr>
        <w:tc>
          <w:tcPr>
            <w:tcW w:type="dxa" w:w="2665"/>
            <w:tcW w:w="266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bb1_​qpg_​cstmt_​cls_​cs.​js</w:t>
            </w:r>
          </w:p>
        </w:tc>
        <w:tc>
          <w:tcPr>
            <w:tcW w:type="dxa" w:w="567"/>
            <w:tcW w:w="56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cs</w:t>
            </w:r>
          </w:p>
        </w:tc>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Client Script - Search Customer redirects to the Generate Statement Suitelet, carrying the Customer/Category selection as query params</w:t>
            </w:r>
          </w:p>
        </w:tc>
        <w:tc>
          <w:tcPr>
            <w:tcW w:type="dxa" w:w="2154"/>
            <w:tcW w:w="215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Attached to the Customer Statement Suitelet form</w:t>
            </w:r>
          </w:p>
        </w:tc>
      </w:tr>
      <w:tr>
        <w:tc>
          <w:tcPr>
            <w:tcW w:type="dxa" w:w="2665"/>
            <w:tcW w:w="266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bb1_​qpg_​cstmt_​gts_​sl.​js</w:t>
            </w:r>
          </w:p>
        </w:tc>
        <w:tc>
          <w:tcPr>
            <w:tcW w:type="dxa" w:w="567"/>
            <w:tcW w:w="56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w:t>
            </w:r>
          </w:p>
        </w:tc>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 renders the Generate Statement form and Customer List, and routes the Print PDF/Email Statement/status-check/download actions</w:t>
            </w:r>
          </w:p>
        </w:tc>
        <w:tc>
          <w:tcPr>
            <w:tcW w:type="dxa" w:w="2154"/>
            <w:tcW w:w="215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Standalone - customscript_bb1_qpg_cstmt_gts_sl</w:t>
            </w:r>
          </w:p>
        </w:tc>
      </w:tr>
      <w:tr>
        <w:tc>
          <w:tcPr>
            <w:tcW w:type="dxa" w:w="2665"/>
            <w:tcW w:w="266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bb1_​qpg_​cstmt_​gts_​cs.​js</w:t>
            </w:r>
          </w:p>
        </w:tc>
        <w:tc>
          <w:tcPr>
            <w:tcW w:type="dxa" w:w="567"/>
            <w:tcW w:w="56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cs</w:t>
            </w:r>
          </w:p>
        </w:tc>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Client Script - required-field/selection validation, pagination, Select All/Clear All, and opening the Generate/Email Statement progress tab</w:t>
            </w:r>
          </w:p>
        </w:tc>
        <w:tc>
          <w:tcPr>
            <w:tcW w:type="dxa" w:w="2154"/>
            <w:tcW w:w="215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Attached to the Generate Statement Suitelet form</w:t>
            </w:r>
          </w:p>
        </w:tc>
      </w:tr>
      <w:tr>
        <w:tc>
          <w:tcPr>
            <w:tcW w:type="dxa" w:w="2665"/>
            <w:tcW w:w="266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bb1_​qpg_​cstmt_​gts_​mr.​js</w:t>
            </w:r>
          </w:p>
        </w:tc>
        <w:tc>
          <w:tcPr>
            <w:tcW w:type="dxa" w:w="567"/>
            <w:tcW w:w="567"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mr</w:t>
            </w:r>
          </w:p>
        </w:tc>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Map/Reduce - builds one statement page per marked customer in the background, merges them into one PDF, and reports the result via N/cache for the progress page to poll</w:t>
            </w:r>
          </w:p>
        </w:tc>
        <w:tc>
          <w:tcPr>
            <w:tcW w:type="dxa" w:w="2154"/>
            <w:tcW w:w="215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customscript_bb1_qpg_cstmt_gts_mr (queued via N/task, not directly deployed to a record)</w:t>
            </w:r>
          </w:p>
        </w:tc>
      </w:tr>
      <w:tr>
        <w:tc>
          <w:tcPr>
            <w:tcW w:type="dxa" w:w="2665"/>
            <w:tcW w:w="266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bb1_​qpg_​cstmt_​gts_​email_​mr.​js</w:t>
            </w:r>
          </w:p>
        </w:tc>
        <w:tc>
          <w:tcPr>
            <w:tcW w:type="dxa" w:w="567"/>
            <w:tcW w:w="567"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mr</w:t>
            </w:r>
          </w:p>
        </w:tc>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Map/Reduce - emails each marked (or, on the Scheduled deployment, every) customer their own single-page statement PDF in the background, tallying a sent/skipped/failed summary via N/cache</w:t>
            </w:r>
          </w:p>
        </w:tc>
        <w:tc>
          <w:tcPr>
            <w:tcW w:type="dxa" w:w="2154"/>
            <w:tcW w:w="215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customscript_bb1_qpg_cstmt_gts_email_mr - two deployments: an on-demand one queued via N/task from the Suitelet, and customdeploy_bb1_qpg_cstmt_gts_email_mrs, Scheduled, firing on the 20th of each month</w:t>
            </w:r>
          </w:p>
        </w:tc>
      </w:tr>
    </w:tbl>
    <w:p>
      <w:pPr>
        <w:spacing w:before="40" w:after="280"/>
      </w:pPr>
      <w:r>
        <w:rPr>
          <w:rFonts w:ascii="Roboto" w:hAnsi="Roboto"/>
          <w:b w:val="0"/>
          <w:i/>
          <w:color w:val="9B9692"/>
          <w:sz w:val="16"/>
        </w:rPr>
        <w:t>Deployment note: the two Map/Reduce scripts' Script and Script Deployment records - and their Free-Form Text parameters - must be created manually in the NetSuite UI; this project's SDF source does not track Script/ScriptDeployment objects. See Section 3.2.</w:t>
      </w:r>
    </w:p>
    <w:p>
      <w:pPr>
        <w:spacing w:before="200" w:after="120"/>
      </w:pPr>
      <w:r>
        <w:rPr>
          <w:rFonts w:ascii="Roboto" w:hAnsi="Roboto"/>
          <w:b/>
          <w:i w:val="0"/>
          <w:color w:val="C0282E"/>
          <w:sz w:val="28"/>
        </w:rPr>
        <w:t>2.5 Other Files</w:t>
      </w:r>
    </w:p>
    <w:p>
      <w:pPr>
        <w:spacing w:before="40" w:after="200"/>
      </w:pPr>
      <w:r>
        <w:rPr>
          <w:rFonts w:ascii="Roboto" w:hAnsi="Roboto"/>
          <w:b w:val="0"/>
          <w:i w:val="0"/>
          <w:color w:val="9B9692"/>
          <w:sz w:val="18"/>
        </w:rPr>
        <w:t>Supporting library modules used by the scripts above - not separate deployed scripts in their own right.</w:t>
      </w:r>
    </w:p>
    <w:tbl>
      <w:tblPr>
        <w:tblW w:type="auto" w:w="0"/>
        <w:jc w:val="center"/>
        <w:tblLook w:firstColumn="1" w:firstRow="1" w:lastColumn="0" w:lastRow="0" w:noHBand="0" w:noVBand="1" w:val="04A0"/>
        <w:tblLayout w:type="fixed"/>
        <w:tblW w:w="9639" w:type="dxa"/>
      </w:tblPr>
      <w:tblGrid>
        <w:gridCol w:w="3118"/>
        <w:gridCol w:w="6520"/>
      </w:tblGrid>
      <w:tr>
        <w:tc>
          <w:tcPr>
            <w:tcW w:type="dxa" w:w="3118"/>
            <w:tcW w:w="311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File Name</w:t>
            </w:r>
          </w:p>
        </w:tc>
        <w:tc>
          <w:tcPr>
            <w:tcW w:type="dxa" w:w="6520"/>
            <w:tcW w:w="6520"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Function</w:t>
            </w:r>
          </w:p>
        </w:tc>
      </w:tr>
      <w:tr>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bb1_​qpg_​cstmt_​cls_​form_​lib.​js</w:t>
            </w:r>
          </w:p>
        </w:tc>
        <w:tc>
          <w:tcPr>
            <w:tcW w:type="dxa" w:w="6520"/>
            <w:tcW w:w="652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Builds the Customer Statement Suitelet form (Customer/Category fields, Search Customer button)</w:t>
            </w:r>
          </w:p>
        </w:tc>
      </w:tr>
      <w:tr>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bb1_​qpg_​cstmt_​cls_​lib_​helper.​js</w:t>
            </w:r>
          </w:p>
        </w:tc>
        <w:tc>
          <w:tcPr>
            <w:tcW w:type="dxa" w:w="6520"/>
            <w:tcW w:w="652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Shared field ids and the redirect-URL builder used by the Customer Statement Suitelet and its Client Script</w:t>
            </w:r>
          </w:p>
        </w:tc>
      </w:tr>
      <w:tr>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bb1_​qpg_​cstmt_​gts_​form_​lib.​js</w:t>
            </w:r>
          </w:p>
        </w:tc>
        <w:tc>
          <w:tcPr>
            <w:tcW w:type="dxa" w:w="6520"/>
            <w:tcW w:w="652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Builds the Generate Statement Suitelet form: date/roll-up fields, buttons, and the paginated Customer List sublist</w:t>
            </w:r>
          </w:p>
        </w:tc>
      </w:tr>
      <w:tr>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bb1_​qpg_​cstmt_​gts_​lib_​helper.​js</w:t>
            </w:r>
          </w:p>
        </w:tc>
        <w:tc>
          <w:tcPr>
            <w:tcW w:type="dxa" w:w="6520"/>
            <w:tcW w:w="652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Shared field ids, request-param helpers, cross-page selection tracking, and the Script/Script Parameter ids for both Map/Reduce jobs - used across every gts_* script</w:t>
            </w:r>
          </w:p>
        </w:tc>
      </w:tr>
      <w:tr>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bb1_​qpg_​cstmt_​gts_​task_​lib.​js</w:t>
            </w:r>
          </w:p>
        </w:tc>
        <w:tc>
          <w:tcPr>
            <w:tcW w:type="dxa" w:w="6520"/>
            <w:tcW w:w="652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Queues the Map/Reduce jobs via N/task, builds the progress page shown while a job runs, and polls its status via N/cache/task.checkStatus()</w:t>
            </w:r>
          </w:p>
        </w:tc>
      </w:tr>
      <w:tr>
        <w:tc>
          <w:tcPr>
            <w:tcW w:type="dxa" w:w="3118"/>
            <w:tcW w:w="311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bb1_​qpg_​cstmt_​gts_​pdf_​lib.​js</w:t>
            </w:r>
          </w:p>
        </w:tc>
        <w:tc>
          <w:tcPr>
            <w:tcW w:type="dxa" w:w="6520"/>
            <w:tcW w:w="652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Queries the statement data set via SuiteQL (header, AR activity, invoice lines, ageing) and renders the statement PDF via N/render</w:t>
            </w:r>
          </w:p>
        </w:tc>
      </w:tr>
      <w:tr>
        <w:tc>
          <w:tcPr>
            <w:tcW w:type="dxa" w:w="3118"/>
            <w:tcW w:w="311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bb1_​qpg_​cstmt_​gts_​email_​lib.​js</w:t>
            </w:r>
          </w:p>
        </w:tc>
        <w:tc>
          <w:tcPr>
            <w:tcW w:type="dxa" w:w="6520"/>
            <w:tcW w:w="652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Resolves the sender, parses the recipient/CC address fields, builds the subject/body, and sends the statement email</w:t>
            </w:r>
          </w:p>
        </w:tc>
      </w:tr>
    </w:tbl>
    <w:p>
      <w:pPr>
        <w:spacing w:after="200"/>
      </w:pPr>
    </w:p>
    <w:p>
      <w:pPr>
        <w:spacing w:before="200" w:after="120"/>
      </w:pPr>
      <w:r>
        <w:rPr>
          <w:rFonts w:ascii="Roboto" w:hAnsi="Roboto"/>
          <w:b/>
          <w:i w:val="0"/>
          <w:color w:val="C0282E"/>
          <w:sz w:val="28"/>
        </w:rPr>
        <w:t>2.6 Entity Relationship Diagram</w:t>
      </w:r>
    </w:p>
    <w:p>
      <w:pPr>
        <w:spacing w:before="40" w:after="200"/>
      </w:pPr>
      <w:r>
        <w:rPr>
          <w:rFonts w:ascii="Roboto" w:hAnsi="Roboto"/>
          <w:b w:val="0"/>
          <w:i/>
          <w:color w:val="9B9692"/>
          <w:sz w:val="16"/>
        </w:rPr>
        <w:t>Represented as a relationship table below (no image-rendering environment was available when this document was generated).</w:t>
      </w:r>
    </w:p>
    <w:tbl>
      <w:tblPr>
        <w:tblW w:type="auto" w:w="0"/>
        <w:jc w:val="center"/>
        <w:tblLook w:firstColumn="1" w:firstRow="1" w:lastColumn="0" w:lastRow="0" w:noHBand="0" w:noVBand="1" w:val="04A0"/>
        <w:tblLayout w:type="fixed"/>
        <w:tblW w:w="9639" w:type="dxa"/>
      </w:tblPr>
      <w:tblGrid>
        <w:gridCol w:w="4252"/>
        <w:gridCol w:w="2835"/>
        <w:gridCol w:w="2551"/>
      </w:tblGrid>
      <w:tr>
        <w:tc>
          <w:tcPr>
            <w:tcW w:type="dxa" w:w="4252"/>
            <w:tcW w:w="4252"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From</w:t>
            </w:r>
          </w:p>
        </w:tc>
        <w:tc>
          <w:tcPr>
            <w:tcW w:type="dxa" w:w="2835"/>
            <w:tcW w:w="283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Link Field</w:t>
            </w:r>
          </w:p>
        </w:tc>
        <w:tc>
          <w:tcPr>
            <w:tcW w:type="dxa" w:w="2551"/>
            <w:tcW w:w="255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To</w:t>
            </w:r>
          </w:p>
        </w:tc>
      </w:tr>
      <w:tr>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(Invoice/Credit/Payment/Deposit/Refund)</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entity</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w:t>
            </w:r>
          </w:p>
        </w:tc>
      </w:tr>
      <w:tr>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cseg_​bb1_​building</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Property (Building segment)</w:t>
            </w:r>
          </w:p>
        </w:tc>
      </w:tr>
      <w:tr>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cseg_bb1_unit</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Unit (segment)</w:t>
            </w:r>
          </w:p>
        </w:tc>
      </w:tr>
      <w:tr>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TransactionLine / TransactionAccountingLine</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transaction / account (AcctRec)</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 / Account</w:t>
            </w:r>
          </w:p>
        </w:tc>
      </w:tr>
      <w:tr>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TransactionLine (invoice)</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item</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Item (statement Allocation column)</w:t>
            </w:r>
          </w:p>
        </w:tc>
      </w:tr>
      <w:tr>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CustomerAddressbook / CustomerAddressbookEntityAddress</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entity / addressbookaddress</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(billing address)</w:t>
            </w:r>
          </w:p>
        </w:tc>
      </w:tr>
      <w:tr>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subsidiary (fallback)</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r>
      <w:tr>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federalidnumber, custrecord_​bb1_​peach_​payment_​url</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Entity VAT No. / payment link</w:t>
            </w:r>
          </w:p>
        </w:tc>
      </w:tr>
      <w:tr>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custrecord_​bb1_​cust_​statement_​author</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Employee (per-customer Email Statement sender)</w:t>
            </w:r>
          </w:p>
        </w:tc>
      </w:tr>
      <w:tr>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Subsidiary</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custrecord_​bb1_​queries_​email, custrecord_​bb1_​queries_​whatsapp</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Statement Queries panel</w:t>
            </w:r>
          </w:p>
        </w:tc>
      </w:tr>
      <w:tr>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custentity_​bb1_​statement_​email, _email_cc</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Email Statement recipients</w:t>
            </w:r>
          </w:p>
        </w:tc>
      </w:tr>
      <w:tr>
        <w:tc>
          <w:tcPr>
            <w:tcW w:type="dxa" w:w="4252"/>
            <w:tcW w:w="4252"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gts_mr / gts_email_mr (Map/Reduce)</w:t>
            </w:r>
          </w:p>
        </w:tc>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N/cache bb1_​qpg_​cstmt_​gts_​status, keyed by Run ID</w:t>
            </w:r>
          </w:p>
        </w:tc>
        <w:tc>
          <w:tcPr>
            <w:tcW w:type="dxa" w:w="2551"/>
            <w:tcW w:w="255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Progress page polling (gts_task_lib.js) - blank on the Scheduled deployment, which has no page polling</w:t>
            </w:r>
          </w:p>
        </w:tc>
      </w:tr>
      <w:tr>
        <w:tc>
          <w:tcPr>
            <w:tcW w:type="dxa" w:w="4252"/>
            <w:tcW w:w="4252"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List saved search</w:t>
            </w:r>
          </w:p>
        </w:tc>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Courier New" w:hAnsi="Courier New"/>
                <w:b w:val="0"/>
                <w:i w:val="0"/>
                <w:color w:val="444444"/>
                <w:sz w:val="18"/>
              </w:rPr>
              <w:t>custscript_​bb1_​qpg_​cstmt_​cust_​list_​sea (Company Preference)</w:t>
            </w:r>
          </w:p>
        </w:tc>
        <w:tc>
          <w:tcPr>
            <w:tcW w:type="dxa" w:w="2551"/>
            <w:tcW w:w="255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Generate Statement Suitelet's Customer List, and gts_email_mr's Scheduled deployment customer source</w:t>
            </w:r>
          </w:p>
        </w:tc>
      </w:tr>
    </w:tbl>
    <w:p>
      <w:pPr>
        <w:spacing w:after="200"/>
      </w:pPr>
    </w:p>
    <w:p>
      <w:pPr>
        <w:spacing w:before="200" w:after="120"/>
      </w:pPr>
      <w:r>
        <w:rPr>
          <w:rFonts w:ascii="Roboto" w:hAnsi="Roboto"/>
          <w:b/>
          <w:i w:val="0"/>
          <w:color w:val="C0282E"/>
          <w:sz w:val="28"/>
        </w:rPr>
        <w:t>2.7 Additional Components</w:t>
      </w:r>
    </w:p>
    <w:tbl>
      <w:tblPr>
        <w:tblW w:type="auto" w:w="0"/>
        <w:jc w:val="center"/>
        <w:tblLook w:firstColumn="1" w:firstRow="1" w:lastColumn="0" w:lastRow="0" w:noHBand="0" w:noVBand="1" w:val="04A0"/>
        <w:tblLayout w:type="fixed"/>
        <w:tblW w:w="9639" w:type="dxa"/>
      </w:tblPr>
      <w:tblGrid>
        <w:gridCol w:w="2835"/>
        <w:gridCol w:w="6804"/>
      </w:tblGrid>
      <w:tr>
        <w:tc>
          <w:tcPr>
            <w:tcW w:type="dxa" w:w="2835"/>
            <w:tcW w:w="283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Item</w:t>
            </w:r>
          </w:p>
        </w:tc>
        <w:tc>
          <w:tcPr>
            <w:tcW w:type="dxa" w:w="6803"/>
            <w:tcW w:w="680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Detail</w:t>
            </w:r>
          </w:p>
        </w:tc>
      </w:tr>
      <w:tr>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 List saved search</w:t>
            </w:r>
          </w:p>
        </w:tc>
        <w:tc>
          <w:tcPr>
            <w:tcW w:type="dxa" w:w="6803"/>
            <w:tcW w:w="68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A saved Customer search, its internal id set as the custscript_bb1_qpg_cstmt_cust_list_sea parameter. This is now a Company Preference (Store Value) rather than a plain per-deployment Script Parameter, specifically so both the Generate Statement Suitelet (which filters it further by the Customer/Category selection carried over from the search page) and gts_email_mr's Scheduled deployment (which has no deployment of its own to hold the parameter) can read the same value</w:t>
            </w:r>
          </w:p>
        </w:tc>
      </w:tr>
      <w:tr>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Temp PDF output folder</w:t>
            </w:r>
          </w:p>
        </w:tc>
        <w:tc>
          <w:tcPr>
            <w:tcW w:type="dxa" w:w="6803"/>
            <w:tcW w:w="680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File Cabinet folder id 1649 - where gts_mr.js saves the merged statement PDF temporarily; gts_sl.js streams and deletes it immediately after</w:t>
            </w:r>
          </w:p>
        </w:tc>
      </w:tr>
      <w:tr>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Statement email sender</w:t>
            </w:r>
          </w:p>
        </w:tc>
        <w:tc>
          <w:tcPr>
            <w:tcW w:type="dxa" w:w="6803"/>
            <w:tcW w:w="68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Resolved per customer from the Customer Statement Author field on their subsidiary (custrecord_bb1_cust_statement_author, Section 2.2), rather than one fixed employee sending every statement email</w:t>
            </w:r>
          </w:p>
        </w:tc>
      </w:tr>
      <w:tr>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Scheduled Email Statement deployment</w:t>
            </w:r>
          </w:p>
        </w:tc>
        <w:tc>
          <w:tcPr>
            <w:tcW w:type="dxa" w:w="6803"/>
            <w:tcW w:w="680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customdeploy_bb1_qpg_cstmt_gts_email_mrs on customscript_bb1_qpg_cstmt_gts_email_mr, recurring on the 20th of each month. Its CUSTOMER_IDS/START_DATE/STATEMENT_DATE/RUN_ID parameters are all left blank: CUSTOMER_IDS blank falls back to every customer in the Customer List search above; the dates default to Statement Date = the 20th of the current month and Start Date = the 1st of the month two months before (see getDefaultPeriodDates() in gts_pdf_lib.js); and a blank RUN_ID simply skips the N/cache status write, since no progress page is polling for one. Because a blank RUN_ID alone can't prove a log entry came from a genuine scheduled firing rather than someone testing that deployment via Deploy Script, summarize() also logs runtime.getCurrentScript().deploymentId alongside it</w:t>
            </w:r>
          </w:p>
        </w:tc>
      </w:tr>
      <w:tr>
        <w:tc>
          <w:tcPr>
            <w:tcW w:type="dxa" w:w="2835"/>
            <w:tcW w:w="283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N/cache usage</w:t>
            </w:r>
          </w:p>
        </w:tc>
        <w:tc>
          <w:tcPr>
            <w:tcW w:type="dxa" w:w="6803"/>
            <w:tcW w:w="68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Both Map/Reduce jobs write their result (a file id, a send summary, or an error) to the bb1_qpg_cstmt_gts_status cache, keyed by a self-generated Run ID - the only channel back to the progress page, since a Map/Reduce job has no live HTTP connection to push a result through. Not used by the Scheduled deployment</w:t>
            </w:r>
          </w:p>
        </w:tc>
      </w:tr>
      <w:tr>
        <w:tc>
          <w:tcPr>
            <w:tcW w:type="dxa" w:w="2835"/>
            <w:tcW w:w="283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Statement design source</w:t>
            </w:r>
          </w:p>
        </w:tc>
        <w:tc>
          <w:tcPr>
            <w:tcW w:type="dxa" w:w="6803"/>
            <w:tcW w:w="680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Layout matches the reference sample "Tenant Statements - Commercial.pdf" (linked in Section 1.2) up to the ageing strip; everything the reference sample prints after that is dropped in favour of a plain page-number footer, per spec. Note the reference samples show an Ozow payment link, while the implemented PDF renders a Peach Payments logo/URL sourced from the Subsidiary record - confirm with Quorum which payment provider is current before go-live</w:t>
            </w:r>
          </w:p>
        </w:tc>
      </w:tr>
    </w:tbl>
    <w:p>
      <w:pPr>
        <w:spacing w:after="200"/>
      </w:pPr>
    </w:p>
    <w:p>
      <w:pPr>
        <w:spacing w:before="200" w:after="120"/>
      </w:pPr>
      <w:r>
        <w:rPr>
          <w:rFonts w:ascii="Roboto" w:hAnsi="Roboto"/>
          <w:b/>
          <w:i w:val="0"/>
          <w:color w:val="C0282E"/>
          <w:sz w:val="28"/>
        </w:rPr>
        <w:t>2.8 Process Flow</w:t>
      </w:r>
    </w:p>
    <w:p>
      <w:pPr>
        <w:spacing w:before="40" w:after="200"/>
      </w:pPr>
      <w:r>
        <w:rPr>
          <w:rFonts w:ascii="Roboto" w:hAnsi="Roboto"/>
          <w:b w:val="0"/>
          <w:i/>
          <w:color w:val="9B9692"/>
          <w:sz w:val="16"/>
        </w:rPr>
        <w:t>Represented as swimlane-style tables below (no image-rendering environment was available when this document was generated).</w:t>
      </w:r>
    </w:p>
    <w:p>
      <w:pPr>
        <w:spacing w:before="40" w:after="80"/>
      </w:pPr>
      <w:r>
        <w:rPr>
          <w:rFonts w:ascii="Roboto" w:hAnsi="Roboto"/>
          <w:b w:val="0"/>
          <w:i w:val="0"/>
          <w:color w:val="2478AA"/>
          <w:sz w:val="22"/>
        </w:rPr>
        <w:t>Flow 1 - Search and Generate Statement (Print PDF)</w:t>
      </w:r>
    </w:p>
    <w:tbl>
      <w:tblPr>
        <w:tblW w:type="auto" w:w="0"/>
        <w:jc w:val="center"/>
        <w:tblLook w:firstColumn="1" w:firstRow="1" w:lastColumn="0" w:lastRow="0" w:noHBand="0" w:noVBand="1" w:val="04A0"/>
        <w:tblLayout w:type="fixed"/>
        <w:tblW w:w="9639" w:type="dxa"/>
      </w:tblPr>
      <w:tblGrid>
        <w:gridCol w:w="1814"/>
        <w:gridCol w:w="3855"/>
        <w:gridCol w:w="3969"/>
      </w:tblGrid>
      <w:tr>
        <w:tc>
          <w:tcPr>
            <w:tcW w:type="dxa" w:w="1814"/>
            <w:tcW w:w="181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Actor</w:t>
            </w:r>
          </w:p>
        </w:tc>
        <w:tc>
          <w:tcPr>
            <w:tcW w:type="dxa" w:w="3855"/>
            <w:tcW w:w="385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Step</w:t>
            </w:r>
          </w:p>
        </w:tc>
        <w:tc>
          <w:tcPr>
            <w:tcW w:type="dxa" w:w="3969"/>
            <w:tcW w:w="3969"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Produces</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Opens the Customer Statement Suitelet URL</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cls_sl renders the Customer/Category search form</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Selects a Customer or Category, clicks Search Customer</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cls_cs.searchCustomer redirects to the Generate Statement Suitelet, carrying the Customer/Category selection as query params</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(gts_sl)</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Receives the redirect with no action param</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Renders the Generate Statement form: Start Date/Statement Date/Roll Prior Charges fields plus a paginated Customer List sublist, loaded from the saved search and filtered by Customer/Category</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Marks one or more customers (checkboxes or Select All), sets Start/Statement Date, clicks Generate Statement</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gts_cs.generateStatement validates the required fields and that at least one customer is marked, then opens a new tab to the Print PDF action</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(gts_sl)</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Receives the Print PDF action</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task_lib.submitGenerateStatementTask queues gts_mr.js via N/task, returns a self-generated Run ID + the real NetSuite task id, and renders a progress page</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MR Job (gts_mr)</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getInputData / map / summarize</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One page built per marked customer (pdf_lib.buildCustomerPageXml, querying AR activity via SuiteQL); summarize merges every page into one PDF, saves it as a temp file, and writes the file id (or an error) to N/cache keyed by Run ID</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Progress page</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Polls the status-check action every 4 seconds</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Updates a progress bar (from task.checkStatus()'s per-stage percentage) until N/cache reports ready</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(gts_sl)</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Download PDF action, once ready</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Streams the merged temp PDF inline to the same browser tab, then deletes the temp file</w:t>
            </w:r>
          </w:p>
        </w:tc>
      </w:tr>
    </w:tbl>
    <w:p>
      <w:pPr>
        <w:spacing w:after="200"/>
      </w:pPr>
    </w:p>
    <w:p>
      <w:pPr>
        <w:spacing w:before="40" w:after="80"/>
      </w:pPr>
      <w:r>
        <w:rPr>
          <w:rFonts w:ascii="Roboto" w:hAnsi="Roboto"/>
          <w:b w:val="0"/>
          <w:i w:val="0"/>
          <w:color w:val="2478AA"/>
          <w:sz w:val="22"/>
        </w:rPr>
        <w:t>Flow 2 - Email Statement (on demand)</w:t>
      </w:r>
    </w:p>
    <w:tbl>
      <w:tblPr>
        <w:tblW w:type="auto" w:w="0"/>
        <w:jc w:val="center"/>
        <w:tblLook w:firstColumn="1" w:firstRow="1" w:lastColumn="0" w:lastRow="0" w:noHBand="0" w:noVBand="1" w:val="04A0"/>
        <w:tblLayout w:type="fixed"/>
        <w:tblW w:w="9639" w:type="dxa"/>
      </w:tblPr>
      <w:tblGrid>
        <w:gridCol w:w="1814"/>
        <w:gridCol w:w="3855"/>
        <w:gridCol w:w="3969"/>
      </w:tblGrid>
      <w:tr>
        <w:tc>
          <w:tcPr>
            <w:tcW w:type="dxa" w:w="1814"/>
            <w:tcW w:w="181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Actor</w:t>
            </w:r>
          </w:p>
        </w:tc>
        <w:tc>
          <w:tcPr>
            <w:tcW w:type="dxa" w:w="3855"/>
            <w:tcW w:w="385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Step</w:t>
            </w:r>
          </w:p>
        </w:tc>
        <w:tc>
          <w:tcPr>
            <w:tcW w:type="dxa" w:w="3969"/>
            <w:tcW w:w="3969"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Produces</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User</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Marks one or more customers, sets Start/Statement Date, clicks Email Statement</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gts_cs.emailStatement runs the same required-field/selection validation as Generate Statement, then opens a new tab to the Email Statement action</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Suitelet (gts_sl)</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Receives the Email Statement action</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task_lib.submitEmailStatementTask queues gts_email_mr.js via N/task with the marked customer ids and typed dates, and renders a progress page</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MR Job (gts_email_mr)</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map (per marked customer)</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Builds that customer's own single-page statement PDF (resolving their subsidiary's Customer Statement Author, Queries Email and Queries Whatsapp along the way), looks up custentity_bb1_statement_email/_cc, and sends via N/email.send - skipped (with a logged reason) if no recipient email or no subsidiary author is on file, failed and logged otherwise</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MR Job (gts_email_mr)</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summarize</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Tallies every per-customer result into a sent/skipped/failed summary, written to N/cache keyed by Run ID, and logs it alongside runtime.getCurrentScript().deploymentId</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Progress page</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Polls the status-check action, same as Flow 1</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Once ready, shows the send summary (X sent, Y skipped, Z failed) directly - no download step, since nothing is streamed back</w:t>
            </w:r>
          </w:p>
        </w:tc>
      </w:tr>
    </w:tbl>
    <w:p>
      <w:pPr>
        <w:spacing w:after="200"/>
      </w:pPr>
    </w:p>
    <w:p>
      <w:pPr>
        <w:spacing w:before="40" w:after="80"/>
      </w:pPr>
      <w:r>
        <w:rPr>
          <w:rFonts w:ascii="Roboto" w:hAnsi="Roboto"/>
          <w:b w:val="0"/>
          <w:i w:val="0"/>
          <w:color w:val="2478AA"/>
          <w:sz w:val="22"/>
        </w:rPr>
        <w:t>Flow 3 - Email Statement (scheduled monthly run)</w:t>
      </w:r>
    </w:p>
    <w:tbl>
      <w:tblPr>
        <w:tblW w:type="auto" w:w="0"/>
        <w:jc w:val="center"/>
        <w:tblLook w:firstColumn="1" w:firstRow="1" w:lastColumn="0" w:lastRow="0" w:noHBand="0" w:noVBand="1" w:val="04A0"/>
        <w:tblLayout w:type="fixed"/>
        <w:tblW w:w="9639" w:type="dxa"/>
      </w:tblPr>
      <w:tblGrid>
        <w:gridCol w:w="1814"/>
        <w:gridCol w:w="3855"/>
        <w:gridCol w:w="3969"/>
      </w:tblGrid>
      <w:tr>
        <w:tc>
          <w:tcPr>
            <w:tcW w:type="dxa" w:w="1814"/>
            <w:tcW w:w="181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Actor</w:t>
            </w:r>
          </w:p>
        </w:tc>
        <w:tc>
          <w:tcPr>
            <w:tcW w:type="dxa" w:w="3855"/>
            <w:tcW w:w="3855"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Step</w:t>
            </w:r>
          </w:p>
        </w:tc>
        <w:tc>
          <w:tcPr>
            <w:tcW w:type="dxa" w:w="3969"/>
            <w:tcW w:w="3969"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Produces</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NetSuite scheduler</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Fires customdeploy_bb1_qpg_cstmt_gts_email_mrs on its recurrence - the 20th of each month - with no user action</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gts_email_mr.js starts with CUSTOMER_IDS/START_DATE/STATEMENT_DATE/RUN_ID all blank on this deployment</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MR Job (gts_email_mr)</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getInputData</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CUSTOMER_IDS is blank, so getCustomerListSearchIds() loads the Customer List saved search off the custscript_bb1_qpg_cstmt_cust_list_sea Company Preference and returns every matching customer id, paged in 1000-row chunks</w:t>
            </w:r>
          </w:p>
        </w:tc>
      </w:tr>
      <w:tr>
        <w:tc>
          <w:tcPr>
            <w:tcW w:type="dxa" w:w="1814"/>
            <w:tcW w:w="181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MR Job (gts_email_mr)</w:t>
            </w:r>
          </w:p>
        </w:tc>
        <w:tc>
          <w:tcPr>
            <w:tcW w:type="dxa" w:w="3855"/>
            <w:tcW w:w="3855"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map (per customer in the search)</w:t>
            </w:r>
          </w:p>
        </w:tc>
        <w:tc>
          <w:tcPr>
            <w:tcW w:type="dxa" w:w="3969"/>
            <w:tcW w:w="3969"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getFilters() falls back to pdf_lib.getDefaultPeriodDates() since START_DATE/STATEMENT_DATE are blank (Statement Date = the 20th of the current month, Start Date = the 1st of the month two months before); otherwise identical to Flow 2's map step - same PDF build, same per-subsidiary author/Queries resolution, same skip/fail handling</w:t>
            </w:r>
          </w:p>
        </w:tc>
      </w:tr>
      <w:tr>
        <w:tc>
          <w:tcPr>
            <w:tcW w:type="dxa" w:w="1814"/>
            <w:tcW w:w="181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MR Job (gts_email_mr)</w:t>
            </w:r>
          </w:p>
        </w:tc>
        <w:tc>
          <w:tcPr>
            <w:tcW w:type="dxa" w:w="3855"/>
            <w:tcW w:w="3855"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summarize</w:t>
            </w:r>
          </w:p>
        </w:tc>
        <w:tc>
          <w:tcPr>
            <w:tcW w:type="dxa" w:w="3969"/>
            <w:tcW w:w="3969"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t>Same sent/skipped/failed tally as Flow 2, but RUN_ID is blank so the N/cache status write is skipped (nothing is polling for one) - the summary is still logged, tagged with this deployment's id</w:t>
            </w:r>
          </w:p>
        </w:tc>
      </w:tr>
    </w:tbl>
    <w:p>
      <w:pPr>
        <w:spacing w:after="200"/>
      </w:pPr>
    </w:p>
    <w:p>
      <w:r>
        <w:br w:type="page"/>
      </w:r>
    </w:p>
    <w:p>
      <w:pPr>
        <w:spacing w:before="280" w:after="120"/>
      </w:pPr>
      <w:r>
        <w:rPr>
          <w:rFonts w:ascii="Roboto" w:hAnsi="Roboto"/>
          <w:b/>
          <w:i w:val="0"/>
          <w:color w:val="2478AA"/>
          <w:sz w:val="32"/>
        </w:rPr>
        <w:t>3. Testing &amp; Setup</w:t>
      </w:r>
    </w:p>
    <w:p>
      <w:pPr>
        <w:spacing w:before="200" w:after="120"/>
      </w:pPr>
      <w:r>
        <w:rPr>
          <w:rFonts w:ascii="Roboto" w:hAnsi="Roboto"/>
          <w:b/>
          <w:i w:val="0"/>
          <w:color w:val="C0282E"/>
          <w:sz w:val="28"/>
        </w:rPr>
        <w:t>3.1 Testing Details</w:t>
      </w:r>
    </w:p>
    <w:p>
      <w:pPr>
        <w:spacing w:before="40" w:after="200"/>
      </w:pPr>
      <w:r>
        <w:rPr>
          <w:rFonts w:ascii="Roboto" w:hAnsi="Roboto"/>
          <w:b w:val="0"/>
          <w:i/>
          <w:color w:val="9B9692"/>
          <w:sz w:val="20"/>
        </w:rPr>
        <w:t>To be completed by the tester following execution of BB1 QA testing / UAT for this customisation. Record each test case, the steps taken, the expected and actual results, and its pass/fail status below.</w:t>
      </w:r>
    </w:p>
    <w:tbl>
      <w:tblPr>
        <w:tblW w:type="auto" w:w="0"/>
        <w:jc w:val="center"/>
        <w:tblLook w:firstColumn="1" w:firstRow="1" w:lastColumn="0" w:lastRow="0" w:noHBand="0" w:noVBand="1" w:val="04A0"/>
        <w:tblLayout w:type="fixed"/>
        <w:tblW w:w="9639" w:type="dxa"/>
      </w:tblPr>
      <w:tblGrid>
        <w:gridCol w:w="1304"/>
        <w:gridCol w:w="1530"/>
        <w:gridCol w:w="2268"/>
        <w:gridCol w:w="1984"/>
        <w:gridCol w:w="1701"/>
        <w:gridCol w:w="850"/>
      </w:tblGrid>
      <w:tr>
        <w:tc>
          <w:tcPr>
            <w:tcW w:type="dxa" w:w="1304"/>
            <w:tcW w:w="130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Test Area</w:t>
            </w:r>
          </w:p>
        </w:tc>
        <w:tc>
          <w:tcPr>
            <w:tcW w:type="dxa" w:w="1531"/>
            <w:tcW w:w="1530"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Test Case</w:t>
            </w:r>
          </w:p>
        </w:tc>
        <w:tc>
          <w:tcPr>
            <w:tcW w:type="dxa" w:w="2268"/>
            <w:tcW w:w="2268"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Steps</w:t>
            </w:r>
          </w:p>
        </w:tc>
        <w:tc>
          <w:tcPr>
            <w:tcW w:type="dxa" w:w="1984"/>
            <w:tcW w:w="1984"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Expected Result</w:t>
            </w:r>
          </w:p>
        </w:tc>
        <w:tc>
          <w:tcPr>
            <w:tcW w:type="dxa" w:w="1701"/>
            <w:tcW w:w="1701"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Actual Result</w:t>
            </w:r>
          </w:p>
        </w:tc>
        <w:tc>
          <w:tcPr>
            <w:tcW w:type="dxa" w:w="850"/>
            <w:tcW w:w="850" w:type="dxa"/>
            <w:shd w:val="clear" w:color="auto" w:fill="2478AA"/>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i w:val="0"/>
                <w:color w:val="FFFFFF"/>
                <w:sz w:val="22"/>
              </w:rPr>
              <w:t>Status</w:t>
            </w:r>
          </w:p>
        </w:tc>
      </w:tr>
      <w:tr>
        <w:tc>
          <w:tcPr>
            <w:tcW w:type="dxa" w:w="1304"/>
            <w:tcW w:w="13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r>
        <w:tc>
          <w:tcPr>
            <w:tcW w:type="dxa" w:w="1304"/>
            <w:tcW w:w="130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r>
        <w:tc>
          <w:tcPr>
            <w:tcW w:type="dxa" w:w="1304"/>
            <w:tcW w:w="13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r>
        <w:tc>
          <w:tcPr>
            <w:tcW w:type="dxa" w:w="1304"/>
            <w:tcW w:w="130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5F5F5"/>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r>
        <w:tc>
          <w:tcPr>
            <w:tcW w:type="dxa" w:w="1304"/>
            <w:tcW w:w="130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531"/>
            <w:tcW w:w="153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2268"/>
            <w:tcW w:w="2268"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984"/>
            <w:tcW w:w="1984"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1701"/>
            <w:tcW w:w="1701"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c>
          <w:tcPr>
            <w:tcW w:type="dxa" w:w="850"/>
            <w:tcW w:w="850" w:type="dxa"/>
            <w:shd w:val="clear" w:color="auto" w:fill="FFFFFF"/>
            <w:tcBorders>
              <w:top w:val="single" w:sz="4" w:space="0" w:color="CCCCCC"/>
              <w:left w:val="single" w:sz="4" w:space="0" w:color="CCCCCC"/>
              <w:bottom w:val="single" w:sz="4" w:space="0" w:color="CCCCCC"/>
              <w:right w:val="single" w:sz="4" w:space="0" w:color="CCCCCC"/>
            </w:tcBorders>
            <w:tcMar>
              <w:top w:w="40" w:type="dxa"/>
              <w:bottom w:w="40" w:type="dxa"/>
              <w:left w:w="100" w:type="dxa"/>
              <w:right w:w="100" w:type="dxa"/>
            </w:tcMar>
          </w:tcPr>
          <w:p>
            <w:r/>
            <w:r>
              <w:rPr>
                <w:rFonts w:ascii="Roboto" w:hAnsi="Roboto"/>
                <w:b w:val="0"/>
                <w:i w:val="0"/>
                <w:color w:val="000000"/>
                <w:sz w:val="20"/>
              </w:rPr>
            </w:r>
          </w:p>
        </w:tc>
      </w:tr>
    </w:tbl>
    <w:p>
      <w:pPr>
        <w:spacing w:before="40" w:after="280"/>
      </w:pPr>
      <w:r>
        <w:rPr>
          <w:rFonts w:ascii="Roboto" w:hAnsi="Roboto"/>
          <w:b w:val="0"/>
          <w:i/>
          <w:color w:val="9B9692"/>
          <w:sz w:val="16"/>
        </w:rPr>
        <w:t>Suggested Test Areas to cover: Customer Statement search (Customer/Category); Generate Statement selection &amp; pagination (marking, Select All/Clear All, page navigation); required-field validation; Generate Statement PDF output (layout, roll-up on/off, ageing, multi-customer merge); Email Statement (sent/skipped/failed, recipient/CC handling); background job behaviour on a large selection.</w:t>
      </w:r>
    </w:p>
    <w:p>
      <w:pPr>
        <w:spacing w:before="200" w:after="120"/>
      </w:pPr>
      <w:r>
        <w:rPr>
          <w:rFonts w:ascii="Roboto" w:hAnsi="Roboto"/>
          <w:b/>
          <w:i w:val="0"/>
          <w:color w:val="C0282E"/>
          <w:sz w:val="28"/>
        </w:rPr>
        <w:t>3.2 Deployment &amp; Configuration Setup</w:t>
      </w:r>
    </w:p>
    <w:p>
      <w:pPr>
        <w:spacing w:before="40" w:after="160"/>
      </w:pPr>
      <w:r>
        <w:rPr>
          <w:rFonts w:ascii="Roboto" w:hAnsi="Roboto"/>
          <w:b w:val="0"/>
          <w:i w:val="0"/>
          <w:color w:val="000000"/>
          <w:sz w:val="20"/>
        </w:rPr>
        <w:t>This customisation creates no new custom records, fields or lists, but several deployment-time configuration steps are required and are not captured in this project's SDF source - see the deployment notes on the Scripts table in Section 2.4.</w:t>
      </w:r>
    </w:p>
    <w:p>
      <w:pPr>
        <w:pStyle w:val="ListNumber"/>
      </w:pPr>
      <w:r>
        <w:rPr>
          <w:rFonts w:ascii="Roboto" w:hAnsi="Roboto"/>
          <w:b w:val="0"/>
          <w:i w:val="0"/>
          <w:color w:val="000000"/>
          <w:sz w:val="20"/>
        </w:rPr>
        <w:t>Deploy the Customer Statement Suitelet (bb1_qpg_cstmt_cls_sl.js) as customscript_bb1_qpg_cstmt_cls_sl, deployment id customdeploy_bb1_qpg_cstmt_cls_sl.</w:t>
      </w:r>
    </w:p>
    <w:p>
      <w:pPr>
        <w:pStyle w:val="ListNumber"/>
      </w:pPr>
      <w:r>
        <w:rPr>
          <w:rFonts w:ascii="Roboto" w:hAnsi="Roboto"/>
          <w:b w:val="0"/>
          <w:i w:val="0"/>
          <w:color w:val="000000"/>
          <w:sz w:val="20"/>
        </w:rPr>
        <w:t>Deploy the Generate Statement Suitelet (bb1_qpg_cstmt_gts_sl.js) as customscript_bb1_qpg_cstmt_gts_sl, deployment id customdeploy_bb1_qpg_cstmt_gts_sl, and add the custscript_bb1_qpg_cstmt_cust_list_sea Script Parameter holding the internal id of the saved Customer List search.</w:t>
      </w:r>
    </w:p>
    <w:p>
      <w:pPr>
        <w:pStyle w:val="ListNumber"/>
      </w:pPr>
      <w:r>
        <w:rPr>
          <w:rFonts w:ascii="Roboto" w:hAnsi="Roboto"/>
          <w:b w:val="0"/>
          <w:i w:val="0"/>
          <w:color w:val="000000"/>
          <w:sz w:val="20"/>
        </w:rPr>
        <w:t>Manually create a Map/Reduce Script record and deployment for bb1_qpg_cstmt_gts_mr.js as customscript_bb1_qpg_cstmt_gts_mr, with Free-Form Text Parameters: custscript_bb1_qpg_cstmt_mr_run_id, custscript_bb1_qpg_cstmt_mr_customer_ids, custscript_bb1_qpg_cstmt_mr_start_date, custscript_bb1_qpg_cstmt_mr_stmnt_date, and custscript_bb1_qpg_cstmt_mr_rollup.</w:t>
      </w:r>
    </w:p>
    <w:p>
      <w:pPr>
        <w:pStyle w:val="ListNumber"/>
      </w:pPr>
      <w:r>
        <w:rPr>
          <w:rFonts w:ascii="Roboto" w:hAnsi="Roboto"/>
          <w:b w:val="0"/>
          <w:i w:val="0"/>
          <w:color w:val="000000"/>
          <w:sz w:val="20"/>
        </w:rPr>
        <w:t>Manually create a Map/Reduce Script record and an on-demand deployment for bb1_qpg_cstmt_gts_email_mr.js as customscript_bb1_qpg_cstmt_gts_email_mr, with Free-Form Text Parameters: custscript_bb1_qpg_cstmt_eml_run_id, custscript_bb1_qpg_cstmt_eml_cust_ids, custscript_bb1_qpg_cstmt_eml_start_date, custscript_bb1_qpg_cstmt_eml_stmnt_date, and custscript_bb1_qpg_cstmt_eml_rollup. There is no AUTHOR_ID parameter - the sender is resolved per customer from their subsidiary (see the Customer Statement Author field below).</w:t>
      </w:r>
    </w:p>
    <w:p>
      <w:pPr>
        <w:pStyle w:val="ListNumber"/>
      </w:pPr>
      <w:r>
        <w:rPr>
          <w:rFonts w:ascii="Roboto" w:hAnsi="Roboto"/>
          <w:b w:val="0"/>
          <w:i w:val="0"/>
          <w:color w:val="000000"/>
          <w:sz w:val="20"/>
        </w:rPr>
        <w:t>Add a second deployment on the same script, customdeploy_bb1_qpg_cstmt_gts_email_mrs, type Scheduled, recurring on the 20th of each month. Leave every one of its Free-Form Text Parameters blank - a blank custscript_bb1_qpg_cstmt_eml_cust_ids falls back to the full Customer List search, and blank dates fall back to the computed defaults (see Section 2.7).</w:t>
      </w:r>
    </w:p>
    <w:p>
      <w:pPr>
        <w:pStyle w:val="ListNumber"/>
      </w:pPr>
      <w:r>
        <w:rPr>
          <w:rFonts w:ascii="Roboto" w:hAnsi="Roboto"/>
          <w:b w:val="0"/>
          <w:i w:val="0"/>
          <w:color w:val="000000"/>
          <w:sz w:val="20"/>
        </w:rPr>
        <w:t>On the Customer List saved search's Script Parameter, custscript_bb1_qpg_cstmt_cust_list_sea, check Store Value so it becomes a Company Preference readable by both the Suitelet and the Scheduled Map/Reduce deployment, then set its value (Setup &gt; Company &gt; General Preferences) to the saved search's internal id.</w:t>
      </w:r>
    </w:p>
    <w:p>
      <w:pPr>
        <w:pStyle w:val="ListNumber"/>
      </w:pPr>
      <w:r>
        <w:rPr>
          <w:rFonts w:ascii="Roboto" w:hAnsi="Roboto"/>
          <w:b w:val="0"/>
          <w:i w:val="0"/>
          <w:color w:val="000000"/>
          <w:sz w:val="20"/>
        </w:rPr>
        <w:t>Confirm File Cabinet folder id 1649 exists and is writable (the temporary merged-PDF output folder for Generate Statement); update OUTPUT_FOLDER_ID in bb1_qpg_cstmt_gts_mr.js if a different folder should be used.</w:t>
      </w:r>
    </w:p>
    <w:p>
      <w:pPr>
        <w:pStyle w:val="ListNumber"/>
      </w:pPr>
      <w:r>
        <w:rPr>
          <w:rFonts w:ascii="Roboto" w:hAnsi="Roboto"/>
          <w:b w:val="0"/>
          <w:i w:val="0"/>
          <w:color w:val="000000"/>
          <w:sz w:val="20"/>
        </w:rPr>
        <w:t>Add Customer Statement Author, Queries Email and Queries Whatsapp Number (custrecord_bb1_cust_statement_author, custrecord_bb1_queries_email, custrecord_bb1_queries_whatsapp - Section 2.2) to every Subsidiary that will send statement emails, especially before relying on the scheduled monthly run: a subsidiary with no Customer Statement Author configured causes every one of its customers to be silently skipped rather than emailed.</w:t>
      </w:r>
    </w:p>
    <w:p>
      <w:pPr>
        <w:pStyle w:val="ListNumber"/>
      </w:pPr>
      <w:r>
        <w:rPr>
          <w:rFonts w:ascii="Roboto" w:hAnsi="Roboto"/>
          <w:b w:val="0"/>
          <w:i w:val="0"/>
          <w:color w:val="000000"/>
          <w:sz w:val="20"/>
        </w:rPr>
        <w:t>Confirm custentity_bb1_statement_email and custentity_bb1_statement_email_cc exist on the Customer record, and populate them for every customer who should receive statements by email.</w:t>
      </w:r>
    </w:p>
    <w:p>
      <w:pPr>
        <w:pStyle w:val="ListNumber"/>
      </w:pPr>
      <w:r>
        <w:rPr>
          <w:rFonts w:ascii="Roboto" w:hAnsi="Roboto"/>
          <w:b w:val="0"/>
          <w:i w:val="0"/>
          <w:color w:val="000000"/>
          <w:sz w:val="20"/>
        </w:rPr>
        <w:t>Confirm the pre-existing fields listed in Section 2.2 (Customer, Transaction body and Subsidiary fields/segments) already exist and are populated - these were added in earlier Quorum implementation phases, not by this customisation.</w:t>
      </w:r>
    </w:p>
    <w:p>
      <w:pPr>
        <w:pStyle w:val="ListNumber"/>
      </w:pPr>
      <w:r>
        <w:rPr>
          <w:rFonts w:ascii="Roboto" w:hAnsi="Roboto"/>
          <w:b w:val="0"/>
          <w:i w:val="0"/>
          <w:color w:val="000000"/>
          <w:sz w:val="20"/>
        </w:rPr>
        <w:t>Confirm the Quorum Contracts monthly scripts (see the BRS assumption in Section 1.2) have already run for the relevant period before generating statements, since the invoice data statemented here depends on them.</w:t>
      </w:r>
    </w:p>
    <w:p>
      <w:pPr>
        <w:pStyle w:val="ListNumber"/>
      </w:pPr>
      <w:r>
        <w:rPr>
          <w:rFonts w:ascii="Roboto" w:hAnsi="Roboto"/>
          <w:b w:val="0"/>
          <w:i w:val="0"/>
          <w:color w:val="000000"/>
          <w:sz w:val="20"/>
        </w:rPr>
        <w:t>Known issue (fixed 8 September 2026): a join added to the Customer List saved search to reach the three new Subsidiary fields above was one-to-many (a customer can sit under more than one subsidiary), which broke Customer List pagination on its last page. gts_form_lib.js's row rendering is now guarded against it, but the recommended fix is still to keep those three fields off the Customer List search entirely - gts_pdf_lib.js already reads them directly from the Subsidiary record via SuiteQL, so the search never needed the join.</w:t>
      </w:r>
    </w:p>
    <w:p>
      <w:pPr>
        <w:pStyle w:val="ListNumber"/>
      </w:pPr>
      <w:r>
        <w:rPr>
          <w:rFonts w:ascii="Roboto" w:hAnsi="Roboto"/>
          <w:b w:val="0"/>
          <w:i w:val="0"/>
          <w:color w:val="000000"/>
          <w:sz w:val="20"/>
        </w:rPr>
        <w:t>Known gap: the statement's "Entity Reg. No." line has no field bound to it yet - bb1_qpg_cstmt_gts_pdf_lib.js leaves entity_reg_no blank pending confirmation of which Subsidiary-level field should supply it (distinct from Entity VAT No. and Recipient Registration No., which are already wired up). Confirm the source field with Quorum before go-live.</w:t>
      </w:r>
    </w:p>
    <w:p>
      <w:pPr>
        <w:pStyle w:val="ListNumber"/>
      </w:pPr>
      <w:r>
        <w:rPr>
          <w:rFonts w:ascii="Roboto" w:hAnsi="Roboto"/>
          <w:b w:val="0"/>
          <w:i w:val="0"/>
          <w:color w:val="000000"/>
          <w:sz w:val="20"/>
        </w:rPr>
        <w:t>Confirm with Quorum whether the statement's payment link/logo should point to Peach Payments (as currently implemented, sourced from custrecord_bb1_peach_payment_url/_image on the Subsidiary) or Ozow (as shown in the reference sample statements in Section 2.7) - the two providers differ.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wjI3tsNbXEn9B7uJFitM2yVo1r2yW7CUgs9e5nQ1Odo/edit?tab=t.0" TargetMode="External"/><Relationship Id="rId10" Type="http://schemas.openxmlformats.org/officeDocument/2006/relationships/hyperlink" Target="https://docs.google.com/document/d/1SAVNacnxpZ0WIQhK6tY6jN8gzMs--dXqyMUz91YDz1s/edit?tab=t.0" TargetMode="External"/><Relationship Id="rId11" Type="http://schemas.openxmlformats.org/officeDocument/2006/relationships/hyperlink" Target="https://drive.google.com/drive/folders/1QzqVvD545gXVDjMuBHe8jF_-75BspUY9?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