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Roboto" w:hAnsi="Roboto"/>
          <w:b/>
          <w:i w:val="0"/>
          <w:color w:val="2478AA"/>
          <w:sz w:val="96"/>
        </w:rPr>
        <w:t>BB1</w:t>
      </w:r>
    </w:p>
    <w:p>
      <w:pPr>
        <w:jc w:val="center"/>
      </w:pPr>
      <w:r>
        <w:rPr>
          <w:rFonts w:ascii="Roboto" w:hAnsi="Roboto"/>
          <w:b/>
          <w:i w:val="0"/>
          <w:color w:val="2478AA"/>
          <w:sz w:val="56"/>
        </w:rPr>
        <w:t>Technical Notes</w:t>
      </w:r>
    </w:p>
    <w:p>
      <w:pPr>
        <w:spacing w:before="800"/>
        <w:jc w:val="center"/>
      </w:pPr>
      <w:r>
        <w:rPr>
          <w:rFonts w:ascii="Roboto" w:hAnsi="Roboto"/>
          <w:b/>
          <w:i w:val="0"/>
          <w:color w:val="C0282E"/>
          <w:sz w:val="44"/>
        </w:rPr>
        <w:t>Quorum</w:t>
      </w:r>
    </w:p>
    <w:p>
      <w:pPr>
        <w:jc w:val="center"/>
      </w:pPr>
      <w:r>
        <w:rPr>
          <w:rFonts w:ascii="Roboto" w:hAnsi="Roboto"/>
          <w:b/>
          <w:i w:val="0"/>
          <w:color w:val="2478AA"/>
          <w:sz w:val="36"/>
        </w:rPr>
        <w:t>Pre-Billing Report (Tenant Billing History)</w:t>
      </w:r>
    </w:p>
    <w:p>
      <w:pPr>
        <w:spacing w:before="800"/>
        <w:jc w:val="center"/>
      </w:pPr>
      <w:r>
        <w:rPr>
          <w:rFonts w:ascii="Roboto" w:hAnsi="Roboto"/>
          <w:b w:val="0"/>
          <w:i w:val="0"/>
          <w:color w:val="9B9692"/>
          <w:sz w:val="22"/>
        </w:rPr>
        <w:t>Author: Jared Espineli   |   Date: 17 September 2026</w:t>
      </w:r>
    </w:p>
    <w:p>
      <w:r>
        <w:br w:type="page"/>
      </w:r>
    </w:p>
    <w:p>
      <w:pPr>
        <w:spacing w:before="280" w:after="120"/>
      </w:pPr>
      <w:r>
        <w:rPr>
          <w:rFonts w:ascii="Roboto" w:hAnsi="Roboto"/>
          <w:b/>
          <w:i w:val="0"/>
          <w:color w:val="2478AA"/>
          <w:sz w:val="32"/>
        </w:rPr>
        <w:t>1. Overview</w:t>
      </w:r>
    </w:p>
    <w:p>
      <w:pPr>
        <w:spacing w:before="200" w:after="120"/>
      </w:pPr>
      <w:r>
        <w:rPr>
          <w:rFonts w:ascii="Roboto" w:hAnsi="Roboto"/>
          <w:b/>
          <w:i w:val="0"/>
          <w:color w:val="2478AA"/>
          <w:sz w:val="26"/>
        </w:rPr>
        <w:t>1.1 Introduction</w:t>
      </w:r>
    </w:p>
    <w:p>
      <w:pPr>
        <w:spacing w:before="40" w:after="160"/>
      </w:pPr>
      <w:r>
        <w:rPr>
          <w:rFonts w:ascii="Roboto" w:hAnsi="Roboto"/>
          <w:b w:val="0"/>
          <w:i w:val="0"/>
          <w:color w:val="000000"/>
          <w:sz w:val="20"/>
        </w:rPr>
        <w:t>The Pre-Billing Report gives Quorum's finance and billing team a way to check every tenant's billing history before the monthly billing run is executed, rather than discovering a mistake only after invoices have gone out. Modelled on the equivalent "Pre-Billing Check" report Quorum used in MRI, it is delivered as a single NetSuite Suitelet: a user narrows the run to a Property Portfolio, Property, Accommodation Type and/or Tenant, picks the billing period to review and how many months of history to include, and the report assembles each tenant's opening balance, itemised charges, receipts, credits and any bad debt movement into a running-balance ledger, with a portfolio-wide reconciliation check at the end. The result can be reviewed on screen, printed to a branded PDF, or exported to CSV, so any discrepancy - an invoice not agreeing with its posted amount, or a balance that doesn't prove - is caught and corrected before tenants are billed.</w:t>
      </w:r>
    </w:p>
    <w:p>
      <w:pPr>
        <w:spacing w:before="200" w:after="120"/>
      </w:pPr>
      <w:r>
        <w:rPr>
          <w:rFonts w:ascii="Roboto" w:hAnsi="Roboto"/>
          <w:b/>
          <w:i w:val="0"/>
          <w:color w:val="2478AA"/>
          <w:sz w:val="26"/>
        </w:rPr>
        <w:t>1.2 BRS / Specification</w:t>
      </w:r>
    </w:p>
    <w:p>
      <w:pPr>
        <w:spacing w:after="80"/>
      </w:pPr>
      <w:r>
        <w:rPr>
          <w:rFonts w:ascii="Roboto" w:hAnsi="Roboto"/>
          <w:b/>
          <w:i w:val="0"/>
          <w:color w:val="000000"/>
          <w:sz w:val="20"/>
        </w:rPr>
        <w:t xml:space="preserve">Service Request: </w:t>
      </w:r>
      <w:hyperlink r:id="rId9">
        <w:r>
          <w:rPr>
            <w:rFonts w:ascii="Roboto" w:hAnsi="Roboto"/>
            <w:color w:val="2478AA"/>
            <w:u w:val="single"/>
            <w:sz w:val="20"/>
          </w:rPr>
          <w:t>Pre-Billing Report - Service Request</w:t>
        </w:r>
      </w:hyperlink>
    </w:p>
    <w:p>
      <w:pPr>
        <w:spacing w:after="80"/>
      </w:pPr>
      <w:r>
        <w:rPr>
          <w:rFonts w:ascii="Roboto" w:hAnsi="Roboto"/>
          <w:b/>
          <w:i w:val="0"/>
          <w:color w:val="000000"/>
          <w:sz w:val="20"/>
        </w:rPr>
        <w:t xml:space="preserve">Related BRS (contract/charge data this report depends on): </w:t>
      </w:r>
      <w:hyperlink r:id="rId10">
        <w:r>
          <w:rPr>
            <w:rFonts w:ascii="Roboto" w:hAnsi="Roboto"/>
            <w:color w:val="2478AA"/>
            <w:u w:val="single"/>
            <w:sz w:val="20"/>
          </w:rPr>
          <w:t>Quorum Contracts</w:t>
        </w:r>
      </w:hyperlink>
    </w:p>
    <w:p>
      <w:pPr>
        <w:spacing w:after="80"/>
      </w:pPr>
      <w:r>
        <w:rPr>
          <w:rFonts w:ascii="Roboto" w:hAnsi="Roboto"/>
          <w:b/>
          <w:i w:val="0"/>
          <w:color w:val="000000"/>
          <w:sz w:val="20"/>
        </w:rPr>
        <w:t xml:space="preserve">Sample report referenced in the Service Request: </w:t>
      </w:r>
      <w:hyperlink r:id="rId11">
        <w:r>
          <w:rPr>
            <w:rFonts w:ascii="Roboto" w:hAnsi="Roboto"/>
            <w:color w:val="2478AA"/>
            <w:u w:val="single"/>
            <w:sz w:val="20"/>
          </w:rPr>
          <w:t>Pre-Billing Report (Drive file)</w:t>
        </w:r>
      </w:hyperlink>
    </w:p>
    <w:p>
      <w:pPr>
        <w:spacing w:after="240"/>
      </w:pPr>
      <w:r>
        <w:rPr>
          <w:rFonts w:ascii="Roboto" w:hAnsi="Roboto"/>
          <w:b/>
          <w:i w:val="0"/>
          <w:color w:val="000000"/>
          <w:sz w:val="20"/>
        </w:rPr>
        <w:t xml:space="preserve">Teamwork task: </w:t>
      </w:r>
      <w:hyperlink r:id="rId12">
        <w:r>
          <w:rPr>
            <w:rFonts w:ascii="Roboto" w:hAnsi="Roboto"/>
            <w:color w:val="2478AA"/>
            <w:u w:val="single"/>
            <w:sz w:val="20"/>
          </w:rPr>
          <w:t>43431016</w:t>
        </w:r>
      </w:hyperlink>
    </w:p>
    <w:p>
      <w:pPr>
        <w:spacing w:before="200" w:after="120"/>
      </w:pPr>
      <w:r>
        <w:rPr>
          <w:rFonts w:ascii="Roboto" w:hAnsi="Roboto"/>
          <w:b/>
          <w:i w:val="0"/>
          <w:color w:val="2478AA"/>
          <w:sz w:val="26"/>
        </w:rPr>
        <w:t>1.3 Development Environment</w:t>
      </w:r>
    </w:p>
    <w:p>
      <w:pPr>
        <w:spacing w:before="40" w:after="160"/>
      </w:pPr>
      <w:r>
        <w:rPr>
          <w:rFonts w:ascii="Roboto" w:hAnsi="Roboto"/>
          <w:b w:val="0"/>
          <w:i w:val="0"/>
          <w:color w:val="000000"/>
          <w:sz w:val="20"/>
        </w:rPr>
        <w:t>Quorum Production - NetSuite Account 11536405. This customisation was built and is deployed directly in the production account; there is no separate sandbox deployment for it.</w:t>
      </w:r>
    </w:p>
    <w:p>
      <w:pPr>
        <w:spacing w:before="200" w:after="120"/>
      </w:pPr>
      <w:r>
        <w:rPr>
          <w:rFonts w:ascii="Roboto" w:hAnsi="Roboto"/>
          <w:b/>
          <w:i w:val="0"/>
          <w:color w:val="C0282E"/>
          <w:sz w:val="28"/>
        </w:rPr>
        <w:t>1.4 Business Requirements</w:t>
      </w:r>
    </w:p>
    <w:p>
      <w:pPr>
        <w:spacing w:before="200" w:after="120"/>
      </w:pPr>
      <w:r>
        <w:rPr>
          <w:rFonts w:ascii="Roboto" w:hAnsi="Roboto"/>
          <w:b/>
          <w:i w:val="0"/>
          <w:color w:val="2478AA"/>
          <w:sz w:val="26"/>
        </w:rPr>
        <w:t>1.4.1 Summary</w:t>
      </w:r>
    </w:p>
    <w:p>
      <w:pPr>
        <w:spacing w:before="40" w:after="160"/>
      </w:pPr>
      <w:r>
        <w:rPr>
          <w:rFonts w:ascii="Roboto" w:hAnsi="Roboto"/>
          <w:b w:val="0"/>
          <w:i w:val="0"/>
          <w:color w:val="000000"/>
          <w:sz w:val="20"/>
        </w:rPr>
        <w:t>Before Quorum runs its monthly tenant billing, the finance team needs confidence that every tenant's account is accurate - that charges, receipts and credits already posted agree with what will appear on the next invoice, and that no balance has drifted out of reconciliation. The Pre-Billing Report customisation gives them a self-service way to check this directly in NetSuite: select the portfolio, property or tenant to review, choose how many billing periods of history to look back over, and the system produces a period-by-period ledger for every matching tenant, complete with a running balance and a portfolio-wide total that proves the opening balance plus all movement equals the closing balance. Anything that would otherwise only surface as a tenant dispute or a retroactive credit note after billing - an unreconciled invoice, an unexpected write-off, a balance that doesn't prove - is instead caught and corrected in advance, improving the accuracy of every invoice and reducing the manual rework the billing cycle currently generates.</w:t>
      </w:r>
    </w:p>
    <w:p>
      <w:pPr>
        <w:spacing w:before="200" w:after="120"/>
      </w:pPr>
      <w:r>
        <w:rPr>
          <w:rFonts w:ascii="Roboto" w:hAnsi="Roboto"/>
          <w:b/>
          <w:i w:val="0"/>
          <w:color w:val="2478AA"/>
          <w:sz w:val="26"/>
        </w:rPr>
        <w:t>1.4.2 Selecting which tenants to review</w:t>
      </w:r>
    </w:p>
    <w:p>
      <w:pPr>
        <w:spacing w:before="40" w:after="160"/>
      </w:pPr>
      <w:r>
        <w:rPr>
          <w:rFonts w:ascii="Roboto" w:hAnsi="Roboto"/>
          <w:b w:val="0"/>
          <w:i w:val="0"/>
          <w:color w:val="000000"/>
          <w:sz w:val="20"/>
        </w:rPr>
        <w:t>A pre-billing run starts on a single selection screen where the user narrows the report by Property Portfolio, Property, Accommodation Type and Tenant, in any combination - selecting more than one of these narrows the run further rather than replacing the others, so a single property within a portfolio, or a single tenant's units within a property, can all be reviewed together or separately. At least one of Property, Property Portfolio or Tenant must be chosen; an entirely unfiltered run across every tenant in every property is not permitted, keeping each run to a manageable, deliberately scoped selection.</w:t>
      </w:r>
    </w:p>
    <w:p>
      <w:pPr>
        <w:spacing w:before="200" w:after="120"/>
      </w:pPr>
      <w:r>
        <w:rPr>
          <w:rFonts w:ascii="Roboto" w:hAnsi="Roboto"/>
          <w:b/>
          <w:i w:val="0"/>
          <w:color w:val="2478AA"/>
          <w:sz w:val="26"/>
        </w:rPr>
        <w:t>1.4.3 Choosing the billing period and how far back to look</w:t>
      </w:r>
    </w:p>
    <w:p>
      <w:pPr>
        <w:spacing w:before="40" w:after="160"/>
      </w:pPr>
      <w:r>
        <w:rPr>
          <w:rFonts w:ascii="Roboto" w:hAnsi="Roboto"/>
          <w:b w:val="0"/>
          <w:i w:val="0"/>
          <w:color w:val="000000"/>
          <w:sz w:val="20"/>
        </w:rPr>
        <w:t>Alongside the tenant selection, the user picks a Latest Billing Period - defaulting to the month currently being billed - and a Number Of Periods, defaulting to four months to match the MRI pre-billing check Quorum is used to, up to a maximum of twenty-four. The report then builds one period block per month across that window for every matching tenant, each starting from its own opening balance and finishing at a closing balance carried into the next period, so a reviewer can see exactly how a tenant's account moved month by month leading up to the billing run.</w:t>
      </w:r>
    </w:p>
    <w:p>
      <w:pPr>
        <w:spacing w:before="200" w:after="120"/>
      </w:pPr>
      <w:r>
        <w:rPr>
          <w:rFonts w:ascii="Roboto" w:hAnsi="Roboto"/>
          <w:b/>
          <w:i w:val="0"/>
          <w:color w:val="2478AA"/>
          <w:sz w:val="26"/>
        </w:rPr>
        <w:t>1.4.4 Itemised charges, receipts and credits with a running balance</w:t>
      </w:r>
    </w:p>
    <w:p>
      <w:pPr>
        <w:spacing w:before="40" w:after="160"/>
      </w:pPr>
      <w:r>
        <w:rPr>
          <w:rFonts w:ascii="Roboto" w:hAnsi="Roboto"/>
          <w:b w:val="0"/>
          <w:i w:val="0"/>
          <w:color w:val="000000"/>
          <w:sz w:val="20"/>
        </w:rPr>
        <w:t>Within each billing period, every invoice, payment, credit and other account movement posted against the tenant is listed with its date, document number, allocation and remarks, alongside the exclusive, tax and inclusive amounts - matching the layout finance already knows from MRI's own pre-billing check. Where an invoice carries item lines, the report replaces the single invoice row with its individual line items instead, so a reviewer can see exactly what was charged rather than just the invoice total. Each period closes with its own subtotal, carried forward as the opening balance of the next period, giving a continuous running balance across the whole window reviewed.</w:t>
      </w:r>
    </w:p>
    <w:p>
      <w:pPr>
        <w:spacing w:before="200" w:after="120"/>
      </w:pPr>
      <w:r>
        <w:rPr>
          <w:rFonts w:ascii="Roboto" w:hAnsi="Roboto"/>
          <w:b/>
          <w:i w:val="0"/>
          <w:color w:val="2478AA"/>
          <w:sz w:val="26"/>
        </w:rPr>
        <w:t>1.4.5 Reconciliation and bad debt visibility</w:t>
      </w:r>
    </w:p>
    <w:p>
      <w:pPr>
        <w:spacing w:before="40" w:after="160"/>
      </w:pPr>
      <w:r>
        <w:rPr>
          <w:rFonts w:ascii="Roboto" w:hAnsi="Roboto"/>
          <w:b w:val="0"/>
          <w:i w:val="0"/>
          <w:color w:val="000000"/>
          <w:sz w:val="20"/>
        </w:rPr>
        <w:t>Two checks protect the accuracy of the report. First, if an invoice's itemised lines don't add up to the amount actually posted against the tenant's account, the difference is shown as its own "Posted to AR but not itemised" line rather than being silently absorbed, flagging exactly which invoices need investigating before billing. Second, every charge and settlement is classified into a movement bucket - ordinary charges, receipts, credits, bad debt written off, or bad debt recovered - so a reviewer can immediately see where a tenant's balance has been affected by a write-off or a recovery, tagged clearly against the relevant line, rather than needing to interpret it from the raw transaction alone.</w:t>
      </w:r>
    </w:p>
    <w:p>
      <w:pPr>
        <w:spacing w:before="200" w:after="120"/>
      </w:pPr>
      <w:r>
        <w:rPr>
          <w:rFonts w:ascii="Roboto" w:hAnsi="Roboto"/>
          <w:b/>
          <w:i w:val="0"/>
          <w:color w:val="2478AA"/>
          <w:sz w:val="26"/>
        </w:rPr>
        <w:t>1.4.6 Portfolio-wide summary and proof</w:t>
      </w:r>
    </w:p>
    <w:p>
      <w:pPr>
        <w:spacing w:before="40" w:after="160"/>
      </w:pPr>
      <w:r>
        <w:rPr>
          <w:rFonts w:ascii="Roboto" w:hAnsi="Roboto"/>
          <w:b w:val="0"/>
          <w:i w:val="0"/>
          <w:color w:val="000000"/>
          <w:sz w:val="20"/>
        </w:rPr>
        <w:t>Once every selected tenant has been listed, the report closes with a portfolio-wide summary: total opening balance, total movement broken down the same way (charges, receipts, credits, write-offs, recoveries) grouped by allocation, and the resulting closing balance. That closing figure is proved against the opening balance plus total movement, and if the two don't agree - beyond a very small rounding tolerance - the report shows an explicit warning calling out the variance, so a reconciling issue affecting the whole selection is caught even if no single tenant's own figures looked wrong.</w:t>
      </w:r>
    </w:p>
    <w:p>
      <w:pPr>
        <w:spacing w:before="200" w:after="120"/>
      </w:pPr>
      <w:r>
        <w:rPr>
          <w:rFonts w:ascii="Roboto" w:hAnsi="Roboto"/>
          <w:b/>
          <w:i w:val="0"/>
          <w:color w:val="2478AA"/>
          <w:sz w:val="26"/>
        </w:rPr>
        <w:t>1.4.7 Reviewing, printing and exporting the report</w:t>
      </w:r>
    </w:p>
    <w:p>
      <w:pPr>
        <w:spacing w:before="40" w:after="160"/>
      </w:pPr>
      <w:r>
        <w:rPr>
          <w:rFonts w:ascii="Roboto" w:hAnsi="Roboto"/>
          <w:b w:val="0"/>
          <w:i w:val="0"/>
          <w:color w:val="000000"/>
          <w:sz w:val="20"/>
        </w:rPr>
        <w:t>The finished report can be reviewed directly on screen, downloaded as a branded PDF carrying the relevant subsidiary's logo in its header, or exported as a CSV for further analysis in a spreadsheet. A very large selection - more tenants or periods than can reasonably be laid out on a PDF - is capped and the user is directed to narrow the selection or use the CSV export instead, so the report never fails silently on an oversized run; the on-screen and CSV views carry no such limit.</w:t>
      </w:r>
    </w:p>
    <w:p>
      <w:r>
        <w:br w:type="page"/>
      </w:r>
    </w:p>
    <w:p>
      <w:pPr>
        <w:spacing w:before="280" w:after="120"/>
      </w:pPr>
      <w:r>
        <w:rPr>
          <w:rFonts w:ascii="Roboto" w:hAnsi="Roboto"/>
          <w:b/>
          <w:i w:val="0"/>
          <w:color w:val="2478AA"/>
          <w:sz w:val="32"/>
        </w:rPr>
        <w:t>2. Components</w:t>
      </w:r>
    </w:p>
    <w:p>
      <w:pPr>
        <w:spacing w:before="40" w:after="160"/>
      </w:pPr>
      <w:r>
        <w:rPr>
          <w:rFonts w:ascii="Roboto" w:hAnsi="Roboto"/>
          <w:b w:val="0"/>
          <w:i w:val="0"/>
          <w:color w:val="000000"/>
          <w:sz w:val="20"/>
        </w:rPr>
        <w:t>This customisation introduces no new custom records, fields or lists of its own. It reads Quorum's standard AR transactions (invoices, payments, credits, deposits and journals) via SuiteQL, together with the property/lease hierarchy - Building, Unit, Utilised Charges and their supporting lists - that belongs to the separate Quorum Contracts customisation. Per that document's own assumption, its monthly scripts must already have run for the periods being reviewed, since the invoice and AR data this report reads depends on them.</w:t>
      </w:r>
    </w:p>
    <w:p>
      <w:pPr>
        <w:spacing w:before="200" w:after="120"/>
      </w:pPr>
      <w:r>
        <w:rPr>
          <w:rFonts w:ascii="Roboto" w:hAnsi="Roboto"/>
          <w:b/>
          <w:i w:val="0"/>
          <w:color w:val="C0282E"/>
          <w:sz w:val="28"/>
        </w:rPr>
        <w:t>2.1 Custom Records Referenced (pre-existing)</w:t>
      </w:r>
    </w:p>
    <w:tbl>
      <w:tblPr>
        <w:tblW w:type="auto" w:w="0"/>
        <w:jc w:val="center"/>
        <w:tblLook w:firstColumn="1" w:firstRow="1" w:lastColumn="0" w:lastRow="0" w:noHBand="0" w:noVBand="1" w:val="04A0"/>
        <w:tblLayout w:type="fixed"/>
        <w:tblW w:w="9639" w:type="dxa"/>
      </w:tblPr>
      <w:tblGrid>
        <w:gridCol w:w="2268"/>
        <w:gridCol w:w="2835"/>
        <w:gridCol w:w="2551"/>
        <w:gridCol w:w="1984"/>
      </w:tblGrid>
      <w:tr>
        <w:tc>
          <w:tcPr>
            <w:tcW w:type="dxa" w:w="2268"/>
            <w:tcW w:w="226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Record Name</w:t>
            </w:r>
          </w:p>
        </w:tc>
        <w:tc>
          <w:tcPr>
            <w:tcW w:type="dxa" w:w="2835"/>
            <w:tcW w:w="2835"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Record Internal ID</w:t>
            </w:r>
          </w:p>
        </w:tc>
        <w:tc>
          <w:tcPr>
            <w:tcW w:type="dxa" w:w="2551"/>
            <w:tcW w:w="2551"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Field(s) Used</w:t>
            </w:r>
          </w:p>
        </w:tc>
        <w:tc>
          <w:tcPr>
            <w:tcW w:type="dxa" w:w="1984"/>
            <w:tcW w:w="1984"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Purpose Here</w:t>
            </w:r>
          </w:p>
        </w:tc>
      </w:tr>
      <w:tr>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Building (Property segment)</w:t>
            </w:r>
          </w:p>
        </w:tc>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customrecord_​cseg_​bb1_​building</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custrecord_​bb1_​building_​portfolio</w:t>
            </w:r>
          </w:p>
        </w:tc>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Filters the tenant directory by Property Portfolio, and identifies each tenant's property</w:t>
            </w:r>
          </w:p>
        </w:tc>
      </w:tr>
      <w:tr>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Unit (segment)</w:t>
            </w:r>
          </w:p>
        </w:tc>
        <w:tc>
          <w:tcPr>
            <w:tcW w:type="dxa" w:w="2835"/>
            <w:tcW w:w="283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customrecord_​cseg_​bb1_​unit</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custrecord_​bb1_​unit_​accommodation_​type</w:t>
            </w:r>
          </w:p>
        </w:tc>
        <w:tc>
          <w:tcPr>
            <w:tcW w:type="dxa" w:w="1984"/>
            <w:tcW w:w="198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Filters the tenant directory by Accommodation Type, and identifies each tenant's unit</w:t>
            </w:r>
          </w:p>
        </w:tc>
      </w:tr>
      <w:tr>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Utilised Charges</w:t>
            </w:r>
          </w:p>
        </w:tc>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customrecord_​bb1_​utilised_​charges</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custrecord_​bb1_​utilised_​invoice, _item, _type, _status, _​discount_​amount</w:t>
            </w:r>
          </w:p>
        </w:tc>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Classifies each invoice/item combination's charge type and status, and supplies the discount amount shown against a discounted line</w:t>
            </w:r>
          </w:p>
        </w:tc>
      </w:tr>
    </w:tbl>
    <w:p>
      <w:pPr>
        <w:spacing w:before="40" w:after="280"/>
      </w:pPr>
      <w:r>
        <w:rPr>
          <w:rFonts w:ascii="Roboto" w:hAnsi="Roboto"/>
          <w:b w:val="0"/>
          <w:i/>
          <w:color w:val="9B9692"/>
          <w:sz w:val="16"/>
        </w:rPr>
        <w:t>All three records belong to the Quorum Contracts customisation (Section 1.2) and are not created or modified by this project's SDF source.</w:t>
      </w:r>
    </w:p>
    <w:p>
      <w:pPr>
        <w:spacing w:before="200" w:after="120"/>
      </w:pPr>
      <w:r>
        <w:rPr>
          <w:rFonts w:ascii="Roboto" w:hAnsi="Roboto"/>
          <w:b/>
          <w:i w:val="0"/>
          <w:color w:val="C0282E"/>
          <w:sz w:val="28"/>
        </w:rPr>
        <w:t>2.2 Custom Fields Referenced (pre-existing)</w:t>
      </w:r>
    </w:p>
    <w:tbl>
      <w:tblPr>
        <w:tblW w:type="auto" w:w="0"/>
        <w:jc w:val="center"/>
        <w:tblLook w:firstColumn="1" w:firstRow="1" w:lastColumn="0" w:lastRow="0" w:noHBand="0" w:noVBand="1" w:val="04A0"/>
        <w:tblLayout w:type="fixed"/>
        <w:tblW w:w="9639" w:type="dxa"/>
      </w:tblPr>
      <w:tblGrid>
        <w:gridCol w:w="2551"/>
        <w:gridCol w:w="2268"/>
        <w:gridCol w:w="2268"/>
        <w:gridCol w:w="2551"/>
      </w:tblGrid>
      <w:tr>
        <w:tc>
          <w:tcPr>
            <w:tcW w:type="dxa" w:w="2551"/>
            <w:tcW w:w="2551"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Field Name</w:t>
            </w:r>
          </w:p>
        </w:tc>
        <w:tc>
          <w:tcPr>
            <w:tcW w:type="dxa" w:w="2268"/>
            <w:tcW w:w="226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Field Internal ID</w:t>
            </w:r>
          </w:p>
        </w:tc>
        <w:tc>
          <w:tcPr>
            <w:tcW w:type="dxa" w:w="2268"/>
            <w:tcW w:w="226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Applied To</w:t>
            </w:r>
          </w:p>
        </w:tc>
        <w:tc>
          <w:tcPr>
            <w:tcW w:type="dxa" w:w="2551"/>
            <w:tcW w:w="2551"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Description</w:t>
            </w:r>
          </w:p>
        </w:tc>
      </w:tr>
      <w:tr>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Building (Property)</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cseg_​bb1_​building</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 - Custom Segment</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Identifies which property a transaction belongs to; joined against for the Property/Portfolio filters and printed as the tenant's Property</w:t>
            </w:r>
          </w:p>
        </w:tc>
      </w:tr>
      <w:tr>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Unit</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cseg_bb1_unit</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 - Custom Segment</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Identifies which unit a transaction belongs to; joined against for the Accommodation Type filter and printed as the tenant's Unit No.</w:t>
            </w:r>
          </w:p>
        </w:tc>
      </w:tr>
      <w:tr>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Subsidiary Logo (Forms)</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logo</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Subsidiary (standard)</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Image shown in the PDF's header - loaded via record.load rather than a saved search, since this field's value isn't returned reliably by search.​lookupFields</w:t>
            </w:r>
          </w:p>
        </w:tc>
      </w:tr>
    </w:tbl>
    <w:p>
      <w:pPr>
        <w:spacing w:after="200"/>
      </w:pPr>
    </w:p>
    <w:p>
      <w:pPr>
        <w:spacing w:before="200" w:after="120"/>
      </w:pPr>
      <w:r>
        <w:rPr>
          <w:rFonts w:ascii="Roboto" w:hAnsi="Roboto"/>
          <w:b/>
          <w:i w:val="0"/>
          <w:color w:val="C0282E"/>
          <w:sz w:val="28"/>
        </w:rPr>
        <w:t>2.3 Custom Lists Referenced (pre-existing)</w:t>
      </w:r>
    </w:p>
    <w:tbl>
      <w:tblPr>
        <w:tblW w:type="auto" w:w="0"/>
        <w:jc w:val="center"/>
        <w:tblLook w:firstColumn="1" w:firstRow="1" w:lastColumn="0" w:lastRow="0" w:noHBand="0" w:noVBand="1" w:val="04A0"/>
        <w:tblLayout w:type="fixed"/>
        <w:tblW w:w="9639" w:type="dxa"/>
      </w:tblPr>
      <w:tblGrid>
        <w:gridCol w:w="3118"/>
        <w:gridCol w:w="3402"/>
        <w:gridCol w:w="3118"/>
      </w:tblGrid>
      <w:tr>
        <w:tc>
          <w:tcPr>
            <w:tcW w:type="dxa" w:w="3118"/>
            <w:tcW w:w="311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List Name</w:t>
            </w:r>
          </w:p>
        </w:tc>
        <w:tc>
          <w:tcPr>
            <w:tcW w:type="dxa" w:w="3402"/>
            <w:tcW w:w="3402"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List Internal ID</w:t>
            </w:r>
          </w:p>
        </w:tc>
        <w:tc>
          <w:tcPr>
            <w:tcW w:type="dxa" w:w="3118"/>
            <w:tcW w:w="311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Purpose Here</w:t>
            </w:r>
          </w:p>
        </w:tc>
      </w:tr>
      <w:tr>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Property Portfolio</w:t>
            </w:r>
          </w:p>
        </w:tc>
        <w:tc>
          <w:tcPr>
            <w:tcW w:type="dxa" w:w="3402"/>
            <w:tcW w:w="340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customlist_​bb1_​building_​prop_​portfolio</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Source list for the Property Portfolio multi-select filter</w:t>
            </w:r>
          </w:p>
        </w:tc>
      </w:tr>
      <w:tr>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Accommodation Type</w:t>
            </w:r>
          </w:p>
        </w:tc>
        <w:tc>
          <w:tcPr>
            <w:tcW w:type="dxa" w:w="3402"/>
            <w:tcW w:w="340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customlist_​bb1_​building_​accommoda_​type</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Source list for the Accommodation Type multi-select filter</w:t>
            </w:r>
          </w:p>
        </w:tc>
      </w:tr>
    </w:tbl>
    <w:p>
      <w:pPr>
        <w:spacing w:before="40" w:after="280"/>
      </w:pPr>
      <w:r>
        <w:rPr>
          <w:rFonts w:ascii="Roboto" w:hAnsi="Roboto"/>
          <w:b w:val="0"/>
          <w:i/>
          <w:color w:val="9B9692"/>
          <w:sz w:val="16"/>
        </w:rPr>
        <w:t>Both lists belong to the Quorum Contracts customisation (Section 1.2) and are not created by this project's SDF source.</w:t>
      </w:r>
    </w:p>
    <w:p>
      <w:pPr>
        <w:spacing w:before="200" w:after="120"/>
      </w:pPr>
      <w:r>
        <w:rPr>
          <w:rFonts w:ascii="Roboto" w:hAnsi="Roboto"/>
          <w:b/>
          <w:i w:val="0"/>
          <w:color w:val="C0282E"/>
          <w:sz w:val="28"/>
        </w:rPr>
        <w:t>2.4 Scripts</w:t>
      </w:r>
    </w:p>
    <w:p>
      <w:pPr>
        <w:spacing w:before="40" w:after="200"/>
      </w:pPr>
      <w:r>
        <w:rPr>
          <w:rFonts w:ascii="Roboto" w:hAnsi="Roboto"/>
          <w:b w:val="0"/>
          <w:i w:val="0"/>
          <w:color w:val="9B9692"/>
          <w:sz w:val="18"/>
        </w:rPr>
        <w:t>File cabinet path: SuiteScripts/[QPG] Pre-Billing/</w:t>
      </w:r>
    </w:p>
    <w:tbl>
      <w:tblPr>
        <w:tblW w:type="auto" w:w="0"/>
        <w:jc w:val="center"/>
        <w:tblLook w:firstColumn="1" w:firstRow="1" w:lastColumn="0" w:lastRow="0" w:noHBand="0" w:noVBand="1" w:val="04A0"/>
        <w:tblLayout w:type="fixed"/>
        <w:tblW w:w="9639" w:type="dxa"/>
      </w:tblPr>
      <w:tblGrid>
        <w:gridCol w:w="2664"/>
        <w:gridCol w:w="567"/>
        <w:gridCol w:w="4479"/>
        <w:gridCol w:w="1927"/>
      </w:tblGrid>
      <w:tr>
        <w:tc>
          <w:tcPr>
            <w:tcW w:type="dxa" w:w="2665"/>
            <w:tcW w:w="2664"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File Name</w:t>
            </w:r>
          </w:p>
        </w:tc>
        <w:tc>
          <w:tcPr>
            <w:tcW w:type="dxa" w:w="567"/>
            <w:tcW w:w="567"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Type</w:t>
            </w:r>
          </w:p>
        </w:tc>
        <w:tc>
          <w:tcPr>
            <w:tcW w:type="dxa" w:w="4479"/>
            <w:tcW w:w="4479"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Function</w:t>
            </w:r>
          </w:p>
        </w:tc>
        <w:tc>
          <w:tcPr>
            <w:tcW w:type="dxa" w:w="1928"/>
            <w:tcW w:w="1927"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Deployed To</w:t>
            </w:r>
          </w:p>
        </w:tc>
      </w:tr>
      <w:tr>
        <w:tc>
          <w:tcPr>
            <w:tcW w:type="dxa" w:w="2665"/>
            <w:tcW w:w="266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bb1_​qpg_​prebill_​sl.​js</w:t>
            </w:r>
          </w:p>
        </w:tc>
        <w:tc>
          <w:tcPr>
            <w:tcW w:type="dxa" w:w="567"/>
            <w:tcW w:w="56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w:t>
            </w:r>
          </w:p>
        </w:tc>
        <w:tc>
          <w:tcPr>
            <w:tcW w:type="dxa" w:w="4479"/>
            <w:tcW w:w="4479"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Suitelet - renders the selection criteria form (Portfolio/Property/Accommodation Type/Tenant, period range, options) and dispatches to screen, PDF or CSV rendering based on the submitted mode</w:t>
            </w:r>
          </w:p>
        </w:tc>
        <w:tc>
          <w:tcPr>
            <w:tcW w:type="dxa" w:w="1928"/>
            <w:tcW w:w="192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Standalone - script/deployment id to be confirmed at deployment (not yet tracked in this project's SDF Objects folder - see Section 3.2)</w:t>
            </w:r>
          </w:p>
        </w:tc>
      </w:tr>
    </w:tbl>
    <w:p>
      <w:pPr>
        <w:spacing w:after="200"/>
      </w:pPr>
    </w:p>
    <w:p>
      <w:pPr>
        <w:spacing w:before="200" w:after="120"/>
      </w:pPr>
      <w:r>
        <w:rPr>
          <w:rFonts w:ascii="Roboto" w:hAnsi="Roboto"/>
          <w:b/>
          <w:i w:val="0"/>
          <w:color w:val="C0282E"/>
          <w:sz w:val="28"/>
        </w:rPr>
        <w:t>2.5 Other Files</w:t>
      </w:r>
    </w:p>
    <w:p>
      <w:pPr>
        <w:spacing w:before="40" w:after="200"/>
      </w:pPr>
      <w:r>
        <w:rPr>
          <w:rFonts w:ascii="Roboto" w:hAnsi="Roboto"/>
          <w:b w:val="0"/>
          <w:i w:val="0"/>
          <w:color w:val="9B9692"/>
          <w:sz w:val="18"/>
        </w:rPr>
        <w:t>Supporting library module used by the script above - not a separate deployed script in its own right.</w:t>
      </w:r>
    </w:p>
    <w:tbl>
      <w:tblPr>
        <w:tblW w:type="auto" w:w="0"/>
        <w:jc w:val="center"/>
        <w:tblLook w:firstColumn="1" w:firstRow="1" w:lastColumn="0" w:lastRow="0" w:noHBand="0" w:noVBand="1" w:val="04A0"/>
        <w:tblLayout w:type="fixed"/>
        <w:tblW w:w="9639" w:type="dxa"/>
      </w:tblPr>
      <w:tblGrid>
        <w:gridCol w:w="3118"/>
        <w:gridCol w:w="6520"/>
      </w:tblGrid>
      <w:tr>
        <w:tc>
          <w:tcPr>
            <w:tcW w:type="dxa" w:w="3118"/>
            <w:tcW w:w="311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File Name</w:t>
            </w:r>
          </w:p>
        </w:tc>
        <w:tc>
          <w:tcPr>
            <w:tcW w:type="dxa" w:w="6520"/>
            <w:tcW w:w="6520"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Function</w:t>
            </w:r>
          </w:p>
        </w:tc>
      </w:tr>
      <w:tr>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bb1_​qpg_​prebill_​lib.​js</w:t>
            </w:r>
          </w:p>
        </w:tc>
        <w:tc>
          <w:tcPr>
            <w:tcW w:type="dxa" w:w="6520"/>
            <w:tcW w:w="652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Shared library - reads and validates the selection criteria; assembles the tenant directory, opening balances, AR activity, invoice lines and Utilised Charges classification via SuiteQL; classifies bad debt write-off/recovery; builds the per-tenant period ledger and portfolio-wide summary/proof; and renders the on-screen HTML, PDF and CSV output. Loaded by bb1_​qpg_​prebill_​sl.​js as a CommonJS module (.​/bb1_​qpg_​prebill_​lib), not deployed independently</w:t>
            </w:r>
          </w:p>
        </w:tc>
      </w:tr>
    </w:tbl>
    <w:p>
      <w:pPr>
        <w:spacing w:after="200"/>
      </w:pPr>
    </w:p>
    <w:p>
      <w:pPr>
        <w:spacing w:before="200" w:after="120"/>
      </w:pPr>
      <w:r>
        <w:rPr>
          <w:rFonts w:ascii="Roboto" w:hAnsi="Roboto"/>
          <w:b/>
          <w:i w:val="0"/>
          <w:color w:val="C0282E"/>
          <w:sz w:val="28"/>
        </w:rPr>
        <w:t>2.6 Entity Relationship Diagram</w:t>
      </w:r>
    </w:p>
    <w:p>
      <w:pPr>
        <w:spacing w:before="40" w:after="200"/>
      </w:pPr>
      <w:r>
        <w:rPr>
          <w:rFonts w:ascii="Roboto" w:hAnsi="Roboto"/>
          <w:b w:val="0"/>
          <w:i/>
          <w:color w:val="9B9692"/>
          <w:sz w:val="16"/>
        </w:rPr>
        <w:t>Represented as a relationship table below (no image-rendering environment was available when this document was generated).</w:t>
      </w:r>
    </w:p>
    <w:tbl>
      <w:tblPr>
        <w:tblW w:type="auto" w:w="0"/>
        <w:jc w:val="center"/>
        <w:tblLook w:firstColumn="1" w:firstRow="1" w:lastColumn="0" w:lastRow="0" w:noHBand="0" w:noVBand="1" w:val="04A0"/>
        <w:tblLayout w:type="fixed"/>
        <w:tblW w:w="9639" w:type="dxa"/>
      </w:tblPr>
      <w:tblGrid>
        <w:gridCol w:w="3402"/>
        <w:gridCol w:w="3118"/>
        <w:gridCol w:w="3118"/>
      </w:tblGrid>
      <w:tr>
        <w:tc>
          <w:tcPr>
            <w:tcW w:type="dxa" w:w="3402"/>
            <w:tcW w:w="3402"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From</w:t>
            </w:r>
          </w:p>
        </w:tc>
        <w:tc>
          <w:tcPr>
            <w:tcW w:type="dxa" w:w="3118"/>
            <w:tcW w:w="311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Link Field</w:t>
            </w:r>
          </w:p>
        </w:tc>
        <w:tc>
          <w:tcPr>
            <w:tcW w:type="dxa" w:w="3118"/>
            <w:tcW w:w="311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To</w:t>
            </w:r>
          </w:p>
        </w:tc>
      </w:tr>
      <w:tr>
        <w:tc>
          <w:tcPr>
            <w:tcW w:type="dxa" w:w="3402"/>
            <w:tcW w:w="340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 (Invoice/Payment/Credit/Deposit/Journal)</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entity</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 (Tenant)</w:t>
            </w:r>
          </w:p>
        </w:tc>
      </w:tr>
      <w:tr>
        <w:tc>
          <w:tcPr>
            <w:tcW w:type="dxa" w:w="3402"/>
            <w:tcW w:w="340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cseg_​bb1_​building</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Building (Property segment)</w:t>
            </w:r>
          </w:p>
        </w:tc>
      </w:tr>
      <w:tr>
        <w:tc>
          <w:tcPr>
            <w:tcW w:type="dxa" w:w="3402"/>
            <w:tcW w:w="340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cseg_bb1_unit</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Unit (segment)</w:t>
            </w:r>
          </w:p>
        </w:tc>
      </w:tr>
      <w:tr>
        <w:tc>
          <w:tcPr>
            <w:tcW w:type="dxa" w:w="3402"/>
            <w:tcW w:w="340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TransactionLine / TransactionAccountingLine</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transaction / account (AcctRec)</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 / Account</w:t>
            </w:r>
          </w:p>
        </w:tc>
      </w:tr>
      <w:tr>
        <w:tc>
          <w:tcPr>
            <w:tcW w:type="dxa" w:w="3402"/>
            <w:tcW w:w="340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TransactionLine (invoice)</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item</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Item (itemised invoice line, Allocation column)</w:t>
            </w:r>
          </w:p>
        </w:tc>
      </w:tr>
      <w:tr>
        <w:tc>
          <w:tcPr>
            <w:tcW w:type="dxa" w:w="3402"/>
            <w:tcW w:w="340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customrecord_​bb1_​utilised_​charges</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custrecord_​bb1_​utilised_​invoice / _item</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 (Invoice) / Item - charge type/status classification and discount amount</w:t>
            </w:r>
          </w:p>
        </w:tc>
      </w:tr>
      <w:tr>
        <w:tc>
          <w:tcPr>
            <w:tcW w:type="dxa" w:w="3402"/>
            <w:tcW w:w="340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customrecord_​cseg_​bb1_​building</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custrecord_​bb1_​building_​portfolio</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customlist_​bb1_​building_​prop_​portfolio (Property Portfolio filter)</w:t>
            </w:r>
          </w:p>
        </w:tc>
      </w:tr>
      <w:tr>
        <w:tc>
          <w:tcPr>
            <w:tcW w:type="dxa" w:w="3402"/>
            <w:tcW w:w="340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customrecord_​cseg_​bb1_​unit</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custrecord_​bb1_​unit_​accommodation_​type</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customlist_​bb1_​building_​accommoda_​type (Accommodation Type filter)</w:t>
            </w:r>
          </w:p>
        </w:tc>
      </w:tr>
      <w:tr>
        <w:tc>
          <w:tcPr>
            <w:tcW w:type="dxa" w:w="3402"/>
            <w:tcW w:w="340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TransactionAccountingLine</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account (non-AR)</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Account - offset account classification for bad debt write-off/recovery, when configured</w:t>
            </w:r>
          </w:p>
        </w:tc>
      </w:tr>
      <w:tr>
        <w:tc>
          <w:tcPr>
            <w:tcW w:type="dxa" w:w="3402"/>
            <w:tcW w:w="340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subsidiary</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Subsidiary - resolves the PDF header logo (Section 2.2)</w:t>
            </w:r>
          </w:p>
        </w:tc>
      </w:tr>
    </w:tbl>
    <w:p>
      <w:pPr>
        <w:spacing w:after="200"/>
      </w:pPr>
    </w:p>
    <w:p>
      <w:pPr>
        <w:spacing w:before="200" w:after="120"/>
      </w:pPr>
      <w:r>
        <w:rPr>
          <w:rFonts w:ascii="Roboto" w:hAnsi="Roboto"/>
          <w:b/>
          <w:i w:val="0"/>
          <w:color w:val="C0282E"/>
          <w:sz w:val="28"/>
        </w:rPr>
        <w:t>2.7 Additional Components</w:t>
      </w:r>
    </w:p>
    <w:tbl>
      <w:tblPr>
        <w:tblW w:type="auto" w:w="0"/>
        <w:jc w:val="center"/>
        <w:tblLook w:firstColumn="1" w:firstRow="1" w:lastColumn="0" w:lastRow="0" w:noHBand="0" w:noVBand="1" w:val="04A0"/>
        <w:tblLayout w:type="fixed"/>
        <w:tblW w:w="9639" w:type="dxa"/>
      </w:tblPr>
      <w:tblGrid>
        <w:gridCol w:w="2721"/>
        <w:gridCol w:w="6917"/>
      </w:tblGrid>
      <w:tr>
        <w:tc>
          <w:tcPr>
            <w:tcW w:type="dxa" w:w="2721"/>
            <w:tcW w:w="2721"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Item</w:t>
            </w:r>
          </w:p>
        </w:tc>
        <w:tc>
          <w:tcPr>
            <w:tcW w:type="dxa" w:w="6917"/>
            <w:tcW w:w="6917"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Detail</w:t>
            </w:r>
          </w:p>
        </w:tc>
      </w:tr>
      <w:tr>
        <w:tc>
          <w:tcPr>
            <w:tcW w:type="dxa" w:w="2721"/>
            <w:tcW w:w="272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Script parameters (classification &amp; governance)</w:t>
            </w:r>
          </w:p>
        </w:tc>
        <w:tc>
          <w:tcPr>
            <w:tcW w:type="dxa" w:w="6917"/>
            <w:tcW w:w="691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custscript_​bb1_​qpg_​prebill_​bdwoitems_​su / _bdrecitems_su (comma-separated item ids classifying a line as bad debt written off / recovered), _bdaccts_su / _bdrecaccts_su (comma-separated account ids, default 1182 / 1314, classifying a settlement by its offsetting account), _allocpfx_su (comma-separated prefixes stripped from an allocation name, default XXX_), and _maxtenant_su (caps a single run at 250 tenants by default, to stay inside NetSuite's governance limits)</w:t>
            </w:r>
          </w:p>
        </w:tc>
      </w:tr>
      <w:tr>
        <w:tc>
          <w:tcPr>
            <w:tcW w:type="dxa" w:w="2721"/>
            <w:tcW w:w="272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PDF row cap</w:t>
            </w:r>
          </w:p>
        </w:tc>
        <w:tc>
          <w:tcPr>
            <w:tcW w:type="dxa" w:w="6917"/>
            <w:tcW w:w="691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MAX_PDF_ROWS = 4,000. A selection producing more rows than this raises a clear error directing the user to narrow the selection or use the CSV export, rather than letting the PDF renderer fail with a generic error</w:t>
            </w:r>
          </w:p>
        </w:tc>
      </w:tr>
      <w:tr>
        <w:tc>
          <w:tcPr>
            <w:tcW w:type="dxa" w:w="2721"/>
            <w:tcW w:w="272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Subsidiary logo scaling</w:t>
            </w:r>
          </w:p>
        </w:tc>
        <w:tc>
          <w:tcPr>
            <w:tcW w:type="dxa" w:w="6917"/>
            <w:tcW w:w="691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The Subsidiary Logo (Forms) field's image is loaded via record.load (not a saved search, which doesn't reliably return this field), and its natural pixel dimensions are parsed directly from the file's GIF/PNG/JPEG bytes (N/file has no binary accessor) so it can be scaled down - never up - to fit a fixed header box while preserving its aspect ratio</w:t>
            </w:r>
          </w:p>
        </w:tc>
      </w:tr>
      <w:tr>
        <w:tc>
          <w:tcPr>
            <w:tcW w:type="dxa" w:w="2721"/>
            <w:tcW w:w="272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Reconciliation tolerance</w:t>
            </w:r>
          </w:p>
        </w:tc>
        <w:tc>
          <w:tcPr>
            <w:tcW w:type="dxa" w:w="6917"/>
            <w:tcW w:w="691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RECONCILE_​TOLERANCE = 0.01. Both the per-invoice line/AR variance check and the portfolio-wide proof warning use this as their rounding tolerance</w:t>
            </w:r>
          </w:p>
        </w:tc>
      </w:tr>
      <w:tr>
        <w:tc>
          <w:tcPr>
            <w:tcW w:type="dxa" w:w="2721"/>
            <w:tcW w:w="272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Deviation from the original Service Request</w:t>
            </w:r>
          </w:p>
        </w:tc>
        <w:tc>
          <w:tcPr>
            <w:tcW w:type="dxa" w:w="6917"/>
            <w:tcW w:w="691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The Service Request (Section 1.2) proposed a Building &gt; Block &gt; Floor &gt; Unit cascading multi-select selection screen and a PDF laid out per unit with a separate Statement Date/Start Date pair. The delivered Suitelet instead follows an MRI-style "Tenant Billing History" design: Property Portfolio/Property/Accommodation Type/Tenant filters (no Block/Floor level), and a single Latest Billing Period + Number Of Periods pair driving a rolling multi-period ledger, with bad debt classification and a portfolio-wide reconciliation summary the original spec did not describe. Confirm with Quorum and Andile whether this simplified, MRI-aligned filter set and layout meets the original requirement, or whether the Block/Floor cascading selection and the per-unit PDF layout described in the Service Request still need to be added</w:t>
            </w:r>
          </w:p>
        </w:tc>
      </w:tr>
    </w:tbl>
    <w:p>
      <w:pPr>
        <w:spacing w:after="200"/>
      </w:pPr>
    </w:p>
    <w:p>
      <w:pPr>
        <w:spacing w:before="200" w:after="120"/>
      </w:pPr>
      <w:r>
        <w:rPr>
          <w:rFonts w:ascii="Roboto" w:hAnsi="Roboto"/>
          <w:b/>
          <w:i w:val="0"/>
          <w:color w:val="C0282E"/>
          <w:sz w:val="28"/>
        </w:rPr>
        <w:t>2.8 Process Flow</w:t>
      </w:r>
    </w:p>
    <w:p>
      <w:pPr>
        <w:spacing w:before="40" w:after="200"/>
      </w:pPr>
      <w:r>
        <w:rPr>
          <w:rFonts w:ascii="Roboto" w:hAnsi="Roboto"/>
          <w:b w:val="0"/>
          <w:i/>
          <w:color w:val="9B9692"/>
          <w:sz w:val="16"/>
        </w:rPr>
        <w:t>Represented as a swimlane-style table below (no image-rendering environment was available when this document was generated).</w:t>
      </w:r>
    </w:p>
    <w:tbl>
      <w:tblPr>
        <w:tblW w:type="auto" w:w="0"/>
        <w:jc w:val="center"/>
        <w:tblLook w:firstColumn="1" w:firstRow="1" w:lastColumn="0" w:lastRow="0" w:noHBand="0" w:noVBand="1" w:val="04A0"/>
        <w:tblLayout w:type="fixed"/>
        <w:tblW w:w="9639" w:type="dxa"/>
      </w:tblPr>
      <w:tblGrid>
        <w:gridCol w:w="1814"/>
        <w:gridCol w:w="3855"/>
        <w:gridCol w:w="3969"/>
      </w:tblGrid>
      <w:tr>
        <w:tc>
          <w:tcPr>
            <w:tcW w:type="dxa" w:w="1814"/>
            <w:tcW w:w="1814"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Actor</w:t>
            </w:r>
          </w:p>
        </w:tc>
        <w:tc>
          <w:tcPr>
            <w:tcW w:type="dxa" w:w="3855"/>
            <w:tcW w:w="3855"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Step</w:t>
            </w:r>
          </w:p>
        </w:tc>
        <w:tc>
          <w:tcPr>
            <w:tcW w:type="dxa" w:w="3969"/>
            <w:tcW w:w="3969"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Produces</w:t>
            </w:r>
          </w:p>
        </w:tc>
      </w:tr>
      <w:tr>
        <w:tc>
          <w:tcPr>
            <w:tcW w:type="dxa" w:w="1814"/>
            <w:tcW w:w="181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User</w:t>
            </w:r>
          </w:p>
        </w:tc>
        <w:tc>
          <w:tcPr>
            <w:tcW w:type="dxa" w:w="3855"/>
            <w:tcW w:w="385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Opens the Pre-Billing Report Suitelet URL with no Property/Portfolio/Tenant selected</w:t>
            </w:r>
          </w:p>
        </w:tc>
        <w:tc>
          <w:tcPr>
            <w:tcW w:type="dxa" w:w="3969"/>
            <w:tcW w:w="3969"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buildSelectionForm renders the criteria form: Property Portfolio, Property, Accommodation Type, Tenant, Latest Billing Period, Number Of Periods, and the Itemise Invoice Lines / Show Movement Analysis / Include Tenants With No Activity options</w:t>
            </w:r>
          </w:p>
        </w:tc>
      </w:tr>
      <w:tr>
        <w:tc>
          <w:tcPr>
            <w:tcW w:type="dxa" w:w="1814"/>
            <w:tcW w:w="181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User</w:t>
            </w:r>
          </w:p>
        </w:tc>
        <w:tc>
          <w:tcPr>
            <w:tcW w:type="dxa" w:w="3855"/>
            <w:tcW w:w="385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Selects at least one of Property, Property Portfolio or Tenant (optionally narrowed further by Accommodation Type), sets the period range, clicks Run Report</w:t>
            </w:r>
          </w:p>
        </w:tc>
        <w:tc>
          <w:tcPr>
            <w:tcW w:type="dxa" w:w="3969"/>
            <w:tcW w:w="3969"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onRequest re-reads the filters (readFilters) and, now that a valid selection is present, proceeds to build the report rather than re-showing the criteria form</w:t>
            </w:r>
          </w:p>
        </w:tc>
      </w:tr>
      <w:tr>
        <w:tc>
          <w:tcPr>
            <w:tcW w:type="dxa" w:w="1814"/>
            <w:tcW w:w="181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Suitelet (lib)</w:t>
            </w:r>
          </w:p>
        </w:tc>
        <w:tc>
          <w:tcPr>
            <w:tcW w:type="dxa" w:w="3855"/>
            <w:tcW w:w="385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buildHistory - tenant directory &amp; balances</w:t>
            </w:r>
          </w:p>
        </w:tc>
        <w:tc>
          <w:tcPr>
            <w:tcW w:type="dxa" w:w="3969"/>
            <w:tcW w:w="3969"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getTenantDirectory resolves each tenant's most recent property/unit via SuiteQL; resolveReportSubsidiary picks the header logo (warning if the selection spans more than one subsidiary); getOpeningBalances aggregates every AR posting before the reporting window per tenant</w:t>
            </w:r>
          </w:p>
        </w:tc>
      </w:tr>
      <w:tr>
        <w:tc>
          <w:tcPr>
            <w:tcW w:type="dxa" w:w="1814"/>
            <w:tcW w:w="181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Suitelet (lib)</w:t>
            </w:r>
          </w:p>
        </w:tc>
        <w:tc>
          <w:tcPr>
            <w:tcW w:type="dxa" w:w="3855"/>
            <w:tcW w:w="385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buildHistory - activity &amp; classification</w:t>
            </w:r>
          </w:p>
        </w:tc>
        <w:tc>
          <w:tcPr>
            <w:tcW w:type="dxa" w:w="3969"/>
            <w:tcW w:w="3969"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getActivity pulls every AR-posting transaction inside the window; getInvoiceLines itemises invoice lines when "Itemise Invoice Lines" is on; getUtilisedCharges classifies each invoice/item's charge type, status and discount; decorateOffsetAccounts resolves offsetting accounts for settlements, when the write-off/recovery account parameters are configured</w:t>
            </w:r>
          </w:p>
        </w:tc>
      </w:tr>
      <w:tr>
        <w:tc>
          <w:tcPr>
            <w:tcW w:type="dxa" w:w="1814"/>
            <w:tcW w:w="181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Suitelet (lib)</w:t>
            </w:r>
          </w:p>
        </w:tc>
        <w:tc>
          <w:tcPr>
            <w:tcW w:type="dxa" w:w="3855"/>
            <w:tcW w:w="385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assembleTenants</w:t>
            </w:r>
          </w:p>
        </w:tc>
        <w:tc>
          <w:tcPr>
            <w:tcW w:type="dxa" w:w="3969"/>
            <w:tcW w:w="3969"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Folds any activity before the reporting window into the opening balance, builds one period block per tenant per month with a running balance, classifies each row into a movement bucket (charges/receipts/credits/write-off/recovery/other), and raises an "Posted to AR but not itemised" row where an invoice's lines don't reconcile to its posted amount</w:t>
            </w:r>
          </w:p>
        </w:tc>
      </w:tr>
      <w:tr>
        <w:tc>
          <w:tcPr>
            <w:tcW w:type="dxa" w:w="1814"/>
            <w:tcW w:w="181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Suitelet (lib)</w:t>
            </w:r>
          </w:p>
        </w:tc>
        <w:tc>
          <w:tcPr>
            <w:tcW w:type="dxa" w:w="3855"/>
            <w:tcW w:w="385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summariseAll</w:t>
            </w:r>
          </w:p>
        </w:tc>
        <w:tc>
          <w:tcPr>
            <w:tcW w:type="dxa" w:w="3969"/>
            <w:tcW w:w="3969"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Rolls every tenant into a portfolio-wide movement summary grouped by allocation, and proves Balance B/f plus total movement against Balance C/f, warning if the two don't agree</w:t>
            </w:r>
          </w:p>
        </w:tc>
      </w:tr>
      <w:tr>
        <w:tc>
          <w:tcPr>
            <w:tcW w:type="dxa" w:w="1814"/>
            <w:tcW w:w="181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User</w:t>
            </w:r>
          </w:p>
        </w:tc>
        <w:tc>
          <w:tcPr>
            <w:tcW w:type="dxa" w:w="3855"/>
            <w:tcW w:w="385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Views the on-screen HTML report, or clicks Download PDF / Download CSV</w:t>
            </w:r>
          </w:p>
        </w:tc>
        <w:tc>
          <w:tcPr>
            <w:tcW w:type="dxa" w:w="3969"/>
            <w:tcW w:w="3969"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renderScreen shows the report inline; renderPdf renders a branded PDF with the subsidiary logo header (capped at 4,000 rows - narrower selections only); renderCsv streams a flat CSV export with no row cap</w:t>
            </w:r>
          </w:p>
        </w:tc>
      </w:tr>
    </w:tbl>
    <w:p>
      <w:pPr>
        <w:spacing w:after="200"/>
      </w:pPr>
    </w:p>
    <w:p>
      <w:r>
        <w:br w:type="page"/>
      </w:r>
    </w:p>
    <w:p>
      <w:pPr>
        <w:spacing w:before="280" w:after="120"/>
      </w:pPr>
      <w:r>
        <w:rPr>
          <w:rFonts w:ascii="Roboto" w:hAnsi="Roboto"/>
          <w:b/>
          <w:i w:val="0"/>
          <w:color w:val="2478AA"/>
          <w:sz w:val="32"/>
        </w:rPr>
        <w:t>3. Testing &amp; Setup</w:t>
      </w:r>
    </w:p>
    <w:p>
      <w:pPr>
        <w:spacing w:before="200" w:after="120"/>
      </w:pPr>
      <w:r>
        <w:rPr>
          <w:rFonts w:ascii="Roboto" w:hAnsi="Roboto"/>
          <w:b/>
          <w:i w:val="0"/>
          <w:color w:val="C0282E"/>
          <w:sz w:val="28"/>
        </w:rPr>
        <w:t>3.1 Testing Details</w:t>
      </w:r>
    </w:p>
    <w:p>
      <w:pPr>
        <w:spacing w:before="40" w:after="200"/>
      </w:pPr>
      <w:r>
        <w:rPr>
          <w:rFonts w:ascii="Roboto" w:hAnsi="Roboto"/>
          <w:b w:val="0"/>
          <w:i/>
          <w:color w:val="9B9692"/>
          <w:sz w:val="20"/>
        </w:rPr>
        <w:t>To be completed by the tester following execution of BB1 QA testing / UAT for this customisation. Record each test case, the steps taken, the expected and actual results, and its pass/fail status below.</w:t>
      </w:r>
    </w:p>
    <w:tbl>
      <w:tblPr>
        <w:tblW w:type="auto" w:w="0"/>
        <w:jc w:val="center"/>
        <w:tblLook w:firstColumn="1" w:firstRow="1" w:lastColumn="0" w:lastRow="0" w:noHBand="0" w:noVBand="1" w:val="04A0"/>
        <w:tblLayout w:type="fixed"/>
        <w:tblW w:w="9639" w:type="dxa"/>
      </w:tblPr>
      <w:tblGrid>
        <w:gridCol w:w="1304"/>
        <w:gridCol w:w="1530"/>
        <w:gridCol w:w="2268"/>
        <w:gridCol w:w="1984"/>
        <w:gridCol w:w="1701"/>
        <w:gridCol w:w="850"/>
      </w:tblGrid>
      <w:tr>
        <w:tc>
          <w:tcPr>
            <w:tcW w:type="dxa" w:w="1304"/>
            <w:tcW w:w="1304"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Test Area</w:t>
            </w:r>
          </w:p>
        </w:tc>
        <w:tc>
          <w:tcPr>
            <w:tcW w:type="dxa" w:w="1531"/>
            <w:tcW w:w="1530"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Test Case</w:t>
            </w:r>
          </w:p>
        </w:tc>
        <w:tc>
          <w:tcPr>
            <w:tcW w:type="dxa" w:w="2268"/>
            <w:tcW w:w="226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Steps</w:t>
            </w:r>
          </w:p>
        </w:tc>
        <w:tc>
          <w:tcPr>
            <w:tcW w:type="dxa" w:w="1984"/>
            <w:tcW w:w="1984"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Expected Result</w:t>
            </w:r>
          </w:p>
        </w:tc>
        <w:tc>
          <w:tcPr>
            <w:tcW w:type="dxa" w:w="1701"/>
            <w:tcW w:w="1701"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Actual Result</w:t>
            </w:r>
          </w:p>
        </w:tc>
        <w:tc>
          <w:tcPr>
            <w:tcW w:type="dxa" w:w="850"/>
            <w:tcW w:w="850"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Status</w:t>
            </w:r>
          </w:p>
        </w:tc>
      </w:tr>
      <w:tr>
        <w:tc>
          <w:tcPr>
            <w:tcW w:type="dxa" w:w="1304"/>
            <w:tcW w:w="130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531"/>
            <w:tcW w:w="153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701"/>
            <w:tcW w:w="170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850"/>
            <w:tcW w:w="85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r>
      <w:tr>
        <w:tc>
          <w:tcPr>
            <w:tcW w:type="dxa" w:w="1304"/>
            <w:tcW w:w="130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531"/>
            <w:tcW w:w="153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984"/>
            <w:tcW w:w="198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701"/>
            <w:tcW w:w="170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850"/>
            <w:tcW w:w="85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r>
      <w:tr>
        <w:tc>
          <w:tcPr>
            <w:tcW w:type="dxa" w:w="1304"/>
            <w:tcW w:w="130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531"/>
            <w:tcW w:w="153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701"/>
            <w:tcW w:w="170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850"/>
            <w:tcW w:w="85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r>
      <w:tr>
        <w:tc>
          <w:tcPr>
            <w:tcW w:type="dxa" w:w="1304"/>
            <w:tcW w:w="130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531"/>
            <w:tcW w:w="153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984"/>
            <w:tcW w:w="198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701"/>
            <w:tcW w:w="170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850"/>
            <w:tcW w:w="85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r>
      <w:tr>
        <w:tc>
          <w:tcPr>
            <w:tcW w:type="dxa" w:w="1304"/>
            <w:tcW w:w="130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531"/>
            <w:tcW w:w="153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701"/>
            <w:tcW w:w="170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850"/>
            <w:tcW w:w="85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r>
    </w:tbl>
    <w:p>
      <w:pPr>
        <w:spacing w:before="40" w:after="280"/>
      </w:pPr>
      <w:r>
        <w:rPr>
          <w:rFonts w:ascii="Roboto" w:hAnsi="Roboto"/>
          <w:b w:val="0"/>
          <w:i/>
          <w:color w:val="9B9692"/>
          <w:sz w:val="16"/>
        </w:rPr>
        <w:t>Suggested Test Areas to cover: selection screen validation (at least one of Property/Portfolio/Tenant required); combined filters (Portfolio + Property + Accommodation Type + Tenant together); Number Of Periods boundaries (1, the default 4, and the maximum 24); the itemised-invoice-line vs. single-invoice-row toggle; the invoice line/AR reconciliation variance row; bad debt classification by item id and by offset account; the portfolio-wide proof warning when it doesn't balance; subsidiary logo rendering and its missing/inaccessible fallback; a multi-subsidiary selection's warning; the PDF row cap (over 4,000 rows) directing the user to CSV; and the CSV export's content against the same selection's on-screen figures.</w:t>
      </w:r>
    </w:p>
    <w:p>
      <w:pPr>
        <w:spacing w:before="200" w:after="120"/>
      </w:pPr>
      <w:r>
        <w:rPr>
          <w:rFonts w:ascii="Roboto" w:hAnsi="Roboto"/>
          <w:b/>
          <w:i w:val="0"/>
          <w:color w:val="C0282E"/>
          <w:sz w:val="28"/>
        </w:rPr>
        <w:t>3.2 Deployment &amp; Configuration Setup</w:t>
      </w:r>
    </w:p>
    <w:p>
      <w:pPr>
        <w:spacing w:before="40" w:after="160"/>
      </w:pPr>
      <w:r>
        <w:rPr>
          <w:rFonts w:ascii="Roboto" w:hAnsi="Roboto"/>
          <w:b w:val="0"/>
          <w:i w:val="0"/>
          <w:color w:val="000000"/>
          <w:sz w:val="20"/>
        </w:rPr>
        <w:t>This customisation creates no new custom records, fields or lists, but the following deployment-time steps are required and are not captured in this project's SDF source, since Script and Script Deployment objects for this Suitelet are not yet tracked in the Objects folder.</w:t>
      </w:r>
    </w:p>
    <w:p>
      <w:pPr>
        <w:pStyle w:val="ListNumber"/>
      </w:pPr>
      <w:r>
        <w:rPr>
          <w:rFonts w:ascii="Roboto" w:hAnsi="Roboto"/>
          <w:b w:val="0"/>
          <w:i w:val="0"/>
          <w:color w:val="000000"/>
          <w:sz w:val="20"/>
        </w:rPr>
        <w:t>Deploy bb1_qpg_prebill_sl.js as a Suitelet (customscript_bb1_qpg_prebill_su, exact id to be confirmed), with bb1_qpg_prebill_lib.js present in the same file cabinet folder so the Suitelet's require('./bb1_qpg_prebill_lib') resolves.</w:t>
      </w:r>
    </w:p>
    <w:p>
      <w:pPr>
        <w:pStyle w:val="ListNumber"/>
      </w:pPr>
      <w:r>
        <w:rPr>
          <w:rFonts w:ascii="Roboto" w:hAnsi="Roboto"/>
          <w:b w:val="0"/>
          <w:i w:val="0"/>
          <w:color w:val="000000"/>
          <w:sz w:val="20"/>
        </w:rPr>
        <w:t>Add Free-Form Text Script Parameters to the deployment: custscript_bb1_qpg_prebill_bdwoitems_su, custscript_bb1_qpg_prebill_bdrecitems_su, custscript_bb1_qpg_prebill_bdaccts_su (default 1182), custscript_bb1_qpg_prebill_bdrecaccts_su (default 1314), custscript_bb1_qpg_prebill_allocpfx_su (default XXX_), and custscript_bb1_qpg_prebill_maxtenant_su (default 250) - each a comma-separated list where the parameter expects one.</w:t>
      </w:r>
    </w:p>
    <w:p>
      <w:pPr>
        <w:pStyle w:val="ListNumber"/>
      </w:pPr>
      <w:r>
        <w:rPr>
          <w:rFonts w:ascii="Roboto" w:hAnsi="Roboto"/>
          <w:b w:val="0"/>
          <w:i w:val="0"/>
          <w:color w:val="000000"/>
          <w:sz w:val="20"/>
        </w:rPr>
        <w:t>Confirm the pre-existing customrecord_cseg_bb1_building, customrecord_cseg_bb1_unit and customrecord_bb1_utilised_charges records, and the customlist_bb1_building_prop_portfolio / customlist_bb1_building_accommoda_type lists (Quorum Contracts customisation, Section 2.1/2.3) already exist and are populated.</w:t>
      </w:r>
    </w:p>
    <w:p>
      <w:pPr>
        <w:pStyle w:val="ListNumber"/>
      </w:pPr>
      <w:r>
        <w:rPr>
          <w:rFonts w:ascii="Roboto" w:hAnsi="Roboto"/>
          <w:b w:val="0"/>
          <w:i w:val="0"/>
          <w:color w:val="000000"/>
          <w:sz w:val="20"/>
        </w:rPr>
        <w:t>Confirm the Subsidiary Logo (Forms) field is populated with a JPG, GIF or PNG image on every subsidiary that will appear in a pre-billing run; a missing or inaccessible logo degrades gracefully to a header without one, surfaced as a report warning rather than a failure.</w:t>
      </w:r>
    </w:p>
    <w:p>
      <w:pPr>
        <w:pStyle w:val="ListNumber"/>
      </w:pPr>
      <w:r>
        <w:rPr>
          <w:rFonts w:ascii="Roboto" w:hAnsi="Roboto"/>
          <w:b w:val="0"/>
          <w:i w:val="0"/>
          <w:color w:val="000000"/>
          <w:sz w:val="20"/>
        </w:rPr>
        <w:t>Confirm the Quorum Contracts monthly scripts have already run for the periods being reviewed, per the Service Request's stated assumption (Section 1.2), since the invoice and AR data this report reads depends on them.</w:t>
      </w:r>
    </w:p>
    <w:p>
      <w:pPr>
        <w:pStyle w:val="ListNumber"/>
      </w:pPr>
      <w:r>
        <w:rPr>
          <w:rFonts w:ascii="Roboto" w:hAnsi="Roboto"/>
          <w:b w:val="0"/>
          <w:i w:val="0"/>
          <w:color w:val="000000"/>
          <w:sz w:val="20"/>
        </w:rPr>
        <w:t>Assign role/permission access to the Suitelet for the finance/billing team who will run the Pre-Billing Report ahead of each monthly billing run.</w:t>
      </w:r>
    </w:p>
    <w:p>
      <w:pPr>
        <w:pStyle w:val="ListNumber"/>
      </w:pPr>
      <w:r>
        <w:rPr>
          <w:rFonts w:ascii="Roboto" w:hAnsi="Roboto"/>
          <w:b w:val="0"/>
          <w:i w:val="0"/>
          <w:color w:val="000000"/>
          <w:sz w:val="20"/>
        </w:rPr>
        <w:t>Confirm with Quorum and Andile whether the delivered filter set and MRI-style layout meet the original Service Request, or whether the Block/Floor cascading selection and per-unit PDF layout it originally described still need to be added (Section 2.7).</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cs="Robo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qvcHPykKK6SChzqyXX9xkqxL_R0vBPxOOdIIwMmoFHA/edit?tab=t.0" TargetMode="External"/><Relationship Id="rId10" Type="http://schemas.openxmlformats.org/officeDocument/2006/relationships/hyperlink" Target="https://docs.google.com/document/d/1SAVNacnxpZ0WIQhK6tY6jN8gzMs--dXqyMUz91YDz1s/edit?tab=t.0" TargetMode="External"/><Relationship Id="rId11" Type="http://schemas.openxmlformats.org/officeDocument/2006/relationships/hyperlink" Target="https://drive.google.com/file/d/1fRPM23PLNdYjXvQwfrdI-XzAG-JRSrDJ/view?usp=drive_link" TargetMode="External"/><Relationship Id="rId12" Type="http://schemas.openxmlformats.org/officeDocument/2006/relationships/hyperlink" Target="https://teamwork.bluebridgeone.com/app/tasks/43431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