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00"/>
        <w:jc w:val="center"/>
      </w:pPr>
      <w:r>
        <w:rPr>
          <w:rFonts w:ascii="Calibri" w:cs="Calibri" w:eastAsia="Calibri" w:hAnsi="Calibri"/>
          <w:b/>
          <w:bCs/>
          <w:color w:val="1F3A5F"/>
          <w:sz w:val="30"/>
          <w:szCs w:val="30"/>
        </w:rPr>
        <w:t xml:space="preserve">DUOC UC</w:t>
      </w:r>
    </w:p>
    <w:p>
      <w:pPr>
        <w:spacing w:after="60"/>
        <w:jc w:val="center"/>
      </w:pPr>
      <w:r>
        <w:rPr>
          <w:rFonts w:ascii="Calibri" w:cs="Calibri" w:eastAsia="Calibri" w:hAnsi="Calibri"/>
          <w:color w:val="2E6DA4"/>
          <w:sz w:val="24"/>
          <w:szCs w:val="24"/>
        </w:rPr>
        <w:t xml:space="preserve">Escuela de Informática y Telecomunicaciones</w:t>
      </w:r>
    </w:p>
    <w:p>
      <w:pPr>
        <w:spacing w:after="900"/>
        <w:jc w:val="center"/>
      </w:pPr>
      <w:r>
        <w:rPr>
          <w:rFonts w:ascii="Calibri" w:cs="Calibri" w:eastAsia="Calibri" w:hAnsi="Calibri"/>
          <w:color w:val="52616B"/>
          <w:sz w:val="22"/>
          <w:szCs w:val="22"/>
        </w:rPr>
        <w:t xml:space="preserve">Sede Plaza Oeste · Ingeniería en Informática</w:t>
      </w:r>
    </w:p>
    <w:p>
      <w:pPr>
        <w:pBdr>
          <w:top w:val="single" w:color="DCE7F2" w:sz="12" w:space="12"/>
        </w:pBdr>
        <w:spacing w:after="120"/>
        <w:jc w:val="center"/>
      </w:pPr>
      <w:r>
        <w:rPr>
          <w:rFonts w:ascii="Calibri" w:cs="Calibri" w:eastAsia="Calibri" w:hAnsi="Calibri"/>
          <w:b/>
          <w:bCs/>
          <w:color w:val="1F3A5F"/>
          <w:sz w:val="56"/>
          <w:szCs w:val="56"/>
        </w:rPr>
        <w:t xml:space="preserve">AUTOSPLAT</w:t>
      </w:r>
    </w:p>
    <w:p>
      <w:pPr>
        <w:spacing w:after="240"/>
        <w:jc w:val="center"/>
      </w:pPr>
      <w:r>
        <w:rPr>
          <w:rFonts w:ascii="Calibri" w:cs="Calibri" w:eastAsia="Calibri" w:hAnsi="Calibri"/>
          <w:i/>
          <w:iCs/>
          <w:color w:val="52616B"/>
          <w:sz w:val="24"/>
          <w:szCs w:val="24"/>
        </w:rPr>
        <w:t xml:space="preserve">Marketplace de vehículos usados con visualización 3D mediante Gaussian Splatting</w:t>
      </w:r>
    </w:p>
    <w:p>
      <w:pPr>
        <w:pBdr>
          <w:bottom w:val="single" w:color="DCE7F2" w:sz="12" w:space="12"/>
        </w:pBdr>
        <w:spacing w:after="80"/>
        <w:jc w:val="center"/>
      </w:pPr>
      <w:r>
        <w:rPr>
          <w:rFonts w:ascii="Calibri" w:cs="Calibri" w:eastAsia="Calibri" w:hAnsi="Calibri"/>
          <w:b/>
          <w:bCs/>
          <w:color w:val="2E6DA4"/>
          <w:sz w:val="34"/>
          <w:szCs w:val="34"/>
        </w:rPr>
        <w:t xml:space="preserve">DOCUMENTOS DE GESTIÓN</w:t>
      </w:r>
    </w:p>
    <w:p>
      <w:pPr>
        <w:spacing w:after="800" w:before="200"/>
        <w:jc w:val="center"/>
      </w:pPr>
      <w:r>
        <w:rPr>
          <w:rFonts w:ascii="Calibri" w:cs="Calibri" w:eastAsia="Calibri" w:hAnsi="Calibri"/>
          <w:color w:val="52616B"/>
          <w:sz w:val="21"/>
          <w:szCs w:val="21"/>
        </w:rPr>
        <w:t xml:space="preserve">Plan del proyecto, stakeholders, actas de reunión, estados de avance y resolución de conflictos</w:t>
      </w:r>
    </w:p>
    <w:tbl>
      <w:tblPr>
        <w:tblW w:type="dxa" w:w="7600"/>
        <w:jc w:val="center"/>
        <w:tblBorders>
          <w:top w:val="single" w:color="B4C2D2" w:sz="4"/>
          <w:left w:val="single" w:color="B4C2D2" w:sz="4"/>
          <w:bottom w:val="single" w:color="B4C2D2" w:sz="4"/>
          <w:right w:val="single" w:color="B4C2D2" w:sz="4"/>
          <w:insideH w:val="single" w:color="B4C2D2" w:sz="4"/>
          <w:insideV w:val="single" w:color="B4C2D2" w:sz="4"/>
        </w:tblBorders>
      </w:tblPr>
      <w:tblGrid>
        <w:gridCol w:w="2400"/>
        <w:gridCol w:w="5200"/>
      </w:tblGrid>
      <w:tr>
        <w:tc>
          <w:tcPr>
            <w:tcW w:type="dxa" w:w="24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Proyecto</w:t>
            </w:r>
          </w:p>
        </w:tc>
        <w:tc>
          <w:tcPr>
            <w:tcW w:type="dxa" w:w="520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AutoSplat — Portafolio de Título</w:t>
            </w:r>
          </w:p>
        </w:tc>
      </w:tr>
      <w:tr>
        <w:tc>
          <w:tcPr>
            <w:tcW w:type="dxa" w:w="24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Asignatura</w:t>
            </w:r>
          </w:p>
        </w:tc>
        <w:tc>
          <w:tcPr>
            <w:tcW w:type="dxa" w:w="520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Portafolio de Título (APT122)</w:t>
            </w:r>
          </w:p>
        </w:tc>
      </w:tr>
      <w:tr>
        <w:tc>
          <w:tcPr>
            <w:tcW w:type="dxa" w:w="24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Fase</w:t>
            </w:r>
          </w:p>
        </w:tc>
        <w:tc>
          <w:tcPr>
            <w:tcW w:type="dxa" w:w="520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Fase 1 — Planificación y análisis</w:t>
            </w:r>
          </w:p>
        </w:tc>
      </w:tr>
      <w:tr>
        <w:tc>
          <w:tcPr>
            <w:tcW w:type="dxa" w:w="24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Metodología</w:t>
            </w:r>
          </w:p>
        </w:tc>
        <w:tc>
          <w:tcPr>
            <w:tcW w:type="dxa" w:w="520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Desarrollo incremental (cinco incrementos)</w:t>
            </w:r>
          </w:p>
        </w:tc>
      </w:tr>
      <w:tr>
        <w:tc>
          <w:tcPr>
            <w:tcW w:type="dxa" w:w="24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Integrantes</w:t>
            </w:r>
          </w:p>
        </w:tc>
        <w:tc>
          <w:tcPr>
            <w:tcW w:type="dxa" w:w="520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Jesús Rojas Gutiérrez (backend y worker de reconstrucción 3D)</w:t>
            </w:r>
            <w:r>
              <w:rPr>
                <w:rFonts w:ascii="Calibri" w:cs="Calibri" w:eastAsia="Calibri" w:hAnsi="Calibri"/>
                <w:b w:val="false"/>
                <w:bCs w:val="false"/>
                <w:sz w:val="19"/>
                <w:szCs w:val="19"/>
              </w:rPr>
              <w:br/>
              <w:t xml:space="preserve">Lorna Zúñiga Aguilera (frontend)</w:t>
            </w:r>
            <w:r>
              <w:rPr>
                <w:rFonts w:ascii="Calibri" w:cs="Calibri" w:eastAsia="Calibri" w:hAnsi="Calibri"/>
                <w:b w:val="false"/>
                <w:bCs w:val="false"/>
                <w:sz w:val="19"/>
                <w:szCs w:val="19"/>
              </w:rPr>
              <w:br/>
              <w:t xml:space="preserve">Aldo Espinoza Daza (base de datos e integración)</w:t>
            </w:r>
          </w:p>
        </w:tc>
      </w:tr>
      <w:tr>
        <w:tc>
          <w:tcPr>
            <w:tcW w:type="dxa" w:w="24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Docente guía</w:t>
            </w:r>
          </w:p>
        </w:tc>
        <w:tc>
          <w:tcPr>
            <w:tcW w:type="dxa" w:w="520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Luís Bravo</w:t>
            </w:r>
          </w:p>
        </w:tc>
      </w:tr>
      <w:tr>
        <w:tc>
          <w:tcPr>
            <w:tcW w:type="dxa" w:w="24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Versión del documento</w:t>
            </w:r>
          </w:p>
        </w:tc>
        <w:tc>
          <w:tcPr>
            <w:tcW w:type="dxa" w:w="520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1.0</w:t>
            </w:r>
          </w:p>
        </w:tc>
      </w:tr>
      <w:tr>
        <w:tc>
          <w:tcPr>
            <w:tcW w:type="dxa" w:w="24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Fecha de emisión</w:t>
            </w:r>
          </w:p>
        </w:tc>
        <w:tc>
          <w:tcPr>
            <w:tcW w:type="dxa" w:w="520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5 de septiembre de 2026</w:t>
            </w:r>
          </w:p>
        </w:tc>
      </w:tr>
      <w:tr>
        <w:tc>
          <w:tcPr>
            <w:tcW w:type="dxa" w:w="24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Estado</w:t>
            </w:r>
          </w:p>
        </w:tc>
        <w:tc>
          <w:tcPr>
            <w:tcW w:type="dxa" w:w="520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Emitido para revisión del docente guía</w:t>
            </w:r>
          </w:p>
        </w:tc>
      </w:tr>
    </w:tbl>
    <w:p>
      <w:r>
        <w:br w:type="page"/>
      </w:r>
    </w:p>
    <w:p>
      <w:pPr>
        <w:pStyle w:val="Heading1"/>
        <w:spacing w:after="200" w:before="320"/>
      </w:pPr>
      <w:r>
        <w:t xml:space="preserve">Control de versiones</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1100"/>
        <w:gridCol w:w="1500"/>
        <w:gridCol w:w="1700"/>
        <w:gridCol w:w="5060"/>
      </w:tblGrid>
      <w:tr>
        <w:trPr>
          <w:tblHeader/>
        </w:trPr>
        <w:tc>
          <w:tcPr>
            <w:tcW w:type="dxa" w:w="11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Versión</w:t>
            </w:r>
          </w:p>
        </w:tc>
        <w:tc>
          <w:tcPr>
            <w:tcW w:type="dxa" w:w="15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Fecha</w:t>
            </w:r>
          </w:p>
        </w:tc>
        <w:tc>
          <w:tcPr>
            <w:tcW w:type="dxa" w:w="17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Autor</w:t>
            </w:r>
          </w:p>
        </w:tc>
        <w:tc>
          <w:tcPr>
            <w:tcW w:type="dxa" w:w="50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Descripción del cambio</w:t>
            </w:r>
          </w:p>
        </w:tc>
      </w:tr>
      <w:tr>
        <w:tc>
          <w:tcPr>
            <w:tcW w:type="dxa" w:w="110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0.1</w:t>
            </w:r>
          </w:p>
        </w:tc>
        <w:tc>
          <w:tcPr>
            <w:tcW w:type="dxa" w:w="150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26-08-2026</w:t>
            </w:r>
          </w:p>
        </w:tc>
        <w:tc>
          <w:tcPr>
            <w:tcW w:type="dxa" w:w="170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J. Rojas</w:t>
            </w:r>
          </w:p>
        </w:tc>
        <w:tc>
          <w:tcPr>
            <w:tcW w:type="dxa" w:w="506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Estructura inicial del documento, registro de interesados y acta de la reunión de inicio.</w:t>
            </w:r>
          </w:p>
        </w:tc>
      </w:tr>
      <w:tr>
        <w:tc>
          <w:tcPr>
            <w:tcW w:type="dxa" w:w="11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0.2</w:t>
            </w:r>
          </w:p>
        </w:tc>
        <w:tc>
          <w:tcPr>
            <w:tcW w:type="dxa" w:w="15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29-08-2026</w:t>
            </w:r>
          </w:p>
        </w:tc>
        <w:tc>
          <w:tcPr>
            <w:tcW w:type="dxa" w:w="17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J. Rojas</w:t>
            </w:r>
          </w:p>
        </w:tc>
        <w:tc>
          <w:tcPr>
            <w:tcW w:type="dxa" w:w="50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Definición del alcance, exclusiones y estructura de desglose del trabajo.</w:t>
            </w:r>
          </w:p>
        </w:tc>
      </w:tr>
      <w:tr>
        <w:tc>
          <w:tcPr>
            <w:tcW w:type="dxa" w:w="110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0.3</w:t>
            </w:r>
          </w:p>
        </w:tc>
        <w:tc>
          <w:tcPr>
            <w:tcW w:type="dxa" w:w="150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02-09-2026</w:t>
            </w:r>
          </w:p>
        </w:tc>
        <w:tc>
          <w:tcPr>
            <w:tcW w:type="dxa" w:w="170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Equipo</w:t>
            </w:r>
          </w:p>
        </w:tc>
        <w:tc>
          <w:tcPr>
            <w:tcW w:type="dxa" w:w="506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Metodología incremental con su justificación, cronograma, hitos y registro de riesgos.</w:t>
            </w:r>
          </w:p>
        </w:tc>
      </w:tr>
      <w:tr>
        <w:tc>
          <w:tcPr>
            <w:tcW w:type="dxa" w:w="11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0.4</w:t>
            </w:r>
          </w:p>
        </w:tc>
        <w:tc>
          <w:tcPr>
            <w:tcW w:type="dxa" w:w="15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04-09-2026</w:t>
            </w:r>
          </w:p>
        </w:tc>
        <w:tc>
          <w:tcPr>
            <w:tcW w:type="dxa" w:w="17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A. Espinoza</w:t>
            </w:r>
          </w:p>
        </w:tc>
        <w:tc>
          <w:tcPr>
            <w:tcW w:type="dxa" w:w="50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Procedimiento de resolución de conflictos, plan de comunicaciones y matriz RACI.</w:t>
            </w:r>
          </w:p>
        </w:tc>
      </w:tr>
      <w:tr>
        <w:tc>
          <w:tcPr>
            <w:tcW w:type="dxa" w:w="110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1.0</w:t>
            </w:r>
          </w:p>
        </w:tc>
        <w:tc>
          <w:tcPr>
            <w:tcW w:type="dxa" w:w="150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05-09-2026</w:t>
            </w:r>
          </w:p>
        </w:tc>
        <w:tc>
          <w:tcPr>
            <w:tcW w:type="dxa" w:w="170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Equipo</w:t>
            </w:r>
          </w:p>
        </w:tc>
        <w:tc>
          <w:tcPr>
            <w:tcW w:type="dxa" w:w="506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Estimación de esfuerzo, estados de avance, anexos y emisión para revisión del docente guía.</w:t>
            </w:r>
          </w:p>
        </w:tc>
      </w:tr>
    </w:tbl>
    <w:p>
      <w:pPr>
        <w:spacing w:after="200"/>
      </w:pPr>
    </w:p>
    <w:p>
      <w:pPr>
        <w:pStyle w:val="Heading2"/>
        <w:spacing w:after="160" w:before="260"/>
      </w:pPr>
      <w:r>
        <w:t xml:space="preserve">Aprobaciones</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2200"/>
        <w:gridCol w:w="2400"/>
        <w:gridCol w:w="2760"/>
        <w:gridCol w:w="2000"/>
      </w:tblGrid>
      <w:tr>
        <w:trPr>
          <w:tblHeader/>
        </w:trPr>
        <w:tc>
          <w:tcPr>
            <w:tcW w:type="dxa" w:w="22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Rol</w:t>
            </w:r>
          </w:p>
        </w:tc>
        <w:tc>
          <w:tcPr>
            <w:tcW w:type="dxa" w:w="24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Nombre</w:t>
            </w:r>
          </w:p>
        </w:tc>
        <w:tc>
          <w:tcPr>
            <w:tcW w:type="dxa" w:w="27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Responsabilidad sobre el documento</w:t>
            </w:r>
          </w:p>
        </w:tc>
        <w:tc>
          <w:tcPr>
            <w:tcW w:type="dxa" w:w="20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Firma / fecha</w:t>
            </w:r>
          </w:p>
        </w:tc>
      </w:tr>
      <w:tr>
        <w:tc>
          <w:tcPr>
            <w:tcW w:type="dxa" w:w="220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Backend y worker 3D</w:t>
            </w:r>
          </w:p>
        </w:tc>
        <w:tc>
          <w:tcPr>
            <w:tcW w:type="dxa" w:w="240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Jesús Rojas Gutiérrez</w:t>
            </w:r>
          </w:p>
        </w:tc>
        <w:tc>
          <w:tcPr>
            <w:tcW w:type="dxa" w:w="276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Consistencia del plan, del cronograma y del registro de riesgos.</w:t>
            </w:r>
          </w:p>
        </w:tc>
        <w:tc>
          <w:tcPr>
            <w:tcW w:type="dxa" w:w="200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
            </w:r>
          </w:p>
        </w:tc>
      </w:tr>
      <w:tr>
        <w:tc>
          <w:tcPr>
            <w:tcW w:type="dxa" w:w="22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Frontend</w:t>
            </w:r>
          </w:p>
        </w:tc>
        <w:tc>
          <w:tcPr>
            <w:tcW w:type="dxa" w:w="24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Lorna Zúñiga Aguilera</w:t>
            </w:r>
          </w:p>
        </w:tc>
        <w:tc>
          <w:tcPr>
            <w:tcW w:type="dxa" w:w="27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Coherencia entre el plan y el alcance especificado.</w:t>
            </w:r>
          </w:p>
        </w:tc>
        <w:tc>
          <w:tcPr>
            <w:tcW w:type="dxa" w:w="20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
            </w:r>
          </w:p>
        </w:tc>
      </w:tr>
      <w:tr>
        <w:tc>
          <w:tcPr>
            <w:tcW w:type="dxa" w:w="220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Base de datos e integración</w:t>
            </w:r>
          </w:p>
        </w:tc>
        <w:tc>
          <w:tcPr>
            <w:tcW w:type="dxa" w:w="240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Aldo Espinoza Daza</w:t>
            </w:r>
          </w:p>
        </w:tc>
        <w:tc>
          <w:tcPr>
            <w:tcW w:type="dxa" w:w="276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Gestión de la calidad, de la configuración y del control de cambios.</w:t>
            </w:r>
          </w:p>
        </w:tc>
        <w:tc>
          <w:tcPr>
            <w:tcW w:type="dxa" w:w="200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
            </w:r>
          </w:p>
        </w:tc>
      </w:tr>
      <w:tr>
        <w:tc>
          <w:tcPr>
            <w:tcW w:type="dxa" w:w="22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Docente guía</w:t>
            </w:r>
          </w:p>
        </w:tc>
        <w:tc>
          <w:tcPr>
            <w:tcW w:type="dxa" w:w="24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Luís Bravo</w:t>
            </w:r>
          </w:p>
        </w:tc>
        <w:tc>
          <w:tcPr>
            <w:tcW w:type="dxa" w:w="27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Aprobación académica de la Fase 1.</w:t>
            </w:r>
          </w:p>
        </w:tc>
        <w:tc>
          <w:tcPr>
            <w:tcW w:type="dxa" w:w="20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
            </w:r>
          </w:p>
        </w:tc>
      </w:tr>
    </w:tbl>
    <w:p>
      <w:pPr>
        <w:spacing w:after="240"/>
      </w:pPr>
    </w:p>
    <w:p>
      <w:pPr>
        <w:pStyle w:val="Heading2"/>
        <w:spacing w:after="160" w:before="260"/>
      </w:pPr>
      <w:r>
        <w:t xml:space="preserve">Documentos relacionados</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3400"/>
        <w:gridCol w:w="1200"/>
        <w:gridCol w:w="4760"/>
      </w:tblGrid>
      <w:tr>
        <w:trPr>
          <w:tblHeader/>
        </w:trPr>
        <w:tc>
          <w:tcPr>
            <w:tcW w:type="dxa" w:w="34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Documento</w:t>
            </w:r>
          </w:p>
        </w:tc>
        <w:tc>
          <w:tcPr>
            <w:tcW w:type="dxa" w:w="12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Versión</w:t>
            </w:r>
          </w:p>
        </w:tc>
        <w:tc>
          <w:tcPr>
            <w:tcW w:type="dxa" w:w="47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Relación</w:t>
            </w:r>
          </w:p>
        </w:tc>
      </w:tr>
      <w:tr>
        <w:tc>
          <w:tcPr>
            <w:tcW w:type="dxa" w:w="34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AutoSplat — Documentos de Diseño</w:t>
            </w:r>
          </w:p>
        </w:tc>
        <w:tc>
          <w:tcPr>
            <w:tcW w:type="dxa" w:w="12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1.0</w:t>
            </w:r>
          </w:p>
        </w:tc>
        <w:tc>
          <w:tcPr>
            <w:tcW w:type="dxa" w:w="476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Contiene la especificación de requisitos IEEE 830, las historias de usuario y el modelado UML sobre los que se sustenta esta planificación.</w:t>
            </w:r>
          </w:p>
        </w:tc>
      </w:tr>
      <w:tr>
        <w:tc>
          <w:tcPr>
            <w:tcW w:type="dxa" w:w="34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Guía del Estudiante — Fase 1</w:t>
            </w:r>
          </w:p>
        </w:tc>
        <w:tc>
          <w:tcPr>
            <w:tcW w:type="dxa" w:w="12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1.0</w:t>
            </w:r>
          </w:p>
        </w:tc>
        <w:tc>
          <w:tcPr>
            <w:tcW w:type="dxa" w:w="47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Documento institucional que consolida los antecedentes del proyecto y la carta Gantt para la evaluación formativa.</w:t>
            </w:r>
          </w:p>
        </w:tc>
      </w:tr>
      <w:tr>
        <w:tc>
          <w:tcPr>
            <w:tcW w:type="dxa" w:w="34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Informe Técnico — Fase 1</w:t>
            </w:r>
          </w:p>
        </w:tc>
        <w:tc>
          <w:tcPr>
            <w:tcW w:type="dxa" w:w="12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1.0</w:t>
            </w:r>
          </w:p>
        </w:tc>
        <w:tc>
          <w:tcPr>
            <w:tcW w:type="dxa" w:w="476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Desarrollo de ingeniería, conclusiones individuales y anexo de evidencias.</w:t>
            </w:r>
          </w:p>
        </w:tc>
      </w:tr>
    </w:tbl>
    <w:p>
      <w:r>
        <w:br w:type="page"/>
      </w:r>
    </w:p>
    <w:p>
      <w:pPr>
        <w:pStyle w:val="Heading1"/>
        <w:spacing w:after="200" w:before="320"/>
      </w:pPr>
      <w:r>
        <w:t xml:space="preserve">Índice de contenidos</w:t>
      </w:r>
    </w:p>
    <w:p>
      <w:pPr>
        <w:tabs>
          <w:tab w:val="right" w:pos="9360" w:leader="dot"/>
        </w:tabs>
        <w:spacing w:after="60" w:line="260"/>
        <w:ind w:left="0"/>
      </w:pPr>
      <w:r>
        <w:rPr>
          <w:rFonts w:ascii="Calibri" w:cs="Calibri" w:eastAsia="Calibri" w:hAnsi="Calibri"/>
          <w:b/>
          <w:bCs/>
          <w:sz w:val="21"/>
          <w:szCs w:val="21"/>
        </w:rPr>
        <w:t xml:space="preserve">1. Plan del proyecto</w:t>
      </w:r>
      <w:r>
        <w:rPr>
          <w:rFonts w:ascii="Calibri" w:cs="Calibri" w:eastAsia="Calibri" w:hAnsi="Calibri"/>
          <w:sz w:val="21"/>
          <w:szCs w:val="21"/>
        </w:rPr>
        <w:tab/>
      </w:r>
      <w:r>
        <w:rPr>
          <w:rFonts w:ascii="Calibri" w:cs="Calibri" w:eastAsia="Calibri" w:hAnsi="Calibri"/>
          <w:b/>
          <w:bCs/>
          <w:sz w:val="21"/>
          <w:szCs w:val="21"/>
        </w:rPr>
        <w:t xml:space="preserve">6</w:t>
      </w:r>
    </w:p>
    <w:p>
      <w:pPr>
        <w:tabs>
          <w:tab w:val="right" w:pos="9020" w:leader="dot"/>
        </w:tabs>
        <w:spacing w:after="60" w:line="260"/>
        <w:ind w:left="340"/>
      </w:pPr>
      <w:r>
        <w:rPr>
          <w:rFonts w:ascii="Calibri" w:cs="Calibri" w:eastAsia="Calibri" w:hAnsi="Calibri"/>
          <w:b w:val="false"/>
          <w:bCs w:val="false"/>
          <w:sz w:val="20"/>
          <w:szCs w:val="20"/>
        </w:rPr>
        <w:t xml:space="preserve">1.1 Propósito y alcance del plan</w:t>
      </w:r>
      <w:r>
        <w:rPr>
          <w:rFonts w:ascii="Calibri" w:cs="Calibri" w:eastAsia="Calibri" w:hAnsi="Calibri"/>
          <w:sz w:val="20"/>
          <w:szCs w:val="20"/>
        </w:rPr>
        <w:tab/>
      </w:r>
      <w:r>
        <w:rPr>
          <w:rFonts w:ascii="Calibri" w:cs="Calibri" w:eastAsia="Calibri" w:hAnsi="Calibri"/>
          <w:b w:val="false"/>
          <w:bCs w:val="false"/>
          <w:sz w:val="20"/>
          <w:szCs w:val="20"/>
        </w:rPr>
        <w:t xml:space="preserve">6</w:t>
      </w:r>
    </w:p>
    <w:p>
      <w:pPr>
        <w:tabs>
          <w:tab w:val="right" w:pos="9020" w:leader="dot"/>
        </w:tabs>
        <w:spacing w:after="60" w:line="260"/>
        <w:ind w:left="340"/>
      </w:pPr>
      <w:r>
        <w:rPr>
          <w:rFonts w:ascii="Calibri" w:cs="Calibri" w:eastAsia="Calibri" w:hAnsi="Calibri"/>
          <w:b w:val="false"/>
          <w:bCs w:val="false"/>
          <w:sz w:val="20"/>
          <w:szCs w:val="20"/>
        </w:rPr>
        <w:t xml:space="preserve">1.2 Objetivos del proyecto</w:t>
      </w:r>
      <w:r>
        <w:rPr>
          <w:rFonts w:ascii="Calibri" w:cs="Calibri" w:eastAsia="Calibri" w:hAnsi="Calibri"/>
          <w:sz w:val="20"/>
          <w:szCs w:val="20"/>
        </w:rPr>
        <w:tab/>
      </w:r>
      <w:r>
        <w:rPr>
          <w:rFonts w:ascii="Calibri" w:cs="Calibri" w:eastAsia="Calibri" w:hAnsi="Calibri"/>
          <w:b w:val="false"/>
          <w:bCs w:val="false"/>
          <w:sz w:val="20"/>
          <w:szCs w:val="20"/>
        </w:rPr>
        <w:t xml:space="preserve">6</w:t>
      </w:r>
    </w:p>
    <w:p>
      <w:pPr>
        <w:tabs>
          <w:tab w:val="right" w:pos="9020" w:leader="dot"/>
        </w:tabs>
        <w:spacing w:after="60" w:line="260"/>
        <w:ind w:left="340"/>
      </w:pPr>
      <w:r>
        <w:rPr>
          <w:rFonts w:ascii="Calibri" w:cs="Calibri" w:eastAsia="Calibri" w:hAnsi="Calibri"/>
          <w:b w:val="false"/>
          <w:bCs w:val="false"/>
          <w:sz w:val="20"/>
          <w:szCs w:val="20"/>
        </w:rPr>
        <w:t xml:space="preserve">1.3 Alcance del proyecto</w:t>
      </w:r>
      <w:r>
        <w:rPr>
          <w:rFonts w:ascii="Calibri" w:cs="Calibri" w:eastAsia="Calibri" w:hAnsi="Calibri"/>
          <w:sz w:val="20"/>
          <w:szCs w:val="20"/>
        </w:rPr>
        <w:tab/>
      </w:r>
      <w:r>
        <w:rPr>
          <w:rFonts w:ascii="Calibri" w:cs="Calibri" w:eastAsia="Calibri" w:hAnsi="Calibri"/>
          <w:b w:val="false"/>
          <w:bCs w:val="false"/>
          <w:sz w:val="20"/>
          <w:szCs w:val="20"/>
        </w:rPr>
        <w:t xml:space="preserve">7</w:t>
      </w:r>
    </w:p>
    <w:p>
      <w:pPr>
        <w:tabs>
          <w:tab w:val="right" w:pos="9020" w:leader="dot"/>
        </w:tabs>
        <w:spacing w:after="60" w:line="260"/>
        <w:ind w:left="340"/>
      </w:pPr>
      <w:r>
        <w:rPr>
          <w:rFonts w:ascii="Calibri" w:cs="Calibri" w:eastAsia="Calibri" w:hAnsi="Calibri"/>
          <w:b w:val="false"/>
          <w:bCs w:val="false"/>
          <w:sz w:val="20"/>
          <w:szCs w:val="20"/>
        </w:rPr>
        <w:t xml:space="preserve">1.4 Estructura de desglose del trabajo</w:t>
      </w:r>
      <w:r>
        <w:rPr>
          <w:rFonts w:ascii="Calibri" w:cs="Calibri" w:eastAsia="Calibri" w:hAnsi="Calibri"/>
          <w:sz w:val="20"/>
          <w:szCs w:val="20"/>
        </w:rPr>
        <w:tab/>
      </w:r>
      <w:r>
        <w:rPr>
          <w:rFonts w:ascii="Calibri" w:cs="Calibri" w:eastAsia="Calibri" w:hAnsi="Calibri"/>
          <w:b w:val="false"/>
          <w:bCs w:val="false"/>
          <w:sz w:val="20"/>
          <w:szCs w:val="20"/>
        </w:rPr>
        <w:t xml:space="preserve">8</w:t>
      </w:r>
    </w:p>
    <w:p>
      <w:pPr>
        <w:tabs>
          <w:tab w:val="right" w:pos="9020" w:leader="dot"/>
        </w:tabs>
        <w:spacing w:after="60" w:line="260"/>
        <w:ind w:left="340"/>
      </w:pPr>
      <w:r>
        <w:rPr>
          <w:rFonts w:ascii="Calibri" w:cs="Calibri" w:eastAsia="Calibri" w:hAnsi="Calibri"/>
          <w:b w:val="false"/>
          <w:bCs w:val="false"/>
          <w:sz w:val="20"/>
          <w:szCs w:val="20"/>
        </w:rPr>
        <w:t xml:space="preserve">1.5 Metodología de desarrollo</w:t>
      </w:r>
      <w:r>
        <w:rPr>
          <w:rFonts w:ascii="Calibri" w:cs="Calibri" w:eastAsia="Calibri" w:hAnsi="Calibri"/>
          <w:sz w:val="20"/>
          <w:szCs w:val="20"/>
        </w:rPr>
        <w:tab/>
      </w:r>
      <w:r>
        <w:rPr>
          <w:rFonts w:ascii="Calibri" w:cs="Calibri" w:eastAsia="Calibri" w:hAnsi="Calibri"/>
          <w:b w:val="false"/>
          <w:bCs w:val="false"/>
          <w:sz w:val="20"/>
          <w:szCs w:val="20"/>
        </w:rPr>
        <w:t xml:space="preserve">10</w:t>
      </w:r>
    </w:p>
    <w:p>
      <w:pPr>
        <w:tabs>
          <w:tab w:val="right" w:pos="9020" w:leader="dot"/>
        </w:tabs>
        <w:spacing w:after="60" w:line="260"/>
        <w:ind w:left="340"/>
      </w:pPr>
      <w:r>
        <w:rPr>
          <w:rFonts w:ascii="Calibri" w:cs="Calibri" w:eastAsia="Calibri" w:hAnsi="Calibri"/>
          <w:b w:val="false"/>
          <w:bCs w:val="false"/>
          <w:sz w:val="20"/>
          <w:szCs w:val="20"/>
        </w:rPr>
        <w:t xml:space="preserve">1.6 Organización del equipo</w:t>
      </w:r>
      <w:r>
        <w:rPr>
          <w:rFonts w:ascii="Calibri" w:cs="Calibri" w:eastAsia="Calibri" w:hAnsi="Calibri"/>
          <w:sz w:val="20"/>
          <w:szCs w:val="20"/>
        </w:rPr>
        <w:tab/>
      </w:r>
      <w:r>
        <w:rPr>
          <w:rFonts w:ascii="Calibri" w:cs="Calibri" w:eastAsia="Calibri" w:hAnsi="Calibri"/>
          <w:b w:val="false"/>
          <w:bCs w:val="false"/>
          <w:sz w:val="20"/>
          <w:szCs w:val="20"/>
        </w:rPr>
        <w:t xml:space="preserve">12</w:t>
      </w:r>
    </w:p>
    <w:p>
      <w:pPr>
        <w:tabs>
          <w:tab w:val="right" w:pos="9020" w:leader="dot"/>
        </w:tabs>
        <w:spacing w:after="60" w:line="260"/>
        <w:ind w:left="340"/>
      </w:pPr>
      <w:r>
        <w:rPr>
          <w:rFonts w:ascii="Calibri" w:cs="Calibri" w:eastAsia="Calibri" w:hAnsi="Calibri"/>
          <w:b w:val="false"/>
          <w:bCs w:val="false"/>
          <w:sz w:val="20"/>
          <w:szCs w:val="20"/>
        </w:rPr>
        <w:t xml:space="preserve">1.7 Cronograma e hitos</w:t>
      </w:r>
      <w:r>
        <w:rPr>
          <w:rFonts w:ascii="Calibri" w:cs="Calibri" w:eastAsia="Calibri" w:hAnsi="Calibri"/>
          <w:sz w:val="20"/>
          <w:szCs w:val="20"/>
        </w:rPr>
        <w:tab/>
      </w:r>
      <w:r>
        <w:rPr>
          <w:rFonts w:ascii="Calibri" w:cs="Calibri" w:eastAsia="Calibri" w:hAnsi="Calibri"/>
          <w:b w:val="false"/>
          <w:bCs w:val="false"/>
          <w:sz w:val="20"/>
          <w:szCs w:val="20"/>
        </w:rPr>
        <w:t xml:space="preserve">12</w:t>
      </w:r>
    </w:p>
    <w:p>
      <w:pPr>
        <w:tabs>
          <w:tab w:val="right" w:pos="9020" w:leader="dot"/>
        </w:tabs>
        <w:spacing w:after="60" w:line="260"/>
        <w:ind w:left="340"/>
      </w:pPr>
      <w:r>
        <w:rPr>
          <w:rFonts w:ascii="Calibri" w:cs="Calibri" w:eastAsia="Calibri" w:hAnsi="Calibri"/>
          <w:b w:val="false"/>
          <w:bCs w:val="false"/>
          <w:sz w:val="20"/>
          <w:szCs w:val="20"/>
        </w:rPr>
        <w:t xml:space="preserve">1.8 Estimación de esfuerzo y distribución de la capacidad</w:t>
      </w:r>
      <w:r>
        <w:rPr>
          <w:rFonts w:ascii="Calibri" w:cs="Calibri" w:eastAsia="Calibri" w:hAnsi="Calibri"/>
          <w:sz w:val="20"/>
          <w:szCs w:val="20"/>
        </w:rPr>
        <w:tab/>
      </w:r>
      <w:r>
        <w:rPr>
          <w:rFonts w:ascii="Calibri" w:cs="Calibri" w:eastAsia="Calibri" w:hAnsi="Calibri"/>
          <w:b w:val="false"/>
          <w:bCs w:val="false"/>
          <w:sz w:val="20"/>
          <w:szCs w:val="20"/>
        </w:rPr>
        <w:t xml:space="preserve">15</w:t>
      </w:r>
    </w:p>
    <w:p>
      <w:pPr>
        <w:tabs>
          <w:tab w:val="right" w:pos="9020" w:leader="dot"/>
        </w:tabs>
        <w:spacing w:after="60" w:line="260"/>
        <w:ind w:left="340"/>
      </w:pPr>
      <w:r>
        <w:rPr>
          <w:rFonts w:ascii="Calibri" w:cs="Calibri" w:eastAsia="Calibri" w:hAnsi="Calibri"/>
          <w:b w:val="false"/>
          <w:bCs w:val="false"/>
          <w:sz w:val="20"/>
          <w:szCs w:val="20"/>
        </w:rPr>
        <w:t xml:space="preserve">1.9 Recursos e infraestructura</w:t>
      </w:r>
      <w:r>
        <w:rPr>
          <w:rFonts w:ascii="Calibri" w:cs="Calibri" w:eastAsia="Calibri" w:hAnsi="Calibri"/>
          <w:sz w:val="20"/>
          <w:szCs w:val="20"/>
        </w:rPr>
        <w:tab/>
      </w:r>
      <w:r>
        <w:rPr>
          <w:rFonts w:ascii="Calibri" w:cs="Calibri" w:eastAsia="Calibri" w:hAnsi="Calibri"/>
          <w:b w:val="false"/>
          <w:bCs w:val="false"/>
          <w:sz w:val="20"/>
          <w:szCs w:val="20"/>
        </w:rPr>
        <w:t xml:space="preserve">15</w:t>
      </w:r>
    </w:p>
    <w:p>
      <w:pPr>
        <w:tabs>
          <w:tab w:val="right" w:pos="9020" w:leader="dot"/>
        </w:tabs>
        <w:spacing w:after="60" w:line="260"/>
        <w:ind w:left="340"/>
      </w:pPr>
      <w:r>
        <w:rPr>
          <w:rFonts w:ascii="Calibri" w:cs="Calibri" w:eastAsia="Calibri" w:hAnsi="Calibri"/>
          <w:b w:val="false"/>
          <w:bCs w:val="false"/>
          <w:sz w:val="20"/>
          <w:szCs w:val="20"/>
        </w:rPr>
        <w:t xml:space="preserve">1.10 Gestión de riesgos</w:t>
      </w:r>
      <w:r>
        <w:rPr>
          <w:rFonts w:ascii="Calibri" w:cs="Calibri" w:eastAsia="Calibri" w:hAnsi="Calibri"/>
          <w:sz w:val="20"/>
          <w:szCs w:val="20"/>
        </w:rPr>
        <w:tab/>
      </w:r>
      <w:r>
        <w:rPr>
          <w:rFonts w:ascii="Calibri" w:cs="Calibri" w:eastAsia="Calibri" w:hAnsi="Calibri"/>
          <w:b w:val="false"/>
          <w:bCs w:val="false"/>
          <w:sz w:val="20"/>
          <w:szCs w:val="20"/>
        </w:rPr>
        <w:t xml:space="preserve">17</w:t>
      </w:r>
    </w:p>
    <w:p>
      <w:pPr>
        <w:tabs>
          <w:tab w:val="right" w:pos="9020" w:leader="dot"/>
        </w:tabs>
        <w:spacing w:after="60" w:line="260"/>
        <w:ind w:left="340"/>
      </w:pPr>
      <w:r>
        <w:rPr>
          <w:rFonts w:ascii="Calibri" w:cs="Calibri" w:eastAsia="Calibri" w:hAnsi="Calibri"/>
          <w:b w:val="false"/>
          <w:bCs w:val="false"/>
          <w:sz w:val="20"/>
          <w:szCs w:val="20"/>
        </w:rPr>
        <w:t xml:space="preserve">1.11 Gestión de la calidad</w:t>
      </w:r>
      <w:r>
        <w:rPr>
          <w:rFonts w:ascii="Calibri" w:cs="Calibri" w:eastAsia="Calibri" w:hAnsi="Calibri"/>
          <w:sz w:val="20"/>
          <w:szCs w:val="20"/>
        </w:rPr>
        <w:tab/>
      </w:r>
      <w:r>
        <w:rPr>
          <w:rFonts w:ascii="Calibri" w:cs="Calibri" w:eastAsia="Calibri" w:hAnsi="Calibri"/>
          <w:b w:val="false"/>
          <w:bCs w:val="false"/>
          <w:sz w:val="20"/>
          <w:szCs w:val="20"/>
        </w:rPr>
        <w:t xml:space="preserve">19</w:t>
      </w:r>
    </w:p>
    <w:p>
      <w:pPr>
        <w:tabs>
          <w:tab w:val="right" w:pos="9020" w:leader="dot"/>
        </w:tabs>
        <w:spacing w:after="60" w:line="260"/>
        <w:ind w:left="340"/>
      </w:pPr>
      <w:r>
        <w:rPr>
          <w:rFonts w:ascii="Calibri" w:cs="Calibri" w:eastAsia="Calibri" w:hAnsi="Calibri"/>
          <w:b w:val="false"/>
          <w:bCs w:val="false"/>
          <w:sz w:val="20"/>
          <w:szCs w:val="20"/>
        </w:rPr>
        <w:t xml:space="preserve">1.12 Gestión de la configuración</w:t>
      </w:r>
      <w:r>
        <w:rPr>
          <w:rFonts w:ascii="Calibri" w:cs="Calibri" w:eastAsia="Calibri" w:hAnsi="Calibri"/>
          <w:sz w:val="20"/>
          <w:szCs w:val="20"/>
        </w:rPr>
        <w:tab/>
      </w:r>
      <w:r>
        <w:rPr>
          <w:rFonts w:ascii="Calibri" w:cs="Calibri" w:eastAsia="Calibri" w:hAnsi="Calibri"/>
          <w:b w:val="false"/>
          <w:bCs w:val="false"/>
          <w:sz w:val="20"/>
          <w:szCs w:val="20"/>
        </w:rPr>
        <w:t xml:space="preserve">19</w:t>
      </w:r>
    </w:p>
    <w:p>
      <w:pPr>
        <w:tabs>
          <w:tab w:val="right" w:pos="9020" w:leader="dot"/>
        </w:tabs>
        <w:spacing w:after="60" w:line="260"/>
        <w:ind w:left="340"/>
      </w:pPr>
      <w:r>
        <w:rPr>
          <w:rFonts w:ascii="Calibri" w:cs="Calibri" w:eastAsia="Calibri" w:hAnsi="Calibri"/>
          <w:b w:val="false"/>
          <w:bCs w:val="false"/>
          <w:sz w:val="20"/>
          <w:szCs w:val="20"/>
        </w:rPr>
        <w:t xml:space="preserve">1.13 Control de cambios</w:t>
      </w:r>
      <w:r>
        <w:rPr>
          <w:rFonts w:ascii="Calibri" w:cs="Calibri" w:eastAsia="Calibri" w:hAnsi="Calibri"/>
          <w:sz w:val="20"/>
          <w:szCs w:val="20"/>
        </w:rPr>
        <w:tab/>
      </w:r>
      <w:r>
        <w:rPr>
          <w:rFonts w:ascii="Calibri" w:cs="Calibri" w:eastAsia="Calibri" w:hAnsi="Calibri"/>
          <w:b w:val="false"/>
          <w:bCs w:val="false"/>
          <w:sz w:val="20"/>
          <w:szCs w:val="20"/>
        </w:rPr>
        <w:t xml:space="preserve">20</w:t>
      </w:r>
    </w:p>
    <w:p>
      <w:pPr>
        <w:tabs>
          <w:tab w:val="right" w:pos="9020" w:leader="dot"/>
        </w:tabs>
        <w:spacing w:after="60" w:line="260"/>
        <w:ind w:left="340"/>
      </w:pPr>
      <w:r>
        <w:rPr>
          <w:rFonts w:ascii="Calibri" w:cs="Calibri" w:eastAsia="Calibri" w:hAnsi="Calibri"/>
          <w:b w:val="false"/>
          <w:bCs w:val="false"/>
          <w:sz w:val="20"/>
          <w:szCs w:val="20"/>
        </w:rPr>
        <w:t xml:space="preserve">1.14 Criterios de aceptación y cierre</w:t>
      </w:r>
      <w:r>
        <w:rPr>
          <w:rFonts w:ascii="Calibri" w:cs="Calibri" w:eastAsia="Calibri" w:hAnsi="Calibri"/>
          <w:sz w:val="20"/>
          <w:szCs w:val="20"/>
        </w:rPr>
        <w:tab/>
      </w:r>
      <w:r>
        <w:rPr>
          <w:rFonts w:ascii="Calibri" w:cs="Calibri" w:eastAsia="Calibri" w:hAnsi="Calibri"/>
          <w:b w:val="false"/>
          <w:bCs w:val="false"/>
          <w:sz w:val="20"/>
          <w:szCs w:val="20"/>
        </w:rPr>
        <w:t xml:space="preserve">20</w:t>
      </w:r>
    </w:p>
    <w:p>
      <w:pPr>
        <w:tabs>
          <w:tab w:val="right" w:pos="9360" w:leader="dot"/>
        </w:tabs>
        <w:spacing w:after="60" w:line="260"/>
        <w:ind w:left="0"/>
      </w:pPr>
      <w:r>
        <w:rPr>
          <w:rFonts w:ascii="Calibri" w:cs="Calibri" w:eastAsia="Calibri" w:hAnsi="Calibri"/>
          <w:b/>
          <w:bCs/>
          <w:sz w:val="21"/>
          <w:szCs w:val="21"/>
        </w:rPr>
        <w:t xml:space="preserve">2. Documentación de stakeholders</w:t>
      </w:r>
      <w:r>
        <w:rPr>
          <w:rFonts w:ascii="Calibri" w:cs="Calibri" w:eastAsia="Calibri" w:hAnsi="Calibri"/>
          <w:sz w:val="21"/>
          <w:szCs w:val="21"/>
        </w:rPr>
        <w:tab/>
      </w:r>
      <w:r>
        <w:rPr>
          <w:rFonts w:ascii="Calibri" w:cs="Calibri" w:eastAsia="Calibri" w:hAnsi="Calibri"/>
          <w:b/>
          <w:bCs/>
          <w:sz w:val="21"/>
          <w:szCs w:val="21"/>
        </w:rPr>
        <w:t xml:space="preserve">21</w:t>
      </w:r>
    </w:p>
    <w:p>
      <w:pPr>
        <w:tabs>
          <w:tab w:val="right" w:pos="9020" w:leader="dot"/>
        </w:tabs>
        <w:spacing w:after="60" w:line="260"/>
        <w:ind w:left="340"/>
      </w:pPr>
      <w:r>
        <w:rPr>
          <w:rFonts w:ascii="Calibri" w:cs="Calibri" w:eastAsia="Calibri" w:hAnsi="Calibri"/>
          <w:b w:val="false"/>
          <w:bCs w:val="false"/>
          <w:sz w:val="20"/>
          <w:szCs w:val="20"/>
        </w:rPr>
        <w:t xml:space="preserve">2.1 Registro de interesados</w:t>
      </w:r>
      <w:r>
        <w:rPr>
          <w:rFonts w:ascii="Calibri" w:cs="Calibri" w:eastAsia="Calibri" w:hAnsi="Calibri"/>
          <w:sz w:val="20"/>
          <w:szCs w:val="20"/>
        </w:rPr>
        <w:tab/>
      </w:r>
      <w:r>
        <w:rPr>
          <w:rFonts w:ascii="Calibri" w:cs="Calibri" w:eastAsia="Calibri" w:hAnsi="Calibri"/>
          <w:b w:val="false"/>
          <w:bCs w:val="false"/>
          <w:sz w:val="20"/>
          <w:szCs w:val="20"/>
        </w:rPr>
        <w:t xml:space="preserve">21</w:t>
      </w:r>
    </w:p>
    <w:p>
      <w:pPr>
        <w:tabs>
          <w:tab w:val="right" w:pos="9020" w:leader="dot"/>
        </w:tabs>
        <w:spacing w:after="60" w:line="260"/>
        <w:ind w:left="340"/>
      </w:pPr>
      <w:r>
        <w:rPr>
          <w:rFonts w:ascii="Calibri" w:cs="Calibri" w:eastAsia="Calibri" w:hAnsi="Calibri"/>
          <w:b w:val="false"/>
          <w:bCs w:val="false"/>
          <w:sz w:val="20"/>
          <w:szCs w:val="20"/>
        </w:rPr>
        <w:t xml:space="preserve">2.2 Matriz de poder e interés</w:t>
      </w:r>
      <w:r>
        <w:rPr>
          <w:rFonts w:ascii="Calibri" w:cs="Calibri" w:eastAsia="Calibri" w:hAnsi="Calibri"/>
          <w:sz w:val="20"/>
          <w:szCs w:val="20"/>
        </w:rPr>
        <w:tab/>
      </w:r>
      <w:r>
        <w:rPr>
          <w:rFonts w:ascii="Calibri" w:cs="Calibri" w:eastAsia="Calibri" w:hAnsi="Calibri"/>
          <w:b w:val="false"/>
          <w:bCs w:val="false"/>
          <w:sz w:val="20"/>
          <w:szCs w:val="20"/>
        </w:rPr>
        <w:t xml:space="preserve">23</w:t>
      </w:r>
    </w:p>
    <w:p>
      <w:pPr>
        <w:tabs>
          <w:tab w:val="right" w:pos="9020" w:leader="dot"/>
        </w:tabs>
        <w:spacing w:after="60" w:line="260"/>
        <w:ind w:left="340"/>
      </w:pPr>
      <w:r>
        <w:rPr>
          <w:rFonts w:ascii="Calibri" w:cs="Calibri" w:eastAsia="Calibri" w:hAnsi="Calibri"/>
          <w:b w:val="false"/>
          <w:bCs w:val="false"/>
          <w:sz w:val="20"/>
          <w:szCs w:val="20"/>
        </w:rPr>
        <w:t xml:space="preserve">2.3 Estrategias de relacionamiento</w:t>
      </w:r>
      <w:r>
        <w:rPr>
          <w:rFonts w:ascii="Calibri" w:cs="Calibri" w:eastAsia="Calibri" w:hAnsi="Calibri"/>
          <w:sz w:val="20"/>
          <w:szCs w:val="20"/>
        </w:rPr>
        <w:tab/>
      </w:r>
      <w:r>
        <w:rPr>
          <w:rFonts w:ascii="Calibri" w:cs="Calibri" w:eastAsia="Calibri" w:hAnsi="Calibri"/>
          <w:b w:val="false"/>
          <w:bCs w:val="false"/>
          <w:sz w:val="20"/>
          <w:szCs w:val="20"/>
        </w:rPr>
        <w:t xml:space="preserve">23</w:t>
      </w:r>
    </w:p>
    <w:p>
      <w:pPr>
        <w:tabs>
          <w:tab w:val="right" w:pos="9020" w:leader="dot"/>
        </w:tabs>
        <w:spacing w:after="60" w:line="260"/>
        <w:ind w:left="340"/>
      </w:pPr>
      <w:r>
        <w:rPr>
          <w:rFonts w:ascii="Calibri" w:cs="Calibri" w:eastAsia="Calibri" w:hAnsi="Calibri"/>
          <w:b w:val="false"/>
          <w:bCs w:val="false"/>
          <w:sz w:val="20"/>
          <w:szCs w:val="20"/>
        </w:rPr>
        <w:t xml:space="preserve">2.4 Plan de comunicaciones</w:t>
      </w:r>
      <w:r>
        <w:rPr>
          <w:rFonts w:ascii="Calibri" w:cs="Calibri" w:eastAsia="Calibri" w:hAnsi="Calibri"/>
          <w:sz w:val="20"/>
          <w:szCs w:val="20"/>
        </w:rPr>
        <w:tab/>
      </w:r>
      <w:r>
        <w:rPr>
          <w:rFonts w:ascii="Calibri" w:cs="Calibri" w:eastAsia="Calibri" w:hAnsi="Calibri"/>
          <w:b w:val="false"/>
          <w:bCs w:val="false"/>
          <w:sz w:val="20"/>
          <w:szCs w:val="20"/>
        </w:rPr>
        <w:t xml:space="preserve">25</w:t>
      </w:r>
    </w:p>
    <w:p>
      <w:pPr>
        <w:tabs>
          <w:tab w:val="right" w:pos="9020" w:leader="dot"/>
        </w:tabs>
        <w:spacing w:after="60" w:line="260"/>
        <w:ind w:left="340"/>
      </w:pPr>
      <w:r>
        <w:rPr>
          <w:rFonts w:ascii="Calibri" w:cs="Calibri" w:eastAsia="Calibri" w:hAnsi="Calibri"/>
          <w:b w:val="false"/>
          <w:bCs w:val="false"/>
          <w:sz w:val="20"/>
          <w:szCs w:val="20"/>
        </w:rPr>
        <w:t xml:space="preserve">2.5 Matriz de asignación de responsabilidades</w:t>
      </w:r>
      <w:r>
        <w:rPr>
          <w:rFonts w:ascii="Calibri" w:cs="Calibri" w:eastAsia="Calibri" w:hAnsi="Calibri"/>
          <w:sz w:val="20"/>
          <w:szCs w:val="20"/>
        </w:rPr>
        <w:tab/>
      </w:r>
      <w:r>
        <w:rPr>
          <w:rFonts w:ascii="Calibri" w:cs="Calibri" w:eastAsia="Calibri" w:hAnsi="Calibri"/>
          <w:b w:val="false"/>
          <w:bCs w:val="false"/>
          <w:sz w:val="20"/>
          <w:szCs w:val="20"/>
        </w:rPr>
        <w:t xml:space="preserve">25</w:t>
      </w:r>
    </w:p>
    <w:p>
      <w:pPr>
        <w:tabs>
          <w:tab w:val="right" w:pos="9360" w:leader="dot"/>
        </w:tabs>
        <w:spacing w:after="60" w:line="260"/>
        <w:ind w:left="0"/>
      </w:pPr>
      <w:r>
        <w:rPr>
          <w:rFonts w:ascii="Calibri" w:cs="Calibri" w:eastAsia="Calibri" w:hAnsi="Calibri"/>
          <w:b/>
          <w:bCs/>
          <w:sz w:val="21"/>
          <w:szCs w:val="21"/>
        </w:rPr>
        <w:t xml:space="preserve">3. Actas de reunión</w:t>
      </w:r>
      <w:r>
        <w:rPr>
          <w:rFonts w:ascii="Calibri" w:cs="Calibri" w:eastAsia="Calibri" w:hAnsi="Calibri"/>
          <w:sz w:val="21"/>
          <w:szCs w:val="21"/>
        </w:rPr>
        <w:tab/>
      </w:r>
      <w:r>
        <w:rPr>
          <w:rFonts w:ascii="Calibri" w:cs="Calibri" w:eastAsia="Calibri" w:hAnsi="Calibri"/>
          <w:b/>
          <w:bCs/>
          <w:sz w:val="21"/>
          <w:szCs w:val="21"/>
        </w:rPr>
        <w:t xml:space="preserve">27</w:t>
      </w:r>
    </w:p>
    <w:p>
      <w:pPr>
        <w:tabs>
          <w:tab w:val="right" w:pos="9020" w:leader="dot"/>
        </w:tabs>
        <w:spacing w:after="60" w:line="260"/>
        <w:ind w:left="340"/>
      </w:pPr>
      <w:r>
        <w:rPr>
          <w:rFonts w:ascii="Calibri" w:cs="Calibri" w:eastAsia="Calibri" w:hAnsi="Calibri"/>
          <w:b w:val="false"/>
          <w:bCs w:val="false"/>
          <w:sz w:val="20"/>
          <w:szCs w:val="20"/>
        </w:rPr>
        <w:t xml:space="preserve">ACT-01 · Reunión de inicio del proyecto y definición del alcance</w:t>
      </w:r>
      <w:r>
        <w:rPr>
          <w:rFonts w:ascii="Calibri" w:cs="Calibri" w:eastAsia="Calibri" w:hAnsi="Calibri"/>
          <w:sz w:val="20"/>
          <w:szCs w:val="20"/>
        </w:rPr>
        <w:tab/>
      </w:r>
      <w:r>
        <w:rPr>
          <w:rFonts w:ascii="Calibri" w:cs="Calibri" w:eastAsia="Calibri" w:hAnsi="Calibri"/>
          <w:b w:val="false"/>
          <w:bCs w:val="false"/>
          <w:sz w:val="20"/>
          <w:szCs w:val="20"/>
        </w:rPr>
        <w:t xml:space="preserve">27</w:t>
      </w:r>
    </w:p>
    <w:p>
      <w:pPr>
        <w:tabs>
          <w:tab w:val="right" w:pos="9020" w:leader="dot"/>
        </w:tabs>
        <w:spacing w:after="60" w:line="260"/>
        <w:ind w:left="340"/>
      </w:pPr>
      <w:r>
        <w:rPr>
          <w:rFonts w:ascii="Calibri" w:cs="Calibri" w:eastAsia="Calibri" w:hAnsi="Calibri"/>
          <w:b w:val="false"/>
          <w:bCs w:val="false"/>
          <w:sz w:val="20"/>
          <w:szCs w:val="20"/>
        </w:rPr>
        <w:t xml:space="preserve">ACT-02 · Metodología de desarrollo y catálogo de requisitos</w:t>
      </w:r>
      <w:r>
        <w:rPr>
          <w:rFonts w:ascii="Calibri" w:cs="Calibri" w:eastAsia="Calibri" w:hAnsi="Calibri"/>
          <w:sz w:val="20"/>
          <w:szCs w:val="20"/>
        </w:rPr>
        <w:tab/>
      </w:r>
      <w:r>
        <w:rPr>
          <w:rFonts w:ascii="Calibri" w:cs="Calibri" w:eastAsia="Calibri" w:hAnsi="Calibri"/>
          <w:b w:val="false"/>
          <w:bCs w:val="false"/>
          <w:sz w:val="20"/>
          <w:szCs w:val="20"/>
        </w:rPr>
        <w:t xml:space="preserve">29</w:t>
      </w:r>
    </w:p>
    <w:p>
      <w:pPr>
        <w:tabs>
          <w:tab w:val="right" w:pos="9360" w:leader="dot"/>
        </w:tabs>
        <w:spacing w:after="60" w:line="260"/>
        <w:ind w:left="0"/>
      </w:pPr>
      <w:r>
        <w:rPr>
          <w:rFonts w:ascii="Calibri" w:cs="Calibri" w:eastAsia="Calibri" w:hAnsi="Calibri"/>
          <w:b/>
          <w:bCs/>
          <w:sz w:val="21"/>
          <w:szCs w:val="21"/>
        </w:rPr>
        <w:t xml:space="preserve">4. Estados de avance</w:t>
      </w:r>
      <w:r>
        <w:rPr>
          <w:rFonts w:ascii="Calibri" w:cs="Calibri" w:eastAsia="Calibri" w:hAnsi="Calibri"/>
          <w:sz w:val="21"/>
          <w:szCs w:val="21"/>
        </w:rPr>
        <w:tab/>
      </w:r>
      <w:r>
        <w:rPr>
          <w:rFonts w:ascii="Calibri" w:cs="Calibri" w:eastAsia="Calibri" w:hAnsi="Calibri"/>
          <w:b/>
          <w:bCs/>
          <w:sz w:val="21"/>
          <w:szCs w:val="21"/>
        </w:rPr>
        <w:t xml:space="preserve">31</w:t>
      </w:r>
    </w:p>
    <w:p>
      <w:pPr>
        <w:tabs>
          <w:tab w:val="right" w:pos="9020" w:leader="dot"/>
        </w:tabs>
        <w:spacing w:after="60" w:line="260"/>
        <w:ind w:left="340"/>
      </w:pPr>
      <w:r>
        <w:rPr>
          <w:rFonts w:ascii="Calibri" w:cs="Calibri" w:eastAsia="Calibri" w:hAnsi="Calibri"/>
          <w:b w:val="false"/>
          <w:bCs w:val="false"/>
          <w:sz w:val="20"/>
          <w:szCs w:val="20"/>
        </w:rPr>
        <w:t xml:space="preserve">EA-01 · Semana 1</w:t>
      </w:r>
      <w:r>
        <w:rPr>
          <w:rFonts w:ascii="Calibri" w:cs="Calibri" w:eastAsia="Calibri" w:hAnsi="Calibri"/>
          <w:sz w:val="20"/>
          <w:szCs w:val="20"/>
        </w:rPr>
        <w:tab/>
      </w:r>
      <w:r>
        <w:rPr>
          <w:rFonts w:ascii="Calibri" w:cs="Calibri" w:eastAsia="Calibri" w:hAnsi="Calibri"/>
          <w:b w:val="false"/>
          <w:bCs w:val="false"/>
          <w:sz w:val="20"/>
          <w:szCs w:val="20"/>
        </w:rPr>
        <w:t xml:space="preserve">31</w:t>
      </w:r>
    </w:p>
    <w:p>
      <w:pPr>
        <w:tabs>
          <w:tab w:val="right" w:pos="9020" w:leader="dot"/>
        </w:tabs>
        <w:spacing w:after="60" w:line="260"/>
        <w:ind w:left="340"/>
      </w:pPr>
      <w:r>
        <w:rPr>
          <w:rFonts w:ascii="Calibri" w:cs="Calibri" w:eastAsia="Calibri" w:hAnsi="Calibri"/>
          <w:b w:val="false"/>
          <w:bCs w:val="false"/>
          <w:sz w:val="20"/>
          <w:szCs w:val="20"/>
        </w:rPr>
        <w:t xml:space="preserve">EA-02 · Semana 2</w:t>
      </w:r>
      <w:r>
        <w:rPr>
          <w:rFonts w:ascii="Calibri" w:cs="Calibri" w:eastAsia="Calibri" w:hAnsi="Calibri"/>
          <w:sz w:val="20"/>
          <w:szCs w:val="20"/>
        </w:rPr>
        <w:tab/>
      </w:r>
      <w:r>
        <w:rPr>
          <w:rFonts w:ascii="Calibri" w:cs="Calibri" w:eastAsia="Calibri" w:hAnsi="Calibri"/>
          <w:b w:val="false"/>
          <w:bCs w:val="false"/>
          <w:sz w:val="20"/>
          <w:szCs w:val="20"/>
        </w:rPr>
        <w:t xml:space="preserve">33</w:t>
      </w:r>
    </w:p>
    <w:p>
      <w:pPr>
        <w:tabs>
          <w:tab w:val="right" w:pos="9360" w:leader="dot"/>
        </w:tabs>
        <w:spacing w:after="60" w:line="260"/>
        <w:ind w:left="0"/>
      </w:pPr>
      <w:r>
        <w:rPr>
          <w:rFonts w:ascii="Calibri" w:cs="Calibri" w:eastAsia="Calibri" w:hAnsi="Calibri"/>
          <w:b/>
          <w:bCs/>
          <w:sz w:val="21"/>
          <w:szCs w:val="21"/>
        </w:rPr>
        <w:t xml:space="preserve">5. Resolución de conflictos</w:t>
      </w:r>
      <w:r>
        <w:rPr>
          <w:rFonts w:ascii="Calibri" w:cs="Calibri" w:eastAsia="Calibri" w:hAnsi="Calibri"/>
          <w:sz w:val="21"/>
          <w:szCs w:val="21"/>
        </w:rPr>
        <w:tab/>
      </w:r>
      <w:r>
        <w:rPr>
          <w:rFonts w:ascii="Calibri" w:cs="Calibri" w:eastAsia="Calibri" w:hAnsi="Calibri"/>
          <w:b/>
          <w:bCs/>
          <w:sz w:val="21"/>
          <w:szCs w:val="21"/>
        </w:rPr>
        <w:t xml:space="preserve">35</w:t>
      </w:r>
    </w:p>
    <w:p>
      <w:pPr>
        <w:tabs>
          <w:tab w:val="right" w:pos="9020" w:leader="dot"/>
        </w:tabs>
        <w:spacing w:after="60" w:line="260"/>
        <w:ind w:left="340"/>
      </w:pPr>
      <w:r>
        <w:rPr>
          <w:rFonts w:ascii="Calibri" w:cs="Calibri" w:eastAsia="Calibri" w:hAnsi="Calibri"/>
          <w:b w:val="false"/>
          <w:bCs w:val="false"/>
          <w:sz w:val="20"/>
          <w:szCs w:val="20"/>
        </w:rPr>
        <w:t xml:space="preserve">5.1 Principios acordados</w:t>
      </w:r>
      <w:r>
        <w:rPr>
          <w:rFonts w:ascii="Calibri" w:cs="Calibri" w:eastAsia="Calibri" w:hAnsi="Calibri"/>
          <w:sz w:val="20"/>
          <w:szCs w:val="20"/>
        </w:rPr>
        <w:tab/>
      </w:r>
      <w:r>
        <w:rPr>
          <w:rFonts w:ascii="Calibri" w:cs="Calibri" w:eastAsia="Calibri" w:hAnsi="Calibri"/>
          <w:b w:val="false"/>
          <w:bCs w:val="false"/>
          <w:sz w:val="20"/>
          <w:szCs w:val="20"/>
        </w:rPr>
        <w:t xml:space="preserve">35</w:t>
      </w:r>
    </w:p>
    <w:p>
      <w:pPr>
        <w:tabs>
          <w:tab w:val="right" w:pos="9020" w:leader="dot"/>
        </w:tabs>
        <w:spacing w:after="60" w:line="260"/>
        <w:ind w:left="340"/>
      </w:pPr>
      <w:r>
        <w:rPr>
          <w:rFonts w:ascii="Calibri" w:cs="Calibri" w:eastAsia="Calibri" w:hAnsi="Calibri"/>
          <w:b w:val="false"/>
          <w:bCs w:val="false"/>
          <w:sz w:val="20"/>
          <w:szCs w:val="20"/>
        </w:rPr>
        <w:t xml:space="preserve">5.2 Tipología de conflictos previstos</w:t>
      </w:r>
      <w:r>
        <w:rPr>
          <w:rFonts w:ascii="Calibri" w:cs="Calibri" w:eastAsia="Calibri" w:hAnsi="Calibri"/>
          <w:sz w:val="20"/>
          <w:szCs w:val="20"/>
        </w:rPr>
        <w:tab/>
      </w:r>
      <w:r>
        <w:rPr>
          <w:rFonts w:ascii="Calibri" w:cs="Calibri" w:eastAsia="Calibri" w:hAnsi="Calibri"/>
          <w:b w:val="false"/>
          <w:bCs w:val="false"/>
          <w:sz w:val="20"/>
          <w:szCs w:val="20"/>
        </w:rPr>
        <w:t xml:space="preserve">35</w:t>
      </w:r>
    </w:p>
    <w:p>
      <w:pPr>
        <w:tabs>
          <w:tab w:val="right" w:pos="9020" w:leader="dot"/>
        </w:tabs>
        <w:spacing w:after="60" w:line="260"/>
        <w:ind w:left="340"/>
      </w:pPr>
      <w:r>
        <w:rPr>
          <w:rFonts w:ascii="Calibri" w:cs="Calibri" w:eastAsia="Calibri" w:hAnsi="Calibri"/>
          <w:b w:val="false"/>
          <w:bCs w:val="false"/>
          <w:sz w:val="20"/>
          <w:szCs w:val="20"/>
        </w:rPr>
        <w:t xml:space="preserve">5.3 Niveles de escalamiento</w:t>
      </w:r>
      <w:r>
        <w:rPr>
          <w:rFonts w:ascii="Calibri" w:cs="Calibri" w:eastAsia="Calibri" w:hAnsi="Calibri"/>
          <w:sz w:val="20"/>
          <w:szCs w:val="20"/>
        </w:rPr>
        <w:tab/>
      </w:r>
      <w:r>
        <w:rPr>
          <w:rFonts w:ascii="Calibri" w:cs="Calibri" w:eastAsia="Calibri" w:hAnsi="Calibri"/>
          <w:b w:val="false"/>
          <w:bCs w:val="false"/>
          <w:sz w:val="20"/>
          <w:szCs w:val="20"/>
        </w:rPr>
        <w:t xml:space="preserve">37</w:t>
      </w:r>
    </w:p>
    <w:p>
      <w:pPr>
        <w:tabs>
          <w:tab w:val="right" w:pos="9020" w:leader="dot"/>
        </w:tabs>
        <w:spacing w:after="60" w:line="260"/>
        <w:ind w:left="340"/>
      </w:pPr>
      <w:r>
        <w:rPr>
          <w:rFonts w:ascii="Calibri" w:cs="Calibri" w:eastAsia="Calibri" w:hAnsi="Calibri"/>
          <w:b w:val="false"/>
          <w:bCs w:val="false"/>
          <w:sz w:val="20"/>
          <w:szCs w:val="20"/>
        </w:rPr>
        <w:t xml:space="preserve">5.4 Procedimiento de resolución</w:t>
      </w:r>
      <w:r>
        <w:rPr>
          <w:rFonts w:ascii="Calibri" w:cs="Calibri" w:eastAsia="Calibri" w:hAnsi="Calibri"/>
          <w:sz w:val="20"/>
          <w:szCs w:val="20"/>
        </w:rPr>
        <w:tab/>
      </w:r>
      <w:r>
        <w:rPr>
          <w:rFonts w:ascii="Calibri" w:cs="Calibri" w:eastAsia="Calibri" w:hAnsi="Calibri"/>
          <w:b w:val="false"/>
          <w:bCs w:val="false"/>
          <w:sz w:val="20"/>
          <w:szCs w:val="20"/>
        </w:rPr>
        <w:t xml:space="preserve">37</w:t>
      </w:r>
    </w:p>
    <w:p>
      <w:pPr>
        <w:tabs>
          <w:tab w:val="right" w:pos="9020" w:leader="dot"/>
        </w:tabs>
        <w:spacing w:after="60" w:line="260"/>
        <w:ind w:left="340"/>
      </w:pPr>
      <w:r>
        <w:rPr>
          <w:rFonts w:ascii="Calibri" w:cs="Calibri" w:eastAsia="Calibri" w:hAnsi="Calibri"/>
          <w:b w:val="false"/>
          <w:bCs w:val="false"/>
          <w:sz w:val="20"/>
          <w:szCs w:val="20"/>
        </w:rPr>
        <w:t xml:space="preserve">5.5 Registro de conflictos</w:t>
      </w:r>
      <w:r>
        <w:rPr>
          <w:rFonts w:ascii="Calibri" w:cs="Calibri" w:eastAsia="Calibri" w:hAnsi="Calibri"/>
          <w:sz w:val="20"/>
          <w:szCs w:val="20"/>
        </w:rPr>
        <w:tab/>
      </w:r>
      <w:r>
        <w:rPr>
          <w:rFonts w:ascii="Calibri" w:cs="Calibri" w:eastAsia="Calibri" w:hAnsi="Calibri"/>
          <w:b w:val="false"/>
          <w:bCs w:val="false"/>
          <w:sz w:val="20"/>
          <w:szCs w:val="20"/>
        </w:rPr>
        <w:t xml:space="preserve">38</w:t>
      </w:r>
    </w:p>
    <w:p>
      <w:pPr>
        <w:tabs>
          <w:tab w:val="right" w:pos="9020" w:leader="dot"/>
        </w:tabs>
        <w:spacing w:after="60" w:line="260"/>
        <w:ind w:left="340"/>
      </w:pPr>
      <w:r>
        <w:rPr>
          <w:rFonts w:ascii="Calibri" w:cs="Calibri" w:eastAsia="Calibri" w:hAnsi="Calibri"/>
          <w:b w:val="false"/>
          <w:bCs w:val="false"/>
          <w:sz w:val="20"/>
          <w:szCs w:val="20"/>
        </w:rPr>
        <w:t xml:space="preserve">5.6 Prevención de conflictos</w:t>
      </w:r>
      <w:r>
        <w:rPr>
          <w:rFonts w:ascii="Calibri" w:cs="Calibri" w:eastAsia="Calibri" w:hAnsi="Calibri"/>
          <w:sz w:val="20"/>
          <w:szCs w:val="20"/>
        </w:rPr>
        <w:tab/>
      </w:r>
      <w:r>
        <w:rPr>
          <w:rFonts w:ascii="Calibri" w:cs="Calibri" w:eastAsia="Calibri" w:hAnsi="Calibri"/>
          <w:b w:val="false"/>
          <w:bCs w:val="false"/>
          <w:sz w:val="20"/>
          <w:szCs w:val="20"/>
        </w:rPr>
        <w:t xml:space="preserve">40</w:t>
      </w:r>
    </w:p>
    <w:p>
      <w:pPr>
        <w:tabs>
          <w:tab w:val="right" w:pos="9360" w:leader="dot"/>
        </w:tabs>
        <w:spacing w:after="60" w:line="260"/>
        <w:ind w:left="0"/>
      </w:pPr>
      <w:r>
        <w:rPr>
          <w:rFonts w:ascii="Calibri" w:cs="Calibri" w:eastAsia="Calibri" w:hAnsi="Calibri"/>
          <w:b/>
          <w:bCs/>
          <w:sz w:val="21"/>
          <w:szCs w:val="21"/>
        </w:rPr>
        <w:t xml:space="preserve">Anexo A. Plantilla de acta de reunión</w:t>
      </w:r>
      <w:r>
        <w:rPr>
          <w:rFonts w:ascii="Calibri" w:cs="Calibri" w:eastAsia="Calibri" w:hAnsi="Calibri"/>
          <w:sz w:val="21"/>
          <w:szCs w:val="21"/>
        </w:rPr>
        <w:tab/>
      </w:r>
      <w:r>
        <w:rPr>
          <w:rFonts w:ascii="Calibri" w:cs="Calibri" w:eastAsia="Calibri" w:hAnsi="Calibri"/>
          <w:b/>
          <w:bCs/>
          <w:sz w:val="21"/>
          <w:szCs w:val="21"/>
        </w:rPr>
        <w:t xml:space="preserve">41</w:t>
      </w:r>
    </w:p>
    <w:p>
      <w:pPr>
        <w:tabs>
          <w:tab w:val="right" w:pos="9360" w:leader="dot"/>
        </w:tabs>
        <w:spacing w:after="60" w:line="260"/>
        <w:ind w:left="0"/>
      </w:pPr>
      <w:r>
        <w:rPr>
          <w:rFonts w:ascii="Calibri" w:cs="Calibri" w:eastAsia="Calibri" w:hAnsi="Calibri"/>
          <w:b/>
          <w:bCs/>
          <w:sz w:val="21"/>
          <w:szCs w:val="21"/>
        </w:rPr>
        <w:t xml:space="preserve">Anexo B. Plantilla de estado de avance</w:t>
      </w:r>
      <w:r>
        <w:rPr>
          <w:rFonts w:ascii="Calibri" w:cs="Calibri" w:eastAsia="Calibri" w:hAnsi="Calibri"/>
          <w:sz w:val="21"/>
          <w:szCs w:val="21"/>
        </w:rPr>
        <w:tab/>
      </w:r>
      <w:r>
        <w:rPr>
          <w:rFonts w:ascii="Calibri" w:cs="Calibri" w:eastAsia="Calibri" w:hAnsi="Calibri"/>
          <w:b/>
          <w:bCs/>
          <w:sz w:val="21"/>
          <w:szCs w:val="21"/>
        </w:rPr>
        <w:t xml:space="preserve">42</w:t>
      </w:r>
    </w:p>
    <w:p>
      <w:pPr>
        <w:tabs>
          <w:tab w:val="right" w:pos="9360" w:leader="dot"/>
        </w:tabs>
        <w:spacing w:after="60" w:line="260"/>
        <w:ind w:left="0"/>
      </w:pPr>
      <w:r>
        <w:rPr>
          <w:rFonts w:ascii="Calibri" w:cs="Calibri" w:eastAsia="Calibri" w:hAnsi="Calibri"/>
          <w:b/>
          <w:bCs/>
          <w:sz w:val="21"/>
          <w:szCs w:val="21"/>
        </w:rPr>
        <w:t xml:space="preserve">Anexo C. Plantilla de informe de cierre de incremento</w:t>
      </w:r>
      <w:r>
        <w:rPr>
          <w:rFonts w:ascii="Calibri" w:cs="Calibri" w:eastAsia="Calibri" w:hAnsi="Calibri"/>
          <w:sz w:val="21"/>
          <w:szCs w:val="21"/>
        </w:rPr>
        <w:tab/>
      </w:r>
      <w:r>
        <w:rPr>
          <w:rFonts w:ascii="Calibri" w:cs="Calibri" w:eastAsia="Calibri" w:hAnsi="Calibri"/>
          <w:b/>
          <w:bCs/>
          <w:sz w:val="21"/>
          <w:szCs w:val="21"/>
        </w:rPr>
        <w:t xml:space="preserve">43</w:t>
      </w:r>
    </w:p>
    <w:p>
      <w:pPr>
        <w:tabs>
          <w:tab w:val="right" w:pos="9360" w:leader="dot"/>
        </w:tabs>
        <w:spacing w:after="60" w:line="260"/>
        <w:ind w:left="0"/>
      </w:pPr>
      <w:r>
        <w:rPr>
          <w:rFonts w:ascii="Calibri" w:cs="Calibri" w:eastAsia="Calibri" w:hAnsi="Calibri"/>
          <w:b/>
          <w:bCs/>
          <w:sz w:val="21"/>
          <w:szCs w:val="21"/>
        </w:rPr>
        <w:t xml:space="preserve">Anexo D. Acuerdo de trabajo del equipo</w:t>
      </w:r>
      <w:r>
        <w:rPr>
          <w:rFonts w:ascii="Calibri" w:cs="Calibri" w:eastAsia="Calibri" w:hAnsi="Calibri"/>
          <w:sz w:val="21"/>
          <w:szCs w:val="21"/>
        </w:rPr>
        <w:tab/>
      </w:r>
      <w:r>
        <w:rPr>
          <w:rFonts w:ascii="Calibri" w:cs="Calibri" w:eastAsia="Calibri" w:hAnsi="Calibri"/>
          <w:b/>
          <w:bCs/>
          <w:sz w:val="21"/>
          <w:szCs w:val="21"/>
        </w:rPr>
        <w:t xml:space="preserve">44</w:t>
      </w:r>
    </w:p>
    <w:p>
      <w:pPr>
        <w:spacing w:after="240"/>
      </w:pPr>
    </w:p>
    <w:p>
      <w:pPr>
        <w:pStyle w:val="Heading2"/>
        <w:spacing w:after="160" w:before="260"/>
      </w:pPr>
      <w:r>
        <w:t xml:space="preserve">Índice de figuras</w:t>
      </w:r>
    </w:p>
    <w:p>
      <w:pPr>
        <w:tabs>
          <w:tab w:val="right" w:pos="9020" w:leader="dot"/>
        </w:tabs>
        <w:spacing w:after="60" w:line="260"/>
        <w:ind w:left="340"/>
      </w:pPr>
      <w:r>
        <w:rPr>
          <w:rFonts w:ascii="Calibri" w:cs="Calibri" w:eastAsia="Calibri" w:hAnsi="Calibri"/>
          <w:b w:val="false"/>
          <w:bCs w:val="false"/>
          <w:sz w:val="20"/>
          <w:szCs w:val="20"/>
        </w:rPr>
        <w:t xml:space="preserve">Figura 1. Carta Gantt del proyecto AutoSplat.</w:t>
      </w:r>
      <w:r>
        <w:rPr>
          <w:rFonts w:ascii="Calibri" w:cs="Calibri" w:eastAsia="Calibri" w:hAnsi="Calibri"/>
          <w:sz w:val="20"/>
          <w:szCs w:val="20"/>
        </w:rPr>
        <w:tab/>
      </w:r>
      <w:r>
        <w:rPr>
          <w:rFonts w:ascii="Calibri" w:cs="Calibri" w:eastAsia="Calibri" w:hAnsi="Calibri"/>
          <w:b w:val="false"/>
          <w:bCs w:val="false"/>
          <w:sz w:val="20"/>
          <w:szCs w:val="20"/>
        </w:rPr>
        <w:t xml:space="preserve">14</w:t>
      </w:r>
    </w:p>
    <w:p>
      <w:r>
        <w:br w:type="page"/>
      </w:r>
    </w:p>
    <w:p>
      <w:pPr>
        <w:pStyle w:val="Heading1"/>
        <w:spacing w:after="200" w:before="320"/>
      </w:pPr>
      <w:r>
        <w:t xml:space="preserve">1. Plan del proyecto</w:t>
      </w:r>
    </w:p>
    <w:p>
      <w:pPr>
        <w:pStyle w:val="Heading2"/>
        <w:spacing w:after="160" w:before="260"/>
      </w:pPr>
      <w:r>
        <w:t xml:space="preserve">1.1 Propósito y alcance del plan</w:t>
      </w:r>
    </w:p>
    <w:p>
      <w:pPr>
        <w:spacing w:after="120" w:line="280"/>
        <w:jc w:val="both"/>
      </w:pPr>
      <w:r>
        <w:rPr>
          <w:rFonts w:ascii="Calibri" w:cs="Calibri" w:eastAsia="Calibri" w:hAnsi="Calibri"/>
          <w:sz w:val="22"/>
          <w:szCs w:val="22"/>
        </w:rPr>
        <w:t xml:space="preserve">El presente plan define cómo se organizará, ejecutará, controlará y cerrará el desarrollo del proyecto AutoSplat en el marco del Portafolio de Título de la carrera de Ingeniería en Informática de DUOC UC, Sede Plaza Oeste. Establece el alcance comprometido, la metodología de desarrollo adoptada, la estructura del equipo, el cronograma con sus hitos, los mecanismos de gestión de riesgos, de calidad, de configuración y de comunicaciones, y los criterios que permitirán declarar el proyecto terminado.</w:t>
      </w:r>
    </w:p>
    <w:p>
      <w:pPr>
        <w:spacing w:after="120" w:line="280"/>
        <w:jc w:val="both"/>
      </w:pPr>
      <w:r>
        <w:rPr>
          <w:rFonts w:ascii="Calibri" w:cs="Calibri" w:eastAsia="Calibri" w:hAnsi="Calibri"/>
          <w:sz w:val="22"/>
          <w:szCs w:val="22"/>
        </w:rPr>
        <w:t xml:space="preserve">Este plan se emite durante la fase de planificación, antes del inicio de la construcción. Es un documento vivo: será revisado al cierre de cada incremento y toda modificación quedará registrada en el control de versiones. Su contraparte técnica es el documento AutoSplat — Documentos de Diseño, que contiene la especificación de requisitos y el modelado UML sobre los cuales se sustenta esta planificación.</w:t>
      </w:r>
    </w:p>
    <w:p>
      <w:pPr>
        <w:pStyle w:val="Heading2"/>
        <w:spacing w:after="160" w:before="260"/>
      </w:pPr>
      <w:r>
        <w:t xml:space="preserve">1.2 Objetivos del proyecto</w:t>
      </w:r>
    </w:p>
    <w:p>
      <w:pPr>
        <w:spacing w:after="80" w:before="200"/>
      </w:pPr>
      <w:r>
        <w:rPr>
          <w:rFonts w:ascii="Calibri" w:cs="Calibri" w:eastAsia="Calibri" w:hAnsi="Calibri"/>
          <w:b/>
          <w:bCs/>
          <w:color w:val="2E6DA4"/>
          <w:sz w:val="22"/>
          <w:szCs w:val="22"/>
        </w:rPr>
        <w:t xml:space="preserve">Objetivo general</w:t>
      </w:r>
    </w:p>
    <w:p>
      <w:pPr>
        <w:spacing w:after="120" w:line="280"/>
        <w:jc w:val="both"/>
      </w:pPr>
      <w:r>
        <w:rPr>
          <w:rFonts w:ascii="Calibri" w:cs="Calibri" w:eastAsia="Calibri" w:hAnsi="Calibri"/>
          <w:sz w:val="22"/>
          <w:szCs w:val="22"/>
        </w:rPr>
        <w:t xml:space="preserve">Desarrollar y desplegar una plataforma web de compraventa de vehículos usados que incorpore visualización tridimensional interactiva de cada unidad, generada automáticamente mediante Gaussian Splatting a partir de material capturado por el propio vendedor con un teléfono móvil, con el fin de reducir la incertidumbre del comprador y la cantidad de visitas presenciales necesarias para evaluar un vehículo.</w:t>
      </w:r>
    </w:p>
    <w:p>
      <w:pPr>
        <w:spacing w:after="80" w:before="200"/>
      </w:pPr>
      <w:r>
        <w:rPr>
          <w:rFonts w:ascii="Calibri" w:cs="Calibri" w:eastAsia="Calibri" w:hAnsi="Calibri"/>
          <w:b/>
          <w:bCs/>
          <w:color w:val="2E6DA4"/>
          <w:sz w:val="22"/>
          <w:szCs w:val="22"/>
        </w:rPr>
        <w:t xml:space="preserve">Objetivos específicos</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800"/>
        <w:gridCol w:w="3600"/>
        <w:gridCol w:w="4960"/>
      </w:tblGrid>
      <w:tr>
        <w:trPr>
          <w:tblHeader/>
        </w:trPr>
        <w:tc>
          <w:tcPr>
            <w:tcW w:type="dxa" w:w="8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ID</w:t>
            </w:r>
          </w:p>
        </w:tc>
        <w:tc>
          <w:tcPr>
            <w:tcW w:type="dxa" w:w="36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Objetivo específico</w:t>
            </w:r>
          </w:p>
        </w:tc>
        <w:tc>
          <w:tcPr>
            <w:tcW w:type="dxa" w:w="49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Indicador de logro</w:t>
            </w:r>
          </w:p>
        </w:tc>
      </w:tr>
      <w:tr>
        <w:tc>
          <w:tcPr>
            <w:tcW w:type="dxa" w:w="8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OE-01</w:t>
            </w:r>
          </w:p>
        </w:tc>
        <w:tc>
          <w:tcPr>
            <w:tcW w:type="dxa" w:w="36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Especificar y modelar la solución conforme a estándares reconocidos de ingeniería de software.</w:t>
            </w:r>
          </w:p>
        </w:tc>
        <w:tc>
          <w:tcPr>
            <w:tcW w:type="dxa" w:w="496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Documentos de diseño aprobados por el docente guía, con trazabilidad completa entre requisitos, casos de uso e historias.</w:t>
            </w:r>
          </w:p>
        </w:tc>
      </w:tr>
      <w:tr>
        <w:tc>
          <w:tcPr>
            <w:tcW w:type="dxa" w:w="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OE-02</w:t>
            </w:r>
          </w:p>
        </w:tc>
        <w:tc>
          <w:tcPr>
            <w:tcW w:type="dxa" w:w="36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Construir el núcleo transaccional de la plataforma: cuentas, publicaciones y catálogo con búsqueda multicriterio.</w:t>
            </w:r>
          </w:p>
        </w:tc>
        <w:tc>
          <w:tcPr>
            <w:tcW w:type="dxa" w:w="49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Los 22 requisitos funcionales de los incrementos 1 y 2 aprobados en pruebas de aceptación.</w:t>
            </w:r>
          </w:p>
        </w:tc>
      </w:tr>
      <w:tr>
        <w:tc>
          <w:tcPr>
            <w:tcW w:type="dxa" w:w="8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OE-03</w:t>
            </w:r>
          </w:p>
        </w:tc>
        <w:tc>
          <w:tcPr>
            <w:tcW w:type="dxa" w:w="36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Implementar un pipeline automatizado de reconstrucción tridimensional que opere sobre GPU bajo demanda.</w:t>
            </w:r>
          </w:p>
        </w:tc>
        <w:tc>
          <w:tcPr>
            <w:tcW w:type="dxa" w:w="496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Tasa de éxito del pipeline igual o superior al 80 % sobre un conjunto de al menos 10 capturas de prueba.</w:t>
            </w:r>
          </w:p>
        </w:tc>
      </w:tr>
      <w:tr>
        <w:tc>
          <w:tcPr>
            <w:tcW w:type="dxa" w:w="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OE-04</w:t>
            </w:r>
          </w:p>
        </w:tc>
        <w:tc>
          <w:tcPr>
            <w:tcW w:type="dxa" w:w="36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Integrar un visor tridimensional en el navegador con rendimiento aceptable en equipos de gama media.</w:t>
            </w:r>
          </w:p>
        </w:tc>
        <w:tc>
          <w:tcPr>
            <w:tcW w:type="dxa" w:w="49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Al menos 30 FPS en escritorio y 24 FPS en móvil sobre tres modelos de referencia.</w:t>
            </w:r>
          </w:p>
        </w:tc>
      </w:tr>
      <w:tr>
        <w:tc>
          <w:tcPr>
            <w:tcW w:type="dxa" w:w="8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OE-05</w:t>
            </w:r>
          </w:p>
        </w:tc>
        <w:tc>
          <w:tcPr>
            <w:tcW w:type="dxa" w:w="36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Asegurar la calidad, la seguridad y la mantenibilidad de la solución construida.</w:t>
            </w:r>
          </w:p>
        </w:tc>
        <w:tc>
          <w:tcPr>
            <w:tcW w:type="dxa" w:w="496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Cobertura de pruebas del backend igual o superior al 70 % y cero hallazgos críticos en la revisión de seguridad.</w:t>
            </w:r>
          </w:p>
        </w:tc>
      </w:tr>
      <w:tr>
        <w:tc>
          <w:tcPr>
            <w:tcW w:type="dxa" w:w="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OE-06</w:t>
            </w:r>
          </w:p>
        </w:tc>
        <w:tc>
          <w:tcPr>
            <w:tcW w:type="dxa" w:w="36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Gestionar el proyecto de forma disciplinada, con evidencia documental de cada decisión y de cada avance.</w:t>
            </w:r>
          </w:p>
        </w:tc>
        <w:tc>
          <w:tcPr>
            <w:tcW w:type="dxa" w:w="49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Actas de reunión, estados de avance e informes de incremento emitidos según la periodicidad comprometida.</w:t>
            </w:r>
          </w:p>
        </w:tc>
      </w:tr>
    </w:tbl>
    <w:p>
      <w:pPr>
        <w:pStyle w:val="Heading2"/>
        <w:spacing w:after="160" w:before="260"/>
      </w:pPr>
      <w:r>
        <w:t xml:space="preserve">1.3 Alcance del proyecto</w:t>
      </w:r>
    </w:p>
    <w:p>
      <w:pPr>
        <w:spacing w:after="80" w:before="200"/>
      </w:pPr>
      <w:r>
        <w:rPr>
          <w:rFonts w:ascii="Calibri" w:cs="Calibri" w:eastAsia="Calibri" w:hAnsi="Calibri"/>
          <w:b/>
          <w:bCs/>
          <w:color w:val="2E6DA4"/>
          <w:sz w:val="22"/>
          <w:szCs w:val="22"/>
        </w:rPr>
        <w:t xml:space="preserve">Incluido en el alcance</w:t>
      </w:r>
    </w:p>
    <w:p>
      <w:pPr>
        <w:pStyle w:val="ListParagraph"/>
        <w:numPr>
          <w:ilvl w:val="0"/>
          <w:numId w:val="2"/>
        </w:numPr>
        <w:spacing w:after="70" w:line="270"/>
      </w:pPr>
      <w:r>
        <w:rPr>
          <w:rFonts w:ascii="Calibri" w:cs="Calibri" w:eastAsia="Calibri" w:hAnsi="Calibri"/>
          <w:sz w:val="22"/>
          <w:szCs w:val="22"/>
        </w:rPr>
        <w:t xml:space="preserve">Gestión de cuentas de usuario, verificación de correo y control de acceso por rol.</w:t>
      </w:r>
    </w:p>
    <w:p>
      <w:pPr>
        <w:pStyle w:val="ListParagraph"/>
        <w:numPr>
          <w:ilvl w:val="0"/>
          <w:numId w:val="2"/>
        </w:numPr>
        <w:spacing w:after="70" w:line="270"/>
      </w:pPr>
      <w:r>
        <w:rPr>
          <w:rFonts w:ascii="Calibri" w:cs="Calibri" w:eastAsia="Calibri" w:hAnsi="Calibri"/>
          <w:sz w:val="22"/>
          <w:szCs w:val="22"/>
        </w:rPr>
        <w:t xml:space="preserve">Publicación de vehículos con carga de fotografías y administración del ciclo de vida del aviso.</w:t>
      </w:r>
    </w:p>
    <w:p>
      <w:pPr>
        <w:pStyle w:val="ListParagraph"/>
        <w:numPr>
          <w:ilvl w:val="0"/>
          <w:numId w:val="2"/>
        </w:numPr>
        <w:spacing w:after="70" w:line="270"/>
      </w:pPr>
      <w:r>
        <w:rPr>
          <w:rFonts w:ascii="Calibri" w:cs="Calibri" w:eastAsia="Calibri" w:hAnsi="Calibri"/>
          <w:sz w:val="22"/>
          <w:szCs w:val="22"/>
        </w:rPr>
        <w:t xml:space="preserve">Catálogo público con búsqueda por texto, filtrado multicriterio, ordenamiento y paginación.</w:t>
      </w:r>
    </w:p>
    <w:p>
      <w:pPr>
        <w:pStyle w:val="ListParagraph"/>
        <w:numPr>
          <w:ilvl w:val="0"/>
          <w:numId w:val="2"/>
        </w:numPr>
        <w:spacing w:after="70" w:line="270"/>
      </w:pPr>
      <w:r>
        <w:rPr>
          <w:rFonts w:ascii="Calibri" w:cs="Calibri" w:eastAsia="Calibri" w:hAnsi="Calibri"/>
          <w:sz w:val="22"/>
          <w:szCs w:val="22"/>
        </w:rPr>
        <w:t xml:space="preserve">Pipeline automatizado de reconstrucción tridimensional y seguimiento de su estado por parte del vendedor.</w:t>
      </w:r>
    </w:p>
    <w:p>
      <w:pPr>
        <w:pStyle w:val="ListParagraph"/>
        <w:numPr>
          <w:ilvl w:val="0"/>
          <w:numId w:val="2"/>
        </w:numPr>
        <w:spacing w:after="70" w:line="270"/>
      </w:pPr>
      <w:r>
        <w:rPr>
          <w:rFonts w:ascii="Calibri" w:cs="Calibri" w:eastAsia="Calibri" w:hAnsi="Calibri"/>
          <w:sz w:val="22"/>
          <w:szCs w:val="22"/>
        </w:rPr>
        <w:t xml:space="preserve">Visor tridimensional interactivo integrado en la ficha del vehículo, con degradación controlada.</w:t>
      </w:r>
    </w:p>
    <w:p>
      <w:pPr>
        <w:pStyle w:val="ListParagraph"/>
        <w:numPr>
          <w:ilvl w:val="0"/>
          <w:numId w:val="2"/>
        </w:numPr>
        <w:spacing w:after="70" w:line="270"/>
      </w:pPr>
      <w:r>
        <w:rPr>
          <w:rFonts w:ascii="Calibri" w:cs="Calibri" w:eastAsia="Calibri" w:hAnsi="Calibri"/>
          <w:sz w:val="22"/>
          <w:szCs w:val="22"/>
        </w:rPr>
        <w:t xml:space="preserve">Consultas entre comprador y vendedor, notificaciones y sistema de reportes.</w:t>
      </w:r>
    </w:p>
    <w:p>
      <w:pPr>
        <w:pStyle w:val="ListParagraph"/>
        <w:numPr>
          <w:ilvl w:val="0"/>
          <w:numId w:val="2"/>
        </w:numPr>
        <w:spacing w:after="70" w:line="270"/>
      </w:pPr>
      <w:r>
        <w:rPr>
          <w:rFonts w:ascii="Calibri" w:cs="Calibri" w:eastAsia="Calibri" w:hAnsi="Calibri"/>
          <w:sz w:val="22"/>
          <w:szCs w:val="22"/>
        </w:rPr>
        <w:t xml:space="preserve">Panel de administración con moderación de publicaciones, gestión de usuarios, indicadores y auditoría.</w:t>
      </w:r>
    </w:p>
    <w:p>
      <w:pPr>
        <w:pStyle w:val="ListParagraph"/>
        <w:numPr>
          <w:ilvl w:val="0"/>
          <w:numId w:val="2"/>
        </w:numPr>
        <w:spacing w:after="70" w:line="270"/>
      </w:pPr>
      <w:r>
        <w:rPr>
          <w:rFonts w:ascii="Calibri" w:cs="Calibri" w:eastAsia="Calibri" w:hAnsi="Calibri"/>
          <w:sz w:val="22"/>
          <w:szCs w:val="22"/>
        </w:rPr>
        <w:t xml:space="preserve">Despliegue de los cuatro componentes en ambientes productivos accesibles públicamente.</w:t>
      </w:r>
    </w:p>
    <w:p>
      <w:pPr>
        <w:pStyle w:val="ListParagraph"/>
        <w:numPr>
          <w:ilvl w:val="0"/>
          <w:numId w:val="2"/>
        </w:numPr>
        <w:spacing w:after="70" w:line="270"/>
      </w:pPr>
      <w:r>
        <w:rPr>
          <w:rFonts w:ascii="Calibri" w:cs="Calibri" w:eastAsia="Calibri" w:hAnsi="Calibri"/>
          <w:sz w:val="22"/>
          <w:szCs w:val="22"/>
        </w:rPr>
        <w:t xml:space="preserve">Documentación técnica y de gestión exigida por el Portafolio de Título.</w:t>
      </w:r>
    </w:p>
    <w:p>
      <w:pPr>
        <w:spacing w:after="80" w:before="200"/>
      </w:pPr>
      <w:r>
        <w:rPr>
          <w:rFonts w:ascii="Calibri" w:cs="Calibri" w:eastAsia="Calibri" w:hAnsi="Calibri"/>
          <w:b/>
          <w:bCs/>
          <w:color w:val="2E6DA4"/>
          <w:sz w:val="22"/>
          <w:szCs w:val="22"/>
        </w:rPr>
        <w:t xml:space="preserve">Excluido del alcance</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4000"/>
        <w:gridCol w:w="5360"/>
      </w:tblGrid>
      <w:tr>
        <w:trPr>
          <w:tblHeader/>
        </w:trPr>
        <w:tc>
          <w:tcPr>
            <w:tcW w:type="dxa" w:w="40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Exclusión</w:t>
            </w:r>
          </w:p>
        </w:tc>
        <w:tc>
          <w:tcPr>
            <w:tcW w:type="dxa" w:w="53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Fundamento</w:t>
            </w:r>
          </w:p>
        </w:tc>
      </w:tr>
      <w:tr>
        <w:tc>
          <w:tcPr>
            <w:tcW w:type="dxa" w:w="40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Procesamiento de pagos e intermediación financiera.</w:t>
            </w:r>
          </w:p>
        </w:tc>
        <w:tc>
          <w:tcPr>
            <w:tcW w:type="dxa" w:w="536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Requiere convenios con proveedores de pago y cumplimiento normativo que exceden la duración y el marco del proyecto académico.</w:t>
            </w:r>
          </w:p>
        </w:tc>
      </w:tr>
      <w:tr>
        <w:tc>
          <w:tcPr>
            <w:tcW w:type="dxa" w:w="40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Verificación registral o legal de los vehículos ante organismos externos.</w:t>
            </w:r>
          </w:p>
        </w:tc>
        <w:tc>
          <w:tcPr>
            <w:tcW w:type="dxa" w:w="53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No se dispone de convenios de acceso a las fuentes oficiales de información vehicular.</w:t>
            </w:r>
          </w:p>
        </w:tc>
      </w:tr>
      <w:tr>
        <w:tc>
          <w:tcPr>
            <w:tcW w:type="dxa" w:w="40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Logística de traslado, garantías o servicios postventa.</w:t>
            </w:r>
          </w:p>
        </w:tc>
        <w:tc>
          <w:tcPr>
            <w:tcW w:type="dxa" w:w="536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Corresponde a un modelo de negocio distinto al de un marketplace entre particulares.</w:t>
            </w:r>
          </w:p>
        </w:tc>
      </w:tr>
      <w:tr>
        <w:tc>
          <w:tcPr>
            <w:tcW w:type="dxa" w:w="40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Aplicaciones móviles nativas para iOS y Android.</w:t>
            </w:r>
          </w:p>
        </w:tc>
        <w:tc>
          <w:tcPr>
            <w:tcW w:type="dxa" w:w="53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La aplicación web adaptable cubre el caso de uso móvil con un costo de construcción sustancialmente menor.</w:t>
            </w:r>
          </w:p>
        </w:tc>
      </w:tr>
      <w:tr>
        <w:tc>
          <w:tcPr>
            <w:tcW w:type="dxa" w:w="40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Tasación automática de precios mediante aprendizaje automático.</w:t>
            </w:r>
          </w:p>
        </w:tc>
        <w:tc>
          <w:tcPr>
            <w:tcW w:type="dxa" w:w="536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Requiere un volumen histórico de datos del que el proyecto no dispone en su fase inicial.</w:t>
            </w:r>
          </w:p>
        </w:tc>
      </w:tr>
      <w:tr>
        <w:tc>
          <w:tcPr>
            <w:tcW w:type="dxa" w:w="40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Mensajería en tiempo real entre usuarios.</w:t>
            </w:r>
          </w:p>
        </w:tc>
        <w:tc>
          <w:tcPr>
            <w:tcW w:type="dxa" w:w="53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El sistema de consultas asincrónicas satisface la necesidad con menor complejidad técnica.</w:t>
            </w:r>
          </w:p>
        </w:tc>
      </w:tr>
    </w:tbl>
    <w:p>
      <w:r>
        <w:br w:type="page"/>
      </w:r>
    </w:p>
    <w:p>
      <w:pPr>
        <w:pStyle w:val="Heading2"/>
        <w:spacing w:after="160" w:before="260"/>
      </w:pPr>
      <w:r>
        <w:t xml:space="preserve">1.4 Estructura de desglose del trabajo</w:t>
      </w:r>
    </w:p>
    <w:p>
      <w:pPr>
        <w:spacing w:after="120" w:line="280"/>
        <w:jc w:val="both"/>
      </w:pPr>
      <w:r>
        <w:rPr>
          <w:rFonts w:ascii="Calibri" w:cs="Calibri" w:eastAsia="Calibri" w:hAnsi="Calibri"/>
          <w:sz w:val="22"/>
          <w:szCs w:val="22"/>
        </w:rPr>
        <w:t xml:space="preserve">El trabajo se descompone en seis paquetes principales, alineados con la fase de planificación y con los cinco incrementos definidos. Cada paquete de trabajo tiene un responsable asignado, entregables verificables y una ventana temporal acotada.</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900"/>
        <w:gridCol w:w="3300"/>
        <w:gridCol w:w="3260"/>
        <w:gridCol w:w="1900"/>
      </w:tblGrid>
      <w:tr>
        <w:trPr>
          <w:tblHeader/>
        </w:trPr>
        <w:tc>
          <w:tcPr>
            <w:tcW w:type="dxa" w:w="9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Código</w:t>
            </w:r>
          </w:p>
        </w:tc>
        <w:tc>
          <w:tcPr>
            <w:tcW w:type="dxa" w:w="33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Paquete de trabajo</w:t>
            </w:r>
          </w:p>
        </w:tc>
        <w:tc>
          <w:tcPr>
            <w:tcW w:type="dxa" w:w="32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Entregables principales</w:t>
            </w:r>
          </w:p>
        </w:tc>
        <w:tc>
          <w:tcPr>
            <w:tcW w:type="dxa" w:w="19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Responsable</w:t>
            </w:r>
          </w:p>
        </w:tc>
      </w:tr>
      <w:tr>
        <w:tc>
          <w:tcPr>
            <w:tcW w:type="dxa" w:w="9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1</w:t>
            </w:r>
          </w:p>
        </w:tc>
        <w:tc>
          <w:tcPr>
            <w:tcW w:type="dxa" w:w="33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Planificación y análisis</w:t>
            </w:r>
          </w:p>
        </w:tc>
        <w:tc>
          <w:tcPr>
            <w:tcW w:type="dxa" w:w="32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Documentos de diseño, documentos de gestión, prueba de concepto del pipeline.</w:t>
            </w:r>
          </w:p>
        </w:tc>
        <w:tc>
          <w:tcPr>
            <w:tcW w:type="dxa" w:w="19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Equipo</w:t>
            </w:r>
          </w:p>
        </w:tc>
      </w:tr>
      <w:tr>
        <w:tc>
          <w:tcPr>
            <w:tcW w:type="dxa" w:w="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1.1</w:t>
            </w:r>
          </w:p>
        </w:tc>
        <w:tc>
          <w:tcPr>
            <w:tcW w:type="dxa" w:w="3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Levantamiento y análisis de requisitos</w:t>
            </w:r>
          </w:p>
        </w:tc>
        <w:tc>
          <w:tcPr>
            <w:tcW w:type="dxa" w:w="32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Catálogo de requisitos, historias de usuario, reglas de negocio.</w:t>
            </w:r>
          </w:p>
        </w:tc>
        <w:tc>
          <w:tcPr>
            <w:tcW w:type="dxa" w:w="1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L. Zúñiga</w:t>
            </w:r>
          </w:p>
        </w:tc>
      </w:tr>
      <w:tr>
        <w:tc>
          <w:tcPr>
            <w:tcW w:type="dxa" w:w="9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1.2</w:t>
            </w:r>
          </w:p>
        </w:tc>
        <w:tc>
          <w:tcPr>
            <w:tcW w:type="dxa" w:w="33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Modelado UML</w:t>
            </w:r>
          </w:p>
        </w:tc>
        <w:tc>
          <w:tcPr>
            <w:tcW w:type="dxa" w:w="32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Diagramas de casos de uso, de clases y de actividad.</w:t>
            </w:r>
          </w:p>
        </w:tc>
        <w:tc>
          <w:tcPr>
            <w:tcW w:type="dxa" w:w="19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 Espinoza</w:t>
            </w:r>
          </w:p>
        </w:tc>
      </w:tr>
      <w:tr>
        <w:tc>
          <w:tcPr>
            <w:tcW w:type="dxa" w:w="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1.3</w:t>
            </w:r>
          </w:p>
        </w:tc>
        <w:tc>
          <w:tcPr>
            <w:tcW w:type="dxa" w:w="3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Documentación de gestión</w:t>
            </w:r>
          </w:p>
        </w:tc>
        <w:tc>
          <w:tcPr>
            <w:tcW w:type="dxa" w:w="32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Plan del proyecto, actas, matriz de stakeholders, registro de riesgos.</w:t>
            </w:r>
          </w:p>
        </w:tc>
        <w:tc>
          <w:tcPr>
            <w:tcW w:type="dxa" w:w="1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J. Rojas</w:t>
            </w:r>
          </w:p>
        </w:tc>
      </w:tr>
      <w:tr>
        <w:tc>
          <w:tcPr>
            <w:tcW w:type="dxa" w:w="9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1.4</w:t>
            </w:r>
          </w:p>
        </w:tc>
        <w:tc>
          <w:tcPr>
            <w:tcW w:type="dxa" w:w="33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Prueba de concepto del pipeline 3D</w:t>
            </w:r>
          </w:p>
        </w:tc>
        <w:tc>
          <w:tcPr>
            <w:tcW w:type="dxa" w:w="32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Informe de factibilidad técnica con tiempos y calidad obtenidos.</w:t>
            </w:r>
          </w:p>
        </w:tc>
        <w:tc>
          <w:tcPr>
            <w:tcW w:type="dxa" w:w="19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J. Rojas</w:t>
            </w:r>
          </w:p>
        </w:tc>
      </w:tr>
      <w:tr>
        <w:tc>
          <w:tcPr>
            <w:tcW w:type="dxa" w:w="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2</w:t>
            </w:r>
          </w:p>
        </w:tc>
        <w:tc>
          <w:tcPr>
            <w:tcW w:type="dxa" w:w="3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Incremento 1 — Núcleo de la plataforma</w:t>
            </w:r>
          </w:p>
        </w:tc>
        <w:tc>
          <w:tcPr>
            <w:tcW w:type="dxa" w:w="32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Esquema de datos con políticas de seguridad, autenticación operativa, sistema de diseño.</w:t>
            </w:r>
          </w:p>
        </w:tc>
        <w:tc>
          <w:tcPr>
            <w:tcW w:type="dxa" w:w="1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Equipo</w:t>
            </w:r>
          </w:p>
        </w:tc>
      </w:tr>
      <w:tr>
        <w:tc>
          <w:tcPr>
            <w:tcW w:type="dxa" w:w="9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2.1</w:t>
            </w:r>
          </w:p>
        </w:tc>
        <w:tc>
          <w:tcPr>
            <w:tcW w:type="dxa" w:w="33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Modelo de datos y políticas de acceso</w:t>
            </w:r>
          </w:p>
        </w:tc>
        <w:tc>
          <w:tcPr>
            <w:tcW w:type="dxa" w:w="32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Migraciones versionadas y políticas de seguridad a nivel de fila.</w:t>
            </w:r>
          </w:p>
        </w:tc>
        <w:tc>
          <w:tcPr>
            <w:tcW w:type="dxa" w:w="19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 Espinoza</w:t>
            </w:r>
          </w:p>
        </w:tc>
      </w:tr>
      <w:tr>
        <w:tc>
          <w:tcPr>
            <w:tcW w:type="dxa" w:w="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2.2</w:t>
            </w:r>
          </w:p>
        </w:tc>
        <w:tc>
          <w:tcPr>
            <w:tcW w:type="dxa" w:w="3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Autenticación y control de acceso</w:t>
            </w:r>
          </w:p>
        </w:tc>
        <w:tc>
          <w:tcPr>
            <w:tcW w:type="dxa" w:w="32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Registro, inicio de sesión, verificación de correo y autorización por rol.</w:t>
            </w:r>
          </w:p>
        </w:tc>
        <w:tc>
          <w:tcPr>
            <w:tcW w:type="dxa" w:w="1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J. Rojas</w:t>
            </w:r>
          </w:p>
        </w:tc>
      </w:tr>
      <w:tr>
        <w:tc>
          <w:tcPr>
            <w:tcW w:type="dxa" w:w="9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2.3</w:t>
            </w:r>
          </w:p>
        </w:tc>
        <w:tc>
          <w:tcPr>
            <w:tcW w:type="dxa" w:w="33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Sistema de diseño y estructura de la interfaz</w:t>
            </w:r>
          </w:p>
        </w:tc>
        <w:tc>
          <w:tcPr>
            <w:tcW w:type="dxa" w:w="32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Biblioteca de componentes, navegación y diseño adaptable.</w:t>
            </w:r>
          </w:p>
        </w:tc>
        <w:tc>
          <w:tcPr>
            <w:tcW w:type="dxa" w:w="19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L. Zúñiga</w:t>
            </w:r>
          </w:p>
        </w:tc>
      </w:tr>
      <w:tr>
        <w:tc>
          <w:tcPr>
            <w:tcW w:type="dxa" w:w="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3</w:t>
            </w:r>
          </w:p>
        </w:tc>
        <w:tc>
          <w:tcPr>
            <w:tcW w:type="dxa" w:w="3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Incremento 2 — Catálogo y publicaciones</w:t>
            </w:r>
          </w:p>
        </w:tc>
        <w:tc>
          <w:tcPr>
            <w:tcW w:type="dxa" w:w="32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Catálogo navegable con publicaciones reales y filtros operativos.</w:t>
            </w:r>
          </w:p>
        </w:tc>
        <w:tc>
          <w:tcPr>
            <w:tcW w:type="dxa" w:w="1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Equipo</w:t>
            </w:r>
          </w:p>
        </w:tc>
      </w:tr>
      <w:tr>
        <w:tc>
          <w:tcPr>
            <w:tcW w:type="dxa" w:w="9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3.1</w:t>
            </w:r>
          </w:p>
        </w:tc>
        <w:tc>
          <w:tcPr>
            <w:tcW w:type="dxa" w:w="33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Publicación de vehículos</w:t>
            </w:r>
          </w:p>
        </w:tc>
        <w:tc>
          <w:tcPr>
            <w:tcW w:type="dxa" w:w="32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Formulario por etapas, carga de imágenes y validaciones.</w:t>
            </w:r>
          </w:p>
        </w:tc>
        <w:tc>
          <w:tcPr>
            <w:tcW w:type="dxa" w:w="19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L. Zúñiga</w:t>
            </w:r>
          </w:p>
        </w:tc>
      </w:tr>
      <w:tr>
        <w:tc>
          <w:tcPr>
            <w:tcW w:type="dxa" w:w="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3.2</w:t>
            </w:r>
          </w:p>
        </w:tc>
        <w:tc>
          <w:tcPr>
            <w:tcW w:type="dxa" w:w="3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Búsqueda y filtrado</w:t>
            </w:r>
          </w:p>
        </w:tc>
        <w:tc>
          <w:tcPr>
            <w:tcW w:type="dxa" w:w="32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Consultas indexadas, filtros combinados, ordenamiento y paginación.</w:t>
            </w:r>
          </w:p>
        </w:tc>
        <w:tc>
          <w:tcPr>
            <w:tcW w:type="dxa" w:w="1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J. Rojas</w:t>
            </w:r>
          </w:p>
        </w:tc>
      </w:tr>
      <w:tr>
        <w:tc>
          <w:tcPr>
            <w:tcW w:type="dxa" w:w="9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3.3</w:t>
            </w:r>
          </w:p>
        </w:tc>
        <w:tc>
          <w:tcPr>
            <w:tcW w:type="dxa" w:w="33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Ficha de detalle</w:t>
            </w:r>
          </w:p>
        </w:tc>
        <w:tc>
          <w:tcPr>
            <w:tcW w:type="dxa" w:w="32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Vista de detalle con galería y ficha técnica.</w:t>
            </w:r>
          </w:p>
        </w:tc>
        <w:tc>
          <w:tcPr>
            <w:tcW w:type="dxa" w:w="19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L. Zúñiga</w:t>
            </w:r>
          </w:p>
        </w:tc>
      </w:tr>
      <w:tr>
        <w:tc>
          <w:tcPr>
            <w:tcW w:type="dxa" w:w="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4</w:t>
            </w:r>
          </w:p>
        </w:tc>
        <w:tc>
          <w:tcPr>
            <w:tcW w:type="dxa" w:w="3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Incremento 3 — Reconstrucción tridimensional</w:t>
            </w:r>
          </w:p>
        </w:tc>
        <w:tc>
          <w:tcPr>
            <w:tcW w:type="dxa" w:w="32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Pipeline automatizado y modelos .splat generados.</w:t>
            </w:r>
          </w:p>
        </w:tc>
        <w:tc>
          <w:tcPr>
            <w:tcW w:type="dxa" w:w="1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J. Rojas</w:t>
            </w:r>
          </w:p>
        </w:tc>
      </w:tr>
      <w:tr>
        <w:tc>
          <w:tcPr>
            <w:tcW w:type="dxa" w:w="9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4.1</w:t>
            </w:r>
          </w:p>
        </w:tc>
        <w:tc>
          <w:tcPr>
            <w:tcW w:type="dxa" w:w="33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Orquestación de trabajos</w:t>
            </w:r>
          </w:p>
        </w:tc>
        <w:tc>
          <w:tcPr>
            <w:tcW w:type="dxa" w:w="32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Encolado, seguimiento de estado y política de reintentos.</w:t>
            </w:r>
          </w:p>
        </w:tc>
        <w:tc>
          <w:tcPr>
            <w:tcW w:type="dxa" w:w="19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 Espinoza</w:t>
            </w:r>
          </w:p>
        </w:tc>
      </w:tr>
      <w:tr>
        <w:tc>
          <w:tcPr>
            <w:tcW w:type="dxa" w:w="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4.2</w:t>
            </w:r>
          </w:p>
        </w:tc>
        <w:tc>
          <w:tcPr>
            <w:tcW w:type="dxa" w:w="3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Pipeline fotogramétrico y entrenamiento</w:t>
            </w:r>
          </w:p>
        </w:tc>
        <w:tc>
          <w:tcPr>
            <w:tcW w:type="dxa" w:w="32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Ejecución de COLMAP y splatfacto sobre GPU bajo demanda.</w:t>
            </w:r>
          </w:p>
        </w:tc>
        <w:tc>
          <w:tcPr>
            <w:tcW w:type="dxa" w:w="1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J. Rojas</w:t>
            </w:r>
          </w:p>
        </w:tc>
      </w:tr>
      <w:tr>
        <w:tc>
          <w:tcPr>
            <w:tcW w:type="dxa" w:w="9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4.3</w:t>
            </w:r>
          </w:p>
        </w:tc>
        <w:tc>
          <w:tcPr>
            <w:tcW w:type="dxa" w:w="33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Exportación y almacenamiento del modelo</w:t>
            </w:r>
          </w:p>
        </w:tc>
        <w:tc>
          <w:tcPr>
            <w:tcW w:type="dxa" w:w="32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Exportador al formato binario .splat y publicación del artefacto.</w:t>
            </w:r>
          </w:p>
        </w:tc>
        <w:tc>
          <w:tcPr>
            <w:tcW w:type="dxa" w:w="19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J. Rojas</w:t>
            </w:r>
          </w:p>
        </w:tc>
      </w:tr>
      <w:tr>
        <w:tc>
          <w:tcPr>
            <w:tcW w:type="dxa" w:w="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5</w:t>
            </w:r>
          </w:p>
        </w:tc>
        <w:tc>
          <w:tcPr>
            <w:tcW w:type="dxa" w:w="3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Incremento 4 — Visor 3D e interacción</w:t>
            </w:r>
          </w:p>
        </w:tc>
        <w:tc>
          <w:tcPr>
            <w:tcW w:type="dxa" w:w="32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Visor operativo y funcionalidades de interacción entre usuarios.</w:t>
            </w:r>
          </w:p>
        </w:tc>
        <w:tc>
          <w:tcPr>
            <w:tcW w:type="dxa" w:w="1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Equipo</w:t>
            </w:r>
          </w:p>
        </w:tc>
      </w:tr>
      <w:tr>
        <w:tc>
          <w:tcPr>
            <w:tcW w:type="dxa" w:w="9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5.1</w:t>
            </w:r>
          </w:p>
        </w:tc>
        <w:tc>
          <w:tcPr>
            <w:tcW w:type="dxa" w:w="33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Visor tridimensional</w:t>
            </w:r>
          </w:p>
        </w:tc>
        <w:tc>
          <w:tcPr>
            <w:tcW w:type="dxa" w:w="32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Renderizado en el navegador, controles de cámara y carga progresiva.</w:t>
            </w:r>
          </w:p>
        </w:tc>
        <w:tc>
          <w:tcPr>
            <w:tcW w:type="dxa" w:w="19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L. Zúñiga</w:t>
            </w:r>
          </w:p>
        </w:tc>
      </w:tr>
      <w:tr>
        <w:tc>
          <w:tcPr>
            <w:tcW w:type="dxa" w:w="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5.2</w:t>
            </w:r>
          </w:p>
        </w:tc>
        <w:tc>
          <w:tcPr>
            <w:tcW w:type="dxa" w:w="3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Interacción comprador–vendedor</w:t>
            </w:r>
          </w:p>
        </w:tc>
        <w:tc>
          <w:tcPr>
            <w:tcW w:type="dxa" w:w="32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Favoritos, consultas, respuestas y notificaciones.</w:t>
            </w:r>
          </w:p>
        </w:tc>
        <w:tc>
          <w:tcPr>
            <w:tcW w:type="dxa" w:w="1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L. Zúñiga</w:t>
            </w:r>
          </w:p>
        </w:tc>
      </w:tr>
      <w:tr>
        <w:tc>
          <w:tcPr>
            <w:tcW w:type="dxa" w:w="9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6</w:t>
            </w:r>
          </w:p>
        </w:tc>
        <w:tc>
          <w:tcPr>
            <w:tcW w:type="dxa" w:w="33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Incremento 5 — Administración, calidad y cierre</w:t>
            </w:r>
          </w:p>
        </w:tc>
        <w:tc>
          <w:tcPr>
            <w:tcW w:type="dxa" w:w="32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Panel administrativo, informe de pruebas y documentación final.</w:t>
            </w:r>
          </w:p>
        </w:tc>
        <w:tc>
          <w:tcPr>
            <w:tcW w:type="dxa" w:w="19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Equipo</w:t>
            </w:r>
          </w:p>
        </w:tc>
      </w:tr>
      <w:tr>
        <w:tc>
          <w:tcPr>
            <w:tcW w:type="dxa" w:w="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6.1</w:t>
            </w:r>
          </w:p>
        </w:tc>
        <w:tc>
          <w:tcPr>
            <w:tcW w:type="dxa" w:w="3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Administración y moderación</w:t>
            </w:r>
          </w:p>
        </w:tc>
        <w:tc>
          <w:tcPr>
            <w:tcW w:type="dxa" w:w="32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Cola de moderación, gestión de usuarios, indicadores y auditoría.</w:t>
            </w:r>
          </w:p>
        </w:tc>
        <w:tc>
          <w:tcPr>
            <w:tcW w:type="dxa" w:w="1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 Espinoza</w:t>
            </w:r>
          </w:p>
        </w:tc>
      </w:tr>
      <w:tr>
        <w:tc>
          <w:tcPr>
            <w:tcW w:type="dxa" w:w="9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6.2</w:t>
            </w:r>
          </w:p>
        </w:tc>
        <w:tc>
          <w:tcPr>
            <w:tcW w:type="dxa" w:w="33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Aseguramiento de la calidad</w:t>
            </w:r>
          </w:p>
        </w:tc>
        <w:tc>
          <w:tcPr>
            <w:tcW w:type="dxa" w:w="32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Pruebas de carga, de seguridad y de usabilidad con sus informes.</w:t>
            </w:r>
          </w:p>
        </w:tc>
        <w:tc>
          <w:tcPr>
            <w:tcW w:type="dxa" w:w="19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 Espinoza</w:t>
            </w:r>
          </w:p>
        </w:tc>
      </w:tr>
      <w:tr>
        <w:tc>
          <w:tcPr>
            <w:tcW w:type="dxa" w:w="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6.3</w:t>
            </w:r>
          </w:p>
        </w:tc>
        <w:tc>
          <w:tcPr>
            <w:tcW w:type="dxa" w:w="3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Cierre del proyecto</w:t>
            </w:r>
          </w:p>
        </w:tc>
        <w:tc>
          <w:tcPr>
            <w:tcW w:type="dxa" w:w="32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Documentación final, manual de usuario y preparación de la defensa.</w:t>
            </w:r>
          </w:p>
        </w:tc>
        <w:tc>
          <w:tcPr>
            <w:tcW w:type="dxa" w:w="1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J. Rojas</w:t>
            </w:r>
          </w:p>
        </w:tc>
      </w:tr>
    </w:tbl>
    <w:p>
      <w:r>
        <w:br w:type="page"/>
      </w:r>
    </w:p>
    <w:p>
      <w:pPr>
        <w:pStyle w:val="Heading2"/>
        <w:spacing w:after="160" w:before="260"/>
      </w:pPr>
      <w:r>
        <w:t xml:space="preserve">1.5 Metodología de desarrollo</w:t>
      </w:r>
    </w:p>
    <w:p>
      <w:pPr>
        <w:pStyle w:val="Heading3"/>
        <w:spacing w:after="140" w:before="220"/>
      </w:pPr>
      <w:r>
        <w:t xml:space="preserve">1.5.1 Metodología adoptada y su fundamentación</w:t>
      </w:r>
    </w:p>
    <w:p>
      <w:pPr>
        <w:spacing w:after="120" w:line="280"/>
        <w:jc w:val="both"/>
      </w:pPr>
      <w:r>
        <w:rPr>
          <w:rFonts w:ascii="Calibri" w:cs="Calibri" w:eastAsia="Calibri" w:hAnsi="Calibri"/>
          <w:sz w:val="22"/>
          <w:szCs w:val="22"/>
        </w:rPr>
        <w:t xml:space="preserve">El proyecto adopta un modelo de desarrollo incremental. La solución se construye mediante cinco entregas sucesivas, cada una de las cuales agrega funcionalidad operativa sobre la anterior y es susceptible de ser probada de forma independiente. La especificación de requisitos se elabora de manera anticipada y completa durante la fase de planificación, mientras que la construcción se distribuye por incrementos priorizados según valor y riesgo.</w:t>
      </w:r>
    </w:p>
    <w:p>
      <w:pPr>
        <w:spacing w:after="120" w:line="280"/>
        <w:jc w:val="both"/>
      </w:pPr>
      <w:r>
        <w:rPr>
          <w:rFonts w:ascii="Calibri" w:cs="Calibri" w:eastAsia="Calibri" w:hAnsi="Calibri"/>
          <w:sz w:val="22"/>
          <w:szCs w:val="22"/>
        </w:rPr>
        <w:t xml:space="preserve">Se descarta expresamente la adopción de Scrum. La decisión se fundamenta en tres consideraciones concretas y no en una preferencia estilística:</w:t>
      </w:r>
    </w:p>
    <w:p>
      <w:pPr>
        <w:pStyle w:val="ListParagraph"/>
        <w:numPr>
          <w:ilvl w:val="0"/>
          <w:numId w:val="2"/>
        </w:numPr>
        <w:spacing w:after="70" w:line="270"/>
      </w:pPr>
      <w:r>
        <w:rPr>
          <w:rFonts w:ascii="Calibri" w:cs="Calibri" w:eastAsia="Calibri" w:hAnsi="Calibri"/>
          <w:sz w:val="22"/>
          <w:szCs w:val="22"/>
        </w:rPr>
        <w:t xml:space="preserve">Tamaño del equipo. Con tres integrantes que además cumplen simultáneamente los roles de analista, desarrollador y responsable de calidad, la estructura de roles de Scrum —dueño de producto, maestro de scrum y equipo de desarrollo— carecería de separación real y se convertiría en una formalidad sin efecto práctico.</w:t>
      </w:r>
    </w:p>
    <w:p>
      <w:pPr>
        <w:pStyle w:val="ListParagraph"/>
        <w:numPr>
          <w:ilvl w:val="0"/>
          <w:numId w:val="2"/>
        </w:numPr>
        <w:spacing w:after="70" w:line="270"/>
      </w:pPr>
      <w:r>
        <w:rPr>
          <w:rFonts w:ascii="Calibri" w:cs="Calibri" w:eastAsia="Calibri" w:hAnsi="Calibri"/>
          <w:sz w:val="22"/>
          <w:szCs w:val="22"/>
        </w:rPr>
        <w:t xml:space="preserve">Calendario académico fijo. El proyecto se rige por hitos de evaluación establecidos por la institución, con fechas inamovibles y alcance comprometido. La capacidad de renegociar el alcance de cada iteración, que constituye el fundamento del valor de Scrum, no está disponible en este contexto.</w:t>
      </w:r>
    </w:p>
    <w:p>
      <w:pPr>
        <w:pStyle w:val="ListParagraph"/>
        <w:numPr>
          <w:ilvl w:val="0"/>
          <w:numId w:val="2"/>
        </w:numPr>
        <w:spacing w:after="70" w:line="270"/>
      </w:pPr>
      <w:r>
        <w:rPr>
          <w:rFonts w:ascii="Calibri" w:cs="Calibri" w:eastAsia="Calibri" w:hAnsi="Calibri"/>
          <w:sz w:val="22"/>
          <w:szCs w:val="22"/>
        </w:rPr>
        <w:t xml:space="preserve">Estabilidad de los requisitos. El producto responde a un problema acotado y bien comprendido desde el inicio. No se anticipa un aprendizaje incremental sobre el problema que justifique replanificar el alcance cada dos semanas; el riesgo del proyecto es técnico, no de descubrimiento del producto.</w:t>
      </w:r>
    </w:p>
    <w:p>
      <w:pPr>
        <w:spacing w:after="120" w:line="280"/>
        <w:jc w:val="both"/>
      </w:pPr>
      <w:r>
        <w:rPr>
          <w:rFonts w:ascii="Calibri" w:cs="Calibri" w:eastAsia="Calibri" w:hAnsi="Calibri"/>
          <w:sz w:val="22"/>
          <w:szCs w:val="22"/>
        </w:rPr>
        <w:t xml:space="preserve">El modelo incremental permite, en cambio, mitigar el riesgo técnico principal —la viabilidad y el rendimiento del pipeline de reconstrucción tridimensional— mediante su ubicación temprana en el cronograma, en el tercer incremento, dejando margen de reacción antes del cierre.</w:t>
      </w:r>
    </w:p>
    <w:p>
      <w:pPr>
        <w:pStyle w:val="Heading3"/>
        <w:spacing w:after="140" w:before="220"/>
      </w:pPr>
      <w:r>
        <w:t xml:space="preserve">1.5.2 Ciclo de vida de cada incremento</w:t>
      </w:r>
    </w:p>
    <w:p>
      <w:pPr>
        <w:spacing w:after="120" w:line="280"/>
        <w:jc w:val="both"/>
      </w:pPr>
      <w:r>
        <w:rPr>
          <w:rFonts w:ascii="Calibri" w:cs="Calibri" w:eastAsia="Calibri" w:hAnsi="Calibri"/>
          <w:sz w:val="22"/>
          <w:szCs w:val="22"/>
        </w:rPr>
        <w:t xml:space="preserve">Cada incremento se ejecuta según una secuencia de cinco actividades. Las tres primeras se apoyan en la documentación ya elaborada durante la fase de planificación, lo que reduce sustancialmente el esfuerzo de análisis dentro del incremento.</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800"/>
        <w:gridCol w:w="2600"/>
        <w:gridCol w:w="4060"/>
        <w:gridCol w:w="1900"/>
      </w:tblGrid>
      <w:tr>
        <w:trPr>
          <w:tblHeader/>
        </w:trPr>
        <w:tc>
          <w:tcPr>
            <w:tcW w:type="dxa" w:w="8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Etapa</w:t>
            </w:r>
          </w:p>
        </w:tc>
        <w:tc>
          <w:tcPr>
            <w:tcW w:type="dxa" w:w="26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Actividad</w:t>
            </w:r>
          </w:p>
        </w:tc>
        <w:tc>
          <w:tcPr>
            <w:tcW w:type="dxa" w:w="40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Entregable de la etapa</w:t>
            </w:r>
          </w:p>
        </w:tc>
        <w:tc>
          <w:tcPr>
            <w:tcW w:type="dxa" w:w="19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Duración típica</w:t>
            </w:r>
          </w:p>
        </w:tc>
      </w:tr>
      <w:tr>
        <w:tc>
          <w:tcPr>
            <w:tcW w:type="dxa" w:w="8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1</w:t>
            </w:r>
          </w:p>
        </w:tc>
        <w:tc>
          <w:tcPr>
            <w:tcW w:type="dxa" w:w="26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Planificación del incremento</w:t>
            </w:r>
          </w:p>
        </w:tc>
        <w:tc>
          <w:tcPr>
            <w:tcW w:type="dxa" w:w="406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Selección de las historias de usuario a construir, refinamiento de sus criterios de aceptación y asignación de responsables.</w:t>
            </w:r>
          </w:p>
        </w:tc>
        <w:tc>
          <w:tcPr>
            <w:tcW w:type="dxa" w:w="19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Medio día</w:t>
            </w:r>
          </w:p>
        </w:tc>
      </w:tr>
      <w:tr>
        <w:tc>
          <w:tcPr>
            <w:tcW w:type="dxa" w:w="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2</w:t>
            </w:r>
          </w:p>
        </w:tc>
        <w:tc>
          <w:tcPr>
            <w:tcW w:type="dxa" w:w="26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Diseño detallado</w:t>
            </w:r>
          </w:p>
        </w:tc>
        <w:tc>
          <w:tcPr>
            <w:tcW w:type="dxa" w:w="40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Especificación de los casos de uso pendientes, diseño de la interfaz y definición de los contratos de la interfaz de programación.</w:t>
            </w:r>
          </w:p>
        </w:tc>
        <w:tc>
          <w:tcPr>
            <w:tcW w:type="dxa" w:w="1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1 a 2 días</w:t>
            </w:r>
          </w:p>
        </w:tc>
      </w:tr>
      <w:tr>
        <w:tc>
          <w:tcPr>
            <w:tcW w:type="dxa" w:w="8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3</w:t>
            </w:r>
          </w:p>
        </w:tc>
        <w:tc>
          <w:tcPr>
            <w:tcW w:type="dxa" w:w="26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Construcción</w:t>
            </w:r>
          </w:p>
        </w:tc>
        <w:tc>
          <w:tcPr>
            <w:tcW w:type="dxa" w:w="406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Código fuente en ramas de funcionalidad, con pruebas unitarias asociadas.</w:t>
            </w:r>
          </w:p>
        </w:tc>
        <w:tc>
          <w:tcPr>
            <w:tcW w:type="dxa" w:w="19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1,5 a 2 semanas</w:t>
            </w:r>
          </w:p>
        </w:tc>
      </w:tr>
      <w:tr>
        <w:tc>
          <w:tcPr>
            <w:tcW w:type="dxa" w:w="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4</w:t>
            </w:r>
          </w:p>
        </w:tc>
        <w:tc>
          <w:tcPr>
            <w:tcW w:type="dxa" w:w="26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Verificación</w:t>
            </w:r>
          </w:p>
        </w:tc>
        <w:tc>
          <w:tcPr>
            <w:tcW w:type="dxa" w:w="40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Ejecución de las pruebas de aceptación sobre los criterios definidos y revisión cruzada de código entre integrantes.</w:t>
            </w:r>
          </w:p>
        </w:tc>
        <w:tc>
          <w:tcPr>
            <w:tcW w:type="dxa" w:w="1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2 a 3 días</w:t>
            </w:r>
          </w:p>
        </w:tc>
      </w:tr>
      <w:tr>
        <w:tc>
          <w:tcPr>
            <w:tcW w:type="dxa" w:w="8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5</w:t>
            </w:r>
          </w:p>
        </w:tc>
        <w:tc>
          <w:tcPr>
            <w:tcW w:type="dxa" w:w="26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Cierre y retrospectiva</w:t>
            </w:r>
          </w:p>
        </w:tc>
        <w:tc>
          <w:tcPr>
            <w:tcW w:type="dxa" w:w="406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Despliegue en el ambiente productivo, informe de incremento y registro de lecciones aprendidas.</w:t>
            </w:r>
          </w:p>
        </w:tc>
        <w:tc>
          <w:tcPr>
            <w:tcW w:type="dxa" w:w="19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Medio día</w:t>
            </w:r>
          </w:p>
        </w:tc>
      </w:tr>
    </w:tbl>
    <w:p>
      <w:pPr>
        <w:pStyle w:val="Heading3"/>
        <w:spacing w:after="140" w:before="220"/>
      </w:pPr>
      <w:r>
        <w:t xml:space="preserve">1.5.3 Definición de terminado</w:t>
      </w:r>
    </w:p>
    <w:p>
      <w:pPr>
        <w:spacing w:after="120" w:line="280"/>
        <w:jc w:val="both"/>
      </w:pPr>
      <w:r>
        <w:rPr>
          <w:rFonts w:ascii="Calibri" w:cs="Calibri" w:eastAsia="Calibri" w:hAnsi="Calibri"/>
          <w:sz w:val="22"/>
          <w:szCs w:val="22"/>
        </w:rPr>
        <w:t xml:space="preserve">Una historia de usuario se considera terminada únicamente cuando cumple la totalidad de las siguientes condiciones. Este criterio es común a todos los incrementos y no admite excepciones sin acuerdo expreso registrado en acta.</w:t>
      </w:r>
    </w:p>
    <w:p>
      <w:pPr>
        <w:pStyle w:val="ListParagraph"/>
        <w:numPr>
          <w:ilvl w:val="0"/>
          <w:numId w:val="2"/>
        </w:numPr>
        <w:spacing w:after="70" w:line="270"/>
      </w:pPr>
      <w:r>
        <w:rPr>
          <w:rFonts w:ascii="Calibri" w:cs="Calibri" w:eastAsia="Calibri" w:hAnsi="Calibri"/>
          <w:sz w:val="22"/>
          <w:szCs w:val="22"/>
        </w:rPr>
        <w:t xml:space="preserve">Todos los criterios de aceptación de la historia han sido verificados y superados.</w:t>
      </w:r>
    </w:p>
    <w:p>
      <w:pPr>
        <w:pStyle w:val="ListParagraph"/>
        <w:numPr>
          <w:ilvl w:val="0"/>
          <w:numId w:val="2"/>
        </w:numPr>
        <w:spacing w:after="70" w:line="270"/>
      </w:pPr>
      <w:r>
        <w:rPr>
          <w:rFonts w:ascii="Calibri" w:cs="Calibri" w:eastAsia="Calibri" w:hAnsi="Calibri"/>
          <w:sz w:val="22"/>
          <w:szCs w:val="22"/>
        </w:rPr>
        <w:t xml:space="preserve">El código ha sido revisado por al menos un integrante distinto de su autor.</w:t>
      </w:r>
    </w:p>
    <w:p>
      <w:pPr>
        <w:pStyle w:val="ListParagraph"/>
        <w:numPr>
          <w:ilvl w:val="0"/>
          <w:numId w:val="2"/>
        </w:numPr>
        <w:spacing w:after="70" w:line="270"/>
      </w:pPr>
      <w:r>
        <w:rPr>
          <w:rFonts w:ascii="Calibri" w:cs="Calibri" w:eastAsia="Calibri" w:hAnsi="Calibri"/>
          <w:sz w:val="22"/>
          <w:szCs w:val="22"/>
        </w:rPr>
        <w:t xml:space="preserve">Existen pruebas automatizadas que cubren la lógica de negocio incorporada.</w:t>
      </w:r>
    </w:p>
    <w:p>
      <w:pPr>
        <w:pStyle w:val="ListParagraph"/>
        <w:numPr>
          <w:ilvl w:val="0"/>
          <w:numId w:val="2"/>
        </w:numPr>
        <w:spacing w:after="70" w:line="270"/>
      </w:pPr>
      <w:r>
        <w:rPr>
          <w:rFonts w:ascii="Calibri" w:cs="Calibri" w:eastAsia="Calibri" w:hAnsi="Calibri"/>
          <w:sz w:val="22"/>
          <w:szCs w:val="22"/>
        </w:rPr>
        <w:t xml:space="preserve">El análisis estático no reporta errores ni advertencias de severidad alta.</w:t>
      </w:r>
    </w:p>
    <w:p>
      <w:pPr>
        <w:pStyle w:val="ListParagraph"/>
        <w:numPr>
          <w:ilvl w:val="0"/>
          <w:numId w:val="2"/>
        </w:numPr>
        <w:spacing w:after="70" w:line="270"/>
      </w:pPr>
      <w:r>
        <w:rPr>
          <w:rFonts w:ascii="Calibri" w:cs="Calibri" w:eastAsia="Calibri" w:hAnsi="Calibri"/>
          <w:sz w:val="22"/>
          <w:szCs w:val="22"/>
        </w:rPr>
        <w:t xml:space="preserve">La funcionalidad se encuentra desplegada y operativa en el ambiente de integración.</w:t>
      </w:r>
    </w:p>
    <w:p>
      <w:pPr>
        <w:pStyle w:val="ListParagraph"/>
        <w:numPr>
          <w:ilvl w:val="0"/>
          <w:numId w:val="2"/>
        </w:numPr>
        <w:spacing w:after="70" w:line="270"/>
      </w:pPr>
      <w:r>
        <w:rPr>
          <w:rFonts w:ascii="Calibri" w:cs="Calibri" w:eastAsia="Calibri" w:hAnsi="Calibri"/>
          <w:sz w:val="22"/>
          <w:szCs w:val="22"/>
        </w:rPr>
        <w:t xml:space="preserve">La documentación afectada —contratos de la interfaz de programación, manual de usuario o esquema de datos— ha sido actualizada.</w:t>
      </w:r>
    </w:p>
    <w:p>
      <w:pPr>
        <w:pStyle w:val="ListParagraph"/>
        <w:numPr>
          <w:ilvl w:val="0"/>
          <w:numId w:val="2"/>
        </w:numPr>
        <w:spacing w:after="70" w:line="270"/>
      </w:pPr>
      <w:r>
        <w:rPr>
          <w:rFonts w:ascii="Calibri" w:cs="Calibri" w:eastAsia="Calibri" w:hAnsi="Calibri"/>
          <w:sz w:val="22"/>
          <w:szCs w:val="22"/>
        </w:rPr>
        <w:t xml:space="preserve">No se han introducido regresiones detectables en la suite de pruebas existente.</w:t>
      </w:r>
    </w:p>
    <w:p>
      <w:r>
        <w:br w:type="page"/>
      </w:r>
    </w:p>
    <w:p>
      <w:pPr>
        <w:pStyle w:val="Heading2"/>
        <w:spacing w:after="160" w:before="260"/>
      </w:pPr>
      <w:r>
        <w:t xml:space="preserve">1.6 Organización del equipo</w:t>
      </w:r>
    </w:p>
    <w:p>
      <w:pPr>
        <w:spacing w:after="120" w:line="280"/>
        <w:jc w:val="both"/>
      </w:pPr>
      <w:r>
        <w:rPr>
          <w:rFonts w:ascii="Calibri" w:cs="Calibri" w:eastAsia="Calibri" w:hAnsi="Calibri"/>
          <w:sz w:val="22"/>
          <w:szCs w:val="22"/>
        </w:rPr>
        <w:t xml:space="preserve">El equipo está conformado por tres integrantes con dedicación parcial, compatibilizando el proyecto con el resto de la carga académica. Los roles se mantienen consistentes con los definidos en la Guía del Estudiante Fase 1: cada integrante asume un rol principal según su área de desempeño declarada, sin una jefatura de proyecto formal separada, dado que la coordinación se ejerce de forma colegiada en la reunión semanal.</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2200"/>
        <w:gridCol w:w="2400"/>
        <w:gridCol w:w="2400"/>
        <w:gridCol w:w="2360"/>
      </w:tblGrid>
      <w:tr>
        <w:trPr>
          <w:tblHeader/>
        </w:trPr>
        <w:tc>
          <w:tcPr>
            <w:tcW w:type="dxa" w:w="22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Integrante</w:t>
            </w:r>
          </w:p>
        </w:tc>
        <w:tc>
          <w:tcPr>
            <w:tcW w:type="dxa" w:w="24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Rol principal</w:t>
            </w:r>
          </w:p>
        </w:tc>
        <w:tc>
          <w:tcPr>
            <w:tcW w:type="dxa" w:w="24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Roles secundarios</w:t>
            </w:r>
          </w:p>
        </w:tc>
        <w:tc>
          <w:tcPr>
            <w:tcW w:type="dxa" w:w="23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Responsabilidades</w:t>
            </w:r>
          </w:p>
        </w:tc>
      </w:tr>
      <w:tr>
        <w:tc>
          <w:tcPr>
            <w:tcW w:type="dxa" w:w="2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Jesús Rojas Gutiérrez</w:t>
            </w:r>
          </w:p>
        </w:tc>
        <w:tc>
          <w:tcPr>
            <w:tcW w:type="dxa" w:w="24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Desarrollo backend y worker de reconstrucción 3D</w:t>
            </w:r>
          </w:p>
        </w:tc>
        <w:tc>
          <w:tcPr>
            <w:tcW w:type="dxa" w:w="24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Coordinación del cronograma y de la infraestructura de despliegue</w:t>
            </w:r>
          </w:p>
        </w:tc>
        <w:tc>
          <w:tcPr>
            <w:tcW w:type="dxa" w:w="23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API NestJS, integración con Supabase, diseño y construcción del pipeline de procesamiento Python (COLMAP, Nerfstudio, exportación de modelos), despliegue del worker, seguimiento del avance e interlocución con el docente guía.</w:t>
            </w:r>
          </w:p>
        </w:tc>
      </w:tr>
      <w:tr>
        <w:tc>
          <w:tcPr>
            <w:tcW w:type="dxa" w:w="22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Lorna Zúñiga Aguilera</w:t>
            </w:r>
          </w:p>
        </w:tc>
        <w:tc>
          <w:tcPr>
            <w:tcW w:type="dxa" w:w="24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Desarrollo frontend</w:t>
            </w:r>
          </w:p>
        </w:tc>
        <w:tc>
          <w:tcPr>
            <w:tcW w:type="dxa" w:w="24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Responsable de experiencia de usuario y de pruebas de usabilidad</w:t>
            </w:r>
          </w:p>
        </w:tc>
        <w:tc>
          <w:tcPr>
            <w:tcW w:type="dxa" w:w="23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Interfaz React, flujo de publicación de vehículos, catálogo, visor 3D, sistema de diseño, construcción de la interfaz y validación con usuarios.</w:t>
            </w:r>
          </w:p>
        </w:tc>
      </w:tr>
      <w:tr>
        <w:tc>
          <w:tcPr>
            <w:tcW w:type="dxa" w:w="2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Aldo Espinoza Daza</w:t>
            </w:r>
          </w:p>
        </w:tc>
        <w:tc>
          <w:tcPr>
            <w:tcW w:type="dxa" w:w="24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Base de datos e integración</w:t>
            </w:r>
          </w:p>
        </w:tc>
        <w:tc>
          <w:tcPr>
            <w:tcW w:type="dxa" w:w="24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Responsable de calidad y de la estrategia de pruebas</w:t>
            </w:r>
          </w:p>
        </w:tc>
        <w:tc>
          <w:tcPr>
            <w:tcW w:type="dxa" w:w="23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Modelado de datos, migraciones y políticas de acceso a nivel de fila, integración entre módulos, documentación técnica, coordinación de despliegue y aseguramiento de la calidad.</w:t>
            </w:r>
          </w:p>
        </w:tc>
      </w:tr>
    </w:tbl>
    <w:p>
      <w:pPr>
        <w:spacing w:after="120"/>
      </w:pPr>
    </w:p>
    <w:p>
      <w:pPr>
        <w:spacing w:after="120" w:line="280"/>
        <w:jc w:val="both"/>
      </w:pPr>
      <w:r>
        <w:rPr>
          <w:rFonts w:ascii="Calibri" w:cs="Calibri" w:eastAsia="Calibri" w:hAnsi="Calibri"/>
          <w:sz w:val="22"/>
          <w:szCs w:val="22"/>
        </w:rPr>
        <w:t xml:space="preserve">La dedicación comprometida es de 12 horas semanales por integrante, lo que representa una capacidad conjunta de 36 horas semanales y de 612 horas para el total del proyecto. Esta capacidad constituye la restricción principal para la planificación de cada incremento.</w:t>
      </w:r>
    </w:p>
    <w:p>
      <w:pPr>
        <w:pStyle w:val="Heading2"/>
        <w:spacing w:after="160" w:before="260"/>
      </w:pPr>
      <w:r>
        <w:t xml:space="preserve">1.7 Cronograma e hitos</w:t>
      </w:r>
    </w:p>
    <w:p>
      <w:pPr>
        <w:spacing w:after="120" w:line="280"/>
        <w:jc w:val="both"/>
      </w:pPr>
      <w:r>
        <w:rPr>
          <w:rFonts w:ascii="Calibri" w:cs="Calibri" w:eastAsia="Calibri" w:hAnsi="Calibri"/>
          <w:sz w:val="22"/>
          <w:szCs w:val="22"/>
        </w:rPr>
        <w:t xml:space="preserve">El proyecto se desarrolla en 17 semanas, entre el 22 de agosto y el 18 de diciembre de 2026, organizadas en las tres fases académicas del Portafolio de Título definidas por la asignatura: Fase 1 (semanas 1 a 5), Fase 2 (semanas 6 a 12) y Fase 3 (semanas 13 a 17). Dentro de estas tres fases se distribuyen los cinco incrementos de la metodología de desarrollo: el primero y el segundo se ejecutan durante la Fase 2 junto con la parte inicial del tercero, y el resto del tercer incremento junto con el cuarto y el quinto se ejecutan durante la Fase 3. El proyecto cierra con la presentación final y la defensa ante la comisión evaluadora el viernes 18 de diciembre de 2026, al término de la semana 17.</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1400"/>
        <w:gridCol w:w="900"/>
        <w:gridCol w:w="1400"/>
        <w:gridCol w:w="2600"/>
        <w:gridCol w:w="3060"/>
      </w:tblGrid>
      <w:tr>
        <w:trPr>
          <w:tblHeader/>
        </w:trPr>
        <w:tc>
          <w:tcPr>
            <w:tcW w:type="dxa" w:w="14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Hito</w:t>
            </w:r>
          </w:p>
        </w:tc>
        <w:tc>
          <w:tcPr>
            <w:tcW w:type="dxa" w:w="9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Semana</w:t>
            </w:r>
          </w:p>
        </w:tc>
        <w:tc>
          <w:tcPr>
            <w:tcW w:type="dxa" w:w="14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Fecha</w:t>
            </w:r>
          </w:p>
        </w:tc>
        <w:tc>
          <w:tcPr>
            <w:tcW w:type="dxa" w:w="26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Descripción</w:t>
            </w:r>
          </w:p>
        </w:tc>
        <w:tc>
          <w:tcPr>
            <w:tcW w:type="dxa" w:w="30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Criterio de cumplimiento</w:t>
            </w:r>
          </w:p>
        </w:tc>
      </w:tr>
      <w:tr>
        <w:tc>
          <w:tcPr>
            <w:tcW w:type="dxa" w:w="14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Informe Fase 1</w:t>
            </w:r>
          </w:p>
        </w:tc>
        <w:tc>
          <w:tcPr>
            <w:tcW w:type="dxa" w:w="9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S5</w:t>
            </w:r>
          </w:p>
        </w:tc>
        <w:tc>
          <w:tcPr>
            <w:tcW w:type="dxa" w:w="14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23-09-2026</w:t>
            </w:r>
          </w:p>
        </w:tc>
        <w:tc>
          <w:tcPr>
            <w:tcW w:type="dxa" w:w="26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Cierre de la Fase 1 — Definición del proyecto.</w:t>
            </w:r>
          </w:p>
        </w:tc>
        <w:tc>
          <w:tcPr>
            <w:tcW w:type="dxa" w:w="30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Documentos de diseño y de gestión, junto con la Guía del Estudiante Fase 1, revisados y aprobados por el docente guía.</w:t>
            </w:r>
          </w:p>
        </w:tc>
      </w:tr>
      <w:tr>
        <w:tc>
          <w:tcPr>
            <w:tcW w:type="dxa" w:w="14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Informe de Avance</w:t>
            </w:r>
          </w:p>
        </w:tc>
        <w:tc>
          <w:tcPr>
            <w:tcW w:type="dxa" w:w="9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S12</w:t>
            </w:r>
          </w:p>
        </w:tc>
        <w:tc>
          <w:tcPr>
            <w:tcW w:type="dxa" w:w="14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11-11-2026</w:t>
            </w:r>
          </w:p>
        </w:tc>
        <w:tc>
          <w:tcPr>
            <w:tcW w:type="dxa" w:w="26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Cierre de la Fase 2 — Desarrollo e informe de avance.</w:t>
            </w:r>
          </w:p>
        </w:tc>
        <w:tc>
          <w:tcPr>
            <w:tcW w:type="dxa" w:w="30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Incrementos 1 y 2 operativos en el ambiente desplegado, y pipeline de reconstrucción (Incremento 3) generando archivos .splat válidos de extremo a extremo.</w:t>
            </w:r>
          </w:p>
        </w:tc>
      </w:tr>
      <w:tr>
        <w:tc>
          <w:tcPr>
            <w:tcW w:type="dxa" w:w="14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Presentación final</w:t>
            </w:r>
          </w:p>
        </w:tc>
        <w:tc>
          <w:tcPr>
            <w:tcW w:type="dxa" w:w="9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S17</w:t>
            </w:r>
          </w:p>
        </w:tc>
        <w:tc>
          <w:tcPr>
            <w:tcW w:type="dxa" w:w="14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18-12-2026</w:t>
            </w:r>
          </w:p>
        </w:tc>
        <w:tc>
          <w:tcPr>
            <w:tcW w:type="dxa" w:w="26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Cierre de la Fase 3 — Entrega final y defensa ante la comisión evaluadora.</w:t>
            </w:r>
          </w:p>
        </w:tc>
        <w:tc>
          <w:tcPr>
            <w:tcW w:type="dxa" w:w="30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Plataforma completa desplegada, con el visor tridimensional y el panel de administración operativos, documentación final entregada, informes de pruebas emitidos y demostración funcional ensayada.</w:t>
            </w:r>
          </w:p>
        </w:tc>
      </w:tr>
    </w:tbl>
    <w:p>
      <w:pPr>
        <w:spacing w:after="120"/>
      </w:pPr>
    </w:p>
    <w:p>
      <w:pPr>
        <w:spacing w:after="120" w:line="280"/>
        <w:jc w:val="both"/>
      </w:pPr>
      <w:r>
        <w:rPr>
          <w:rFonts w:ascii="Calibri" w:cs="Calibri" w:eastAsia="Calibri" w:hAnsi="Calibri"/>
          <w:sz w:val="22"/>
          <w:szCs w:val="22"/>
        </w:rPr>
        <w:t xml:space="preserve">El cierre de la Fase 2 en la semana 12 constituye el punto crítico del proyecto: exige que el pipeline de reconstrucción tridimensional (Incremento 3) esté generando modelos válidos de extremo a extremo, condición que determina si el elemento diferenciador del producto es viable dentro de las restricciones de tiempo y de presupuesto. Su ubicación deja un margen de cinco semanas (Fase 3 completa) para reaccionar ante un resultado insatisfactorio, activando el plan de contingencia descrito en el registro de riesgos, antes de la presentación final del 18 de diciembre.</w:t>
      </w:r>
    </w:p>
    <w:p>
      <w:pPr>
        <w:spacing w:after="120" w:line="280"/>
        <w:jc w:val="both"/>
      </w:pPr>
      <w:r>
        <w:rPr>
          <w:rFonts w:ascii="Calibri" w:cs="Calibri" w:eastAsia="Calibri" w:hAnsi="Calibri"/>
          <w:sz w:val="22"/>
          <w:szCs w:val="22"/>
        </w:rPr>
        <w:t xml:space="preserve">La carta Gantt se presenta en la página siguiente, en orientación horizontal.</w:t>
      </w:r>
    </w:p>
    <w:p>
      <w:r>
        <w:br w:type="page"/>
      </w:r>
    </w:p>
    <w:p>
      <w:pPr>
        <w:sectPr>
          <w:pgSz w:w="12240" w:h="15840" w:orient="portrait"/>
          <w:pgMar w:top="1440" w:right="1440" w:bottom="1440" w:left="1440" w:header="708" w:footer="708" w:gutter="0"/>
          <w:pgNumType/>
          <w:docGrid w:linePitch="360"/>
        </w:sectPr>
      </w:pPr>
    </w:p>
    <w:p>
      <w:pPr>
        <w:spacing w:after="60" w:before="120" w:line="240" w:lineRule="auto"/>
        <w:jc w:val="center"/>
      </w:pPr>
      <w:r>
        <w:drawing>
          <wp:inline distT="0" distB="0" distL="0" distR="0">
            <wp:extent cx="819150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191500" cy="4495800"/>
                    </a:xfrm>
                    <a:prstGeom prst="rect">
                      <a:avLst/>
                    </a:prstGeom>
                  </pic:spPr>
                </pic:pic>
              </a:graphicData>
            </a:graphic>
          </wp:inline>
        </w:drawing>
      </w:r>
    </w:p>
    <w:p>
      <w:pPr>
        <w:spacing w:after="240" w:before="80"/>
        <w:jc w:val="center"/>
      </w:pPr>
      <w:r>
        <w:rPr>
          <w:rFonts w:ascii="Calibri" w:cs="Calibri" w:eastAsia="Calibri" w:hAnsi="Calibri"/>
          <w:i/>
          <w:iCs/>
          <w:color w:val="52616B"/>
          <w:sz w:val="18"/>
          <w:szCs w:val="18"/>
        </w:rPr>
        <w:t xml:space="preserve">Figura 1. Carta Gantt del proyecto AutoSplat — 17 semanas, tres fases académicas, cinco incrementos de desarrollo y presentación final el 18 de diciembre.</w:t>
      </w:r>
    </w:p>
    <w:p>
      <w:pPr>
        <w:sectPr>
          <w:pgSz w:w="15840" w:h="12240" w:orient="landscape"/>
          <w:pgMar w:top="1440" w:right="1440" w:bottom="1440" w:left="1440" w:header="708" w:footer="708" w:gutter="0"/>
          <w:pgNumType/>
          <w:docGrid w:linePitch="360"/>
        </w:sectPr>
      </w:pPr>
    </w:p>
    <w:p>
      <w:pPr>
        <w:pStyle w:val="Heading2"/>
        <w:spacing w:after="160" w:before="260"/>
      </w:pPr>
      <w:r>
        <w:t xml:space="preserve">1.8 Estimación de esfuerzo y distribución de la capacidad</w:t>
      </w:r>
    </w:p>
    <w:p>
      <w:pPr>
        <w:spacing w:after="120" w:line="280"/>
        <w:jc w:val="both"/>
      </w:pPr>
      <w:r>
        <w:rPr>
          <w:rFonts w:ascii="Calibri" w:cs="Calibri" w:eastAsia="Calibri" w:hAnsi="Calibri"/>
          <w:sz w:val="22"/>
          <w:szCs w:val="22"/>
        </w:rPr>
        <w:t xml:space="preserve">La estimación se realizó por consenso del equipo sobre las historias de usuario, expresada en puntos de historia sobre una escala de Fibonacci acotada. La conversión a horas se calibró a partir de la prueba de concepto del pipeline realizada en la semana 3, asumiendo una productividad de 4,5 horas por punto de historia.</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3300"/>
        <w:gridCol w:w="1200"/>
        <w:gridCol w:w="900"/>
        <w:gridCol w:w="1500"/>
        <w:gridCol w:w="1500"/>
        <w:gridCol w:w="960"/>
      </w:tblGrid>
      <w:tr>
        <w:trPr>
          <w:tblHeader/>
        </w:trPr>
        <w:tc>
          <w:tcPr>
            <w:tcW w:type="dxa" w:w="33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Incremento</w:t>
            </w:r>
          </w:p>
        </w:tc>
        <w:tc>
          <w:tcPr>
            <w:tcW w:type="dxa" w:w="12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Semanas</w:t>
            </w:r>
          </w:p>
        </w:tc>
        <w:tc>
          <w:tcPr>
            <w:tcW w:type="dxa" w:w="9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Puntos</w:t>
            </w:r>
          </w:p>
        </w:tc>
        <w:tc>
          <w:tcPr>
            <w:tcW w:type="dxa" w:w="15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Horas estimadas</w:t>
            </w:r>
          </w:p>
        </w:tc>
        <w:tc>
          <w:tcPr>
            <w:tcW w:type="dxa" w:w="15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Capacidad disponible</w:t>
            </w:r>
          </w:p>
        </w:tc>
        <w:tc>
          <w:tcPr>
            <w:tcW w:type="dxa" w:w="9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Holgura</w:t>
            </w:r>
          </w:p>
        </w:tc>
      </w:tr>
      <w:tr>
        <w:tc>
          <w:tcPr>
            <w:tcW w:type="dxa" w:w="33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Incremento 1 — Núcleo de la plataforma</w:t>
            </w:r>
          </w:p>
        </w:tc>
        <w:tc>
          <w:tcPr>
            <w:tcW w:type="dxa" w:w="1200"/>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S6–S8</w:t>
            </w:r>
          </w:p>
        </w:tc>
        <w:tc>
          <w:tcPr>
            <w:tcW w:type="dxa" w:w="900"/>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17</w:t>
            </w:r>
          </w:p>
        </w:tc>
        <w:tc>
          <w:tcPr>
            <w:tcW w:type="dxa" w:w="1500"/>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77 h</w:t>
            </w:r>
          </w:p>
        </w:tc>
        <w:tc>
          <w:tcPr>
            <w:tcW w:type="dxa" w:w="1500"/>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108 h</w:t>
            </w:r>
          </w:p>
        </w:tc>
        <w:tc>
          <w:tcPr>
            <w:tcW w:type="dxa" w:w="960"/>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31 h</w:t>
            </w:r>
          </w:p>
        </w:tc>
      </w:tr>
      <w:tr>
        <w:tc>
          <w:tcPr>
            <w:tcW w:type="dxa" w:w="3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Incremento 2 — Catálogo y publicaciones</w:t>
            </w:r>
          </w:p>
        </w:tc>
        <w:tc>
          <w:tcPr>
            <w:tcW w:type="dxa" w:w="12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S9–S11</w:t>
            </w:r>
          </w:p>
        </w:tc>
        <w:tc>
          <w:tcPr>
            <w:tcW w:type="dxa" w:w="9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31</w:t>
            </w:r>
          </w:p>
        </w:tc>
        <w:tc>
          <w:tcPr>
            <w:tcW w:type="dxa" w:w="15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140 h</w:t>
            </w:r>
          </w:p>
        </w:tc>
        <w:tc>
          <w:tcPr>
            <w:tcW w:type="dxa" w:w="15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108 h</w:t>
            </w:r>
          </w:p>
        </w:tc>
        <w:tc>
          <w:tcPr>
            <w:tcW w:type="dxa" w:w="96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−32 h</w:t>
            </w:r>
          </w:p>
        </w:tc>
      </w:tr>
      <w:tr>
        <w:tc>
          <w:tcPr>
            <w:tcW w:type="dxa" w:w="33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Incremento 3 — Reconstrucción 3D</w:t>
            </w:r>
          </w:p>
        </w:tc>
        <w:tc>
          <w:tcPr>
            <w:tcW w:type="dxa" w:w="1200"/>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S12–S13</w:t>
            </w:r>
          </w:p>
        </w:tc>
        <w:tc>
          <w:tcPr>
            <w:tcW w:type="dxa" w:w="900"/>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26</w:t>
            </w:r>
          </w:p>
        </w:tc>
        <w:tc>
          <w:tcPr>
            <w:tcW w:type="dxa" w:w="1500"/>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117 h</w:t>
            </w:r>
          </w:p>
        </w:tc>
        <w:tc>
          <w:tcPr>
            <w:tcW w:type="dxa" w:w="1500"/>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72 h</w:t>
            </w:r>
          </w:p>
        </w:tc>
        <w:tc>
          <w:tcPr>
            <w:tcW w:type="dxa" w:w="960"/>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−45 h</w:t>
            </w:r>
          </w:p>
        </w:tc>
      </w:tr>
      <w:tr>
        <w:tc>
          <w:tcPr>
            <w:tcW w:type="dxa" w:w="3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Incremento 4 — Visor 3D e interacción</w:t>
            </w:r>
          </w:p>
        </w:tc>
        <w:tc>
          <w:tcPr>
            <w:tcW w:type="dxa" w:w="12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S14–S15</w:t>
            </w:r>
          </w:p>
        </w:tc>
        <w:tc>
          <w:tcPr>
            <w:tcW w:type="dxa" w:w="9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37</w:t>
            </w:r>
          </w:p>
        </w:tc>
        <w:tc>
          <w:tcPr>
            <w:tcW w:type="dxa" w:w="15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167 h</w:t>
            </w:r>
          </w:p>
        </w:tc>
        <w:tc>
          <w:tcPr>
            <w:tcW w:type="dxa" w:w="15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72 h</w:t>
            </w:r>
          </w:p>
        </w:tc>
        <w:tc>
          <w:tcPr>
            <w:tcW w:type="dxa" w:w="96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−95 h</w:t>
            </w:r>
          </w:p>
        </w:tc>
      </w:tr>
      <w:tr>
        <w:tc>
          <w:tcPr>
            <w:tcW w:type="dxa" w:w="33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Incremento 5 — Administración y cierre</w:t>
            </w:r>
          </w:p>
        </w:tc>
        <w:tc>
          <w:tcPr>
            <w:tcW w:type="dxa" w:w="1200"/>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S16–S17</w:t>
            </w:r>
          </w:p>
        </w:tc>
        <w:tc>
          <w:tcPr>
            <w:tcW w:type="dxa" w:w="900"/>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18</w:t>
            </w:r>
          </w:p>
        </w:tc>
        <w:tc>
          <w:tcPr>
            <w:tcW w:type="dxa" w:w="1500"/>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81 h</w:t>
            </w:r>
          </w:p>
        </w:tc>
        <w:tc>
          <w:tcPr>
            <w:tcW w:type="dxa" w:w="1500"/>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72 h</w:t>
            </w:r>
          </w:p>
        </w:tc>
        <w:tc>
          <w:tcPr>
            <w:tcW w:type="dxa" w:w="960"/>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−9 h</w:t>
            </w:r>
          </w:p>
        </w:tc>
      </w:tr>
      <w:tr>
        <w:tc>
          <w:tcPr>
            <w:tcW w:type="dxa" w:w="3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Total de la construcción</w:t>
            </w:r>
          </w:p>
        </w:tc>
        <w:tc>
          <w:tcPr>
            <w:tcW w:type="dxa" w:w="12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S6–S17</w:t>
            </w:r>
          </w:p>
        </w:tc>
        <w:tc>
          <w:tcPr>
            <w:tcW w:type="dxa" w:w="9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129</w:t>
            </w:r>
          </w:p>
        </w:tc>
        <w:tc>
          <w:tcPr>
            <w:tcW w:type="dxa" w:w="15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582 h</w:t>
            </w:r>
          </w:p>
        </w:tc>
        <w:tc>
          <w:tcPr>
            <w:tcW w:type="dxa" w:w="15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432 h</w:t>
            </w:r>
          </w:p>
        </w:tc>
        <w:tc>
          <w:tcPr>
            <w:tcW w:type="dxa" w:w="96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8"/>
                <w:szCs w:val="18"/>
              </w:rPr>
              <w:t xml:space="preserve">−150 h</w:t>
            </w:r>
          </w:p>
        </w:tc>
      </w:tr>
    </w:tbl>
    <w:p>
      <w:pPr>
        <w:spacing w:after="120"/>
      </w:pPr>
    </w:p>
    <w:p>
      <w:pPr>
        <w:spacing w:after="120" w:line="280"/>
        <w:jc w:val="both"/>
      </w:pPr>
      <w:r>
        <w:rPr>
          <w:rFonts w:ascii="Calibri" w:cs="Calibri" w:eastAsia="Calibri" w:hAnsi="Calibri"/>
          <w:sz w:val="22"/>
          <w:szCs w:val="22"/>
        </w:rPr>
        <w:t xml:space="preserve">La estimación arroja un déficit de 150 horas respecto de la capacidad nominal del equipo, concentrado principalmente en los Incrementos 3 y 4, consecuencia directa de comprimir la Fase 3 a cinco semanas para dejar espacio a la preparación de la presentación final del 18 de diciembre. El equipo reconoce esta desviación de forma explícita y adopta tres medidas de contención, cuya efectividad será evaluada al cierre de la Fase 2 (hito Informe de Avance, S12): reclasificar las historias HU-17, HU-22 y HU-23 como funcionalidades de prioridad "Podría", susceptibles de ser postergadas sin comprometer el objetivo general; adelantar el inicio del visor tridimensional a la semana 13, en paralelo con las etapas finales del Incremento 3; y ampliar la dedicación semanal a 16 horas por integrante durante las semanas 13 a 16, período que no coincide con evaluaciones de otras asignaturas.</w:t>
      </w:r>
    </w:p>
    <w:p>
      <w:pPr>
        <w:spacing w:after="120" w:line="280"/>
        <w:jc w:val="both"/>
      </w:pPr>
      <w:r>
        <w:rPr>
          <w:rFonts w:ascii="Calibri" w:cs="Calibri" w:eastAsia="Calibri" w:hAnsi="Calibri"/>
          <w:sz w:val="22"/>
          <w:szCs w:val="22"/>
        </w:rPr>
        <w:t xml:space="preserve">Se deja constancia de que reconocer esta tensión durante la planificación, y no descubrirla durante la ejecución, es precisamente el propósito de realizar la estimación de forma anticipada. La semana 17 se reserva íntegramente para el despliegue final, la documentación y el ensayo de la presentación, sin construcción de funcionalidad nueva.</w:t>
      </w:r>
    </w:p>
    <w:p>
      <w:pPr>
        <w:pStyle w:val="Heading2"/>
        <w:spacing w:after="160" w:before="260"/>
      </w:pPr>
      <w:r>
        <w:t xml:space="preserve">1.9 Recursos e infraestructura</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2600"/>
        <w:gridCol w:w="3200"/>
        <w:gridCol w:w="2000"/>
        <w:gridCol w:w="1560"/>
      </w:tblGrid>
      <w:tr>
        <w:trPr>
          <w:tblHeader/>
        </w:trPr>
        <w:tc>
          <w:tcPr>
            <w:tcW w:type="dxa" w:w="26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Recurso</w:t>
            </w:r>
          </w:p>
        </w:tc>
        <w:tc>
          <w:tcPr>
            <w:tcW w:type="dxa" w:w="32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Uso en el proyecto</w:t>
            </w:r>
          </w:p>
        </w:tc>
        <w:tc>
          <w:tcPr>
            <w:tcW w:type="dxa" w:w="20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Plan</w:t>
            </w:r>
          </w:p>
        </w:tc>
        <w:tc>
          <w:tcPr>
            <w:tcW w:type="dxa" w:w="15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Costo estimado</w:t>
            </w:r>
          </w:p>
        </w:tc>
      </w:tr>
      <w:tr>
        <w:tc>
          <w:tcPr>
            <w:tcW w:type="dxa" w:w="26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Alojamiento del frontend</w:t>
            </w:r>
          </w:p>
        </w:tc>
        <w:tc>
          <w:tcPr>
            <w:tcW w:type="dxa" w:w="3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Publicación de la aplicación web y red de distribución de contenido.</w:t>
            </w:r>
          </w:p>
        </w:tc>
        <w:tc>
          <w:tcPr>
            <w:tcW w:type="dxa" w:w="20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Gratuito para proyectos personales</w:t>
            </w:r>
          </w:p>
        </w:tc>
        <w:tc>
          <w:tcPr>
            <w:tcW w:type="dxa" w:w="15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Sin costo</w:t>
            </w:r>
          </w:p>
        </w:tc>
      </w:tr>
      <w:tr>
        <w:tc>
          <w:tcPr>
            <w:tcW w:type="dxa" w:w="26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Alojamiento del backend</w:t>
            </w:r>
          </w:p>
        </w:tc>
        <w:tc>
          <w:tcPr>
            <w:tcW w:type="dxa" w:w="32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Ejecución de la interfaz de programación.</w:t>
            </w:r>
          </w:p>
        </w:tc>
        <w:tc>
          <w:tcPr>
            <w:tcW w:type="dxa" w:w="20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Gratuito con suspensión por inactividad</w:t>
            </w:r>
          </w:p>
        </w:tc>
        <w:tc>
          <w:tcPr>
            <w:tcW w:type="dxa" w:w="15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Sin costo</w:t>
            </w:r>
          </w:p>
        </w:tc>
      </w:tr>
      <w:tr>
        <w:tc>
          <w:tcPr>
            <w:tcW w:type="dxa" w:w="26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Base de datos, autenticación y almacenamiento</w:t>
            </w:r>
          </w:p>
        </w:tc>
        <w:tc>
          <w:tcPr>
            <w:tcW w:type="dxa" w:w="3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Persistencia relacional, identidad y custodia de archivos.</w:t>
            </w:r>
          </w:p>
        </w:tc>
        <w:tc>
          <w:tcPr>
            <w:tcW w:type="dxa" w:w="20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Gratuito con límites de espacio</w:t>
            </w:r>
          </w:p>
        </w:tc>
        <w:tc>
          <w:tcPr>
            <w:tcW w:type="dxa" w:w="15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Sin costo</w:t>
            </w:r>
          </w:p>
        </w:tc>
      </w:tr>
      <w:tr>
        <w:tc>
          <w:tcPr>
            <w:tcW w:type="dxa" w:w="26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Almacenamiento y entrega de imágenes</w:t>
            </w:r>
          </w:p>
        </w:tc>
        <w:tc>
          <w:tcPr>
            <w:tcW w:type="dxa" w:w="32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Optimización y distribución de fotografías.</w:t>
            </w:r>
          </w:p>
        </w:tc>
        <w:tc>
          <w:tcPr>
            <w:tcW w:type="dxa" w:w="20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Gratuito con límite de transformaciones</w:t>
            </w:r>
          </w:p>
        </w:tc>
        <w:tc>
          <w:tcPr>
            <w:tcW w:type="dxa" w:w="15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Sin costo</w:t>
            </w:r>
          </w:p>
        </w:tc>
      </w:tr>
      <w:tr>
        <w:tc>
          <w:tcPr>
            <w:tcW w:type="dxa" w:w="26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Cómputo sobre GPU bajo demanda</w:t>
            </w:r>
          </w:p>
        </w:tc>
        <w:tc>
          <w:tcPr>
            <w:tcW w:type="dxa" w:w="3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Ejecución del pipeline de reconstrucción tridimensional.</w:t>
            </w:r>
          </w:p>
        </w:tc>
        <w:tc>
          <w:tcPr>
            <w:tcW w:type="dxa" w:w="20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Crédito mensual gratuito, luego consumo por segundo</w:t>
            </w:r>
          </w:p>
        </w:tc>
        <w:tc>
          <w:tcPr>
            <w:tcW w:type="dxa" w:w="15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Entre 20 000 y 60 000 CLP para el proyecto completo</w:t>
            </w:r>
          </w:p>
        </w:tc>
      </w:tr>
      <w:tr>
        <w:tc>
          <w:tcPr>
            <w:tcW w:type="dxa" w:w="26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Repositorio y automatización</w:t>
            </w:r>
          </w:p>
        </w:tc>
        <w:tc>
          <w:tcPr>
            <w:tcW w:type="dxa" w:w="32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Control de versiones, revisión de código e integración continua.</w:t>
            </w:r>
          </w:p>
        </w:tc>
        <w:tc>
          <w:tcPr>
            <w:tcW w:type="dxa" w:w="20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Gratuito para repositorios públicos</w:t>
            </w:r>
          </w:p>
        </w:tc>
        <w:tc>
          <w:tcPr>
            <w:tcW w:type="dxa" w:w="15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Sin costo</w:t>
            </w:r>
          </w:p>
        </w:tc>
      </w:tr>
      <w:tr>
        <w:tc>
          <w:tcPr>
            <w:tcW w:type="dxa" w:w="26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Equipamiento del equipo</w:t>
            </w:r>
          </w:p>
        </w:tc>
        <w:tc>
          <w:tcPr>
            <w:tcW w:type="dxa" w:w="3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Tres estaciones de trabajo personales y teléfonos móviles para la captura.</w:t>
            </w:r>
          </w:p>
        </w:tc>
        <w:tc>
          <w:tcPr>
            <w:tcW w:type="dxa" w:w="20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Recursos propios</w:t>
            </w:r>
          </w:p>
        </w:tc>
        <w:tc>
          <w:tcPr>
            <w:tcW w:type="dxa" w:w="15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Sin costo adicional</w:t>
            </w:r>
          </w:p>
        </w:tc>
      </w:tr>
    </w:tbl>
    <w:p>
      <w:pPr>
        <w:spacing w:after="120"/>
      </w:pPr>
    </w:p>
    <w:p>
      <w:pPr>
        <w:spacing w:after="120" w:line="280"/>
        <w:jc w:val="both"/>
      </w:pPr>
      <w:r>
        <w:rPr>
          <w:rFonts w:ascii="Calibri" w:cs="Calibri" w:eastAsia="Calibri" w:hAnsi="Calibri"/>
          <w:sz w:val="22"/>
          <w:szCs w:val="22"/>
        </w:rPr>
        <w:t xml:space="preserve">El único costo variable relevante es el consumo de GPU. Se establece un presupuesto máximo de 60 000 pesos chilenos para el proyecto completo, financiado por los integrantes en partes iguales, y un control de consumo semanal a cargo de Jesús Rojas Gutiérrez, responsable de la infraestructura de despliegue. Superado el 70 % del presupuesto, se activa la restricción de procesamiento descrita en el riesgo R-01.</w:t>
      </w:r>
    </w:p>
    <w:p>
      <w:r>
        <w:br w:type="page"/>
      </w:r>
    </w:p>
    <w:p>
      <w:pPr>
        <w:pStyle w:val="Heading2"/>
        <w:spacing w:after="160" w:before="260"/>
      </w:pPr>
      <w:r>
        <w:t xml:space="preserve">1.10 Gestión de riesgos</w:t>
      </w:r>
    </w:p>
    <w:p>
      <w:pPr>
        <w:spacing w:after="120" w:line="280"/>
        <w:jc w:val="both"/>
      </w:pPr>
      <w:r>
        <w:rPr>
          <w:rFonts w:ascii="Calibri" w:cs="Calibri" w:eastAsia="Calibri" w:hAnsi="Calibri"/>
          <w:sz w:val="22"/>
          <w:szCs w:val="22"/>
        </w:rPr>
        <w:t xml:space="preserve">El registro de riesgos se mantiene actualizado por Jesús Rojas Gutiérrez, responsable del seguimiento del cronograma, y se revisa en cada reunión semanal. La probabilidad y el impacto se valoran en una escala de 1 a 5, y la exposición corresponde a su producto. Los riesgos con exposición igual o superior a 12 se consideran críticos y exigen un plan de contingencia formulado con anticipación.</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700"/>
        <w:gridCol w:w="3000"/>
        <w:gridCol w:w="900"/>
        <w:gridCol w:w="450"/>
        <w:gridCol w:w="450"/>
        <w:gridCol w:w="550"/>
        <w:gridCol w:w="3310"/>
      </w:tblGrid>
      <w:tr>
        <w:trPr>
          <w:tblHeader/>
        </w:trPr>
        <w:tc>
          <w:tcPr>
            <w:tcW w:type="dxa" w:w="7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ID</w:t>
            </w:r>
          </w:p>
        </w:tc>
        <w:tc>
          <w:tcPr>
            <w:tcW w:type="dxa" w:w="30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Riesgo</w:t>
            </w:r>
          </w:p>
        </w:tc>
        <w:tc>
          <w:tcPr>
            <w:tcW w:type="dxa" w:w="9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Cat.</w:t>
            </w:r>
          </w:p>
        </w:tc>
        <w:tc>
          <w:tcPr>
            <w:tcW w:type="dxa" w:w="45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P</w:t>
            </w:r>
          </w:p>
        </w:tc>
        <w:tc>
          <w:tcPr>
            <w:tcW w:type="dxa" w:w="45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I</w:t>
            </w:r>
          </w:p>
        </w:tc>
        <w:tc>
          <w:tcPr>
            <w:tcW w:type="dxa" w:w="55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Exp.</w:t>
            </w:r>
          </w:p>
        </w:tc>
        <w:tc>
          <w:tcPr>
            <w:tcW w:type="dxa" w:w="331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Estrategia de mitigación</w:t>
            </w:r>
          </w:p>
        </w:tc>
      </w:tr>
      <w:tr>
        <w:tc>
          <w:tcPr>
            <w:tcW w:type="dxa" w:w="70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R-01</w:t>
            </w:r>
          </w:p>
        </w:tc>
        <w:tc>
          <w:tcPr>
            <w:tcW w:type="dxa" w:w="3000"/>
            <w:tcMar>
              <w:top w:type="dxa" w:w="60"/>
              <w:left w:type="dxa" w:w="90"/>
              <w:bottom w:type="dxa" w:w="60"/>
              <w:right w:type="dxa" w:w="90"/>
            </w:tcMar>
            <w:vAlign w:val="center"/>
          </w:tcPr>
          <w:p>
            <w:pPr>
              <w:spacing w:after="40" w:before="40" w:line="250"/>
              <w:jc w:val="both"/>
            </w:pPr>
            <w:r>
              <w:rPr>
                <w:rFonts w:ascii="Calibri" w:cs="Calibri" w:eastAsia="Calibri" w:hAnsi="Calibri"/>
                <w:sz w:val="16"/>
                <w:szCs w:val="16"/>
              </w:rPr>
              <w:t xml:space="preserve">El consumo de GPU supera el presupuesto disponible antes del cierre del proyecto.</w:t>
            </w:r>
          </w:p>
        </w:tc>
        <w:tc>
          <w:tcPr>
            <w:tcW w:type="dxa" w:w="90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Costo</w:t>
            </w:r>
          </w:p>
        </w:tc>
        <w:tc>
          <w:tcPr>
            <w:tcW w:type="dxa" w:w="45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4</w:t>
            </w:r>
          </w:p>
        </w:tc>
        <w:tc>
          <w:tcPr>
            <w:tcW w:type="dxa" w:w="45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4</w:t>
            </w:r>
          </w:p>
        </w:tc>
        <w:tc>
          <w:tcPr>
            <w:tcW w:type="dxa" w:w="55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16</w:t>
            </w:r>
          </w:p>
        </w:tc>
        <w:tc>
          <w:tcPr>
            <w:tcW w:type="dxa" w:w="3310"/>
            <w:tcMar>
              <w:top w:type="dxa" w:w="60"/>
              <w:left w:type="dxa" w:w="90"/>
              <w:bottom w:type="dxa" w:w="60"/>
              <w:right w:type="dxa" w:w="90"/>
            </w:tcMar>
            <w:vAlign w:val="center"/>
          </w:tcPr>
          <w:p>
            <w:pPr>
              <w:spacing w:after="40" w:before="40" w:line="250"/>
              <w:jc w:val="both"/>
            </w:pPr>
            <w:r>
              <w:rPr>
                <w:rFonts w:ascii="Calibri" w:cs="Calibri" w:eastAsia="Calibri" w:hAnsi="Calibri"/>
                <w:sz w:val="16"/>
                <w:szCs w:val="16"/>
              </w:rPr>
              <w:t xml:space="preserve">Limitar el número de reconstrucciones por vendedor, fijar un tiempo máximo de entrenamiento por trabajo y monitorear el consumo semanalmente. Contingencia: procesar sólo un conjunto curado de vehículos de demostración.</w:t>
            </w:r>
          </w:p>
        </w:tc>
      </w:tr>
      <w:tr>
        <w:tc>
          <w:tcPr>
            <w:tcW w:type="dxa" w:w="7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R-02</w:t>
            </w:r>
          </w:p>
        </w:tc>
        <w:tc>
          <w:tcPr>
            <w:tcW w:type="dxa" w:w="3000"/>
            <w:shd w:fill="FAFBFC" w:color="auto" w:val="clear"/>
            <w:tcMar>
              <w:top w:type="dxa" w:w="60"/>
              <w:left w:type="dxa" w:w="90"/>
              <w:bottom w:type="dxa" w:w="60"/>
              <w:right w:type="dxa" w:w="90"/>
            </w:tcMar>
            <w:vAlign w:val="center"/>
          </w:tcPr>
          <w:p>
            <w:pPr>
              <w:spacing w:after="40" w:before="40" w:line="250"/>
              <w:jc w:val="both"/>
            </w:pPr>
            <w:r>
              <w:rPr>
                <w:rFonts w:ascii="Calibri" w:cs="Calibri" w:eastAsia="Calibri" w:hAnsi="Calibri"/>
                <w:sz w:val="16"/>
                <w:szCs w:val="16"/>
              </w:rPr>
              <w:t xml:space="preserve">La calidad de las capturas realizadas por los usuarios es insuficiente para obtener modelos aceptables.</w:t>
            </w:r>
          </w:p>
        </w:tc>
        <w:tc>
          <w:tcPr>
            <w:tcW w:type="dxa" w:w="9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Técnico</w:t>
            </w:r>
          </w:p>
        </w:tc>
        <w:tc>
          <w:tcPr>
            <w:tcW w:type="dxa" w:w="45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5</w:t>
            </w:r>
          </w:p>
        </w:tc>
        <w:tc>
          <w:tcPr>
            <w:tcW w:type="dxa" w:w="45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4</w:t>
            </w:r>
          </w:p>
        </w:tc>
        <w:tc>
          <w:tcPr>
            <w:tcW w:type="dxa" w:w="55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20</w:t>
            </w:r>
          </w:p>
        </w:tc>
        <w:tc>
          <w:tcPr>
            <w:tcW w:type="dxa" w:w="3310"/>
            <w:shd w:fill="FAFBFC" w:color="auto" w:val="clear"/>
            <w:tcMar>
              <w:top w:type="dxa" w:w="60"/>
              <w:left w:type="dxa" w:w="90"/>
              <w:bottom w:type="dxa" w:w="60"/>
              <w:right w:type="dxa" w:w="90"/>
            </w:tcMar>
            <w:vAlign w:val="center"/>
          </w:tcPr>
          <w:p>
            <w:pPr>
              <w:spacing w:after="40" w:before="40" w:line="250"/>
              <w:jc w:val="both"/>
            </w:pPr>
            <w:r>
              <w:rPr>
                <w:rFonts w:ascii="Calibri" w:cs="Calibri" w:eastAsia="Calibri" w:hAnsi="Calibri"/>
                <w:sz w:val="16"/>
                <w:szCs w:val="16"/>
              </w:rPr>
              <w:t xml:space="preserve">Entregar una guía visual de captura dentro de la aplicación, validar la calidad antes de encolar el trabajo y comunicar el motivo del rechazo en lenguaje comprensible. Contingencia: ofrecer la vista 3D como funcionalidad optativa y no obligatoria.</w:t>
            </w:r>
          </w:p>
        </w:tc>
      </w:tr>
      <w:tr>
        <w:tc>
          <w:tcPr>
            <w:tcW w:type="dxa" w:w="70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R-03</w:t>
            </w:r>
          </w:p>
        </w:tc>
        <w:tc>
          <w:tcPr>
            <w:tcW w:type="dxa" w:w="3000"/>
            <w:tcMar>
              <w:top w:type="dxa" w:w="60"/>
              <w:left w:type="dxa" w:w="90"/>
              <w:bottom w:type="dxa" w:w="60"/>
              <w:right w:type="dxa" w:w="90"/>
            </w:tcMar>
            <w:vAlign w:val="center"/>
          </w:tcPr>
          <w:p>
            <w:pPr>
              <w:spacing w:after="40" w:before="40" w:line="250"/>
              <w:jc w:val="both"/>
            </w:pPr>
            <w:r>
              <w:rPr>
                <w:rFonts w:ascii="Calibri" w:cs="Calibri" w:eastAsia="Calibri" w:hAnsi="Calibri"/>
                <w:sz w:val="16"/>
                <w:szCs w:val="16"/>
              </w:rPr>
              <w:t xml:space="preserve">El tamaño del archivo .splat degrada el rendimiento en dispositivos móviles.</w:t>
            </w:r>
          </w:p>
        </w:tc>
        <w:tc>
          <w:tcPr>
            <w:tcW w:type="dxa" w:w="90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Técnico</w:t>
            </w:r>
          </w:p>
        </w:tc>
        <w:tc>
          <w:tcPr>
            <w:tcW w:type="dxa" w:w="45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4</w:t>
            </w:r>
          </w:p>
        </w:tc>
        <w:tc>
          <w:tcPr>
            <w:tcW w:type="dxa" w:w="45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3</w:t>
            </w:r>
          </w:p>
        </w:tc>
        <w:tc>
          <w:tcPr>
            <w:tcW w:type="dxa" w:w="55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12</w:t>
            </w:r>
          </w:p>
        </w:tc>
        <w:tc>
          <w:tcPr>
            <w:tcW w:type="dxa" w:w="3310"/>
            <w:tcMar>
              <w:top w:type="dxa" w:w="60"/>
              <w:left w:type="dxa" w:w="90"/>
              <w:bottom w:type="dxa" w:w="60"/>
              <w:right w:type="dxa" w:w="90"/>
            </w:tcMar>
            <w:vAlign w:val="center"/>
          </w:tcPr>
          <w:p>
            <w:pPr>
              <w:spacing w:after="40" w:before="40" w:line="250"/>
              <w:jc w:val="both"/>
            </w:pPr>
            <w:r>
              <w:rPr>
                <w:rFonts w:ascii="Calibri" w:cs="Calibri" w:eastAsia="Calibri" w:hAnsi="Calibri"/>
                <w:sz w:val="16"/>
                <w:szCs w:val="16"/>
              </w:rPr>
              <w:t xml:space="preserve">Podar gaussianas de baja contribución, imponer un tamaño máximo de 60 MB y aplicar carga progresiva con vista previa de baja densidad.</w:t>
            </w:r>
          </w:p>
        </w:tc>
      </w:tr>
      <w:tr>
        <w:tc>
          <w:tcPr>
            <w:tcW w:type="dxa" w:w="7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R-04</w:t>
            </w:r>
          </w:p>
        </w:tc>
        <w:tc>
          <w:tcPr>
            <w:tcW w:type="dxa" w:w="3000"/>
            <w:shd w:fill="FAFBFC" w:color="auto" w:val="clear"/>
            <w:tcMar>
              <w:top w:type="dxa" w:w="60"/>
              <w:left w:type="dxa" w:w="90"/>
              <w:bottom w:type="dxa" w:w="60"/>
              <w:right w:type="dxa" w:w="90"/>
            </w:tcMar>
            <w:vAlign w:val="center"/>
          </w:tcPr>
          <w:p>
            <w:pPr>
              <w:spacing w:after="40" w:before="40" w:line="250"/>
              <w:jc w:val="both"/>
            </w:pPr>
            <w:r>
              <w:rPr>
                <w:rFonts w:ascii="Calibri" w:cs="Calibri" w:eastAsia="Calibri" w:hAnsi="Calibri"/>
                <w:sz w:val="16"/>
                <w:szCs w:val="16"/>
              </w:rPr>
              <w:t xml:space="preserve">La curva de aprendizaje de COLMAP y Nerfstudio consume más tiempo del previsto.</w:t>
            </w:r>
          </w:p>
        </w:tc>
        <w:tc>
          <w:tcPr>
            <w:tcW w:type="dxa" w:w="9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Técnico</w:t>
            </w:r>
          </w:p>
        </w:tc>
        <w:tc>
          <w:tcPr>
            <w:tcW w:type="dxa" w:w="45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4</w:t>
            </w:r>
          </w:p>
        </w:tc>
        <w:tc>
          <w:tcPr>
            <w:tcW w:type="dxa" w:w="45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4</w:t>
            </w:r>
          </w:p>
        </w:tc>
        <w:tc>
          <w:tcPr>
            <w:tcW w:type="dxa" w:w="55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16</w:t>
            </w:r>
          </w:p>
        </w:tc>
        <w:tc>
          <w:tcPr>
            <w:tcW w:type="dxa" w:w="3310"/>
            <w:shd w:fill="FAFBFC" w:color="auto" w:val="clear"/>
            <w:tcMar>
              <w:top w:type="dxa" w:w="60"/>
              <w:left w:type="dxa" w:w="90"/>
              <w:bottom w:type="dxa" w:w="60"/>
              <w:right w:type="dxa" w:w="90"/>
            </w:tcMar>
            <w:vAlign w:val="center"/>
          </w:tcPr>
          <w:p>
            <w:pPr>
              <w:spacing w:after="40" w:before="40" w:line="250"/>
              <w:jc w:val="both"/>
            </w:pPr>
            <w:r>
              <w:rPr>
                <w:rFonts w:ascii="Calibri" w:cs="Calibri" w:eastAsia="Calibri" w:hAnsi="Calibri"/>
                <w:sz w:val="16"/>
                <w:szCs w:val="16"/>
              </w:rPr>
              <w:t xml:space="preserve">Realizar la prueba de concepto en la semana 3, antes de comprometer el cronograma, y fijar las versiones de las bibliotecas empleadas.</w:t>
            </w:r>
          </w:p>
        </w:tc>
      </w:tr>
      <w:tr>
        <w:tc>
          <w:tcPr>
            <w:tcW w:type="dxa" w:w="70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R-05</w:t>
            </w:r>
          </w:p>
        </w:tc>
        <w:tc>
          <w:tcPr>
            <w:tcW w:type="dxa" w:w="3000"/>
            <w:tcMar>
              <w:top w:type="dxa" w:w="60"/>
              <w:left w:type="dxa" w:w="90"/>
              <w:bottom w:type="dxa" w:w="60"/>
              <w:right w:type="dxa" w:w="90"/>
            </w:tcMar>
            <w:vAlign w:val="center"/>
          </w:tcPr>
          <w:p>
            <w:pPr>
              <w:spacing w:after="40" w:before="40" w:line="250"/>
              <w:jc w:val="both"/>
            </w:pPr>
            <w:r>
              <w:rPr>
                <w:rFonts w:ascii="Calibri" w:cs="Calibri" w:eastAsia="Calibri" w:hAnsi="Calibri"/>
                <w:sz w:val="16"/>
                <w:szCs w:val="16"/>
              </w:rPr>
              <w:t xml:space="preserve">La carga académica de otras asignaturas reduce la disponibilidad del equipo.</w:t>
            </w:r>
          </w:p>
        </w:tc>
        <w:tc>
          <w:tcPr>
            <w:tcW w:type="dxa" w:w="90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Recursos</w:t>
            </w:r>
          </w:p>
        </w:tc>
        <w:tc>
          <w:tcPr>
            <w:tcW w:type="dxa" w:w="45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4</w:t>
            </w:r>
          </w:p>
        </w:tc>
        <w:tc>
          <w:tcPr>
            <w:tcW w:type="dxa" w:w="45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3</w:t>
            </w:r>
          </w:p>
        </w:tc>
        <w:tc>
          <w:tcPr>
            <w:tcW w:type="dxa" w:w="55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12</w:t>
            </w:r>
          </w:p>
        </w:tc>
        <w:tc>
          <w:tcPr>
            <w:tcW w:type="dxa" w:w="3310"/>
            <w:tcMar>
              <w:top w:type="dxa" w:w="60"/>
              <w:left w:type="dxa" w:w="90"/>
              <w:bottom w:type="dxa" w:w="60"/>
              <w:right w:type="dxa" w:w="90"/>
            </w:tcMar>
            <w:vAlign w:val="center"/>
          </w:tcPr>
          <w:p>
            <w:pPr>
              <w:spacing w:after="40" w:before="40" w:line="250"/>
              <w:jc w:val="both"/>
            </w:pPr>
            <w:r>
              <w:rPr>
                <w:rFonts w:ascii="Calibri" w:cs="Calibri" w:eastAsia="Calibri" w:hAnsi="Calibri"/>
                <w:sz w:val="16"/>
                <w:szCs w:val="16"/>
              </w:rPr>
              <w:t xml:space="preserve">Planificar los incrementos evitando las semanas de evaluaciones, mantener holgura en el cronograma y redistribuir tareas en la reunión semanal.</w:t>
            </w:r>
          </w:p>
        </w:tc>
      </w:tr>
      <w:tr>
        <w:tc>
          <w:tcPr>
            <w:tcW w:type="dxa" w:w="7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R-06</w:t>
            </w:r>
          </w:p>
        </w:tc>
        <w:tc>
          <w:tcPr>
            <w:tcW w:type="dxa" w:w="3000"/>
            <w:shd w:fill="FAFBFC" w:color="auto" w:val="clear"/>
            <w:tcMar>
              <w:top w:type="dxa" w:w="60"/>
              <w:left w:type="dxa" w:w="90"/>
              <w:bottom w:type="dxa" w:w="60"/>
              <w:right w:type="dxa" w:w="90"/>
            </w:tcMar>
            <w:vAlign w:val="center"/>
          </w:tcPr>
          <w:p>
            <w:pPr>
              <w:spacing w:after="40" w:before="40" w:line="250"/>
              <w:jc w:val="both"/>
            </w:pPr>
            <w:r>
              <w:rPr>
                <w:rFonts w:ascii="Calibri" w:cs="Calibri" w:eastAsia="Calibri" w:hAnsi="Calibri"/>
                <w:sz w:val="16"/>
                <w:szCs w:val="16"/>
              </w:rPr>
              <w:t xml:space="preserve">Los límites de los planes gratuitos se alcanzan durante la evaluación final.</w:t>
            </w:r>
          </w:p>
        </w:tc>
        <w:tc>
          <w:tcPr>
            <w:tcW w:type="dxa" w:w="9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Infraestr.</w:t>
            </w:r>
          </w:p>
        </w:tc>
        <w:tc>
          <w:tcPr>
            <w:tcW w:type="dxa" w:w="45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3</w:t>
            </w:r>
          </w:p>
        </w:tc>
        <w:tc>
          <w:tcPr>
            <w:tcW w:type="dxa" w:w="45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4</w:t>
            </w:r>
          </w:p>
        </w:tc>
        <w:tc>
          <w:tcPr>
            <w:tcW w:type="dxa" w:w="55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12</w:t>
            </w:r>
          </w:p>
        </w:tc>
        <w:tc>
          <w:tcPr>
            <w:tcW w:type="dxa" w:w="3310"/>
            <w:shd w:fill="FAFBFC" w:color="auto" w:val="clear"/>
            <w:tcMar>
              <w:top w:type="dxa" w:w="60"/>
              <w:left w:type="dxa" w:w="90"/>
              <w:bottom w:type="dxa" w:w="60"/>
              <w:right w:type="dxa" w:w="90"/>
            </w:tcMar>
            <w:vAlign w:val="center"/>
          </w:tcPr>
          <w:p>
            <w:pPr>
              <w:spacing w:after="40" w:before="40" w:line="250"/>
              <w:jc w:val="both"/>
            </w:pPr>
            <w:r>
              <w:rPr>
                <w:rFonts w:ascii="Calibri" w:cs="Calibri" w:eastAsia="Calibri" w:hAnsi="Calibri"/>
                <w:sz w:val="16"/>
                <w:szCs w:val="16"/>
              </w:rPr>
              <w:t xml:space="preserve">Monitorear el consumo de cada servicio, depurar datos de prueba y mantener un respaldo local del ambiente para la demostración.</w:t>
            </w:r>
          </w:p>
        </w:tc>
      </w:tr>
      <w:tr>
        <w:tc>
          <w:tcPr>
            <w:tcW w:type="dxa" w:w="70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R-07</w:t>
            </w:r>
          </w:p>
        </w:tc>
        <w:tc>
          <w:tcPr>
            <w:tcW w:type="dxa" w:w="3000"/>
            <w:tcMar>
              <w:top w:type="dxa" w:w="60"/>
              <w:left w:type="dxa" w:w="90"/>
              <w:bottom w:type="dxa" w:w="60"/>
              <w:right w:type="dxa" w:w="90"/>
            </w:tcMar>
            <w:vAlign w:val="center"/>
          </w:tcPr>
          <w:p>
            <w:pPr>
              <w:spacing w:after="40" w:before="40" w:line="250"/>
              <w:jc w:val="both"/>
            </w:pPr>
            <w:r>
              <w:rPr>
                <w:rFonts w:ascii="Calibri" w:cs="Calibri" w:eastAsia="Calibri" w:hAnsi="Calibri"/>
                <w:sz w:val="16"/>
                <w:szCs w:val="16"/>
              </w:rPr>
              <w:t xml:space="preserve">Inconsistencia entre el mecanismo de emisión de tokens y el de validación en el backend.</w:t>
            </w:r>
          </w:p>
        </w:tc>
        <w:tc>
          <w:tcPr>
            <w:tcW w:type="dxa" w:w="90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Técnico</w:t>
            </w:r>
          </w:p>
        </w:tc>
        <w:tc>
          <w:tcPr>
            <w:tcW w:type="dxa" w:w="45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3</w:t>
            </w:r>
          </w:p>
        </w:tc>
        <w:tc>
          <w:tcPr>
            <w:tcW w:type="dxa" w:w="45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4</w:t>
            </w:r>
          </w:p>
        </w:tc>
        <w:tc>
          <w:tcPr>
            <w:tcW w:type="dxa" w:w="55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12</w:t>
            </w:r>
          </w:p>
        </w:tc>
        <w:tc>
          <w:tcPr>
            <w:tcW w:type="dxa" w:w="3310"/>
            <w:tcMar>
              <w:top w:type="dxa" w:w="60"/>
              <w:left w:type="dxa" w:w="90"/>
              <w:bottom w:type="dxa" w:w="60"/>
              <w:right w:type="dxa" w:w="90"/>
            </w:tcMar>
            <w:vAlign w:val="center"/>
          </w:tcPr>
          <w:p>
            <w:pPr>
              <w:spacing w:after="40" w:before="40" w:line="250"/>
              <w:jc w:val="both"/>
            </w:pPr>
            <w:r>
              <w:rPr>
                <w:rFonts w:ascii="Calibri" w:cs="Calibri" w:eastAsia="Calibri" w:hAnsi="Calibri"/>
                <w:sz w:val="16"/>
                <w:szCs w:val="16"/>
              </w:rPr>
              <w:t xml:space="preserve">Definir desde el Incremento 1 una única fuente de verdad para la identidad y cubrir la decisión con pruebas de integración específicas (RNF-07).</w:t>
            </w:r>
          </w:p>
        </w:tc>
      </w:tr>
      <w:tr>
        <w:tc>
          <w:tcPr>
            <w:tcW w:type="dxa" w:w="7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R-08</w:t>
            </w:r>
          </w:p>
        </w:tc>
        <w:tc>
          <w:tcPr>
            <w:tcW w:type="dxa" w:w="3000"/>
            <w:shd w:fill="FAFBFC" w:color="auto" w:val="clear"/>
            <w:tcMar>
              <w:top w:type="dxa" w:w="60"/>
              <w:left w:type="dxa" w:w="90"/>
              <w:bottom w:type="dxa" w:w="60"/>
              <w:right w:type="dxa" w:w="90"/>
            </w:tcMar>
            <w:vAlign w:val="center"/>
          </w:tcPr>
          <w:p>
            <w:pPr>
              <w:spacing w:after="40" w:before="40" w:line="250"/>
              <w:jc w:val="both"/>
            </w:pPr>
            <w:r>
              <w:rPr>
                <w:rFonts w:ascii="Calibri" w:cs="Calibri" w:eastAsia="Calibri" w:hAnsi="Calibri"/>
                <w:sz w:val="16"/>
                <w:szCs w:val="16"/>
              </w:rPr>
              <w:t xml:space="preserve">Ausencia de políticas de acceso a nivel de fila versionadas, con riesgo de exposición de datos.</w:t>
            </w:r>
          </w:p>
        </w:tc>
        <w:tc>
          <w:tcPr>
            <w:tcW w:type="dxa" w:w="9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Seguridad</w:t>
            </w:r>
          </w:p>
        </w:tc>
        <w:tc>
          <w:tcPr>
            <w:tcW w:type="dxa" w:w="45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3</w:t>
            </w:r>
          </w:p>
        </w:tc>
        <w:tc>
          <w:tcPr>
            <w:tcW w:type="dxa" w:w="45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5</w:t>
            </w:r>
          </w:p>
        </w:tc>
        <w:tc>
          <w:tcPr>
            <w:tcW w:type="dxa" w:w="55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15</w:t>
            </w:r>
          </w:p>
        </w:tc>
        <w:tc>
          <w:tcPr>
            <w:tcW w:type="dxa" w:w="3310"/>
            <w:shd w:fill="FAFBFC" w:color="auto" w:val="clear"/>
            <w:tcMar>
              <w:top w:type="dxa" w:w="60"/>
              <w:left w:type="dxa" w:w="90"/>
              <w:bottom w:type="dxa" w:w="60"/>
              <w:right w:type="dxa" w:w="90"/>
            </w:tcMar>
            <w:vAlign w:val="center"/>
          </w:tcPr>
          <w:p>
            <w:pPr>
              <w:spacing w:after="40" w:before="40" w:line="250"/>
              <w:jc w:val="both"/>
            </w:pPr>
            <w:r>
              <w:rPr>
                <w:rFonts w:ascii="Calibri" w:cs="Calibri" w:eastAsia="Calibri" w:hAnsi="Calibri"/>
                <w:sz w:val="16"/>
                <w:szCs w:val="16"/>
              </w:rPr>
              <w:t xml:space="preserve">Incorporar las políticas como migraciones versionadas dentro del repositorio y verificar el acceso cruzado mediante pruebas automatizadas (RNF-08).</w:t>
            </w:r>
          </w:p>
        </w:tc>
      </w:tr>
      <w:tr>
        <w:tc>
          <w:tcPr>
            <w:tcW w:type="dxa" w:w="70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R-09</w:t>
            </w:r>
          </w:p>
        </w:tc>
        <w:tc>
          <w:tcPr>
            <w:tcW w:type="dxa" w:w="3000"/>
            <w:tcMar>
              <w:top w:type="dxa" w:w="60"/>
              <w:left w:type="dxa" w:w="90"/>
              <w:bottom w:type="dxa" w:w="60"/>
              <w:right w:type="dxa" w:w="90"/>
            </w:tcMar>
            <w:vAlign w:val="center"/>
          </w:tcPr>
          <w:p>
            <w:pPr>
              <w:spacing w:after="40" w:before="40" w:line="250"/>
              <w:jc w:val="both"/>
            </w:pPr>
            <w:r>
              <w:rPr>
                <w:rFonts w:ascii="Calibri" w:cs="Calibri" w:eastAsia="Calibri" w:hAnsi="Calibri"/>
                <w:sz w:val="16"/>
                <w:szCs w:val="16"/>
              </w:rPr>
              <w:t xml:space="preserve">Crecimiento no controlado del alcance por incorporación de funcionalidades no planificadas.</w:t>
            </w:r>
          </w:p>
        </w:tc>
        <w:tc>
          <w:tcPr>
            <w:tcW w:type="dxa" w:w="90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Gestión</w:t>
            </w:r>
          </w:p>
        </w:tc>
        <w:tc>
          <w:tcPr>
            <w:tcW w:type="dxa" w:w="45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3</w:t>
            </w:r>
          </w:p>
        </w:tc>
        <w:tc>
          <w:tcPr>
            <w:tcW w:type="dxa" w:w="45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3</w:t>
            </w:r>
          </w:p>
        </w:tc>
        <w:tc>
          <w:tcPr>
            <w:tcW w:type="dxa" w:w="55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9</w:t>
            </w:r>
          </w:p>
        </w:tc>
        <w:tc>
          <w:tcPr>
            <w:tcW w:type="dxa" w:w="3310"/>
            <w:tcMar>
              <w:top w:type="dxa" w:w="60"/>
              <w:left w:type="dxa" w:w="90"/>
              <w:bottom w:type="dxa" w:w="60"/>
              <w:right w:type="dxa" w:w="90"/>
            </w:tcMar>
            <w:vAlign w:val="center"/>
          </w:tcPr>
          <w:p>
            <w:pPr>
              <w:spacing w:after="40" w:before="40" w:line="250"/>
              <w:jc w:val="both"/>
            </w:pPr>
            <w:r>
              <w:rPr>
                <w:rFonts w:ascii="Calibri" w:cs="Calibri" w:eastAsia="Calibri" w:hAnsi="Calibri"/>
                <w:sz w:val="16"/>
                <w:szCs w:val="16"/>
              </w:rPr>
              <w:t xml:space="preserve">Toda solicitud de cambio se evalúa según el procedimiento de control de cambios y requiere acuerdo registrado en acta.</w:t>
            </w:r>
          </w:p>
        </w:tc>
      </w:tr>
      <w:tr>
        <w:tc>
          <w:tcPr>
            <w:tcW w:type="dxa" w:w="7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R-10</w:t>
            </w:r>
          </w:p>
        </w:tc>
        <w:tc>
          <w:tcPr>
            <w:tcW w:type="dxa" w:w="3000"/>
            <w:shd w:fill="FAFBFC" w:color="auto" w:val="clear"/>
            <w:tcMar>
              <w:top w:type="dxa" w:w="60"/>
              <w:left w:type="dxa" w:w="90"/>
              <w:bottom w:type="dxa" w:w="60"/>
              <w:right w:type="dxa" w:w="90"/>
            </w:tcMar>
            <w:vAlign w:val="center"/>
          </w:tcPr>
          <w:p>
            <w:pPr>
              <w:spacing w:after="40" w:before="40" w:line="250"/>
              <w:jc w:val="both"/>
            </w:pPr>
            <w:r>
              <w:rPr>
                <w:rFonts w:ascii="Calibri" w:cs="Calibri" w:eastAsia="Calibri" w:hAnsi="Calibri"/>
                <w:sz w:val="16"/>
                <w:szCs w:val="16"/>
              </w:rPr>
              <w:t xml:space="preserve">Pérdida de trabajo por fallo de equipo o error en el control de versiones.</w:t>
            </w:r>
          </w:p>
        </w:tc>
        <w:tc>
          <w:tcPr>
            <w:tcW w:type="dxa" w:w="9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Gestión</w:t>
            </w:r>
          </w:p>
        </w:tc>
        <w:tc>
          <w:tcPr>
            <w:tcW w:type="dxa" w:w="45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2</w:t>
            </w:r>
          </w:p>
        </w:tc>
        <w:tc>
          <w:tcPr>
            <w:tcW w:type="dxa" w:w="45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4</w:t>
            </w:r>
          </w:p>
        </w:tc>
        <w:tc>
          <w:tcPr>
            <w:tcW w:type="dxa" w:w="55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8</w:t>
            </w:r>
          </w:p>
        </w:tc>
        <w:tc>
          <w:tcPr>
            <w:tcW w:type="dxa" w:w="3310"/>
            <w:shd w:fill="FAFBFC" w:color="auto" w:val="clear"/>
            <w:tcMar>
              <w:top w:type="dxa" w:w="60"/>
              <w:left w:type="dxa" w:w="90"/>
              <w:bottom w:type="dxa" w:w="60"/>
              <w:right w:type="dxa" w:w="90"/>
            </w:tcMar>
            <w:vAlign w:val="center"/>
          </w:tcPr>
          <w:p>
            <w:pPr>
              <w:spacing w:after="40" w:before="40" w:line="250"/>
              <w:jc w:val="both"/>
            </w:pPr>
            <w:r>
              <w:rPr>
                <w:rFonts w:ascii="Calibri" w:cs="Calibri" w:eastAsia="Calibri" w:hAnsi="Calibri"/>
                <w:sz w:val="16"/>
                <w:szCs w:val="16"/>
              </w:rPr>
              <w:t xml:space="preserve">Trabajo obligatorio sobre ramas remotas, integración diaria y respaldo automático de la base de datos.</w:t>
            </w:r>
          </w:p>
        </w:tc>
      </w:tr>
      <w:tr>
        <w:tc>
          <w:tcPr>
            <w:tcW w:type="dxa" w:w="70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R-11</w:t>
            </w:r>
          </w:p>
        </w:tc>
        <w:tc>
          <w:tcPr>
            <w:tcW w:type="dxa" w:w="3000"/>
            <w:tcMar>
              <w:top w:type="dxa" w:w="60"/>
              <w:left w:type="dxa" w:w="90"/>
              <w:bottom w:type="dxa" w:w="60"/>
              <w:right w:type="dxa" w:w="90"/>
            </w:tcMar>
            <w:vAlign w:val="center"/>
          </w:tcPr>
          <w:p>
            <w:pPr>
              <w:spacing w:after="40" w:before="40" w:line="250"/>
              <w:jc w:val="both"/>
            </w:pPr>
            <w:r>
              <w:rPr>
                <w:rFonts w:ascii="Calibri" w:cs="Calibri" w:eastAsia="Calibri" w:hAnsi="Calibri"/>
                <w:sz w:val="16"/>
                <w:szCs w:val="16"/>
              </w:rPr>
              <w:t xml:space="preserve">Incompatibilidad del visor con navegadores o dispositivos de gama baja.</w:t>
            </w:r>
          </w:p>
        </w:tc>
        <w:tc>
          <w:tcPr>
            <w:tcW w:type="dxa" w:w="90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Técnico</w:t>
            </w:r>
          </w:p>
        </w:tc>
        <w:tc>
          <w:tcPr>
            <w:tcW w:type="dxa" w:w="45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3</w:t>
            </w:r>
          </w:p>
        </w:tc>
        <w:tc>
          <w:tcPr>
            <w:tcW w:type="dxa" w:w="45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3</w:t>
            </w:r>
          </w:p>
        </w:tc>
        <w:tc>
          <w:tcPr>
            <w:tcW w:type="dxa" w:w="550"/>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9</w:t>
            </w:r>
          </w:p>
        </w:tc>
        <w:tc>
          <w:tcPr>
            <w:tcW w:type="dxa" w:w="3310"/>
            <w:tcMar>
              <w:top w:type="dxa" w:w="60"/>
              <w:left w:type="dxa" w:w="90"/>
              <w:bottom w:type="dxa" w:w="60"/>
              <w:right w:type="dxa" w:w="90"/>
            </w:tcMar>
            <w:vAlign w:val="center"/>
          </w:tcPr>
          <w:p>
            <w:pPr>
              <w:spacing w:after="40" w:before="40" w:line="250"/>
              <w:jc w:val="both"/>
            </w:pPr>
            <w:r>
              <w:rPr>
                <w:rFonts w:ascii="Calibri" w:cs="Calibri" w:eastAsia="Calibri" w:hAnsi="Calibri"/>
                <w:sz w:val="16"/>
                <w:szCs w:val="16"/>
              </w:rPr>
              <w:t xml:space="preserve">Detectar el soporte de WebGL2 y degradar de forma controlada hacia la galería bidimensional (RNF-23).</w:t>
            </w:r>
          </w:p>
        </w:tc>
      </w:tr>
      <w:tr>
        <w:tc>
          <w:tcPr>
            <w:tcW w:type="dxa" w:w="7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R-12</w:t>
            </w:r>
          </w:p>
        </w:tc>
        <w:tc>
          <w:tcPr>
            <w:tcW w:type="dxa" w:w="3000"/>
            <w:shd w:fill="FAFBFC" w:color="auto" w:val="clear"/>
            <w:tcMar>
              <w:top w:type="dxa" w:w="60"/>
              <w:left w:type="dxa" w:w="90"/>
              <w:bottom w:type="dxa" w:w="60"/>
              <w:right w:type="dxa" w:w="90"/>
            </w:tcMar>
            <w:vAlign w:val="center"/>
          </w:tcPr>
          <w:p>
            <w:pPr>
              <w:spacing w:after="40" w:before="40" w:line="250"/>
              <w:jc w:val="both"/>
            </w:pPr>
            <w:r>
              <w:rPr>
                <w:rFonts w:ascii="Calibri" w:cs="Calibri" w:eastAsia="Calibri" w:hAnsi="Calibri"/>
                <w:sz w:val="16"/>
                <w:szCs w:val="16"/>
              </w:rPr>
              <w:t xml:space="preserve">Desacuerdo persistente entre integrantes que retrasa una decisión técnica.</w:t>
            </w:r>
          </w:p>
        </w:tc>
        <w:tc>
          <w:tcPr>
            <w:tcW w:type="dxa" w:w="9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Equipo</w:t>
            </w:r>
          </w:p>
        </w:tc>
        <w:tc>
          <w:tcPr>
            <w:tcW w:type="dxa" w:w="45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2</w:t>
            </w:r>
          </w:p>
        </w:tc>
        <w:tc>
          <w:tcPr>
            <w:tcW w:type="dxa" w:w="45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3</w:t>
            </w:r>
          </w:p>
        </w:tc>
        <w:tc>
          <w:tcPr>
            <w:tcW w:type="dxa" w:w="55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6"/>
                <w:szCs w:val="16"/>
              </w:rPr>
              <w:t xml:space="preserve">6</w:t>
            </w:r>
          </w:p>
        </w:tc>
        <w:tc>
          <w:tcPr>
            <w:tcW w:type="dxa" w:w="3310"/>
            <w:shd w:fill="FAFBFC" w:color="auto" w:val="clear"/>
            <w:tcMar>
              <w:top w:type="dxa" w:w="60"/>
              <w:left w:type="dxa" w:w="90"/>
              <w:bottom w:type="dxa" w:w="60"/>
              <w:right w:type="dxa" w:w="90"/>
            </w:tcMar>
            <w:vAlign w:val="center"/>
          </w:tcPr>
          <w:p>
            <w:pPr>
              <w:spacing w:after="40" w:before="40" w:line="250"/>
              <w:jc w:val="both"/>
            </w:pPr>
            <w:r>
              <w:rPr>
                <w:rFonts w:ascii="Calibri" w:cs="Calibri" w:eastAsia="Calibri" w:hAnsi="Calibri"/>
                <w:sz w:val="16"/>
                <w:szCs w:val="16"/>
              </w:rPr>
              <w:t xml:space="preserve">Aplicar el procedimiento de resolución de conflictos descrito en el capítulo 5 de este documento.</w:t>
            </w:r>
          </w:p>
        </w:tc>
      </w:tr>
    </w:tbl>
    <w:p>
      <w:r>
        <w:br w:type="page"/>
      </w:r>
    </w:p>
    <w:p>
      <w:pPr>
        <w:pStyle w:val="Heading2"/>
        <w:spacing w:after="160" w:before="260"/>
      </w:pPr>
      <w:r>
        <w:t xml:space="preserve">1.11 Gestión de la calidad</w:t>
      </w:r>
    </w:p>
    <w:p>
      <w:pPr>
        <w:spacing w:after="120" w:line="280"/>
        <w:jc w:val="both"/>
      </w:pPr>
      <w:r>
        <w:rPr>
          <w:rFonts w:ascii="Calibri" w:cs="Calibri" w:eastAsia="Calibri" w:hAnsi="Calibri"/>
          <w:sz w:val="22"/>
          <w:szCs w:val="22"/>
        </w:rPr>
        <w:t xml:space="preserve">La calidad se aborda mediante prevención, verificación y validación, y no mediante inspección al final del proyecto. Las actividades de aseguramiento se ejecutan de forma transversal desde el Incremento 1.</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2200"/>
        <w:gridCol w:w="3600"/>
        <w:gridCol w:w="1800"/>
        <w:gridCol w:w="1760"/>
      </w:tblGrid>
      <w:tr>
        <w:trPr>
          <w:tblHeader/>
        </w:trPr>
        <w:tc>
          <w:tcPr>
            <w:tcW w:type="dxa" w:w="22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Actividad</w:t>
            </w:r>
          </w:p>
        </w:tc>
        <w:tc>
          <w:tcPr>
            <w:tcW w:type="dxa" w:w="36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Descripción</w:t>
            </w:r>
          </w:p>
        </w:tc>
        <w:tc>
          <w:tcPr>
            <w:tcW w:type="dxa" w:w="18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Frecuencia</w:t>
            </w:r>
          </w:p>
        </w:tc>
        <w:tc>
          <w:tcPr>
            <w:tcW w:type="dxa" w:w="17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Responsable</w:t>
            </w:r>
          </w:p>
        </w:tc>
      </w:tr>
      <w:tr>
        <w:tc>
          <w:tcPr>
            <w:tcW w:type="dxa" w:w="2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Revisión cruzada de código</w:t>
            </w:r>
          </w:p>
        </w:tc>
        <w:tc>
          <w:tcPr>
            <w:tcW w:type="dxa" w:w="36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Toda incorporación al tronco principal requiere aprobación de un integrante distinto de su autor.</w:t>
            </w:r>
          </w:p>
        </w:tc>
        <w:tc>
          <w:tcPr>
            <w:tcW w:type="dxa" w:w="18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Por cada solicitud de incorporación</w:t>
            </w:r>
          </w:p>
        </w:tc>
        <w:tc>
          <w:tcPr>
            <w:tcW w:type="dxa" w:w="17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Autor y revisor</w:t>
            </w:r>
          </w:p>
        </w:tc>
      </w:tr>
      <w:tr>
        <w:tc>
          <w:tcPr>
            <w:tcW w:type="dxa" w:w="22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Pruebas unitarias</w:t>
            </w:r>
          </w:p>
        </w:tc>
        <w:tc>
          <w:tcPr>
            <w:tcW w:type="dxa" w:w="36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Cobertura de la lógica de negocio del backend, con meta del 70 % de líneas.</w:t>
            </w:r>
          </w:p>
        </w:tc>
        <w:tc>
          <w:tcPr>
            <w:tcW w:type="dxa" w:w="1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Continua</w:t>
            </w:r>
          </w:p>
        </w:tc>
        <w:tc>
          <w:tcPr>
            <w:tcW w:type="dxa" w:w="17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 Espinoza</w:t>
            </w:r>
          </w:p>
        </w:tc>
      </w:tr>
      <w:tr>
        <w:tc>
          <w:tcPr>
            <w:tcW w:type="dxa" w:w="2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Pruebas de integración</w:t>
            </w:r>
          </w:p>
        </w:tc>
        <w:tc>
          <w:tcPr>
            <w:tcW w:type="dxa" w:w="36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Verificación de los flujos que atraviesan varios componentes, en particular el pipeline de reconstrucción.</w:t>
            </w:r>
          </w:p>
        </w:tc>
        <w:tc>
          <w:tcPr>
            <w:tcW w:type="dxa" w:w="18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Por incremento</w:t>
            </w:r>
          </w:p>
        </w:tc>
        <w:tc>
          <w:tcPr>
            <w:tcW w:type="dxa" w:w="17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 Espinoza</w:t>
            </w:r>
          </w:p>
        </w:tc>
      </w:tr>
      <w:tr>
        <w:tc>
          <w:tcPr>
            <w:tcW w:type="dxa" w:w="22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Pruebas de aceptación</w:t>
            </w:r>
          </w:p>
        </w:tc>
        <w:tc>
          <w:tcPr>
            <w:tcW w:type="dxa" w:w="36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Ejecución de los criterios de aceptación de cada historia de usuario.</w:t>
            </w:r>
          </w:p>
        </w:tc>
        <w:tc>
          <w:tcPr>
            <w:tcW w:type="dxa" w:w="1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Al cierre de cada incremento</w:t>
            </w:r>
          </w:p>
        </w:tc>
        <w:tc>
          <w:tcPr>
            <w:tcW w:type="dxa" w:w="17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L. Zúñiga</w:t>
            </w:r>
          </w:p>
        </w:tc>
      </w:tr>
      <w:tr>
        <w:tc>
          <w:tcPr>
            <w:tcW w:type="dxa" w:w="2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Análisis estático</w:t>
            </w:r>
          </w:p>
        </w:tc>
        <w:tc>
          <w:tcPr>
            <w:tcW w:type="dxa" w:w="36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Detección automática de errores, malas prácticas y dependencias vulnerables.</w:t>
            </w:r>
          </w:p>
        </w:tc>
        <w:tc>
          <w:tcPr>
            <w:tcW w:type="dxa" w:w="18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En cada integración</w:t>
            </w:r>
          </w:p>
        </w:tc>
        <w:tc>
          <w:tcPr>
            <w:tcW w:type="dxa" w:w="17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Automatizado</w:t>
            </w:r>
          </w:p>
        </w:tc>
      </w:tr>
      <w:tr>
        <w:tc>
          <w:tcPr>
            <w:tcW w:type="dxa" w:w="22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Pruebas de rendimiento</w:t>
            </w:r>
          </w:p>
        </w:tc>
        <w:tc>
          <w:tcPr>
            <w:tcW w:type="dxa" w:w="36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Verificación de RNF-01 a RNF-05 mediante carga simulada y medición del visor.</w:t>
            </w:r>
          </w:p>
        </w:tc>
        <w:tc>
          <w:tcPr>
            <w:tcW w:type="dxa" w:w="1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Incrementos 3 y 5</w:t>
            </w:r>
          </w:p>
        </w:tc>
        <w:tc>
          <w:tcPr>
            <w:tcW w:type="dxa" w:w="17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J. Rojas</w:t>
            </w:r>
          </w:p>
        </w:tc>
      </w:tr>
      <w:tr>
        <w:tc>
          <w:tcPr>
            <w:tcW w:type="dxa" w:w="2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Pruebas de usabilidad</w:t>
            </w:r>
          </w:p>
        </w:tc>
        <w:tc>
          <w:tcPr>
            <w:tcW w:type="dxa" w:w="36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Sesiones con al menos cinco participantes externos y aplicación del cuestionario SUS.</w:t>
            </w:r>
          </w:p>
        </w:tc>
        <w:tc>
          <w:tcPr>
            <w:tcW w:type="dxa" w:w="18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Incremento 5</w:t>
            </w:r>
          </w:p>
        </w:tc>
        <w:tc>
          <w:tcPr>
            <w:tcW w:type="dxa" w:w="17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L. Zúñiga</w:t>
            </w:r>
          </w:p>
        </w:tc>
      </w:tr>
      <w:tr>
        <w:tc>
          <w:tcPr>
            <w:tcW w:type="dxa" w:w="22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Revisión de seguridad</w:t>
            </w:r>
          </w:p>
        </w:tc>
        <w:tc>
          <w:tcPr>
            <w:tcW w:type="dxa" w:w="36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Verificación contra la lista OWASP aplicable y prueba de acceso cruzado entre usuarios.</w:t>
            </w:r>
          </w:p>
        </w:tc>
        <w:tc>
          <w:tcPr>
            <w:tcW w:type="dxa" w:w="1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Incrementos 1 y 5</w:t>
            </w:r>
          </w:p>
        </w:tc>
        <w:tc>
          <w:tcPr>
            <w:tcW w:type="dxa" w:w="17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 Espinoza</w:t>
            </w:r>
          </w:p>
        </w:tc>
      </w:tr>
    </w:tbl>
    <w:p>
      <w:pPr>
        <w:pStyle w:val="Heading2"/>
        <w:spacing w:after="160" w:before="260"/>
      </w:pPr>
      <w:r>
        <w:t xml:space="preserve">1.12 Gestión de la configuración</w:t>
      </w:r>
    </w:p>
    <w:p>
      <w:pPr>
        <w:pStyle w:val="ListParagraph"/>
        <w:numPr>
          <w:ilvl w:val="0"/>
          <w:numId w:val="2"/>
        </w:numPr>
        <w:spacing w:after="70" w:line="270"/>
      </w:pPr>
      <w:r>
        <w:rPr>
          <w:rFonts w:ascii="Calibri" w:cs="Calibri" w:eastAsia="Calibri" w:hAnsi="Calibri"/>
          <w:sz w:val="22"/>
          <w:szCs w:val="22"/>
        </w:rPr>
        <w:t xml:space="preserve">El código fuente se aloja en un repositorio único de tipo monorepo, con los cuatro componentes en directorios separados y su propio ciclo de despliegue.</w:t>
      </w:r>
    </w:p>
    <w:p>
      <w:pPr>
        <w:pStyle w:val="ListParagraph"/>
        <w:numPr>
          <w:ilvl w:val="0"/>
          <w:numId w:val="2"/>
        </w:numPr>
        <w:spacing w:after="70" w:line="270"/>
      </w:pPr>
      <w:r>
        <w:rPr>
          <w:rFonts w:ascii="Calibri" w:cs="Calibri" w:eastAsia="Calibri" w:hAnsi="Calibri"/>
          <w:sz w:val="22"/>
          <w:szCs w:val="22"/>
        </w:rPr>
        <w:t xml:space="preserve">Se adopta un flujo de ramas por funcionalidad: cada historia de usuario se desarrolla en una rama nombrada según su identificador y se incorpora al tronco mediante una solicitud de incorporación revisada.</w:t>
      </w:r>
    </w:p>
    <w:p>
      <w:pPr>
        <w:pStyle w:val="ListParagraph"/>
        <w:numPr>
          <w:ilvl w:val="0"/>
          <w:numId w:val="2"/>
        </w:numPr>
        <w:spacing w:after="70" w:line="270"/>
      </w:pPr>
      <w:r>
        <w:rPr>
          <w:rFonts w:ascii="Calibri" w:cs="Calibri" w:eastAsia="Calibri" w:hAnsi="Calibri"/>
          <w:sz w:val="22"/>
          <w:szCs w:val="22"/>
        </w:rPr>
        <w:t xml:space="preserve">Los mensajes de confirmación siguen la convención de commits convencionales, lo que permite generar automáticamente el registro de cambios de cada incremento.</w:t>
      </w:r>
    </w:p>
    <w:p>
      <w:pPr>
        <w:pStyle w:val="ListParagraph"/>
        <w:numPr>
          <w:ilvl w:val="0"/>
          <w:numId w:val="2"/>
        </w:numPr>
        <w:spacing w:after="70" w:line="270"/>
      </w:pPr>
      <w:r>
        <w:rPr>
          <w:rFonts w:ascii="Calibri" w:cs="Calibri" w:eastAsia="Calibri" w:hAnsi="Calibri"/>
          <w:sz w:val="22"/>
          <w:szCs w:val="22"/>
        </w:rPr>
        <w:t xml:space="preserve">Cada entrega de incremento se marca con una etiqueta de versión conforme al versionado semántico, de modo que cualquier estado entregado sea reproducible.</w:t>
      </w:r>
    </w:p>
    <w:p>
      <w:pPr>
        <w:pStyle w:val="ListParagraph"/>
        <w:numPr>
          <w:ilvl w:val="0"/>
          <w:numId w:val="2"/>
        </w:numPr>
        <w:spacing w:after="70" w:line="270"/>
      </w:pPr>
      <w:r>
        <w:rPr>
          <w:rFonts w:ascii="Calibri" w:cs="Calibri" w:eastAsia="Calibri" w:hAnsi="Calibri"/>
          <w:sz w:val="22"/>
          <w:szCs w:val="22"/>
        </w:rPr>
        <w:t xml:space="preserve">Los cambios del esquema de datos se gestionan exclusivamente mediante migraciones versionadas; no se admiten modificaciones manuales sobre la base de datos.</w:t>
      </w:r>
    </w:p>
    <w:p>
      <w:pPr>
        <w:pStyle w:val="ListParagraph"/>
        <w:numPr>
          <w:ilvl w:val="0"/>
          <w:numId w:val="2"/>
        </w:numPr>
        <w:spacing w:after="70" w:line="270"/>
      </w:pPr>
      <w:r>
        <w:rPr>
          <w:rFonts w:ascii="Calibri" w:cs="Calibri" w:eastAsia="Calibri" w:hAnsi="Calibri"/>
          <w:sz w:val="22"/>
          <w:szCs w:val="22"/>
        </w:rPr>
        <w:t xml:space="preserve">La documentación del proyecto se versiona junto con el código, incluidos los archivos fuente de los diagramas UML en formato de texto plano.</w:t>
      </w:r>
    </w:p>
    <w:p>
      <w:pPr>
        <w:pStyle w:val="Heading2"/>
        <w:spacing w:after="160" w:before="260"/>
      </w:pPr>
      <w:r>
        <w:t xml:space="preserve">1.13 Control de cambios</w:t>
      </w:r>
    </w:p>
    <w:p>
      <w:pPr>
        <w:spacing w:after="120" w:line="280"/>
        <w:jc w:val="both"/>
      </w:pPr>
      <w:r>
        <w:rPr>
          <w:rFonts w:ascii="Calibri" w:cs="Calibri" w:eastAsia="Calibri" w:hAnsi="Calibri"/>
          <w:sz w:val="22"/>
          <w:szCs w:val="22"/>
        </w:rPr>
        <w:t xml:space="preserve">Toda solicitud de modificación del alcance comprometido, del cronograma o de los criterios de aceptación se somete al siguiente procedimiento:</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800"/>
        <w:gridCol w:w="6160"/>
        <w:gridCol w:w="2400"/>
      </w:tblGrid>
      <w:tr>
        <w:trPr>
          <w:tblHeader/>
        </w:trPr>
        <w:tc>
          <w:tcPr>
            <w:tcW w:type="dxa" w:w="8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Paso</w:t>
            </w:r>
          </w:p>
        </w:tc>
        <w:tc>
          <w:tcPr>
            <w:tcW w:type="dxa" w:w="61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Actividad</w:t>
            </w:r>
          </w:p>
        </w:tc>
        <w:tc>
          <w:tcPr>
            <w:tcW w:type="dxa" w:w="24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Responsable</w:t>
            </w:r>
          </w:p>
        </w:tc>
      </w:tr>
      <w:tr>
        <w:tc>
          <w:tcPr>
            <w:tcW w:type="dxa" w:w="80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1</w:t>
            </w:r>
          </w:p>
        </w:tc>
        <w:tc>
          <w:tcPr>
            <w:tcW w:type="dxa" w:w="616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Registro de la solicitud, indicando origen, descripción y justificación.</w:t>
            </w:r>
          </w:p>
        </w:tc>
        <w:tc>
          <w:tcPr>
            <w:tcW w:type="dxa" w:w="240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Solicitante</w:t>
            </w:r>
          </w:p>
        </w:tc>
      </w:tr>
      <w:tr>
        <w:tc>
          <w:tcPr>
            <w:tcW w:type="dxa" w:w="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2</w:t>
            </w:r>
          </w:p>
        </w:tc>
        <w:tc>
          <w:tcPr>
            <w:tcW w:type="dxa" w:w="61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Evaluación del impacto en alcance, cronograma, esfuerzo y riesgos.</w:t>
            </w:r>
          </w:p>
        </w:tc>
        <w:tc>
          <w:tcPr>
            <w:tcW w:type="dxa" w:w="24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Equipo</w:t>
            </w:r>
          </w:p>
        </w:tc>
      </w:tr>
      <w:tr>
        <w:tc>
          <w:tcPr>
            <w:tcW w:type="dxa" w:w="80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3</w:t>
            </w:r>
          </w:p>
        </w:tc>
        <w:tc>
          <w:tcPr>
            <w:tcW w:type="dxa" w:w="616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Decisión del equipo en reunión, con acuerdo registrado en acta.</w:t>
            </w:r>
          </w:p>
        </w:tc>
        <w:tc>
          <w:tcPr>
            <w:tcW w:type="dxa" w:w="240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Equipo</w:t>
            </w:r>
          </w:p>
        </w:tc>
      </w:tr>
      <w:tr>
        <w:tc>
          <w:tcPr>
            <w:tcW w:type="dxa" w:w="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4</w:t>
            </w:r>
          </w:p>
        </w:tc>
        <w:tc>
          <w:tcPr>
            <w:tcW w:type="dxa" w:w="61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Cuando la solicitud afecta un hito o un objetivo específico, se requiere el visto bueno del docente guía.</w:t>
            </w:r>
          </w:p>
        </w:tc>
        <w:tc>
          <w:tcPr>
            <w:tcW w:type="dxa" w:w="24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Docente guía</w:t>
            </w:r>
          </w:p>
        </w:tc>
      </w:tr>
      <w:tr>
        <w:tc>
          <w:tcPr>
            <w:tcW w:type="dxa" w:w="80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5</w:t>
            </w:r>
          </w:p>
        </w:tc>
        <w:tc>
          <w:tcPr>
            <w:tcW w:type="dxa" w:w="616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Actualización de los documentos afectados y de su control de versiones.</w:t>
            </w:r>
          </w:p>
        </w:tc>
        <w:tc>
          <w:tcPr>
            <w:tcW w:type="dxa" w:w="240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Responsable del documento</w:t>
            </w:r>
          </w:p>
        </w:tc>
      </w:tr>
      <w:tr>
        <w:tc>
          <w:tcPr>
            <w:tcW w:type="dxa" w:w="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6</w:t>
            </w:r>
          </w:p>
        </w:tc>
        <w:tc>
          <w:tcPr>
            <w:tcW w:type="dxa" w:w="61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Comunicación del cambio a todos los interesados.</w:t>
            </w:r>
          </w:p>
        </w:tc>
        <w:tc>
          <w:tcPr>
            <w:tcW w:type="dxa" w:w="24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Jesús Rojas Gutiérrez</w:t>
            </w:r>
          </w:p>
        </w:tc>
      </w:tr>
    </w:tbl>
    <w:p>
      <w:pPr>
        <w:pStyle w:val="Heading2"/>
        <w:spacing w:after="160" w:before="260"/>
      </w:pPr>
      <w:r>
        <w:t xml:space="preserve">1.14 Criterios de aceptación y cierre del proyecto</w:t>
      </w:r>
    </w:p>
    <w:p>
      <w:pPr>
        <w:spacing w:after="120" w:line="280"/>
        <w:jc w:val="both"/>
      </w:pPr>
      <w:r>
        <w:rPr>
          <w:rFonts w:ascii="Calibri" w:cs="Calibri" w:eastAsia="Calibri" w:hAnsi="Calibri"/>
          <w:sz w:val="22"/>
          <w:szCs w:val="22"/>
        </w:rPr>
        <w:t xml:space="preserve">El proyecto se considerará concluido cuando se verifiquen simultáneamente las siguientes condiciones:</w:t>
      </w:r>
    </w:p>
    <w:p>
      <w:pPr>
        <w:pStyle w:val="ListParagraph"/>
        <w:numPr>
          <w:ilvl w:val="0"/>
          <w:numId w:val="2"/>
        </w:numPr>
        <w:spacing w:after="70" w:line="270"/>
      </w:pPr>
      <w:r>
        <w:rPr>
          <w:rFonts w:ascii="Calibri" w:cs="Calibri" w:eastAsia="Calibri" w:hAnsi="Calibri"/>
          <w:sz w:val="22"/>
          <w:szCs w:val="22"/>
        </w:rPr>
        <w:t xml:space="preserve">La totalidad de los requisitos funcionales de prioridad alta se encuentra implementada y verificada.</w:t>
      </w:r>
    </w:p>
    <w:p>
      <w:pPr>
        <w:pStyle w:val="ListParagraph"/>
        <w:numPr>
          <w:ilvl w:val="0"/>
          <w:numId w:val="2"/>
        </w:numPr>
        <w:spacing w:after="70" w:line="270"/>
      </w:pPr>
      <w:r>
        <w:rPr>
          <w:rFonts w:ascii="Calibri" w:cs="Calibri" w:eastAsia="Calibri" w:hAnsi="Calibri"/>
          <w:sz w:val="22"/>
          <w:szCs w:val="22"/>
        </w:rPr>
        <w:t xml:space="preserve">Los requisitos no funcionales cuentan con evidencia de cumplimiento según el criterio de verificación definido para cada uno.</w:t>
      </w:r>
    </w:p>
    <w:p>
      <w:pPr>
        <w:pStyle w:val="ListParagraph"/>
        <w:numPr>
          <w:ilvl w:val="0"/>
          <w:numId w:val="2"/>
        </w:numPr>
        <w:spacing w:after="70" w:line="270"/>
      </w:pPr>
      <w:r>
        <w:rPr>
          <w:rFonts w:ascii="Calibri" w:cs="Calibri" w:eastAsia="Calibri" w:hAnsi="Calibri"/>
          <w:sz w:val="22"/>
          <w:szCs w:val="22"/>
        </w:rPr>
        <w:t xml:space="preserve">La plataforma está desplegada y accesible públicamente, con al menos diez publicaciones de demostración, de las cuales un mínimo de cinco cuenta con modelo tridimensional.</w:t>
      </w:r>
    </w:p>
    <w:p>
      <w:pPr>
        <w:pStyle w:val="ListParagraph"/>
        <w:numPr>
          <w:ilvl w:val="0"/>
          <w:numId w:val="2"/>
        </w:numPr>
        <w:spacing w:after="70" w:line="270"/>
      </w:pPr>
      <w:r>
        <w:rPr>
          <w:rFonts w:ascii="Calibri" w:cs="Calibri" w:eastAsia="Calibri" w:hAnsi="Calibri"/>
          <w:sz w:val="22"/>
          <w:szCs w:val="22"/>
        </w:rPr>
        <w:t xml:space="preserve">La documentación técnica y de gestión exigida por el Portafolio de Título ha sido entregada y aprobada.</w:t>
      </w:r>
    </w:p>
    <w:p>
      <w:pPr>
        <w:pStyle w:val="ListParagraph"/>
        <w:numPr>
          <w:ilvl w:val="0"/>
          <w:numId w:val="2"/>
        </w:numPr>
        <w:spacing w:after="70" w:line="270"/>
      </w:pPr>
      <w:r>
        <w:rPr>
          <w:rFonts w:ascii="Calibri" w:cs="Calibri" w:eastAsia="Calibri" w:hAnsi="Calibri"/>
          <w:sz w:val="22"/>
          <w:szCs w:val="22"/>
        </w:rPr>
        <w:t xml:space="preserve">Los informes de pruebas de rendimiento, seguridad y usabilidad han sido emitidos.</w:t>
      </w:r>
    </w:p>
    <w:p>
      <w:pPr>
        <w:pStyle w:val="ListParagraph"/>
        <w:numPr>
          <w:ilvl w:val="0"/>
          <w:numId w:val="2"/>
        </w:numPr>
        <w:spacing w:after="70" w:line="270"/>
      </w:pPr>
      <w:r>
        <w:rPr>
          <w:rFonts w:ascii="Calibri" w:cs="Calibri" w:eastAsia="Calibri" w:hAnsi="Calibri"/>
          <w:sz w:val="22"/>
          <w:szCs w:val="22"/>
        </w:rPr>
        <w:t xml:space="preserve">El repositorio se encuentra ordenado, documentado y etiquetado en su versión final.</w:t>
      </w:r>
    </w:p>
    <w:p>
      <w:pPr>
        <w:pStyle w:val="ListParagraph"/>
        <w:numPr>
          <w:ilvl w:val="0"/>
          <w:numId w:val="2"/>
        </w:numPr>
        <w:spacing w:after="70" w:line="270"/>
      </w:pPr>
      <w:r>
        <w:rPr>
          <w:rFonts w:ascii="Calibri" w:cs="Calibri" w:eastAsia="Calibri" w:hAnsi="Calibri"/>
          <w:sz w:val="22"/>
          <w:szCs w:val="22"/>
        </w:rPr>
        <w:t xml:space="preserve">El equipo ha realizado la defensa del proyecto ante la comisión evaluadora.</w:t>
      </w:r>
    </w:p>
    <w:p>
      <w:r>
        <w:br w:type="page"/>
      </w:r>
    </w:p>
    <w:p>
      <w:pPr>
        <w:pStyle w:val="Heading1"/>
        <w:spacing w:after="200" w:before="320"/>
      </w:pPr>
      <w:r>
        <w:t xml:space="preserve">2. Documentación de stakeholders</w:t>
      </w:r>
    </w:p>
    <w:p>
      <w:pPr>
        <w:spacing w:after="120" w:line="280"/>
        <w:jc w:val="both"/>
      </w:pPr>
      <w:r>
        <w:rPr>
          <w:rFonts w:ascii="Calibri" w:cs="Calibri" w:eastAsia="Calibri" w:hAnsi="Calibri"/>
          <w:sz w:val="22"/>
          <w:szCs w:val="22"/>
        </w:rPr>
        <w:t xml:space="preserve">La identificación temprana de los interesados y la comprensión de sus expectativas resulta determinante en un proyecto académico, donde conviven un cliente evaluador —la institución— y usuarios finales cuyo comportamiento condiciona el éxito real del producto. Este capítulo registra a los interesados, evalúa su influencia, define la estrategia de relacionamiento con cada uno y establece el plan de comunicaciones del proyecto.</w:t>
      </w:r>
    </w:p>
    <w:p>
      <w:pPr>
        <w:pStyle w:val="Heading2"/>
        <w:spacing w:after="160" w:before="260"/>
      </w:pPr>
      <w:r>
        <w:t xml:space="preserve">2.1 Registro de interesados</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750"/>
        <w:gridCol w:w="2400"/>
        <w:gridCol w:w="1000"/>
        <w:gridCol w:w="3300"/>
        <w:gridCol w:w="1910"/>
      </w:tblGrid>
      <w:tr>
        <w:trPr>
          <w:tblHeader/>
        </w:trPr>
        <w:tc>
          <w:tcPr>
            <w:tcW w:type="dxa" w:w="75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ID</w:t>
            </w:r>
          </w:p>
        </w:tc>
        <w:tc>
          <w:tcPr>
            <w:tcW w:type="dxa" w:w="24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Interesado</w:t>
            </w:r>
          </w:p>
        </w:tc>
        <w:tc>
          <w:tcPr>
            <w:tcW w:type="dxa" w:w="10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Tipo</w:t>
            </w:r>
          </w:p>
        </w:tc>
        <w:tc>
          <w:tcPr>
            <w:tcW w:type="dxa" w:w="33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Rol e interés en el proyecto</w:t>
            </w:r>
          </w:p>
        </w:tc>
        <w:tc>
          <w:tcPr>
            <w:tcW w:type="dxa" w:w="191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Expectativa principal</w:t>
            </w:r>
          </w:p>
        </w:tc>
      </w:tr>
      <w:tr>
        <w:tc>
          <w:tcPr>
            <w:tcW w:type="dxa" w:w="75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ST-01</w:t>
            </w:r>
          </w:p>
        </w:tc>
        <w:tc>
          <w:tcPr>
            <w:tcW w:type="dxa" w:w="24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Jesús Rojas Gutiérrez</w:t>
            </w:r>
          </w:p>
        </w:tc>
        <w:tc>
          <w:tcPr>
            <w:tcW w:type="dxa" w:w="10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Interno</w:t>
            </w:r>
          </w:p>
        </w:tc>
        <w:tc>
          <w:tcPr>
            <w:tcW w:type="dxa" w:w="33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Desarrollo backend y worker de reconstrucción 3D. Coordina el cronograma y la infraestructura de despliegue.</w:t>
            </w:r>
          </w:p>
        </w:tc>
        <w:tc>
          <w:tcPr>
            <w:tcW w:type="dxa" w:w="191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Entregar una solución técnicamente sólida dentro del plazo y del presupuesto comprometidos.</w:t>
            </w:r>
          </w:p>
        </w:tc>
      </w:tr>
      <w:tr>
        <w:tc>
          <w:tcPr>
            <w:tcW w:type="dxa" w:w="75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ST-02</w:t>
            </w:r>
          </w:p>
        </w:tc>
        <w:tc>
          <w:tcPr>
            <w:tcW w:type="dxa" w:w="24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Lorna Zúñiga Aguilera</w:t>
            </w:r>
          </w:p>
        </w:tc>
        <w:tc>
          <w:tcPr>
            <w:tcW w:type="dxa" w:w="10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Interno</w:t>
            </w:r>
          </w:p>
        </w:tc>
        <w:tc>
          <w:tcPr>
            <w:tcW w:type="dxa" w:w="3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Desarrolladora frontend, responsable de experiencia de usuario y de pruebas de usabilidad.</w:t>
            </w:r>
          </w:p>
        </w:tc>
        <w:tc>
          <w:tcPr>
            <w:tcW w:type="dxa" w:w="191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Que el producto resulte comprensible y usable para vendedores sin formación técnica.</w:t>
            </w:r>
          </w:p>
        </w:tc>
      </w:tr>
      <w:tr>
        <w:tc>
          <w:tcPr>
            <w:tcW w:type="dxa" w:w="75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ST-03</w:t>
            </w:r>
          </w:p>
        </w:tc>
        <w:tc>
          <w:tcPr>
            <w:tcW w:type="dxa" w:w="24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Aldo Espinoza Daza</w:t>
            </w:r>
          </w:p>
        </w:tc>
        <w:tc>
          <w:tcPr>
            <w:tcW w:type="dxa" w:w="10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Interno</w:t>
            </w:r>
          </w:p>
        </w:tc>
        <w:tc>
          <w:tcPr>
            <w:tcW w:type="dxa" w:w="33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Base de datos e integración, responsable de calidad y de la estrategia de pruebas.</w:t>
            </w:r>
          </w:p>
        </w:tc>
        <w:tc>
          <w:tcPr>
            <w:tcW w:type="dxa" w:w="191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Que la solución sea segura, mantenible y respaldada por pruebas automatizadas.</w:t>
            </w:r>
          </w:p>
        </w:tc>
      </w:tr>
      <w:tr>
        <w:tc>
          <w:tcPr>
            <w:tcW w:type="dxa" w:w="75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ST-04</w:t>
            </w:r>
          </w:p>
        </w:tc>
        <w:tc>
          <w:tcPr>
            <w:tcW w:type="dxa" w:w="24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Luís Bravo (docente guía)</w:t>
            </w:r>
          </w:p>
        </w:tc>
        <w:tc>
          <w:tcPr>
            <w:tcW w:type="dxa" w:w="10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Interno</w:t>
            </w:r>
          </w:p>
        </w:tc>
        <w:tc>
          <w:tcPr>
            <w:tcW w:type="dxa" w:w="3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Orienta el desarrollo, revisa los entregables y valida el cumplimiento de los estándares académicos.</w:t>
            </w:r>
          </w:p>
        </w:tc>
        <w:tc>
          <w:tcPr>
            <w:tcW w:type="dxa" w:w="191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Rigor metodológico, evidencia documental y avance sostenido conforme al calendario.</w:t>
            </w:r>
          </w:p>
        </w:tc>
      </w:tr>
      <w:tr>
        <w:tc>
          <w:tcPr>
            <w:tcW w:type="dxa" w:w="75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ST-05</w:t>
            </w:r>
          </w:p>
        </w:tc>
        <w:tc>
          <w:tcPr>
            <w:tcW w:type="dxa" w:w="24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Comisión evaluadora</w:t>
            </w:r>
          </w:p>
        </w:tc>
        <w:tc>
          <w:tcPr>
            <w:tcW w:type="dxa" w:w="10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Interno</w:t>
            </w:r>
          </w:p>
        </w:tc>
        <w:tc>
          <w:tcPr>
            <w:tcW w:type="dxa" w:w="33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Evalúa la defensa final y califica el proyecto de título.</w:t>
            </w:r>
          </w:p>
        </w:tc>
        <w:tc>
          <w:tcPr>
            <w:tcW w:type="dxa" w:w="191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Coherencia entre el problema planteado, la solución construida y los resultados demostrados.</w:t>
            </w:r>
          </w:p>
        </w:tc>
      </w:tr>
      <w:tr>
        <w:tc>
          <w:tcPr>
            <w:tcW w:type="dxa" w:w="75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ST-06</w:t>
            </w:r>
          </w:p>
        </w:tc>
        <w:tc>
          <w:tcPr>
            <w:tcW w:type="dxa" w:w="24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Coordinación de titulación DUOC UC</w:t>
            </w:r>
          </w:p>
        </w:tc>
        <w:tc>
          <w:tcPr>
            <w:tcW w:type="dxa" w:w="10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Interno</w:t>
            </w:r>
          </w:p>
        </w:tc>
        <w:tc>
          <w:tcPr>
            <w:tcW w:type="dxa" w:w="3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Administra el calendario, la rúbrica y los requisitos formales del Portafolio de Título.</w:t>
            </w:r>
          </w:p>
        </w:tc>
        <w:tc>
          <w:tcPr>
            <w:tcW w:type="dxa" w:w="191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Cumplimiento de plazos y formatos institucionales.</w:t>
            </w:r>
          </w:p>
        </w:tc>
      </w:tr>
      <w:tr>
        <w:tc>
          <w:tcPr>
            <w:tcW w:type="dxa" w:w="75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ST-07</w:t>
            </w:r>
          </w:p>
        </w:tc>
        <w:tc>
          <w:tcPr>
            <w:tcW w:type="dxa" w:w="24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Vendedores particulares</w:t>
            </w:r>
          </w:p>
        </w:tc>
        <w:tc>
          <w:tcPr>
            <w:tcW w:type="dxa" w:w="10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Externo</w:t>
            </w:r>
          </w:p>
        </w:tc>
        <w:tc>
          <w:tcPr>
            <w:tcW w:type="dxa" w:w="33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Usuarios que publican sus vehículos y realizan la captura del material.</w:t>
            </w:r>
          </w:p>
        </w:tc>
        <w:tc>
          <w:tcPr>
            <w:tcW w:type="dxa" w:w="191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Publicar con rapidez y obtener mayor visibilidad que en plataformas tradicionales.</w:t>
            </w:r>
          </w:p>
        </w:tc>
      </w:tr>
      <w:tr>
        <w:tc>
          <w:tcPr>
            <w:tcW w:type="dxa" w:w="75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ST-08</w:t>
            </w:r>
          </w:p>
        </w:tc>
        <w:tc>
          <w:tcPr>
            <w:tcW w:type="dxa" w:w="24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Compradores de vehículos usados</w:t>
            </w:r>
          </w:p>
        </w:tc>
        <w:tc>
          <w:tcPr>
            <w:tcW w:type="dxa" w:w="10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Externo</w:t>
            </w:r>
          </w:p>
        </w:tc>
        <w:tc>
          <w:tcPr>
            <w:tcW w:type="dxa" w:w="3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Usuarios que exploran el catálogo y contactan vendedores.</w:t>
            </w:r>
          </w:p>
        </w:tc>
        <w:tc>
          <w:tcPr>
            <w:tcW w:type="dxa" w:w="191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Evaluar con confianza el estado real del vehículo sin desplazarse.</w:t>
            </w:r>
          </w:p>
        </w:tc>
      </w:tr>
      <w:tr>
        <w:tc>
          <w:tcPr>
            <w:tcW w:type="dxa" w:w="75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ST-09</w:t>
            </w:r>
          </w:p>
        </w:tc>
        <w:tc>
          <w:tcPr>
            <w:tcW w:type="dxa" w:w="24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Usuarios de las pruebas de usabilidad</w:t>
            </w:r>
          </w:p>
        </w:tc>
        <w:tc>
          <w:tcPr>
            <w:tcW w:type="dxa" w:w="10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Externo</w:t>
            </w:r>
          </w:p>
        </w:tc>
        <w:tc>
          <w:tcPr>
            <w:tcW w:type="dxa" w:w="33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Participantes de las sesiones de validación del Incremento 5.</w:t>
            </w:r>
          </w:p>
        </w:tc>
        <w:tc>
          <w:tcPr>
            <w:tcW w:type="dxa" w:w="191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Que su retroalimentación se traduzca en mejoras concretas de la interfaz.</w:t>
            </w:r>
          </w:p>
        </w:tc>
      </w:tr>
      <w:tr>
        <w:tc>
          <w:tcPr>
            <w:tcW w:type="dxa" w:w="75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ST-10</w:t>
            </w:r>
          </w:p>
        </w:tc>
        <w:tc>
          <w:tcPr>
            <w:tcW w:type="dxa" w:w="24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Proveedores de infraestructura</w:t>
            </w:r>
          </w:p>
        </w:tc>
        <w:tc>
          <w:tcPr>
            <w:tcW w:type="dxa" w:w="10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Externo</w:t>
            </w:r>
          </w:p>
        </w:tc>
        <w:tc>
          <w:tcPr>
            <w:tcW w:type="dxa" w:w="3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Servicios de alojamiento, base de datos, imágenes y cómputo sobre GPU.</w:t>
            </w:r>
          </w:p>
        </w:tc>
        <w:tc>
          <w:tcPr>
            <w:tcW w:type="dxa" w:w="191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Uso dentro de los límites y las condiciones de sus planes de servicio.</w:t>
            </w:r>
          </w:p>
        </w:tc>
      </w:tr>
      <w:tr>
        <w:tc>
          <w:tcPr>
            <w:tcW w:type="dxa" w:w="75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ST-11</w:t>
            </w:r>
          </w:p>
        </w:tc>
        <w:tc>
          <w:tcPr>
            <w:tcW w:type="dxa" w:w="24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Comunidad de código abierto</w:t>
            </w:r>
          </w:p>
        </w:tc>
        <w:tc>
          <w:tcPr>
            <w:tcW w:type="dxa" w:w="10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Externo</w:t>
            </w:r>
          </w:p>
        </w:tc>
        <w:tc>
          <w:tcPr>
            <w:tcW w:type="dxa" w:w="33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Mantenedores de las bibliotecas de reconstrucción y renderizado empleadas.</w:t>
            </w:r>
          </w:p>
        </w:tc>
        <w:tc>
          <w:tcPr>
            <w:tcW w:type="dxa" w:w="191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Uso conforme a licencia y atribución correspondiente.</w:t>
            </w:r>
          </w:p>
        </w:tc>
      </w:tr>
      <w:tr>
        <w:tc>
          <w:tcPr>
            <w:tcW w:type="dxa" w:w="75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ST-12</w:t>
            </w:r>
          </w:p>
        </w:tc>
        <w:tc>
          <w:tcPr>
            <w:tcW w:type="dxa" w:w="24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Automotoras y plataformas existentes</w:t>
            </w:r>
          </w:p>
        </w:tc>
        <w:tc>
          <w:tcPr>
            <w:tcW w:type="dxa" w:w="10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Externo</w:t>
            </w:r>
          </w:p>
        </w:tc>
        <w:tc>
          <w:tcPr>
            <w:tcW w:type="dxa" w:w="3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Actores del mercado que podrían verse afectados por la propuesta.</w:t>
            </w:r>
          </w:p>
        </w:tc>
        <w:tc>
          <w:tcPr>
            <w:tcW w:type="dxa" w:w="191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No aplica un compromiso directo; se monitorean como referencia competitiva.</w:t>
            </w:r>
          </w:p>
        </w:tc>
      </w:tr>
    </w:tbl>
    <w:p>
      <w:r>
        <w:br w:type="page"/>
      </w:r>
    </w:p>
    <w:p>
      <w:pPr>
        <w:pStyle w:val="Heading2"/>
        <w:spacing w:after="160" w:before="260"/>
      </w:pPr>
      <w:r>
        <w:t xml:space="preserve">2.2 Matriz de poder e interés</w:t>
      </w:r>
    </w:p>
    <w:p>
      <w:pPr>
        <w:spacing w:after="120" w:line="280"/>
        <w:jc w:val="both"/>
      </w:pPr>
      <w:r>
        <w:rPr>
          <w:rFonts w:ascii="Calibri" w:cs="Calibri" w:eastAsia="Calibri" w:hAnsi="Calibri"/>
          <w:sz w:val="22"/>
          <w:szCs w:val="22"/>
        </w:rPr>
        <w:t xml:space="preserve">Cada interesado se clasifica según su capacidad de influir en el resultado del proyecto y su nivel de interés en él. La clasificación determina la estrategia de relacionamiento aplicable.</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2800"/>
        <w:gridCol w:w="4060"/>
        <w:gridCol w:w="2500"/>
      </w:tblGrid>
      <w:tr>
        <w:trPr>
          <w:tblHeader/>
        </w:trPr>
        <w:tc>
          <w:tcPr>
            <w:tcW w:type="dxa" w:w="28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Cuadrante</w:t>
            </w:r>
          </w:p>
        </w:tc>
        <w:tc>
          <w:tcPr>
            <w:tcW w:type="dxa" w:w="40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Estrategia</w:t>
            </w:r>
          </w:p>
        </w:tc>
        <w:tc>
          <w:tcPr>
            <w:tcW w:type="dxa" w:w="25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Interesados</w:t>
            </w:r>
          </w:p>
        </w:tc>
      </w:tr>
      <w:tr>
        <w:tc>
          <w:tcPr>
            <w:tcW w:type="dxa" w:w="28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Alto poder / Alto interés</w:t>
            </w:r>
          </w:p>
        </w:tc>
        <w:tc>
          <w:tcPr>
            <w:tcW w:type="dxa" w:w="406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Gestionar de cerca. Participación activa, información detallada y validación de decisiones relevantes.</w:t>
            </w:r>
          </w:p>
        </w:tc>
        <w:tc>
          <w:tcPr>
            <w:tcW w:type="dxa" w:w="25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ST-01, ST-02, ST-03, ST-04</w:t>
            </w:r>
          </w:p>
        </w:tc>
      </w:tr>
      <w:tr>
        <w:tc>
          <w:tcPr>
            <w:tcW w:type="dxa" w:w="2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Alto poder / Bajo interés</w:t>
            </w:r>
          </w:p>
        </w:tc>
        <w:tc>
          <w:tcPr>
            <w:tcW w:type="dxa" w:w="40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Mantener satisfechos. Información sintética, oportuna y ajustada a los formatos institucionales.</w:t>
            </w:r>
          </w:p>
        </w:tc>
        <w:tc>
          <w:tcPr>
            <w:tcW w:type="dxa" w:w="25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ST-05, ST-06, ST-10</w:t>
            </w:r>
          </w:p>
        </w:tc>
      </w:tr>
      <w:tr>
        <w:tc>
          <w:tcPr>
            <w:tcW w:type="dxa" w:w="28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Bajo poder / Alto interés</w:t>
            </w:r>
          </w:p>
        </w:tc>
        <w:tc>
          <w:tcPr>
            <w:tcW w:type="dxa" w:w="406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Mantener informados. Comunicación de avances y consulta en instancias de validación.</w:t>
            </w:r>
          </w:p>
        </w:tc>
        <w:tc>
          <w:tcPr>
            <w:tcW w:type="dxa" w:w="2500"/>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ST-07, ST-08, ST-09</w:t>
            </w:r>
          </w:p>
        </w:tc>
      </w:tr>
      <w:tr>
        <w:tc>
          <w:tcPr>
            <w:tcW w:type="dxa" w:w="2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Bajo poder / Bajo interés</w:t>
            </w:r>
          </w:p>
        </w:tc>
        <w:tc>
          <w:tcPr>
            <w:tcW w:type="dxa" w:w="40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Monitorear. Seguimiento periódico sin comunicación dirigida.</w:t>
            </w:r>
          </w:p>
        </w:tc>
        <w:tc>
          <w:tcPr>
            <w:tcW w:type="dxa" w:w="25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8"/>
                <w:szCs w:val="18"/>
              </w:rPr>
              <w:t xml:space="preserve">ST-11, ST-12</w:t>
            </w:r>
          </w:p>
        </w:tc>
      </w:tr>
    </w:tbl>
    <w:p>
      <w:pPr>
        <w:pStyle w:val="Heading2"/>
        <w:spacing w:after="160" w:before="260"/>
      </w:pPr>
      <w:r>
        <w:t xml:space="preserve">2.3 Estrategias de relacionamiento</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2100"/>
        <w:gridCol w:w="2600"/>
        <w:gridCol w:w="2800"/>
        <w:gridCol w:w="1860"/>
      </w:tblGrid>
      <w:tr>
        <w:trPr>
          <w:tblHeader/>
        </w:trPr>
        <w:tc>
          <w:tcPr>
            <w:tcW w:type="dxa" w:w="21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Interesado</w:t>
            </w:r>
          </w:p>
        </w:tc>
        <w:tc>
          <w:tcPr>
            <w:tcW w:type="dxa" w:w="26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Necesidad de información</w:t>
            </w:r>
          </w:p>
        </w:tc>
        <w:tc>
          <w:tcPr>
            <w:tcW w:type="dxa" w:w="28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Estrategia adoptada</w:t>
            </w:r>
          </w:p>
        </w:tc>
        <w:tc>
          <w:tcPr>
            <w:tcW w:type="dxa" w:w="18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Riesgo asociado si no se atiende</w:t>
            </w:r>
          </w:p>
        </w:tc>
      </w:tr>
      <w:tr>
        <w:tc>
          <w:tcPr>
            <w:tcW w:type="dxa" w:w="21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Docente guía (ST-04)</w:t>
            </w:r>
          </w:p>
        </w:tc>
        <w:tc>
          <w:tcPr>
            <w:tcW w:type="dxa" w:w="26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Avance real, decisiones técnicas relevantes y desviaciones respecto del plan.</w:t>
            </w:r>
          </w:p>
        </w:tc>
        <w:tc>
          <w:tcPr>
            <w:tcW w:type="dxa" w:w="28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Reunión de seguimiento quincenal y envío del estado de avance con anticipación de 48 horas.</w:t>
            </w:r>
          </w:p>
        </w:tc>
        <w:tc>
          <w:tcPr>
            <w:tcW w:type="dxa" w:w="186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Detección tardía de desviaciones y pérdida de la oportunidad de corregir el rumbo.</w:t>
            </w:r>
          </w:p>
        </w:tc>
      </w:tr>
      <w:tr>
        <w:tc>
          <w:tcPr>
            <w:tcW w:type="dxa" w:w="21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Comisión evaluadora (ST-05)</w:t>
            </w:r>
          </w:p>
        </w:tc>
        <w:tc>
          <w:tcPr>
            <w:tcW w:type="dxa" w:w="26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Coherencia y trazabilidad entre el problema, la solución y los resultados obtenidos.</w:t>
            </w:r>
          </w:p>
        </w:tc>
        <w:tc>
          <w:tcPr>
            <w:tcW w:type="dxa" w:w="2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Documentación con trazabilidad explícita y demostración funcional preparada con anticipación.</w:t>
            </w:r>
          </w:p>
        </w:tc>
        <w:tc>
          <w:tcPr>
            <w:tcW w:type="dxa" w:w="18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Evaluación desfavorable pese a un desarrollo técnicamente correcto.</w:t>
            </w:r>
          </w:p>
        </w:tc>
      </w:tr>
      <w:tr>
        <w:tc>
          <w:tcPr>
            <w:tcW w:type="dxa" w:w="21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Vendedores (ST-07)</w:t>
            </w:r>
          </w:p>
        </w:tc>
        <w:tc>
          <w:tcPr>
            <w:tcW w:type="dxa" w:w="26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Instrucciones claras de captura y visibilidad del estado del procesamiento.</w:t>
            </w:r>
          </w:p>
        </w:tc>
        <w:tc>
          <w:tcPr>
            <w:tcW w:type="dxa" w:w="28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Guía visual dentro de la aplicación, validación temprana del material y notificaciones de estado.</w:t>
            </w:r>
          </w:p>
        </w:tc>
        <w:tc>
          <w:tcPr>
            <w:tcW w:type="dxa" w:w="186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Abandono del proceso de publicación y baja adopción de la funcionalidad diferenciadora.</w:t>
            </w:r>
          </w:p>
        </w:tc>
      </w:tr>
      <w:tr>
        <w:tc>
          <w:tcPr>
            <w:tcW w:type="dxa" w:w="21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Compradores (ST-08)</w:t>
            </w:r>
          </w:p>
        </w:tc>
        <w:tc>
          <w:tcPr>
            <w:tcW w:type="dxa" w:w="26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Información fidedigna del vehículo y una experiencia de navegación fluida.</w:t>
            </w:r>
          </w:p>
        </w:tc>
        <w:tc>
          <w:tcPr>
            <w:tcW w:type="dxa" w:w="2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Ficha completa, visor tridimensional con degradación controlada y sistema de reportes.</w:t>
            </w:r>
          </w:p>
        </w:tc>
        <w:tc>
          <w:tcPr>
            <w:tcW w:type="dxa" w:w="18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Pérdida de confianza en la plataforma y en la calidad de sus publicaciones.</w:t>
            </w:r>
          </w:p>
        </w:tc>
      </w:tr>
      <w:tr>
        <w:tc>
          <w:tcPr>
            <w:tcW w:type="dxa" w:w="21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Participantes de pruebas (ST-09)</w:t>
            </w:r>
          </w:p>
        </w:tc>
        <w:tc>
          <w:tcPr>
            <w:tcW w:type="dxa" w:w="26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Claridad sobre el propósito de la sesión y sobre el uso de sus observaciones.</w:t>
            </w:r>
          </w:p>
        </w:tc>
        <w:tc>
          <w:tcPr>
            <w:tcW w:type="dxa" w:w="28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Protocolo de sesión documentado y devolución de los resultados agregados.</w:t>
            </w:r>
          </w:p>
        </w:tc>
        <w:tc>
          <w:tcPr>
            <w:tcW w:type="dxa" w:w="186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Retroalimentación superficial y de escaso valor para el rediseño.</w:t>
            </w:r>
          </w:p>
        </w:tc>
      </w:tr>
      <w:tr>
        <w:tc>
          <w:tcPr>
            <w:tcW w:type="dxa" w:w="21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Proveedores (ST-10)</w:t>
            </w:r>
          </w:p>
        </w:tc>
        <w:tc>
          <w:tcPr>
            <w:tcW w:type="dxa" w:w="26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Uso dentro de los límites establecidos en sus condiciones de servicio.</w:t>
            </w:r>
          </w:p>
        </w:tc>
        <w:tc>
          <w:tcPr>
            <w:tcW w:type="dxa" w:w="2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Monitoreo semanal del consumo y alertas al alcanzar el 70 % de cada límite.</w:t>
            </w:r>
          </w:p>
        </w:tc>
        <w:tc>
          <w:tcPr>
            <w:tcW w:type="dxa" w:w="18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Suspensión del servicio durante un hito de evaluación.</w:t>
            </w:r>
          </w:p>
        </w:tc>
      </w:tr>
    </w:tbl>
    <w:p>
      <w:r>
        <w:br w:type="page"/>
      </w:r>
    </w:p>
    <w:p>
      <w:pPr>
        <w:pStyle w:val="Heading2"/>
        <w:spacing w:after="160" w:before="260"/>
      </w:pPr>
      <w:r>
        <w:t xml:space="preserve">2.4 Plan de comunicaciones</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1700"/>
        <w:gridCol w:w="1450"/>
        <w:gridCol w:w="2350"/>
        <w:gridCol w:w="1400"/>
        <w:gridCol w:w="1300"/>
        <w:gridCol w:w="1160"/>
      </w:tblGrid>
      <w:tr>
        <w:trPr>
          <w:tblHeader/>
        </w:trPr>
        <w:tc>
          <w:tcPr>
            <w:tcW w:type="dxa" w:w="17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Comunicación</w:t>
            </w:r>
          </w:p>
        </w:tc>
        <w:tc>
          <w:tcPr>
            <w:tcW w:type="dxa" w:w="145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Destinatario</w:t>
            </w:r>
          </w:p>
        </w:tc>
        <w:tc>
          <w:tcPr>
            <w:tcW w:type="dxa" w:w="235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Contenido</w:t>
            </w:r>
          </w:p>
        </w:tc>
        <w:tc>
          <w:tcPr>
            <w:tcW w:type="dxa" w:w="14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Frecuencia</w:t>
            </w:r>
          </w:p>
        </w:tc>
        <w:tc>
          <w:tcPr>
            <w:tcW w:type="dxa" w:w="13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Medio</w:t>
            </w:r>
          </w:p>
        </w:tc>
        <w:tc>
          <w:tcPr>
            <w:tcW w:type="dxa" w:w="11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Responsable</w:t>
            </w:r>
          </w:p>
        </w:tc>
      </w:tr>
      <w:tr>
        <w:tc>
          <w:tcPr>
            <w:tcW w:type="dxa" w:w="17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Reunión de coordinación</w:t>
            </w:r>
          </w:p>
        </w:tc>
        <w:tc>
          <w:tcPr>
            <w:tcW w:type="dxa" w:w="145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Equipo</w:t>
            </w:r>
          </w:p>
        </w:tc>
        <w:tc>
          <w:tcPr>
            <w:tcW w:type="dxa" w:w="235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Avance, impedimentos, redistribución de tareas y revisión del registro de riesgos.</w:t>
            </w:r>
          </w:p>
        </w:tc>
        <w:tc>
          <w:tcPr>
            <w:tcW w:type="dxa" w:w="14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Semanal (miércoles, 19:00)</w:t>
            </w:r>
          </w:p>
        </w:tc>
        <w:tc>
          <w:tcPr>
            <w:tcW w:type="dxa" w:w="13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Videollamada</w:t>
            </w:r>
          </w:p>
        </w:tc>
        <w:tc>
          <w:tcPr>
            <w:tcW w:type="dxa" w:w="116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J. Rojas</w:t>
            </w:r>
          </w:p>
        </w:tc>
      </w:tr>
      <w:tr>
        <w:tc>
          <w:tcPr>
            <w:tcW w:type="dxa" w:w="17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Acta de reunión</w:t>
            </w:r>
          </w:p>
        </w:tc>
        <w:tc>
          <w:tcPr>
            <w:tcW w:type="dxa" w:w="145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Equipo y docente guía</w:t>
            </w:r>
          </w:p>
        </w:tc>
        <w:tc>
          <w:tcPr>
            <w:tcW w:type="dxa" w:w="235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Acuerdos, responsables y plazos comprometidos.</w:t>
            </w:r>
          </w:p>
        </w:tc>
        <w:tc>
          <w:tcPr>
            <w:tcW w:type="dxa" w:w="14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Tras cada reunión</w:t>
            </w:r>
          </w:p>
        </w:tc>
        <w:tc>
          <w:tcPr>
            <w:tcW w:type="dxa" w:w="1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Documento en el repositorio</w:t>
            </w:r>
          </w:p>
        </w:tc>
        <w:tc>
          <w:tcPr>
            <w:tcW w:type="dxa" w:w="11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Secretario rotativo</w:t>
            </w:r>
          </w:p>
        </w:tc>
      </w:tr>
      <w:tr>
        <w:tc>
          <w:tcPr>
            <w:tcW w:type="dxa" w:w="17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Estado de avance</w:t>
            </w:r>
          </w:p>
        </w:tc>
        <w:tc>
          <w:tcPr>
            <w:tcW w:type="dxa" w:w="145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Docente guía</w:t>
            </w:r>
          </w:p>
        </w:tc>
        <w:tc>
          <w:tcPr>
            <w:tcW w:type="dxa" w:w="235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Porcentaje de avance, desviaciones, riesgos activos y próximos pasos.</w:t>
            </w:r>
          </w:p>
        </w:tc>
        <w:tc>
          <w:tcPr>
            <w:tcW w:type="dxa" w:w="14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Semanal en Fase 1; quincenal desde Fase 2</w:t>
            </w:r>
          </w:p>
        </w:tc>
        <w:tc>
          <w:tcPr>
            <w:tcW w:type="dxa" w:w="13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Documento formal</w:t>
            </w:r>
          </w:p>
        </w:tc>
        <w:tc>
          <w:tcPr>
            <w:tcW w:type="dxa" w:w="116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J. Rojas</w:t>
            </w:r>
          </w:p>
        </w:tc>
      </w:tr>
      <w:tr>
        <w:tc>
          <w:tcPr>
            <w:tcW w:type="dxa" w:w="17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Reunión de seguimiento académico</w:t>
            </w:r>
          </w:p>
        </w:tc>
        <w:tc>
          <w:tcPr>
            <w:tcW w:type="dxa" w:w="145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Docente guía</w:t>
            </w:r>
          </w:p>
        </w:tc>
        <w:tc>
          <w:tcPr>
            <w:tcW w:type="dxa" w:w="235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Revisión de entregables y retroalimentación.</w:t>
            </w:r>
          </w:p>
        </w:tc>
        <w:tc>
          <w:tcPr>
            <w:tcW w:type="dxa" w:w="14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Quincenal</w:t>
            </w:r>
          </w:p>
        </w:tc>
        <w:tc>
          <w:tcPr>
            <w:tcW w:type="dxa" w:w="1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Presencial o videollamada</w:t>
            </w:r>
          </w:p>
        </w:tc>
        <w:tc>
          <w:tcPr>
            <w:tcW w:type="dxa" w:w="11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J. Rojas</w:t>
            </w:r>
          </w:p>
        </w:tc>
      </w:tr>
      <w:tr>
        <w:tc>
          <w:tcPr>
            <w:tcW w:type="dxa" w:w="17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Informe de incremento</w:t>
            </w:r>
          </w:p>
        </w:tc>
        <w:tc>
          <w:tcPr>
            <w:tcW w:type="dxa" w:w="145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Docente guía y equipo</w:t>
            </w:r>
          </w:p>
        </w:tc>
        <w:tc>
          <w:tcPr>
            <w:tcW w:type="dxa" w:w="235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Funcionalidad entregada, resultados de pruebas y lecciones aprendidas.</w:t>
            </w:r>
          </w:p>
        </w:tc>
        <w:tc>
          <w:tcPr>
            <w:tcW w:type="dxa" w:w="14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Al cierre de cada incremento</w:t>
            </w:r>
          </w:p>
        </w:tc>
        <w:tc>
          <w:tcPr>
            <w:tcW w:type="dxa" w:w="13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Documento formal</w:t>
            </w:r>
          </w:p>
        </w:tc>
        <w:tc>
          <w:tcPr>
            <w:tcW w:type="dxa" w:w="116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Responsable del incremento</w:t>
            </w:r>
          </w:p>
        </w:tc>
      </w:tr>
      <w:tr>
        <w:tc>
          <w:tcPr>
            <w:tcW w:type="dxa" w:w="17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Coordinación operativa diaria</w:t>
            </w:r>
          </w:p>
        </w:tc>
        <w:tc>
          <w:tcPr>
            <w:tcW w:type="dxa" w:w="145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Equipo</w:t>
            </w:r>
          </w:p>
        </w:tc>
        <w:tc>
          <w:tcPr>
            <w:tcW w:type="dxa" w:w="235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Consultas breves, bloqueos y decisiones menores.</w:t>
            </w:r>
          </w:p>
        </w:tc>
        <w:tc>
          <w:tcPr>
            <w:tcW w:type="dxa" w:w="14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Continua</w:t>
            </w:r>
          </w:p>
        </w:tc>
        <w:tc>
          <w:tcPr>
            <w:tcW w:type="dxa" w:w="1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Mensajería instantánea</w:t>
            </w:r>
          </w:p>
        </w:tc>
        <w:tc>
          <w:tcPr>
            <w:tcW w:type="dxa" w:w="11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Todos</w:t>
            </w:r>
          </w:p>
        </w:tc>
      </w:tr>
      <w:tr>
        <w:tc>
          <w:tcPr>
            <w:tcW w:type="dxa" w:w="17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Revisión de código</w:t>
            </w:r>
          </w:p>
        </w:tc>
        <w:tc>
          <w:tcPr>
            <w:tcW w:type="dxa" w:w="145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Equipo</w:t>
            </w:r>
          </w:p>
        </w:tc>
        <w:tc>
          <w:tcPr>
            <w:tcW w:type="dxa" w:w="235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Observaciones técnicas sobre cambios propuestos.</w:t>
            </w:r>
          </w:p>
        </w:tc>
        <w:tc>
          <w:tcPr>
            <w:tcW w:type="dxa" w:w="14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Por cada solicitud de incorporación</w:t>
            </w:r>
          </w:p>
        </w:tc>
        <w:tc>
          <w:tcPr>
            <w:tcW w:type="dxa" w:w="13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Repositorio</w:t>
            </w:r>
          </w:p>
        </w:tc>
        <w:tc>
          <w:tcPr>
            <w:tcW w:type="dxa" w:w="116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Revisor asignado</w:t>
            </w:r>
          </w:p>
        </w:tc>
      </w:tr>
      <w:tr>
        <w:tc>
          <w:tcPr>
            <w:tcW w:type="dxa" w:w="17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Presentación final</w:t>
            </w:r>
          </w:p>
        </w:tc>
        <w:tc>
          <w:tcPr>
            <w:tcW w:type="dxa" w:w="145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Comisión evaluadora</w:t>
            </w:r>
          </w:p>
        </w:tc>
        <w:tc>
          <w:tcPr>
            <w:tcW w:type="dxa" w:w="235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Resultados del proyecto y demostración funcional.</w:t>
            </w:r>
          </w:p>
        </w:tc>
        <w:tc>
          <w:tcPr>
            <w:tcW w:type="dxa" w:w="14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Presentación final — 18-12-2026 (S17)</w:t>
            </w:r>
          </w:p>
        </w:tc>
        <w:tc>
          <w:tcPr>
            <w:tcW w:type="dxa" w:w="1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Presencial</w:t>
            </w:r>
          </w:p>
        </w:tc>
        <w:tc>
          <w:tcPr>
            <w:tcW w:type="dxa" w:w="11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Equipo</w:t>
            </w:r>
          </w:p>
        </w:tc>
      </w:tr>
    </w:tbl>
    <w:p>
      <w:pPr>
        <w:pStyle w:val="Heading2"/>
        <w:spacing w:after="160" w:before="260"/>
      </w:pPr>
      <w:r>
        <w:t xml:space="preserve">2.5 Matriz de asignación de responsabilidades</w:t>
      </w:r>
    </w:p>
    <w:p>
      <w:pPr>
        <w:spacing w:after="120" w:line="280"/>
        <w:jc w:val="both"/>
      </w:pPr>
      <w:r>
        <w:rPr>
          <w:rFonts w:ascii="Calibri" w:cs="Calibri" w:eastAsia="Calibri" w:hAnsi="Calibri"/>
          <w:sz w:val="22"/>
          <w:szCs w:val="22"/>
        </w:rPr>
        <w:t xml:space="preserve">Se emplea la notación RACI: R indica quien ejecuta la actividad, A quien responde por su resultado, C quien es consultado y I quien es informado.</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3800"/>
        <w:gridCol w:w="1400"/>
        <w:gridCol w:w="1400"/>
        <w:gridCol w:w="1400"/>
        <w:gridCol w:w="1360"/>
      </w:tblGrid>
      <w:tr>
        <w:trPr>
          <w:tblHeader/>
        </w:trPr>
        <w:tc>
          <w:tcPr>
            <w:tcW w:type="dxa" w:w="38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Actividad</w:t>
            </w:r>
          </w:p>
        </w:tc>
        <w:tc>
          <w:tcPr>
            <w:tcW w:type="dxa" w:w="14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J. Rojas</w:t>
            </w:r>
          </w:p>
        </w:tc>
        <w:tc>
          <w:tcPr>
            <w:tcW w:type="dxa" w:w="14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L. Zúñiga</w:t>
            </w:r>
          </w:p>
        </w:tc>
        <w:tc>
          <w:tcPr>
            <w:tcW w:type="dxa" w:w="14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A. Espinoza</w:t>
            </w:r>
          </w:p>
        </w:tc>
        <w:tc>
          <w:tcPr>
            <w:tcW w:type="dxa" w:w="13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Docente guía</w:t>
            </w:r>
          </w:p>
        </w:tc>
      </w:tr>
      <w:tr>
        <w:tc>
          <w:tcPr>
            <w:tcW w:type="dxa" w:w="38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Definición del alcance y del plan</w:t>
            </w:r>
          </w:p>
        </w:tc>
        <w:tc>
          <w:tcPr>
            <w:tcW w:type="dxa" w:w="14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A/R</w:t>
            </w:r>
          </w:p>
        </w:tc>
        <w:tc>
          <w:tcPr>
            <w:tcW w:type="dxa" w:w="14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w:t>
            </w:r>
          </w:p>
        </w:tc>
        <w:tc>
          <w:tcPr>
            <w:tcW w:type="dxa" w:w="14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w:t>
            </w:r>
          </w:p>
        </w:tc>
        <w:tc>
          <w:tcPr>
            <w:tcW w:type="dxa" w:w="136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w:t>
            </w:r>
          </w:p>
        </w:tc>
      </w:tr>
      <w:tr>
        <w:tc>
          <w:tcPr>
            <w:tcW w:type="dxa" w:w="3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Levantamiento y mantención de requisitos</w:t>
            </w:r>
          </w:p>
        </w:tc>
        <w:tc>
          <w:tcPr>
            <w:tcW w:type="dxa" w:w="14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w:t>
            </w:r>
          </w:p>
        </w:tc>
        <w:tc>
          <w:tcPr>
            <w:tcW w:type="dxa" w:w="14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A/R</w:t>
            </w:r>
          </w:p>
        </w:tc>
        <w:tc>
          <w:tcPr>
            <w:tcW w:type="dxa" w:w="14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w:t>
            </w:r>
          </w:p>
        </w:tc>
        <w:tc>
          <w:tcPr>
            <w:tcW w:type="dxa" w:w="136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I</w:t>
            </w:r>
          </w:p>
        </w:tc>
      </w:tr>
      <w:tr>
        <w:tc>
          <w:tcPr>
            <w:tcW w:type="dxa" w:w="38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Modelado UML</w:t>
            </w:r>
          </w:p>
        </w:tc>
        <w:tc>
          <w:tcPr>
            <w:tcW w:type="dxa" w:w="14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w:t>
            </w:r>
          </w:p>
        </w:tc>
        <w:tc>
          <w:tcPr>
            <w:tcW w:type="dxa" w:w="14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w:t>
            </w:r>
          </w:p>
        </w:tc>
        <w:tc>
          <w:tcPr>
            <w:tcW w:type="dxa" w:w="14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A/R</w:t>
            </w:r>
          </w:p>
        </w:tc>
        <w:tc>
          <w:tcPr>
            <w:tcW w:type="dxa" w:w="136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I</w:t>
            </w:r>
          </w:p>
        </w:tc>
      </w:tr>
      <w:tr>
        <w:tc>
          <w:tcPr>
            <w:tcW w:type="dxa" w:w="3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Decisiones de arquitectura</w:t>
            </w:r>
          </w:p>
        </w:tc>
        <w:tc>
          <w:tcPr>
            <w:tcW w:type="dxa" w:w="14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A/R</w:t>
            </w:r>
          </w:p>
        </w:tc>
        <w:tc>
          <w:tcPr>
            <w:tcW w:type="dxa" w:w="14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w:t>
            </w:r>
          </w:p>
        </w:tc>
        <w:tc>
          <w:tcPr>
            <w:tcW w:type="dxa" w:w="14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w:t>
            </w:r>
          </w:p>
        </w:tc>
        <w:tc>
          <w:tcPr>
            <w:tcW w:type="dxa" w:w="136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w:t>
            </w:r>
          </w:p>
        </w:tc>
      </w:tr>
      <w:tr>
        <w:tc>
          <w:tcPr>
            <w:tcW w:type="dxa" w:w="38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Modelo de datos y políticas de acceso</w:t>
            </w:r>
          </w:p>
        </w:tc>
        <w:tc>
          <w:tcPr>
            <w:tcW w:type="dxa" w:w="14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w:t>
            </w:r>
          </w:p>
        </w:tc>
        <w:tc>
          <w:tcPr>
            <w:tcW w:type="dxa" w:w="14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I</w:t>
            </w:r>
          </w:p>
        </w:tc>
        <w:tc>
          <w:tcPr>
            <w:tcW w:type="dxa" w:w="14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A/R</w:t>
            </w:r>
          </w:p>
        </w:tc>
        <w:tc>
          <w:tcPr>
            <w:tcW w:type="dxa" w:w="136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I</w:t>
            </w:r>
          </w:p>
        </w:tc>
      </w:tr>
      <w:tr>
        <w:tc>
          <w:tcPr>
            <w:tcW w:type="dxa" w:w="3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Desarrollo del frontend y del visor 3D</w:t>
            </w:r>
          </w:p>
        </w:tc>
        <w:tc>
          <w:tcPr>
            <w:tcW w:type="dxa" w:w="14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w:t>
            </w:r>
          </w:p>
        </w:tc>
        <w:tc>
          <w:tcPr>
            <w:tcW w:type="dxa" w:w="14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A/R</w:t>
            </w:r>
          </w:p>
        </w:tc>
        <w:tc>
          <w:tcPr>
            <w:tcW w:type="dxa" w:w="14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I</w:t>
            </w:r>
          </w:p>
        </w:tc>
        <w:tc>
          <w:tcPr>
            <w:tcW w:type="dxa" w:w="136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I</w:t>
            </w:r>
          </w:p>
        </w:tc>
      </w:tr>
      <w:tr>
        <w:tc>
          <w:tcPr>
            <w:tcW w:type="dxa" w:w="38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Desarrollo de la interfaz de programación</w:t>
            </w:r>
          </w:p>
        </w:tc>
        <w:tc>
          <w:tcPr>
            <w:tcW w:type="dxa" w:w="14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A/R</w:t>
            </w:r>
          </w:p>
        </w:tc>
        <w:tc>
          <w:tcPr>
            <w:tcW w:type="dxa" w:w="14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I</w:t>
            </w:r>
          </w:p>
        </w:tc>
        <w:tc>
          <w:tcPr>
            <w:tcW w:type="dxa" w:w="14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w:t>
            </w:r>
          </w:p>
        </w:tc>
        <w:tc>
          <w:tcPr>
            <w:tcW w:type="dxa" w:w="136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I</w:t>
            </w:r>
          </w:p>
        </w:tc>
      </w:tr>
      <w:tr>
        <w:tc>
          <w:tcPr>
            <w:tcW w:type="dxa" w:w="3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Pipeline de reconstrucción 3D</w:t>
            </w:r>
          </w:p>
        </w:tc>
        <w:tc>
          <w:tcPr>
            <w:tcW w:type="dxa" w:w="14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A/R</w:t>
            </w:r>
          </w:p>
        </w:tc>
        <w:tc>
          <w:tcPr>
            <w:tcW w:type="dxa" w:w="14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I</w:t>
            </w:r>
          </w:p>
        </w:tc>
        <w:tc>
          <w:tcPr>
            <w:tcW w:type="dxa" w:w="14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w:t>
            </w:r>
          </w:p>
        </w:tc>
        <w:tc>
          <w:tcPr>
            <w:tcW w:type="dxa" w:w="136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I</w:t>
            </w:r>
          </w:p>
        </w:tc>
      </w:tr>
      <w:tr>
        <w:tc>
          <w:tcPr>
            <w:tcW w:type="dxa" w:w="38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Estrategia y ejecución de pruebas</w:t>
            </w:r>
          </w:p>
        </w:tc>
        <w:tc>
          <w:tcPr>
            <w:tcW w:type="dxa" w:w="14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I</w:t>
            </w:r>
          </w:p>
        </w:tc>
        <w:tc>
          <w:tcPr>
            <w:tcW w:type="dxa" w:w="14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w:t>
            </w:r>
          </w:p>
        </w:tc>
        <w:tc>
          <w:tcPr>
            <w:tcW w:type="dxa" w:w="14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A/R</w:t>
            </w:r>
          </w:p>
        </w:tc>
        <w:tc>
          <w:tcPr>
            <w:tcW w:type="dxa" w:w="136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I</w:t>
            </w:r>
          </w:p>
        </w:tc>
      </w:tr>
      <w:tr>
        <w:tc>
          <w:tcPr>
            <w:tcW w:type="dxa" w:w="3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Pruebas de usabilidad</w:t>
            </w:r>
          </w:p>
        </w:tc>
        <w:tc>
          <w:tcPr>
            <w:tcW w:type="dxa" w:w="14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I</w:t>
            </w:r>
          </w:p>
        </w:tc>
        <w:tc>
          <w:tcPr>
            <w:tcW w:type="dxa" w:w="14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A/R</w:t>
            </w:r>
          </w:p>
        </w:tc>
        <w:tc>
          <w:tcPr>
            <w:tcW w:type="dxa" w:w="14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w:t>
            </w:r>
          </w:p>
        </w:tc>
        <w:tc>
          <w:tcPr>
            <w:tcW w:type="dxa" w:w="136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I</w:t>
            </w:r>
          </w:p>
        </w:tc>
      </w:tr>
      <w:tr>
        <w:tc>
          <w:tcPr>
            <w:tcW w:type="dxa" w:w="38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Despliegue e infraestructura</w:t>
            </w:r>
          </w:p>
        </w:tc>
        <w:tc>
          <w:tcPr>
            <w:tcW w:type="dxa" w:w="14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A/R</w:t>
            </w:r>
          </w:p>
        </w:tc>
        <w:tc>
          <w:tcPr>
            <w:tcW w:type="dxa" w:w="14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I</w:t>
            </w:r>
          </w:p>
        </w:tc>
        <w:tc>
          <w:tcPr>
            <w:tcW w:type="dxa" w:w="14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w:t>
            </w:r>
          </w:p>
        </w:tc>
        <w:tc>
          <w:tcPr>
            <w:tcW w:type="dxa" w:w="136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I</w:t>
            </w:r>
          </w:p>
        </w:tc>
      </w:tr>
      <w:tr>
        <w:tc>
          <w:tcPr>
            <w:tcW w:type="dxa" w:w="3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Control de avance y gestión de riesgos</w:t>
            </w:r>
          </w:p>
        </w:tc>
        <w:tc>
          <w:tcPr>
            <w:tcW w:type="dxa" w:w="14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A/R</w:t>
            </w:r>
          </w:p>
        </w:tc>
        <w:tc>
          <w:tcPr>
            <w:tcW w:type="dxa" w:w="14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w:t>
            </w:r>
          </w:p>
        </w:tc>
        <w:tc>
          <w:tcPr>
            <w:tcW w:type="dxa" w:w="14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w:t>
            </w:r>
          </w:p>
        </w:tc>
        <w:tc>
          <w:tcPr>
            <w:tcW w:type="dxa" w:w="136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w:t>
            </w:r>
          </w:p>
        </w:tc>
      </w:tr>
      <w:tr>
        <w:tc>
          <w:tcPr>
            <w:tcW w:type="dxa" w:w="38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Documentación de gestión</w:t>
            </w:r>
          </w:p>
        </w:tc>
        <w:tc>
          <w:tcPr>
            <w:tcW w:type="dxa" w:w="14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A/R</w:t>
            </w:r>
          </w:p>
        </w:tc>
        <w:tc>
          <w:tcPr>
            <w:tcW w:type="dxa" w:w="14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w:t>
            </w:r>
          </w:p>
        </w:tc>
        <w:tc>
          <w:tcPr>
            <w:tcW w:type="dxa" w:w="14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w:t>
            </w:r>
          </w:p>
        </w:tc>
        <w:tc>
          <w:tcPr>
            <w:tcW w:type="dxa" w:w="136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w:t>
            </w:r>
          </w:p>
        </w:tc>
      </w:tr>
      <w:tr>
        <w:tc>
          <w:tcPr>
            <w:tcW w:type="dxa" w:w="3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Preparación de la defensa final</w:t>
            </w:r>
          </w:p>
        </w:tc>
        <w:tc>
          <w:tcPr>
            <w:tcW w:type="dxa" w:w="14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A/R</w:t>
            </w:r>
          </w:p>
        </w:tc>
        <w:tc>
          <w:tcPr>
            <w:tcW w:type="dxa" w:w="14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R</w:t>
            </w:r>
          </w:p>
        </w:tc>
        <w:tc>
          <w:tcPr>
            <w:tcW w:type="dxa" w:w="14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R</w:t>
            </w:r>
          </w:p>
        </w:tc>
        <w:tc>
          <w:tcPr>
            <w:tcW w:type="dxa" w:w="136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w:t>
            </w:r>
          </w:p>
        </w:tc>
      </w:tr>
    </w:tbl>
    <w:p>
      <w:r>
        <w:br w:type="page"/>
      </w:r>
    </w:p>
    <w:p>
      <w:pPr>
        <w:pStyle w:val="Heading1"/>
        <w:spacing w:after="200" w:before="320"/>
      </w:pPr>
      <w:r>
        <w:t xml:space="preserve">3. Actas de reunión</w:t>
      </w:r>
    </w:p>
    <w:p>
      <w:pPr>
        <w:spacing w:after="120" w:line="280"/>
        <w:jc w:val="both"/>
      </w:pPr>
      <w:r>
        <w:rPr>
          <w:rFonts w:ascii="Calibri" w:cs="Calibri" w:eastAsia="Calibri" w:hAnsi="Calibri"/>
          <w:sz w:val="22"/>
          <w:szCs w:val="22"/>
        </w:rPr>
        <w:t xml:space="preserve">El equipo sostiene una reunión de coordinación semanal, cuyo registro se formaliza mediante un acta que documenta los temas tratados, los acuerdos adoptados, sus responsables y sus plazos. La función de secretario rota entre los integrantes para distribuir la carga y garantizar que todos conozcan el formato. Las actas se almacenan en el repositorio del proyecto, en el directorio de documentación, y quedan disponibles para el docente guía.</w:t>
      </w:r>
    </w:p>
    <w:p>
      <w:pPr>
        <w:spacing w:after="120" w:line="280"/>
        <w:jc w:val="both"/>
      </w:pPr>
      <w:r>
        <w:rPr>
          <w:rFonts w:ascii="Calibri" w:cs="Calibri" w:eastAsia="Calibri" w:hAnsi="Calibri"/>
          <w:sz w:val="22"/>
          <w:szCs w:val="22"/>
        </w:rPr>
        <w:t xml:space="preserve">El proyecto inició el 22 de agosto de 2026. Se incluyen a continuación las actas emitidas hasta la fecha de este documento, correspondientes a las dos primeras semanas de trabajo, más la convocatoria de la reunión inmediatamente siguiente. La plantilla utilizada se encuentra en el Anexo A de este documento.</w:t>
      </w:r>
    </w:p>
    <w:p>
      <w:pPr>
        <w:spacing w:after="80" w:before="220"/>
      </w:pPr>
      <w:r>
        <w:rPr>
          <w:rFonts w:ascii="Calibri" w:cs="Calibri" w:eastAsia="Calibri" w:hAnsi="Calibri"/>
          <w:b/>
          <w:bCs/>
          <w:color w:val="2E6DA4"/>
          <w:sz w:val="22"/>
          <w:szCs w:val="22"/>
        </w:rPr>
        <w:t xml:space="preserve">ACT-01 — Reunión de inicio del proyecto y definición del alcance</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1500"/>
        <w:gridCol w:w="3000"/>
        <w:gridCol w:w="1500"/>
        <w:gridCol w:w="3360"/>
      </w:tblGrid>
      <w:tr>
        <w:tc>
          <w:tcPr>
            <w:tcW w:type="dxa" w:w="1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8"/>
                <w:szCs w:val="18"/>
              </w:rPr>
              <w:t xml:space="preserve">Fecha</w:t>
            </w:r>
          </w:p>
        </w:tc>
        <w:tc>
          <w:tcPr>
            <w:tcW w:type="dxa" w:w="300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8"/>
                <w:szCs w:val="18"/>
              </w:rPr>
              <w:t xml:space="preserve">26-08-2026</w:t>
            </w:r>
          </w:p>
        </w:tc>
        <w:tc>
          <w:tcPr>
            <w:tcW w:type="dxa" w:w="150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8"/>
                <w:szCs w:val="18"/>
              </w:rPr>
              <w:t xml:space="preserve">Hora</w:t>
            </w:r>
          </w:p>
        </w:tc>
        <w:tc>
          <w:tcPr>
            <w:tcW w:type="dxa" w:w="33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8"/>
                <w:szCs w:val="18"/>
              </w:rPr>
              <w:t xml:space="preserve">19:00 a 21:05</w:t>
            </w:r>
          </w:p>
        </w:tc>
      </w:tr>
      <w:tr>
        <w:tc>
          <w:tcPr>
            <w:tcW w:type="dxa" w:w="1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8"/>
                <w:szCs w:val="18"/>
              </w:rPr>
              <w:t xml:space="preserve">Modalidad</w:t>
            </w:r>
          </w:p>
        </w:tc>
        <w:tc>
          <w:tcPr>
            <w:tcW w:type="dxa" w:w="300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8"/>
                <w:szCs w:val="18"/>
              </w:rPr>
              <w:t xml:space="preserve">Videollamada</w:t>
            </w:r>
          </w:p>
        </w:tc>
        <w:tc>
          <w:tcPr>
            <w:tcW w:type="dxa" w:w="150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8"/>
                <w:szCs w:val="18"/>
              </w:rPr>
              <w:t xml:space="preserve">Duración</w:t>
            </w:r>
          </w:p>
        </w:tc>
        <w:tc>
          <w:tcPr>
            <w:tcW w:type="dxa" w:w="33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8"/>
                <w:szCs w:val="18"/>
              </w:rPr>
              <w:t xml:space="preserve">2 h 05 min</w:t>
            </w:r>
          </w:p>
        </w:tc>
      </w:tr>
      <w:tr>
        <w:tc>
          <w:tcPr>
            <w:tcW w:type="dxa" w:w="1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8"/>
                <w:szCs w:val="18"/>
              </w:rPr>
              <w:t xml:space="preserve">Convoca</w:t>
            </w:r>
          </w:p>
        </w:tc>
        <w:tc>
          <w:tcPr>
            <w:tcW w:type="dxa" w:w="300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8"/>
                <w:szCs w:val="18"/>
              </w:rPr>
              <w:t xml:space="preserve">Jesús Rojas Gutiérrez</w:t>
            </w:r>
          </w:p>
        </w:tc>
        <w:tc>
          <w:tcPr>
            <w:tcW w:type="dxa" w:w="150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8"/>
                <w:szCs w:val="18"/>
              </w:rPr>
              <w:t xml:space="preserve">Secretario/a</w:t>
            </w:r>
          </w:p>
        </w:tc>
        <w:tc>
          <w:tcPr>
            <w:tcW w:type="dxa" w:w="33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8"/>
                <w:szCs w:val="18"/>
              </w:rPr>
              <w:t xml:space="preserve">Lorna Zúñiga</w:t>
            </w:r>
          </w:p>
        </w:tc>
      </w:tr>
    </w:tbl>
    <w:p>
      <w:pPr>
        <w:spacing w:after="100"/>
      </w:pP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1800"/>
        <w:gridCol w:w="7560"/>
      </w:tblGrid>
      <w:tr>
        <w:tc>
          <w:tcPr>
            <w:tcW w:type="dxa" w:w="18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Asistentes</w:t>
            </w:r>
          </w:p>
        </w:tc>
        <w:tc>
          <w:tcPr>
            <w:tcW w:type="dxa" w:w="75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Jesús Rojas Gutiérrez (backend y worker 3D)</w:t>
            </w:r>
            <w:r>
              <w:rPr>
                <w:rFonts w:ascii="Calibri" w:cs="Calibri" w:eastAsia="Calibri" w:hAnsi="Calibri"/>
                <w:b w:val="false"/>
                <w:bCs w:val="false"/>
                <w:sz w:val="19"/>
                <w:szCs w:val="19"/>
              </w:rPr>
              <w:br/>
              <w:t xml:space="preserve">Lorna Zúñiga Aguilera (frontend)</w:t>
            </w:r>
            <w:r>
              <w:rPr>
                <w:rFonts w:ascii="Calibri" w:cs="Calibri" w:eastAsia="Calibri" w:hAnsi="Calibri"/>
                <w:b w:val="false"/>
                <w:bCs w:val="false"/>
                <w:sz w:val="19"/>
                <w:szCs w:val="19"/>
              </w:rPr>
              <w:br/>
              <w:t xml:space="preserve">Aldo Espinoza Daza (base de datos e integración)</w:t>
            </w:r>
          </w:p>
        </w:tc>
      </w:tr>
      <w:tr>
        <w:tc>
          <w:tcPr>
            <w:tcW w:type="dxa" w:w="18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Ausentes</w:t>
            </w:r>
          </w:p>
        </w:tc>
        <w:tc>
          <w:tcPr>
            <w:tcW w:type="dxa" w:w="75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Ninguno</w:t>
            </w:r>
          </w:p>
        </w:tc>
      </w:tr>
      <w:tr>
        <w:tc>
          <w:tcPr>
            <w:tcW w:type="dxa" w:w="18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Objetivo</w:t>
            </w:r>
          </w:p>
        </w:tc>
        <w:tc>
          <w:tcPr>
            <w:tcW w:type="dxa" w:w="75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Constituir formalmente el equipo, acordar el problema a abordar, delimitar el alcance del proyecto y establecer las reglas de trabajo.</w:t>
            </w:r>
          </w:p>
        </w:tc>
      </w:tr>
    </w:tbl>
    <w:p>
      <w:pPr>
        <w:spacing w:after="140"/>
      </w:pPr>
    </w:p>
    <w:p>
      <w:pPr>
        <w:spacing w:after="80"/>
      </w:pPr>
      <w:r>
        <w:rPr>
          <w:rFonts w:ascii="Calibri" w:cs="Calibri" w:eastAsia="Calibri" w:hAnsi="Calibri"/>
          <w:b/>
          <w:bCs/>
          <w:sz w:val="21"/>
          <w:szCs w:val="21"/>
        </w:rPr>
        <w:t xml:space="preserve">Temas tratados</w:t>
      </w:r>
    </w:p>
    <w:p>
      <w:pPr>
        <w:spacing w:after="60" w:line="280"/>
        <w:jc w:val="both"/>
      </w:pPr>
      <w:r>
        <w:rPr>
          <w:rFonts w:ascii="Calibri" w:cs="Calibri" w:eastAsia="Calibri" w:hAnsi="Calibri"/>
          <w:sz w:val="22"/>
          <w:szCs w:val="22"/>
        </w:rPr>
        <w:t xml:space="preserve">1. Presentación de las tres alternativas de proyecto evaluadas de forma individual por cada integrante durante la semana previa al inicio formal.</w:t>
      </w:r>
    </w:p>
    <w:p>
      <w:pPr>
        <w:spacing w:after="60" w:line="280"/>
        <w:jc w:val="both"/>
      </w:pPr>
      <w:r>
        <w:rPr>
          <w:rFonts w:ascii="Calibri" w:cs="Calibri" w:eastAsia="Calibri" w:hAnsi="Calibri"/>
          <w:sz w:val="22"/>
          <w:szCs w:val="22"/>
        </w:rPr>
        <w:t xml:space="preserve">2. Análisis del problema de la compraventa de vehículos usados entre particulares y de la asimetría de información que la caracteriza.</w:t>
      </w:r>
    </w:p>
    <w:p>
      <w:pPr>
        <w:spacing w:after="60" w:line="280"/>
        <w:jc w:val="both"/>
      </w:pPr>
      <w:r>
        <w:rPr>
          <w:rFonts w:ascii="Calibri" w:cs="Calibri" w:eastAsia="Calibri" w:hAnsi="Calibri"/>
          <w:sz w:val="22"/>
          <w:szCs w:val="22"/>
        </w:rPr>
        <w:t xml:space="preserve">3. Discusión sobre la viabilidad técnica de aplicar Gaussian Splatting como elemento diferenciador de la propuesta, y comparación frente a fotogrametría clásica y campos de radiancia neuronales.</w:t>
      </w:r>
    </w:p>
    <w:p>
      <w:pPr>
        <w:spacing w:after="60" w:line="280"/>
        <w:jc w:val="both"/>
      </w:pPr>
      <w:r>
        <w:rPr>
          <w:rFonts w:ascii="Calibri" w:cs="Calibri" w:eastAsia="Calibri" w:hAnsi="Calibri"/>
          <w:sz w:val="22"/>
          <w:szCs w:val="22"/>
        </w:rPr>
        <w:t xml:space="preserve">4. Definición de los roles principales de cada integrante según sus fortalezas declaradas.</w:t>
      </w:r>
    </w:p>
    <w:p>
      <w:pPr>
        <w:spacing w:after="60" w:line="280"/>
        <w:jc w:val="both"/>
      </w:pPr>
      <w:r>
        <w:rPr>
          <w:rFonts w:ascii="Calibri" w:cs="Calibri" w:eastAsia="Calibri" w:hAnsi="Calibri"/>
          <w:sz w:val="22"/>
          <w:szCs w:val="22"/>
        </w:rPr>
        <w:t xml:space="preserve">5. Delimitación explícita del alcance y discusión sobre la incorporación de una pasarela de pagos.</w:t>
      </w:r>
    </w:p>
    <w:p>
      <w:pPr>
        <w:spacing w:after="60" w:line="280"/>
        <w:jc w:val="both"/>
      </w:pPr>
      <w:r>
        <w:rPr>
          <w:rFonts w:ascii="Calibri" w:cs="Calibri" w:eastAsia="Calibri" w:hAnsi="Calibri"/>
          <w:sz w:val="22"/>
          <w:szCs w:val="22"/>
        </w:rPr>
        <w:t xml:space="preserve">6. Acuerdo sobre la dedicación semanal comprometida y sobre el día y la hora de la reunión de coordinación.</w:t>
      </w:r>
    </w:p>
    <w:p>
      <w:pPr>
        <w:spacing w:after="120"/>
      </w:pPr>
    </w:p>
    <w:p>
      <w:pPr>
        <w:spacing w:after="80"/>
      </w:pPr>
      <w:r>
        <w:rPr>
          <w:rFonts w:ascii="Calibri" w:cs="Calibri" w:eastAsia="Calibri" w:hAnsi="Calibri"/>
          <w:b/>
          <w:bCs/>
          <w:sz w:val="21"/>
          <w:szCs w:val="21"/>
        </w:rPr>
        <w:t xml:space="preserve">Acuerdos adoptados</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700"/>
        <w:gridCol w:w="4660"/>
        <w:gridCol w:w="2200"/>
        <w:gridCol w:w="1800"/>
      </w:tblGrid>
      <w:tr>
        <w:trPr>
          <w:tblHeader/>
        </w:trPr>
        <w:tc>
          <w:tcPr>
            <w:tcW w:type="dxa" w:w="7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N.º</w:t>
            </w:r>
          </w:p>
        </w:tc>
        <w:tc>
          <w:tcPr>
            <w:tcW w:type="dxa" w:w="46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Acuerdo</w:t>
            </w:r>
          </w:p>
        </w:tc>
        <w:tc>
          <w:tcPr>
            <w:tcW w:type="dxa" w:w="22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Responsable</w:t>
            </w:r>
          </w:p>
        </w:tc>
        <w:tc>
          <w:tcPr>
            <w:tcW w:type="dxa" w:w="18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Plazo</w:t>
            </w:r>
          </w:p>
        </w:tc>
      </w:tr>
      <w:tr>
        <w:tc>
          <w:tcPr>
            <w:tcW w:type="dxa" w:w="7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1</w:t>
            </w:r>
          </w:p>
        </w:tc>
        <w:tc>
          <w:tcPr>
            <w:tcW w:type="dxa" w:w="46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Se adopta AutoSplat como proyecto de título: marketplace de vehículos usados con visualización tridimensional mediante Gaussian Splatting.</w:t>
            </w:r>
          </w:p>
        </w:tc>
        <w:tc>
          <w:tcPr>
            <w:tcW w:type="dxa" w:w="2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Equipo</w:t>
            </w:r>
          </w:p>
        </w:tc>
        <w:tc>
          <w:tcPr>
            <w:tcW w:type="dxa" w:w="18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26-08-2026</w:t>
            </w:r>
          </w:p>
        </w:tc>
      </w:tr>
      <w:tr>
        <w:tc>
          <w:tcPr>
            <w:tcW w:type="dxa" w:w="7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2</w:t>
            </w:r>
          </w:p>
        </w:tc>
        <w:tc>
          <w:tcPr>
            <w:tcW w:type="dxa" w:w="46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Se asignan los roles principales: Jesús Rojas Gutiérrez en backend y worker de reconstrucción 3D, Lorna Zúñiga en frontend, Aldo Espinoza en base de datos e integración.</w:t>
            </w:r>
          </w:p>
        </w:tc>
        <w:tc>
          <w:tcPr>
            <w:tcW w:type="dxa" w:w="22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Equipo</w:t>
            </w:r>
          </w:p>
        </w:tc>
        <w:tc>
          <w:tcPr>
            <w:tcW w:type="dxa" w:w="1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26-08-2026</w:t>
            </w:r>
          </w:p>
        </w:tc>
      </w:tr>
      <w:tr>
        <w:tc>
          <w:tcPr>
            <w:tcW w:type="dxa" w:w="7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3</w:t>
            </w:r>
          </w:p>
        </w:tc>
        <w:tc>
          <w:tcPr>
            <w:tcW w:type="dxa" w:w="46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Se fija la reunión de coordinación semanal los días miércoles a las 19:00 horas, con acta obligatoria y secretario rotativo.</w:t>
            </w:r>
          </w:p>
        </w:tc>
        <w:tc>
          <w:tcPr>
            <w:tcW w:type="dxa" w:w="2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J. Rojas</w:t>
            </w:r>
          </w:p>
        </w:tc>
        <w:tc>
          <w:tcPr>
            <w:tcW w:type="dxa" w:w="18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Permanente</w:t>
            </w:r>
          </w:p>
        </w:tc>
      </w:tr>
      <w:tr>
        <w:tc>
          <w:tcPr>
            <w:tcW w:type="dxa" w:w="7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4</w:t>
            </w:r>
          </w:p>
        </w:tc>
        <w:tc>
          <w:tcPr>
            <w:tcW w:type="dxa" w:w="46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Se compromete una dedicación mínima de 12 horas semanales por integrante.</w:t>
            </w:r>
          </w:p>
        </w:tc>
        <w:tc>
          <w:tcPr>
            <w:tcW w:type="dxa" w:w="22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Equipo</w:t>
            </w:r>
          </w:p>
        </w:tc>
        <w:tc>
          <w:tcPr>
            <w:tcW w:type="dxa" w:w="1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Permanente</w:t>
            </w:r>
          </w:p>
        </w:tc>
      </w:tr>
      <w:tr>
        <w:tc>
          <w:tcPr>
            <w:tcW w:type="dxa" w:w="7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5</w:t>
            </w:r>
          </w:p>
        </w:tc>
        <w:tc>
          <w:tcPr>
            <w:tcW w:type="dxa" w:w="46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Se adopta Gaussian Splatting sobre la base de su desempeño en renderizado en tiempo real dentro del navegador, condición indispensable para la experiencia propuesta.</w:t>
            </w:r>
          </w:p>
        </w:tc>
        <w:tc>
          <w:tcPr>
            <w:tcW w:type="dxa" w:w="2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Equipo</w:t>
            </w:r>
          </w:p>
        </w:tc>
        <w:tc>
          <w:tcPr>
            <w:tcW w:type="dxa" w:w="18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26-08-2026</w:t>
            </w:r>
          </w:p>
        </w:tc>
      </w:tr>
      <w:tr>
        <w:tc>
          <w:tcPr>
            <w:tcW w:type="dxa" w:w="7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6</w:t>
            </w:r>
          </w:p>
        </w:tc>
        <w:tc>
          <w:tcPr>
            <w:tcW w:type="dxa" w:w="46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Se excluyen del alcance el procesamiento de pagos, la verificación registral de vehículos, la logística y las aplicaciones móviles nativas. Las exclusiones quedan documentadas con su fundamento.</w:t>
            </w:r>
          </w:p>
        </w:tc>
        <w:tc>
          <w:tcPr>
            <w:tcW w:type="dxa" w:w="22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Equipo</w:t>
            </w:r>
          </w:p>
        </w:tc>
        <w:tc>
          <w:tcPr>
            <w:tcW w:type="dxa" w:w="1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26-08-2026</w:t>
            </w:r>
          </w:p>
        </w:tc>
      </w:tr>
      <w:tr>
        <w:tc>
          <w:tcPr>
            <w:tcW w:type="dxa" w:w="7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7</w:t>
            </w:r>
          </w:p>
        </w:tc>
        <w:tc>
          <w:tcPr>
            <w:tcW w:type="dxa" w:w="46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Se crea el repositorio del proyecto con estructura de monorepo y se otorga acceso a los tres integrantes.</w:t>
            </w:r>
          </w:p>
        </w:tc>
        <w:tc>
          <w:tcPr>
            <w:tcW w:type="dxa" w:w="2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J. Rojas</w:t>
            </w:r>
          </w:p>
        </w:tc>
        <w:tc>
          <w:tcPr>
            <w:tcW w:type="dxa" w:w="18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28-08-2026</w:t>
            </w:r>
          </w:p>
        </w:tc>
      </w:tr>
      <w:tr>
        <w:tc>
          <w:tcPr>
            <w:tcW w:type="dxa" w:w="7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8</w:t>
            </w:r>
          </w:p>
        </w:tc>
        <w:tc>
          <w:tcPr>
            <w:tcW w:type="dxa" w:w="46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Se investigan las alternativas técnicas para la reconstrucción tridimensional y se presenta un cuadro comparativo en la próxima reunión.</w:t>
            </w:r>
          </w:p>
        </w:tc>
        <w:tc>
          <w:tcPr>
            <w:tcW w:type="dxa" w:w="22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J. Rojas</w:t>
            </w:r>
          </w:p>
        </w:tc>
        <w:tc>
          <w:tcPr>
            <w:tcW w:type="dxa" w:w="1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02-09-2026</w:t>
            </w:r>
          </w:p>
        </w:tc>
      </w:tr>
    </w:tbl>
    <w:p>
      <w:pPr>
        <w:spacing w:after="120"/>
      </w:pP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2200"/>
        <w:gridCol w:w="7160"/>
      </w:tblGrid>
      <w:tr>
        <w:tc>
          <w:tcPr>
            <w:tcW w:type="dxa" w:w="22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Próxima reunión</w:t>
            </w:r>
          </w:p>
        </w:tc>
        <w:tc>
          <w:tcPr>
            <w:tcW w:type="dxa" w:w="71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2 de septiembre de 2026, 19:00 horas. Tema: metodología de desarrollo, stack tecnológico y catálogo de requisitos.</w:t>
            </w:r>
          </w:p>
        </w:tc>
      </w:tr>
    </w:tbl>
    <w:p>
      <w:r>
        <w:br w:type="page"/>
      </w:r>
    </w:p>
    <w:p>
      <w:pPr>
        <w:spacing w:after="80" w:before="220"/>
      </w:pPr>
      <w:r>
        <w:rPr>
          <w:rFonts w:ascii="Calibri" w:cs="Calibri" w:eastAsia="Calibri" w:hAnsi="Calibri"/>
          <w:b/>
          <w:bCs/>
          <w:color w:val="2E6DA4"/>
          <w:sz w:val="22"/>
          <w:szCs w:val="22"/>
        </w:rPr>
        <w:t xml:space="preserve">ACT-02 — Metodología de desarrollo, stack tecnológico y catálogo de requisitos</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1500"/>
        <w:gridCol w:w="3000"/>
        <w:gridCol w:w="1500"/>
        <w:gridCol w:w="3360"/>
      </w:tblGrid>
      <w:tr>
        <w:tc>
          <w:tcPr>
            <w:tcW w:type="dxa" w:w="1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8"/>
                <w:szCs w:val="18"/>
              </w:rPr>
              <w:t xml:space="preserve">Fecha</w:t>
            </w:r>
          </w:p>
        </w:tc>
        <w:tc>
          <w:tcPr>
            <w:tcW w:type="dxa" w:w="300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8"/>
                <w:szCs w:val="18"/>
              </w:rPr>
              <w:t xml:space="preserve">02-09-2026</w:t>
            </w:r>
          </w:p>
        </w:tc>
        <w:tc>
          <w:tcPr>
            <w:tcW w:type="dxa" w:w="150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8"/>
                <w:szCs w:val="18"/>
              </w:rPr>
              <w:t xml:space="preserve">Hora</w:t>
            </w:r>
          </w:p>
        </w:tc>
        <w:tc>
          <w:tcPr>
            <w:tcW w:type="dxa" w:w="33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8"/>
                <w:szCs w:val="18"/>
              </w:rPr>
              <w:t xml:space="preserve">19:00 a 21:15</w:t>
            </w:r>
          </w:p>
        </w:tc>
      </w:tr>
      <w:tr>
        <w:tc>
          <w:tcPr>
            <w:tcW w:type="dxa" w:w="1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8"/>
                <w:szCs w:val="18"/>
              </w:rPr>
              <w:t xml:space="preserve">Modalidad</w:t>
            </w:r>
          </w:p>
        </w:tc>
        <w:tc>
          <w:tcPr>
            <w:tcW w:type="dxa" w:w="300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8"/>
                <w:szCs w:val="18"/>
              </w:rPr>
              <w:t xml:space="preserve">Presencial — Sede Plaza Oeste</w:t>
            </w:r>
          </w:p>
        </w:tc>
        <w:tc>
          <w:tcPr>
            <w:tcW w:type="dxa" w:w="150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8"/>
                <w:szCs w:val="18"/>
              </w:rPr>
              <w:t xml:space="preserve">Duración</w:t>
            </w:r>
          </w:p>
        </w:tc>
        <w:tc>
          <w:tcPr>
            <w:tcW w:type="dxa" w:w="33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8"/>
                <w:szCs w:val="18"/>
              </w:rPr>
              <w:t xml:space="preserve">2 h 15 min</w:t>
            </w:r>
          </w:p>
        </w:tc>
      </w:tr>
      <w:tr>
        <w:tc>
          <w:tcPr>
            <w:tcW w:type="dxa" w:w="1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8"/>
                <w:szCs w:val="18"/>
              </w:rPr>
              <w:t xml:space="preserve">Convoca</w:t>
            </w:r>
          </w:p>
        </w:tc>
        <w:tc>
          <w:tcPr>
            <w:tcW w:type="dxa" w:w="300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8"/>
                <w:szCs w:val="18"/>
              </w:rPr>
              <w:t xml:space="preserve">Jesús Rojas Gutiérrez</w:t>
            </w:r>
          </w:p>
        </w:tc>
        <w:tc>
          <w:tcPr>
            <w:tcW w:type="dxa" w:w="150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8"/>
                <w:szCs w:val="18"/>
              </w:rPr>
              <w:t xml:space="preserve">Secretario/a</w:t>
            </w:r>
          </w:p>
        </w:tc>
        <w:tc>
          <w:tcPr>
            <w:tcW w:type="dxa" w:w="33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8"/>
                <w:szCs w:val="18"/>
              </w:rPr>
              <w:t xml:space="preserve">Aldo Espinoza</w:t>
            </w:r>
          </w:p>
        </w:tc>
      </w:tr>
    </w:tbl>
    <w:p>
      <w:pPr>
        <w:spacing w:after="100"/>
      </w:pP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1800"/>
        <w:gridCol w:w="7560"/>
      </w:tblGrid>
      <w:tr>
        <w:tc>
          <w:tcPr>
            <w:tcW w:type="dxa" w:w="18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Asistentes</w:t>
            </w:r>
          </w:p>
        </w:tc>
        <w:tc>
          <w:tcPr>
            <w:tcW w:type="dxa" w:w="75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Jesús Rojas Gutiérrez (backend y worker 3D)</w:t>
            </w:r>
            <w:r>
              <w:rPr>
                <w:rFonts w:ascii="Calibri" w:cs="Calibri" w:eastAsia="Calibri" w:hAnsi="Calibri"/>
                <w:b w:val="false"/>
                <w:bCs w:val="false"/>
                <w:sz w:val="19"/>
                <w:szCs w:val="19"/>
              </w:rPr>
              <w:br/>
              <w:t xml:space="preserve">Lorna Zúñiga Aguilera (frontend)</w:t>
            </w:r>
            <w:r>
              <w:rPr>
                <w:rFonts w:ascii="Calibri" w:cs="Calibri" w:eastAsia="Calibri" w:hAnsi="Calibri"/>
                <w:b w:val="false"/>
                <w:bCs w:val="false"/>
                <w:sz w:val="19"/>
                <w:szCs w:val="19"/>
              </w:rPr>
              <w:br/>
              <w:t xml:space="preserve">Aldo Espinoza Daza (base de datos e integración)</w:t>
            </w:r>
          </w:p>
        </w:tc>
      </w:tr>
      <w:tr>
        <w:tc>
          <w:tcPr>
            <w:tcW w:type="dxa" w:w="18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Ausentes</w:t>
            </w:r>
          </w:p>
        </w:tc>
        <w:tc>
          <w:tcPr>
            <w:tcW w:type="dxa" w:w="75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Ninguno</w:t>
            </w:r>
          </w:p>
        </w:tc>
      </w:tr>
      <w:tr>
        <w:tc>
          <w:tcPr>
            <w:tcW w:type="dxa" w:w="18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Objetivo</w:t>
            </w:r>
          </w:p>
        </w:tc>
        <w:tc>
          <w:tcPr>
            <w:tcW w:type="dxa" w:w="75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Decidir la metodología de desarrollo que regirá el proyecto, cerrar la selección de tecnologías y levantar el catálogo inicial de requisitos.</w:t>
            </w:r>
          </w:p>
        </w:tc>
      </w:tr>
    </w:tbl>
    <w:p>
      <w:pPr>
        <w:spacing w:after="140"/>
      </w:pPr>
    </w:p>
    <w:p>
      <w:pPr>
        <w:spacing w:after="80"/>
      </w:pPr>
      <w:r>
        <w:rPr>
          <w:rFonts w:ascii="Calibri" w:cs="Calibri" w:eastAsia="Calibri" w:hAnsi="Calibri"/>
          <w:b/>
          <w:bCs/>
          <w:sz w:val="21"/>
          <w:szCs w:val="21"/>
        </w:rPr>
        <w:t xml:space="preserve">Temas tratados</w:t>
      </w:r>
    </w:p>
    <w:p>
      <w:pPr>
        <w:spacing w:after="60" w:line="280"/>
        <w:jc w:val="both"/>
      </w:pPr>
      <w:r>
        <w:rPr>
          <w:rFonts w:ascii="Calibri" w:cs="Calibri" w:eastAsia="Calibri" w:hAnsi="Calibri"/>
          <w:sz w:val="22"/>
          <w:szCs w:val="22"/>
        </w:rPr>
        <w:t xml:space="preserve">1. Presentación del cuadro comparativo de alternativas técnicas para la reconstrucción tridimensional, comprometido en la reunión anterior.</w:t>
      </w:r>
    </w:p>
    <w:p>
      <w:pPr>
        <w:spacing w:after="60" w:line="280"/>
        <w:jc w:val="both"/>
      </w:pPr>
      <w:r>
        <w:rPr>
          <w:rFonts w:ascii="Calibri" w:cs="Calibri" w:eastAsia="Calibri" w:hAnsi="Calibri"/>
          <w:sz w:val="22"/>
          <w:szCs w:val="22"/>
        </w:rPr>
        <w:t xml:space="preserve">2. Discusión sobre la conveniencia de adoptar Scrum frente a un modelo incremental, considerando el tamaño del equipo y el calendario académico fijo.</w:t>
      </w:r>
    </w:p>
    <w:p>
      <w:pPr>
        <w:spacing w:after="60" w:line="280"/>
        <w:jc w:val="both"/>
      </w:pPr>
      <w:r>
        <w:rPr>
          <w:rFonts w:ascii="Calibri" w:cs="Calibri" w:eastAsia="Calibri" w:hAnsi="Calibri"/>
          <w:sz w:val="22"/>
          <w:szCs w:val="22"/>
        </w:rPr>
        <w:t xml:space="preserve">3. Análisis de la arquitectura propuesta y de la necesidad de desacoplar el procesamiento tridimensional del resto de la plataforma.</w:t>
      </w:r>
    </w:p>
    <w:p>
      <w:pPr>
        <w:spacing w:after="60" w:line="280"/>
        <w:jc w:val="both"/>
      </w:pPr>
      <w:r>
        <w:rPr>
          <w:rFonts w:ascii="Calibri" w:cs="Calibri" w:eastAsia="Calibri" w:hAnsi="Calibri"/>
          <w:sz w:val="22"/>
          <w:szCs w:val="22"/>
        </w:rPr>
        <w:t xml:space="preserve">4. Evaluación de los proveedores de infraestructura disponibles en modalidad gratuita o de bajo costo y estimación preliminar del costo de cómputo sobre GPU.</w:t>
      </w:r>
    </w:p>
    <w:p>
      <w:pPr>
        <w:spacing w:after="60" w:line="280"/>
        <w:jc w:val="both"/>
      </w:pPr>
      <w:r>
        <w:rPr>
          <w:rFonts w:ascii="Calibri" w:cs="Calibri" w:eastAsia="Calibri" w:hAnsi="Calibri"/>
          <w:sz w:val="22"/>
          <w:szCs w:val="22"/>
        </w:rPr>
        <w:t xml:space="preserve">5. Identificación preliminar de los actores del sistema y levantamiento del catálogo inicial de requisitos funcionales.</w:t>
      </w:r>
    </w:p>
    <w:p>
      <w:pPr>
        <w:spacing w:after="60" w:line="280"/>
        <w:jc w:val="both"/>
      </w:pPr>
      <w:r>
        <w:rPr>
          <w:rFonts w:ascii="Calibri" w:cs="Calibri" w:eastAsia="Calibri" w:hAnsi="Calibri"/>
          <w:sz w:val="22"/>
          <w:szCs w:val="22"/>
        </w:rPr>
        <w:t xml:space="preserve">6. Discusión sobre el nivel de detalle esperado en la documentación según la rúbrica de la asignatura.</w:t>
      </w:r>
    </w:p>
    <w:p>
      <w:pPr>
        <w:spacing w:after="120"/>
      </w:pPr>
    </w:p>
    <w:p>
      <w:pPr>
        <w:spacing w:after="80"/>
      </w:pPr>
      <w:r>
        <w:rPr>
          <w:rFonts w:ascii="Calibri" w:cs="Calibri" w:eastAsia="Calibri" w:hAnsi="Calibri"/>
          <w:b/>
          <w:bCs/>
          <w:sz w:val="21"/>
          <w:szCs w:val="21"/>
        </w:rPr>
        <w:t xml:space="preserve">Acuerdos adoptados</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700"/>
        <w:gridCol w:w="4660"/>
        <w:gridCol w:w="2200"/>
        <w:gridCol w:w="1800"/>
      </w:tblGrid>
      <w:tr>
        <w:trPr>
          <w:tblHeader/>
        </w:trPr>
        <w:tc>
          <w:tcPr>
            <w:tcW w:type="dxa" w:w="7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N.º</w:t>
            </w:r>
          </w:p>
        </w:tc>
        <w:tc>
          <w:tcPr>
            <w:tcW w:type="dxa" w:w="46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Acuerdo</w:t>
            </w:r>
          </w:p>
        </w:tc>
        <w:tc>
          <w:tcPr>
            <w:tcW w:type="dxa" w:w="22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Responsable</w:t>
            </w:r>
          </w:p>
        </w:tc>
        <w:tc>
          <w:tcPr>
            <w:tcW w:type="dxa" w:w="18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Plazo</w:t>
            </w:r>
          </w:p>
        </w:tc>
      </w:tr>
      <w:tr>
        <w:tc>
          <w:tcPr>
            <w:tcW w:type="dxa" w:w="7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1</w:t>
            </w:r>
          </w:p>
        </w:tc>
        <w:tc>
          <w:tcPr>
            <w:tcW w:type="dxa" w:w="46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Se adopta un modelo de desarrollo incremental con cinco entregas. Se descarta Scrum por el tamaño del equipo, el calendario fijo y la estabilidad de los requisitos. La justificación se incorpora al plan del proyecto.</w:t>
            </w:r>
          </w:p>
        </w:tc>
        <w:tc>
          <w:tcPr>
            <w:tcW w:type="dxa" w:w="2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Equipo</w:t>
            </w:r>
          </w:p>
        </w:tc>
        <w:tc>
          <w:tcPr>
            <w:tcW w:type="dxa" w:w="18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02-09-2026</w:t>
            </w:r>
          </w:p>
        </w:tc>
      </w:tr>
      <w:tr>
        <w:tc>
          <w:tcPr>
            <w:tcW w:type="dxa" w:w="7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2</w:t>
            </w:r>
          </w:p>
        </w:tc>
        <w:tc>
          <w:tcPr>
            <w:tcW w:type="dxa" w:w="46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Se confirma la arquitectura de cuatro componentes desacoplados, con el worker de reconstrucción ejecutándose sobre GPU bajo demanda.</w:t>
            </w:r>
          </w:p>
        </w:tc>
        <w:tc>
          <w:tcPr>
            <w:tcW w:type="dxa" w:w="22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J. Rojas</w:t>
            </w:r>
          </w:p>
        </w:tc>
        <w:tc>
          <w:tcPr>
            <w:tcW w:type="dxa" w:w="1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02-09-2026</w:t>
            </w:r>
          </w:p>
        </w:tc>
      </w:tr>
      <w:tr>
        <w:tc>
          <w:tcPr>
            <w:tcW w:type="dxa" w:w="7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3</w:t>
            </w:r>
          </w:p>
        </w:tc>
        <w:tc>
          <w:tcPr>
            <w:tcW w:type="dxa" w:w="46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Se fija un presupuesto máximo de 60 000 pesos chilenos para el consumo de GPU, financiado en partes iguales, con control semanal a cargo de J. Rojas.</w:t>
            </w:r>
          </w:p>
        </w:tc>
        <w:tc>
          <w:tcPr>
            <w:tcW w:type="dxa" w:w="2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J. Rojas</w:t>
            </w:r>
          </w:p>
        </w:tc>
        <w:tc>
          <w:tcPr>
            <w:tcW w:type="dxa" w:w="18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Permanente</w:t>
            </w:r>
          </w:p>
        </w:tc>
      </w:tr>
      <w:tr>
        <w:tc>
          <w:tcPr>
            <w:tcW w:type="dxa" w:w="7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4</w:t>
            </w:r>
          </w:p>
        </w:tc>
        <w:tc>
          <w:tcPr>
            <w:tcW w:type="dxa" w:w="46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Se establece como principio de diseño que el worker no escriba directamente en la base de datos, sino que reporte su estado a través del backend.</w:t>
            </w:r>
          </w:p>
        </w:tc>
        <w:tc>
          <w:tcPr>
            <w:tcW w:type="dxa" w:w="22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J. Rojas</w:t>
            </w:r>
          </w:p>
        </w:tc>
        <w:tc>
          <w:tcPr>
            <w:tcW w:type="dxa" w:w="1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Incremento 3</w:t>
            </w:r>
          </w:p>
        </w:tc>
      </w:tr>
      <w:tr>
        <w:tc>
          <w:tcPr>
            <w:tcW w:type="dxa" w:w="7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5</w:t>
            </w:r>
          </w:p>
        </w:tc>
        <w:tc>
          <w:tcPr>
            <w:tcW w:type="dxa" w:w="46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Se identifican cinco actores humanos y cuatro sistemas externos, que serán formalizados en el modelo de casos de uso.</w:t>
            </w:r>
          </w:p>
        </w:tc>
        <w:tc>
          <w:tcPr>
            <w:tcW w:type="dxa" w:w="2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 Espinoza</w:t>
            </w:r>
          </w:p>
        </w:tc>
        <w:tc>
          <w:tcPr>
            <w:tcW w:type="dxa" w:w="18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09-09-2026</w:t>
            </w:r>
          </w:p>
        </w:tc>
      </w:tr>
      <w:tr>
        <w:tc>
          <w:tcPr>
            <w:tcW w:type="dxa" w:w="7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6</w:t>
            </w:r>
          </w:p>
        </w:tc>
        <w:tc>
          <w:tcPr>
            <w:tcW w:type="dxa" w:w="46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Se elabora el catálogo inicial de requisitos funcionales a partir del alcance acordado.</w:t>
            </w:r>
          </w:p>
        </w:tc>
        <w:tc>
          <w:tcPr>
            <w:tcW w:type="dxa" w:w="22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L. Zúñiga</w:t>
            </w:r>
          </w:p>
        </w:tc>
        <w:tc>
          <w:tcPr>
            <w:tcW w:type="dxa" w:w="1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09-09-2026</w:t>
            </w:r>
          </w:p>
        </w:tc>
      </w:tr>
      <w:tr>
        <w:tc>
          <w:tcPr>
            <w:tcW w:type="dxa" w:w="7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7</w:t>
            </w:r>
          </w:p>
        </w:tc>
        <w:tc>
          <w:tcPr>
            <w:tcW w:type="dxa" w:w="46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Se consulta al docente guía, Luís Bravo, respecto del nivel de detalle esperado en los documentos de la Fase 1.</w:t>
            </w:r>
          </w:p>
        </w:tc>
        <w:tc>
          <w:tcPr>
            <w:tcW w:type="dxa" w:w="2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J. Rojas</w:t>
            </w:r>
          </w:p>
        </w:tc>
        <w:tc>
          <w:tcPr>
            <w:tcW w:type="dxa" w:w="18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04-09-2026</w:t>
            </w:r>
          </w:p>
        </w:tc>
      </w:tr>
    </w:tbl>
    <w:p>
      <w:pPr>
        <w:spacing w:after="120"/>
      </w:pPr>
    </w:p>
    <w:p>
      <w:pPr>
        <w:spacing w:after="80"/>
      </w:pPr>
      <w:r>
        <w:rPr>
          <w:rFonts w:ascii="Calibri" w:cs="Calibri" w:eastAsia="Calibri" w:hAnsi="Calibri"/>
          <w:b/>
          <w:bCs/>
          <w:sz w:val="21"/>
          <w:szCs w:val="21"/>
        </w:rPr>
        <w:t xml:space="preserve">Compromisos pendientes de la reunión anterior</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5060"/>
        <w:gridCol w:w="2200"/>
        <w:gridCol w:w="2100"/>
      </w:tblGrid>
      <w:tr>
        <w:trPr>
          <w:tblHeader/>
        </w:trPr>
        <w:tc>
          <w:tcPr>
            <w:tcW w:type="dxa" w:w="50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Compromiso</w:t>
            </w:r>
          </w:p>
        </w:tc>
        <w:tc>
          <w:tcPr>
            <w:tcW w:type="dxa" w:w="22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Responsable</w:t>
            </w:r>
          </w:p>
        </w:tc>
        <w:tc>
          <w:tcPr>
            <w:tcW w:type="dxa" w:w="21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Estado</w:t>
            </w:r>
          </w:p>
        </w:tc>
      </w:tr>
      <w:tr>
        <w:tc>
          <w:tcPr>
            <w:tcW w:type="dxa" w:w="50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Crear el repositorio del proyecto con estructura de monorepo (ACT-01, acuerdo 7).</w:t>
            </w:r>
          </w:p>
        </w:tc>
        <w:tc>
          <w:tcPr>
            <w:tcW w:type="dxa" w:w="2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J. Rojas</w:t>
            </w:r>
          </w:p>
        </w:tc>
        <w:tc>
          <w:tcPr>
            <w:tcW w:type="dxa" w:w="21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Cumplido el 28-08-2026</w:t>
            </w:r>
          </w:p>
        </w:tc>
      </w:tr>
      <w:tr>
        <w:tc>
          <w:tcPr>
            <w:tcW w:type="dxa" w:w="50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Presentar el cuadro comparativo de alternativas técnicas (ACT-01, acuerdo 8).</w:t>
            </w:r>
          </w:p>
        </w:tc>
        <w:tc>
          <w:tcPr>
            <w:tcW w:type="dxa" w:w="22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J. Rojas</w:t>
            </w:r>
          </w:p>
        </w:tc>
        <w:tc>
          <w:tcPr>
            <w:tcW w:type="dxa" w:w="21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Cumplido</w:t>
            </w:r>
          </w:p>
        </w:tc>
      </w:tr>
    </w:tbl>
    <w:p>
      <w:pPr>
        <w:spacing w:after="120"/>
      </w:pP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2200"/>
        <w:gridCol w:w="7160"/>
      </w:tblGrid>
      <w:tr>
        <w:tc>
          <w:tcPr>
            <w:tcW w:type="dxa" w:w="22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Próxima reunión</w:t>
            </w:r>
          </w:p>
        </w:tc>
        <w:tc>
          <w:tcPr>
            <w:tcW w:type="dxa" w:w="71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9 de septiembre de 2026, 19:00 horas. Tema: revisión del catálogo de requisitos, modelado UML y avance de la prueba de concepto del pipeline.</w:t>
            </w:r>
          </w:p>
        </w:tc>
      </w:tr>
    </w:tbl>
    <w:p>
      <w:r>
        <w:br w:type="page"/>
      </w:r>
    </w:p>
    <w:p>
      <w:pPr>
        <w:pStyle w:val="Heading1"/>
        <w:spacing w:after="200" w:before="320"/>
      </w:pPr>
      <w:r>
        <w:t xml:space="preserve">4. Estados de avance</w:t>
      </w:r>
    </w:p>
    <w:p>
      <w:pPr>
        <w:spacing w:after="120" w:line="280"/>
        <w:jc w:val="both"/>
      </w:pPr>
      <w:r>
        <w:rPr>
          <w:rFonts w:ascii="Calibri" w:cs="Calibri" w:eastAsia="Calibri" w:hAnsi="Calibri"/>
          <w:sz w:val="22"/>
          <w:szCs w:val="22"/>
        </w:rPr>
        <w:t xml:space="preserve">El estado de avance es el instrumento formal mediante el cual el equipo informa al docente guía sobre el progreso real del proyecto, sus desviaciones respecto de lo planificado y los riesgos que se encuentran activos. Durante la Fase 1 se emite con periodicidad semanal, dado el volumen de decisiones que se concentra en esta etapa inicial; a partir de la Fase 2 pasará a periodicidad quincenal, conforme a lo establecido en el plan de comunicaciones. Se remite con al menos 48 horas de anticipación a la reunión de seguimiento académico, de modo que la revisión pueda realizarse sobre información previamente analizada.</w:t>
      </w:r>
    </w:p>
    <w:p>
      <w:pPr>
        <w:spacing w:after="120" w:line="280"/>
        <w:jc w:val="both"/>
      </w:pPr>
      <w:r>
        <w:rPr>
          <w:rFonts w:ascii="Calibri" w:cs="Calibri" w:eastAsia="Calibri" w:hAnsi="Calibri"/>
          <w:sz w:val="22"/>
          <w:szCs w:val="22"/>
        </w:rPr>
        <w:t xml:space="preserve">El estado general se expresa mediante un indicador de tres niveles: verde cuando el avance se ajusta a lo planificado, amarillo cuando existen desviaciones controladas con plan de recuperación definido, y rojo cuando la desviación compromete un hito y requiere una decisión que excede la capacidad de acción del equipo. Este criterio evita la ambigüedad de las apreciaciones cualitativas.</w:t>
      </w:r>
    </w:p>
    <w:p>
      <w:pPr>
        <w:spacing w:after="80" w:before="220"/>
      </w:pPr>
      <w:r>
        <w:rPr>
          <w:rFonts w:ascii="Calibri" w:cs="Calibri" w:eastAsia="Calibri" w:hAnsi="Calibri"/>
          <w:b/>
          <w:bCs/>
          <w:color w:val="2E6DA4"/>
          <w:sz w:val="22"/>
          <w:szCs w:val="22"/>
        </w:rPr>
        <w:t xml:space="preserve">EA-01 — Estado de avance N.º 1 — Semana 1</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2400"/>
        <w:gridCol w:w="6960"/>
      </w:tblGrid>
      <w:tr>
        <w:tc>
          <w:tcPr>
            <w:tcW w:type="dxa" w:w="24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Período informado</w:t>
            </w:r>
          </w:p>
        </w:tc>
        <w:tc>
          <w:tcPr>
            <w:tcW w:type="dxa" w:w="69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Del 22 al 28 de agosto de 2026 (semana 1)</w:t>
            </w:r>
          </w:p>
        </w:tc>
      </w:tr>
      <w:tr>
        <w:tc>
          <w:tcPr>
            <w:tcW w:type="dxa" w:w="24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Fecha de emisión</w:t>
            </w:r>
          </w:p>
        </w:tc>
        <w:tc>
          <w:tcPr>
            <w:tcW w:type="dxa" w:w="69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28 de agosto de 2026</w:t>
            </w:r>
          </w:p>
        </w:tc>
      </w:tr>
      <w:tr>
        <w:tc>
          <w:tcPr>
            <w:tcW w:type="dxa" w:w="24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Elaborado por</w:t>
            </w:r>
          </w:p>
        </w:tc>
        <w:tc>
          <w:tcPr>
            <w:tcW w:type="dxa" w:w="69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Jesús Rojas Gutiérrez, coordinación del cronograma</w:t>
            </w:r>
          </w:p>
        </w:tc>
      </w:tr>
      <w:tr>
        <w:tc>
          <w:tcPr>
            <w:tcW w:type="dxa" w:w="24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Dirigido a</w:t>
            </w:r>
          </w:p>
        </w:tc>
        <w:tc>
          <w:tcPr>
            <w:tcW w:type="dxa" w:w="69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Docente guía de Portafolio de Título</w:t>
            </w:r>
          </w:p>
        </w:tc>
      </w:tr>
      <w:tr>
        <w:tc>
          <w:tcPr>
            <w:tcW w:type="dxa" w:w="24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Estado general</w:t>
            </w:r>
          </w:p>
        </w:tc>
        <w:tc>
          <w:tcPr>
            <w:tcW w:type="dxa" w:w="69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VERDE — El avance se ajusta a lo planificado.</w:t>
            </w:r>
          </w:p>
        </w:tc>
      </w:tr>
      <w:tr>
        <w:tc>
          <w:tcPr>
            <w:tcW w:type="dxa" w:w="24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Avance del proyecto</w:t>
            </w:r>
          </w:p>
        </w:tc>
        <w:tc>
          <w:tcPr>
            <w:tcW w:type="dxa" w:w="69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8 % del proyecto total · 30 % de la Fase 1</w:t>
            </w:r>
          </w:p>
        </w:tc>
      </w:tr>
    </w:tbl>
    <w:p>
      <w:pPr>
        <w:spacing w:after="140"/>
      </w:pPr>
    </w:p>
    <w:p>
      <w:pPr>
        <w:spacing w:after="80"/>
      </w:pPr>
      <w:r>
        <w:rPr>
          <w:rFonts w:ascii="Calibri" w:cs="Calibri" w:eastAsia="Calibri" w:hAnsi="Calibri"/>
          <w:b/>
          <w:bCs/>
          <w:sz w:val="21"/>
          <w:szCs w:val="21"/>
        </w:rPr>
        <w:t xml:space="preserve">Avance por actividad planificada</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2700"/>
        <w:gridCol w:w="1200"/>
        <w:gridCol w:w="1000"/>
        <w:gridCol w:w="1300"/>
        <w:gridCol w:w="3160"/>
      </w:tblGrid>
      <w:tr>
        <w:trPr>
          <w:tblHeader/>
        </w:trPr>
        <w:tc>
          <w:tcPr>
            <w:tcW w:type="dxa" w:w="27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Actividad</w:t>
            </w:r>
          </w:p>
        </w:tc>
        <w:tc>
          <w:tcPr>
            <w:tcW w:type="dxa" w:w="12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Planificado</w:t>
            </w:r>
          </w:p>
        </w:tc>
        <w:tc>
          <w:tcPr>
            <w:tcW w:type="dxa" w:w="10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Real</w:t>
            </w:r>
          </w:p>
        </w:tc>
        <w:tc>
          <w:tcPr>
            <w:tcW w:type="dxa" w:w="13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Estado</w:t>
            </w:r>
          </w:p>
        </w:tc>
        <w:tc>
          <w:tcPr>
            <w:tcW w:type="dxa" w:w="31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Observación</w:t>
            </w:r>
          </w:p>
        </w:tc>
      </w:tr>
      <w:tr>
        <w:tc>
          <w:tcPr>
            <w:tcW w:type="dxa" w:w="27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Constitución del equipo y definición de roles</w:t>
            </w:r>
          </w:p>
        </w:tc>
        <w:tc>
          <w:tcPr>
            <w:tcW w:type="dxa" w:w="12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100 %</w:t>
            </w:r>
          </w:p>
        </w:tc>
        <w:tc>
          <w:tcPr>
            <w:tcW w:type="dxa" w:w="10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100 %</w:t>
            </w:r>
          </w:p>
        </w:tc>
        <w:tc>
          <w:tcPr>
            <w:tcW w:type="dxa" w:w="13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Completada</w:t>
            </w:r>
          </w:p>
        </w:tc>
        <w:tc>
          <w:tcPr>
            <w:tcW w:type="dxa" w:w="3160"/>
            <w:tcMar>
              <w:top w:type="dxa" w:w="60"/>
              <w:left w:type="dxa" w:w="90"/>
              <w:bottom w:type="dxa" w:w="60"/>
              <w:right w:type="dxa" w:w="90"/>
            </w:tcMar>
            <w:vAlign w:val="center"/>
          </w:tcPr>
          <w:p>
            <w:pPr>
              <w:spacing w:after="40" w:before="40" w:line="250"/>
              <w:jc w:val="both"/>
            </w:pPr>
            <w:r>
              <w:rPr>
                <w:rFonts w:ascii="Calibri" w:cs="Calibri" w:eastAsia="Calibri" w:hAnsi="Calibri"/>
                <w:sz w:val="17"/>
                <w:szCs w:val="17"/>
              </w:rPr>
              <w:t xml:space="preserve">Roles asignados según fortalezas declaradas por cada integrante.</w:t>
            </w:r>
          </w:p>
        </w:tc>
      </w:tr>
      <w:tr>
        <w:tc>
          <w:tcPr>
            <w:tcW w:type="dxa" w:w="27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Definición del problema y del alcance</w:t>
            </w:r>
          </w:p>
        </w:tc>
        <w:tc>
          <w:tcPr>
            <w:tcW w:type="dxa" w:w="12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100 %</w:t>
            </w:r>
          </w:p>
        </w:tc>
        <w:tc>
          <w:tcPr>
            <w:tcW w:type="dxa" w:w="10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100 %</w:t>
            </w:r>
          </w:p>
        </w:tc>
        <w:tc>
          <w:tcPr>
            <w:tcW w:type="dxa" w:w="13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Completada</w:t>
            </w:r>
          </w:p>
        </w:tc>
        <w:tc>
          <w:tcPr>
            <w:tcW w:type="dxa" w:w="3160"/>
            <w:shd w:fill="FAFBFC" w:color="auto" w:val="clear"/>
            <w:tcMar>
              <w:top w:type="dxa" w:w="60"/>
              <w:left w:type="dxa" w:w="90"/>
              <w:bottom w:type="dxa" w:w="60"/>
              <w:right w:type="dxa" w:w="90"/>
            </w:tcMar>
            <w:vAlign w:val="center"/>
          </w:tcPr>
          <w:p>
            <w:pPr>
              <w:spacing w:after="40" w:before="40" w:line="250"/>
              <w:jc w:val="both"/>
            </w:pPr>
            <w:r>
              <w:rPr>
                <w:rFonts w:ascii="Calibri" w:cs="Calibri" w:eastAsia="Calibri" w:hAnsi="Calibri"/>
                <w:sz w:val="17"/>
                <w:szCs w:val="17"/>
              </w:rPr>
              <w:t xml:space="preserve">Exclusiones documentadas con su fundamento en el acta ACT-01.</w:t>
            </w:r>
          </w:p>
        </w:tc>
      </w:tr>
      <w:tr>
        <w:tc>
          <w:tcPr>
            <w:tcW w:type="dxa" w:w="27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Comparación de alternativas técnicas</w:t>
            </w:r>
          </w:p>
        </w:tc>
        <w:tc>
          <w:tcPr>
            <w:tcW w:type="dxa" w:w="12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100 %</w:t>
            </w:r>
          </w:p>
        </w:tc>
        <w:tc>
          <w:tcPr>
            <w:tcW w:type="dxa" w:w="10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80 %</w:t>
            </w:r>
          </w:p>
        </w:tc>
        <w:tc>
          <w:tcPr>
            <w:tcW w:type="dxa" w:w="13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En curso</w:t>
            </w:r>
          </w:p>
        </w:tc>
        <w:tc>
          <w:tcPr>
            <w:tcW w:type="dxa" w:w="3160"/>
            <w:tcMar>
              <w:top w:type="dxa" w:w="60"/>
              <w:left w:type="dxa" w:w="90"/>
              <w:bottom w:type="dxa" w:w="60"/>
              <w:right w:type="dxa" w:w="90"/>
            </w:tcMar>
            <w:vAlign w:val="center"/>
          </w:tcPr>
          <w:p>
            <w:pPr>
              <w:spacing w:after="40" w:before="40" w:line="250"/>
              <w:jc w:val="both"/>
            </w:pPr>
            <w:r>
              <w:rPr>
                <w:rFonts w:ascii="Calibri" w:cs="Calibri" w:eastAsia="Calibri" w:hAnsi="Calibri"/>
                <w:sz w:val="17"/>
                <w:szCs w:val="17"/>
              </w:rPr>
              <w:t xml:space="preserve">Cuadro comparativo entre fotogrametría clásica, NeRF y Gaussian Splatting en revisión final.</w:t>
            </w:r>
          </w:p>
        </w:tc>
      </w:tr>
      <w:tr>
        <w:tc>
          <w:tcPr>
            <w:tcW w:type="dxa" w:w="27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Levantamiento de requisitos</w:t>
            </w:r>
          </w:p>
        </w:tc>
        <w:tc>
          <w:tcPr>
            <w:tcW w:type="dxa" w:w="12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30 %</w:t>
            </w:r>
          </w:p>
        </w:tc>
        <w:tc>
          <w:tcPr>
            <w:tcW w:type="dxa" w:w="10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25 %</w:t>
            </w:r>
          </w:p>
        </w:tc>
        <w:tc>
          <w:tcPr>
            <w:tcW w:type="dxa" w:w="13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En curso</w:t>
            </w:r>
          </w:p>
        </w:tc>
        <w:tc>
          <w:tcPr>
            <w:tcW w:type="dxa" w:w="3160"/>
            <w:shd w:fill="FAFBFC" w:color="auto" w:val="clear"/>
            <w:tcMar>
              <w:top w:type="dxa" w:w="60"/>
              <w:left w:type="dxa" w:w="90"/>
              <w:bottom w:type="dxa" w:w="60"/>
              <w:right w:type="dxa" w:w="90"/>
            </w:tcMar>
            <w:vAlign w:val="center"/>
          </w:tcPr>
          <w:p>
            <w:pPr>
              <w:spacing w:after="40" w:before="40" w:line="250"/>
              <w:jc w:val="both"/>
            </w:pPr>
            <w:r>
              <w:rPr>
                <w:rFonts w:ascii="Calibri" w:cs="Calibri" w:eastAsia="Calibri" w:hAnsi="Calibri"/>
                <w:sz w:val="17"/>
                <w:szCs w:val="17"/>
              </w:rPr>
              <w:t xml:space="preserve">Primer listado preliminar de necesidades a partir del alcance acordado.</w:t>
            </w:r>
          </w:p>
        </w:tc>
      </w:tr>
      <w:tr>
        <w:tc>
          <w:tcPr>
            <w:tcW w:type="dxa" w:w="27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Configuración del repositorio</w:t>
            </w:r>
          </w:p>
        </w:tc>
        <w:tc>
          <w:tcPr>
            <w:tcW w:type="dxa" w:w="12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100 %</w:t>
            </w:r>
          </w:p>
        </w:tc>
        <w:tc>
          <w:tcPr>
            <w:tcW w:type="dxa" w:w="10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100 %</w:t>
            </w:r>
          </w:p>
        </w:tc>
        <w:tc>
          <w:tcPr>
            <w:tcW w:type="dxa" w:w="13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Completada</w:t>
            </w:r>
          </w:p>
        </w:tc>
        <w:tc>
          <w:tcPr>
            <w:tcW w:type="dxa" w:w="3160"/>
            <w:tcMar>
              <w:top w:type="dxa" w:w="60"/>
              <w:left w:type="dxa" w:w="90"/>
              <w:bottom w:type="dxa" w:w="60"/>
              <w:right w:type="dxa" w:w="90"/>
            </w:tcMar>
            <w:vAlign w:val="center"/>
          </w:tcPr>
          <w:p>
            <w:pPr>
              <w:spacing w:after="40" w:before="40" w:line="250"/>
              <w:jc w:val="both"/>
            </w:pPr>
            <w:r>
              <w:rPr>
                <w:rFonts w:ascii="Calibri" w:cs="Calibri" w:eastAsia="Calibri" w:hAnsi="Calibri"/>
                <w:sz w:val="17"/>
                <w:szCs w:val="17"/>
              </w:rPr>
              <w:t xml:space="preserve">Monorepo creado con la estructura de cuatro componentes.</w:t>
            </w:r>
          </w:p>
        </w:tc>
      </w:tr>
      <w:tr>
        <w:tc>
          <w:tcPr>
            <w:tcW w:type="dxa" w:w="27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Prueba de concepto del pipeline 3D</w:t>
            </w:r>
          </w:p>
        </w:tc>
        <w:tc>
          <w:tcPr>
            <w:tcW w:type="dxa" w:w="12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10 %</w:t>
            </w:r>
          </w:p>
        </w:tc>
        <w:tc>
          <w:tcPr>
            <w:tcW w:type="dxa" w:w="10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5 %</w:t>
            </w:r>
          </w:p>
        </w:tc>
        <w:tc>
          <w:tcPr>
            <w:tcW w:type="dxa" w:w="13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En curso</w:t>
            </w:r>
          </w:p>
        </w:tc>
        <w:tc>
          <w:tcPr>
            <w:tcW w:type="dxa" w:w="3160"/>
            <w:shd w:fill="FAFBFC" w:color="auto" w:val="clear"/>
            <w:tcMar>
              <w:top w:type="dxa" w:w="60"/>
              <w:left w:type="dxa" w:w="90"/>
              <w:bottom w:type="dxa" w:w="60"/>
              <w:right w:type="dxa" w:w="90"/>
            </w:tcMar>
            <w:vAlign w:val="center"/>
          </w:tcPr>
          <w:p>
            <w:pPr>
              <w:spacing w:after="40" w:before="40" w:line="250"/>
              <w:jc w:val="both"/>
            </w:pPr>
            <w:r>
              <w:rPr>
                <w:rFonts w:ascii="Calibri" w:cs="Calibri" w:eastAsia="Calibri" w:hAnsi="Calibri"/>
                <w:sz w:val="17"/>
                <w:szCs w:val="17"/>
              </w:rPr>
              <w:t xml:space="preserve">Instalación inicial del entorno de reconstrucción fotogramétrica.</w:t>
            </w:r>
          </w:p>
        </w:tc>
      </w:tr>
    </w:tbl>
    <w:p>
      <w:pPr>
        <w:spacing w:after="140"/>
      </w:pPr>
    </w:p>
    <w:p>
      <w:pPr>
        <w:spacing w:after="80"/>
      </w:pPr>
      <w:r>
        <w:rPr>
          <w:rFonts w:ascii="Calibri" w:cs="Calibri" w:eastAsia="Calibri" w:hAnsi="Calibri"/>
          <w:b/>
          <w:bCs/>
          <w:sz w:val="21"/>
          <w:szCs w:val="21"/>
        </w:rPr>
        <w:t xml:space="preserve">Logros del período</w:t>
      </w:r>
    </w:p>
    <w:p>
      <w:pPr>
        <w:pStyle w:val="ListParagraph"/>
        <w:numPr>
          <w:ilvl w:val="0"/>
          <w:numId w:val="2"/>
        </w:numPr>
        <w:spacing w:after="70" w:line="270"/>
      </w:pPr>
      <w:r>
        <w:rPr>
          <w:rFonts w:ascii="Calibri" w:cs="Calibri" w:eastAsia="Calibri" w:hAnsi="Calibri"/>
          <w:sz w:val="22"/>
          <w:szCs w:val="22"/>
        </w:rPr>
        <w:t xml:space="preserve">El proyecto quedó formalmente constituido, con roles asignados y reglas de trabajo acordadas y documentadas en la primera acta.</w:t>
      </w:r>
    </w:p>
    <w:p>
      <w:pPr>
        <w:pStyle w:val="ListParagraph"/>
        <w:numPr>
          <w:ilvl w:val="0"/>
          <w:numId w:val="2"/>
        </w:numPr>
        <w:spacing w:after="70" w:line="270"/>
      </w:pPr>
      <w:r>
        <w:rPr>
          <w:rFonts w:ascii="Calibri" w:cs="Calibri" w:eastAsia="Calibri" w:hAnsi="Calibri"/>
          <w:sz w:val="22"/>
          <w:szCs w:val="22"/>
        </w:rPr>
        <w:t xml:space="preserve">El alcance fue delimitado de manera explícita, incluyendo cuatro exclusiones con su fundamento, lo que reduce el riesgo de crecimiento no controlado del trabajo.</w:t>
      </w:r>
    </w:p>
    <w:p>
      <w:pPr>
        <w:pStyle w:val="ListParagraph"/>
        <w:numPr>
          <w:ilvl w:val="0"/>
          <w:numId w:val="2"/>
        </w:numPr>
        <w:spacing w:after="70" w:line="270"/>
      </w:pPr>
      <w:r>
        <w:rPr>
          <w:rFonts w:ascii="Calibri" w:cs="Calibri" w:eastAsia="Calibri" w:hAnsi="Calibri"/>
          <w:sz w:val="22"/>
          <w:szCs w:val="22"/>
        </w:rPr>
        <w:t xml:space="preserve">El repositorio se encuentra operativo con la estructura de monorepo definida y acceso para los tres integrantes.</w:t>
      </w:r>
    </w:p>
    <w:p>
      <w:pPr>
        <w:pStyle w:val="ListParagraph"/>
        <w:numPr>
          <w:ilvl w:val="0"/>
          <w:numId w:val="2"/>
        </w:numPr>
        <w:spacing w:after="70" w:line="270"/>
      </w:pPr>
      <w:r>
        <w:rPr>
          <w:rFonts w:ascii="Calibri" w:cs="Calibri" w:eastAsia="Calibri" w:hAnsi="Calibri"/>
          <w:sz w:val="22"/>
          <w:szCs w:val="22"/>
        </w:rPr>
        <w:t xml:space="preserve">Se acordó la metodología de trabajo del equipo (reunión semanal, dedicación mínima, roles) antes de iniciar cualquier actividad técnica.</w:t>
      </w:r>
    </w:p>
    <w:p>
      <w:pPr>
        <w:spacing w:after="100"/>
      </w:pPr>
    </w:p>
    <w:p>
      <w:pPr>
        <w:spacing w:after="80"/>
      </w:pPr>
      <w:r>
        <w:rPr>
          <w:rFonts w:ascii="Calibri" w:cs="Calibri" w:eastAsia="Calibri" w:hAnsi="Calibri"/>
          <w:b/>
          <w:bCs/>
          <w:sz w:val="21"/>
          <w:szCs w:val="21"/>
        </w:rPr>
        <w:t xml:space="preserve">Desviaciones y dificultades</w:t>
      </w:r>
    </w:p>
    <w:p>
      <w:pPr>
        <w:pStyle w:val="ListParagraph"/>
        <w:numPr>
          <w:ilvl w:val="0"/>
          <w:numId w:val="2"/>
        </w:numPr>
        <w:spacing w:after="70" w:line="270"/>
      </w:pPr>
      <w:r>
        <w:rPr>
          <w:rFonts w:ascii="Calibri" w:cs="Calibri" w:eastAsia="Calibri" w:hAnsi="Calibri"/>
          <w:sz w:val="22"/>
          <w:szCs w:val="22"/>
        </w:rPr>
        <w:t xml:space="preserve">No se registran desviaciones relevantes en esta primera semana: el proyecto se encuentra en su etapa de arranque y las actividades en curso corresponden a lo planificado para el inicio de la Fase 1.</w:t>
      </w:r>
    </w:p>
    <w:p>
      <w:pPr>
        <w:spacing w:after="100"/>
      </w:pPr>
    </w:p>
    <w:p>
      <w:pPr>
        <w:spacing w:after="80"/>
      </w:pPr>
      <w:r>
        <w:rPr>
          <w:rFonts w:ascii="Calibri" w:cs="Calibri" w:eastAsia="Calibri" w:hAnsi="Calibri"/>
          <w:b/>
          <w:bCs/>
          <w:sz w:val="21"/>
          <w:szCs w:val="21"/>
        </w:rPr>
        <w:t xml:space="preserve">Riesgos activos</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700"/>
        <w:gridCol w:w="3000"/>
        <w:gridCol w:w="1500"/>
        <w:gridCol w:w="4160"/>
      </w:tblGrid>
      <w:tr>
        <w:trPr>
          <w:tblHeader/>
        </w:trPr>
        <w:tc>
          <w:tcPr>
            <w:tcW w:type="dxa" w:w="7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ID</w:t>
            </w:r>
          </w:p>
        </w:tc>
        <w:tc>
          <w:tcPr>
            <w:tcW w:type="dxa" w:w="30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Riesgo</w:t>
            </w:r>
          </w:p>
        </w:tc>
        <w:tc>
          <w:tcPr>
            <w:tcW w:type="dxa" w:w="15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Tendencia</w:t>
            </w:r>
          </w:p>
        </w:tc>
        <w:tc>
          <w:tcPr>
            <w:tcW w:type="dxa" w:w="41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Acción en curso</w:t>
            </w:r>
          </w:p>
        </w:tc>
      </w:tr>
      <w:tr>
        <w:tc>
          <w:tcPr>
            <w:tcW w:type="dxa" w:w="7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R-04</w:t>
            </w:r>
          </w:p>
        </w:tc>
        <w:tc>
          <w:tcPr>
            <w:tcW w:type="dxa" w:w="30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Curva de aprendizaje de las herramientas de reconstrucción.</w:t>
            </w:r>
          </w:p>
        </w:tc>
        <w:tc>
          <w:tcPr>
            <w:tcW w:type="dxa" w:w="15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Estable</w:t>
            </w:r>
          </w:p>
        </w:tc>
        <w:tc>
          <w:tcPr>
            <w:tcW w:type="dxa" w:w="41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Se inicia la instalación del entorno; aún sin incidentes que reportar.</w:t>
            </w:r>
          </w:p>
        </w:tc>
      </w:tr>
      <w:tr>
        <w:tc>
          <w:tcPr>
            <w:tcW w:type="dxa" w:w="7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R-01</w:t>
            </w:r>
          </w:p>
        </w:tc>
        <w:tc>
          <w:tcPr>
            <w:tcW w:type="dxa" w:w="30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Consumo de GPU sobre el presupuesto disponible.</w:t>
            </w:r>
          </w:p>
        </w:tc>
        <w:tc>
          <w:tcPr>
            <w:tcW w:type="dxa" w:w="15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Estable</w:t>
            </w:r>
          </w:p>
        </w:tc>
        <w:tc>
          <w:tcPr>
            <w:tcW w:type="dxa" w:w="41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Aún no se registra consumo, dado que la prueba de concepto recién comienza.</w:t>
            </w:r>
          </w:p>
        </w:tc>
      </w:tr>
      <w:tr>
        <w:tc>
          <w:tcPr>
            <w:tcW w:type="dxa" w:w="7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R-05</w:t>
            </w:r>
          </w:p>
        </w:tc>
        <w:tc>
          <w:tcPr>
            <w:tcW w:type="dxa" w:w="30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Reducción de la disponibilidad del equipo por carga académica.</w:t>
            </w:r>
          </w:p>
        </w:tc>
        <w:tc>
          <w:tcPr>
            <w:tcW w:type="dxa" w:w="15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Estable</w:t>
            </w:r>
          </w:p>
        </w:tc>
        <w:tc>
          <w:tcPr>
            <w:tcW w:type="dxa" w:w="41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Sin evaluaciones relevantes en el período informado.</w:t>
            </w:r>
          </w:p>
        </w:tc>
      </w:tr>
    </w:tbl>
    <w:p>
      <w:pPr>
        <w:spacing w:after="140"/>
      </w:pPr>
    </w:p>
    <w:p>
      <w:pPr>
        <w:spacing w:after="80"/>
      </w:pPr>
      <w:r>
        <w:rPr>
          <w:rFonts w:ascii="Calibri" w:cs="Calibri" w:eastAsia="Calibri" w:hAnsi="Calibri"/>
          <w:b/>
          <w:bCs/>
          <w:sz w:val="21"/>
          <w:szCs w:val="21"/>
        </w:rPr>
        <w:t xml:space="preserve">Actividades comprometidas para el próximo período</w:t>
      </w:r>
    </w:p>
    <w:p>
      <w:pPr>
        <w:pStyle w:val="ListParagraph"/>
        <w:numPr>
          <w:ilvl w:val="0"/>
          <w:numId w:val="2"/>
        </w:numPr>
        <w:spacing w:after="70" w:line="270"/>
      </w:pPr>
      <w:r>
        <w:rPr>
          <w:rFonts w:ascii="Calibri" w:cs="Calibri" w:eastAsia="Calibri" w:hAnsi="Calibri"/>
          <w:sz w:val="22"/>
          <w:szCs w:val="22"/>
        </w:rPr>
        <w:t xml:space="preserve">Cerrar la selección de la metodología de desarrollo y del stack tecnológico.</w:t>
      </w:r>
    </w:p>
    <w:p>
      <w:pPr>
        <w:pStyle w:val="ListParagraph"/>
        <w:numPr>
          <w:ilvl w:val="0"/>
          <w:numId w:val="2"/>
        </w:numPr>
        <w:spacing w:after="70" w:line="270"/>
      </w:pPr>
      <w:r>
        <w:rPr>
          <w:rFonts w:ascii="Calibri" w:cs="Calibri" w:eastAsia="Calibri" w:hAnsi="Calibri"/>
          <w:sz w:val="22"/>
          <w:szCs w:val="22"/>
        </w:rPr>
        <w:t xml:space="preserve">Completar el catálogo de requisitos funcionales y no funcionales.</w:t>
      </w:r>
    </w:p>
    <w:p>
      <w:pPr>
        <w:pStyle w:val="ListParagraph"/>
        <w:numPr>
          <w:ilvl w:val="0"/>
          <w:numId w:val="2"/>
        </w:numPr>
        <w:spacing w:after="70" w:line="270"/>
      </w:pPr>
      <w:r>
        <w:rPr>
          <w:rFonts w:ascii="Calibri" w:cs="Calibri" w:eastAsia="Calibri" w:hAnsi="Calibri"/>
          <w:sz w:val="22"/>
          <w:szCs w:val="22"/>
        </w:rPr>
        <w:t xml:space="preserve">Avanzar la prueba de concepto del pipeline y documentar sus resultados preliminares.</w:t>
      </w:r>
    </w:p>
    <w:p>
      <w:pPr>
        <w:pStyle w:val="ListParagraph"/>
        <w:numPr>
          <w:ilvl w:val="0"/>
          <w:numId w:val="2"/>
        </w:numPr>
        <w:spacing w:after="70" w:line="270"/>
      </w:pPr>
      <w:r>
        <w:rPr>
          <w:rFonts w:ascii="Calibri" w:cs="Calibri" w:eastAsia="Calibri" w:hAnsi="Calibri"/>
          <w:sz w:val="22"/>
          <w:szCs w:val="22"/>
        </w:rPr>
        <w:t xml:space="preserve">Iniciar el modelo de casos de uso a partir del alcance ya acordado.</w:t>
      </w:r>
    </w:p>
    <w:p>
      <w:r>
        <w:br w:type="page"/>
      </w:r>
    </w:p>
    <w:p>
      <w:pPr>
        <w:spacing w:after="80" w:before="220"/>
      </w:pPr>
      <w:r>
        <w:rPr>
          <w:rFonts w:ascii="Calibri" w:cs="Calibri" w:eastAsia="Calibri" w:hAnsi="Calibri"/>
          <w:b/>
          <w:bCs/>
          <w:color w:val="2E6DA4"/>
          <w:sz w:val="22"/>
          <w:szCs w:val="22"/>
        </w:rPr>
        <w:t xml:space="preserve">EA-02 — Estado de avance N.º 2 — Semana 2</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2400"/>
        <w:gridCol w:w="6960"/>
      </w:tblGrid>
      <w:tr>
        <w:tc>
          <w:tcPr>
            <w:tcW w:type="dxa" w:w="24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Período informado</w:t>
            </w:r>
          </w:p>
        </w:tc>
        <w:tc>
          <w:tcPr>
            <w:tcW w:type="dxa" w:w="69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Del 29 de agosto al 4 de septiembre de 2026 (semana 2)</w:t>
            </w:r>
          </w:p>
        </w:tc>
      </w:tr>
      <w:tr>
        <w:tc>
          <w:tcPr>
            <w:tcW w:type="dxa" w:w="24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Fecha de emisión</w:t>
            </w:r>
          </w:p>
        </w:tc>
        <w:tc>
          <w:tcPr>
            <w:tcW w:type="dxa" w:w="69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5 de septiembre de 2026</w:t>
            </w:r>
          </w:p>
        </w:tc>
      </w:tr>
      <w:tr>
        <w:tc>
          <w:tcPr>
            <w:tcW w:type="dxa" w:w="24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Elaborado por</w:t>
            </w:r>
          </w:p>
        </w:tc>
        <w:tc>
          <w:tcPr>
            <w:tcW w:type="dxa" w:w="69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Jesús Rojas Gutiérrez, coordinación del cronograma</w:t>
            </w:r>
          </w:p>
        </w:tc>
      </w:tr>
      <w:tr>
        <w:tc>
          <w:tcPr>
            <w:tcW w:type="dxa" w:w="24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Dirigido a</w:t>
            </w:r>
          </w:p>
        </w:tc>
        <w:tc>
          <w:tcPr>
            <w:tcW w:type="dxa" w:w="69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Docente guía de Portafolio de Título</w:t>
            </w:r>
          </w:p>
        </w:tc>
      </w:tr>
      <w:tr>
        <w:tc>
          <w:tcPr>
            <w:tcW w:type="dxa" w:w="24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Estado general</w:t>
            </w:r>
          </w:p>
        </w:tc>
        <w:tc>
          <w:tcPr>
            <w:tcW w:type="dxa" w:w="69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VERDE — El avance se ajusta a lo planificado.</w:t>
            </w:r>
          </w:p>
        </w:tc>
      </w:tr>
      <w:tr>
        <w:tc>
          <w:tcPr>
            <w:tcW w:type="dxa" w:w="24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Avance del proyecto</w:t>
            </w:r>
          </w:p>
        </w:tc>
        <w:tc>
          <w:tcPr>
            <w:tcW w:type="dxa" w:w="69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15 % del proyecto total · 55 % de la Fase 1</w:t>
            </w:r>
          </w:p>
        </w:tc>
      </w:tr>
    </w:tbl>
    <w:p>
      <w:pPr>
        <w:spacing w:after="140"/>
      </w:pPr>
    </w:p>
    <w:p>
      <w:pPr>
        <w:spacing w:after="80"/>
      </w:pPr>
      <w:r>
        <w:rPr>
          <w:rFonts w:ascii="Calibri" w:cs="Calibri" w:eastAsia="Calibri" w:hAnsi="Calibri"/>
          <w:b/>
          <w:bCs/>
          <w:sz w:val="21"/>
          <w:szCs w:val="21"/>
        </w:rPr>
        <w:t xml:space="preserve">Avance por actividad planificada</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2700"/>
        <w:gridCol w:w="1200"/>
        <w:gridCol w:w="1000"/>
        <w:gridCol w:w="1300"/>
        <w:gridCol w:w="3160"/>
      </w:tblGrid>
      <w:tr>
        <w:trPr>
          <w:tblHeader/>
        </w:trPr>
        <w:tc>
          <w:tcPr>
            <w:tcW w:type="dxa" w:w="27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Actividad</w:t>
            </w:r>
          </w:p>
        </w:tc>
        <w:tc>
          <w:tcPr>
            <w:tcW w:type="dxa" w:w="12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Planificado</w:t>
            </w:r>
          </w:p>
        </w:tc>
        <w:tc>
          <w:tcPr>
            <w:tcW w:type="dxa" w:w="10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Real</w:t>
            </w:r>
          </w:p>
        </w:tc>
        <w:tc>
          <w:tcPr>
            <w:tcW w:type="dxa" w:w="13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Estado</w:t>
            </w:r>
          </w:p>
        </w:tc>
        <w:tc>
          <w:tcPr>
            <w:tcW w:type="dxa" w:w="31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Observación</w:t>
            </w:r>
          </w:p>
        </w:tc>
      </w:tr>
      <w:tr>
        <w:tc>
          <w:tcPr>
            <w:tcW w:type="dxa" w:w="27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Selección de metodología y stack tecnológico</w:t>
            </w:r>
          </w:p>
        </w:tc>
        <w:tc>
          <w:tcPr>
            <w:tcW w:type="dxa" w:w="12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100 %</w:t>
            </w:r>
          </w:p>
        </w:tc>
        <w:tc>
          <w:tcPr>
            <w:tcW w:type="dxa" w:w="10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100 %</w:t>
            </w:r>
          </w:p>
        </w:tc>
        <w:tc>
          <w:tcPr>
            <w:tcW w:type="dxa" w:w="13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Completada</w:t>
            </w:r>
          </w:p>
        </w:tc>
        <w:tc>
          <w:tcPr>
            <w:tcW w:type="dxa" w:w="3160"/>
            <w:tcMar>
              <w:top w:type="dxa" w:w="60"/>
              <w:left w:type="dxa" w:w="90"/>
              <w:bottom w:type="dxa" w:w="60"/>
              <w:right w:type="dxa" w:w="90"/>
            </w:tcMar>
            <w:vAlign w:val="center"/>
          </w:tcPr>
          <w:p>
            <w:pPr>
              <w:spacing w:after="40" w:before="40" w:line="250"/>
              <w:jc w:val="both"/>
            </w:pPr>
            <w:r>
              <w:rPr>
                <w:rFonts w:ascii="Calibri" w:cs="Calibri" w:eastAsia="Calibri" w:hAnsi="Calibri"/>
                <w:sz w:val="17"/>
                <w:szCs w:val="17"/>
              </w:rPr>
              <w:t xml:space="preserve">Modelo incremental adoptado, con justificación documentada; arquitectura de cuatro componentes confirmada.</w:t>
            </w:r>
          </w:p>
        </w:tc>
      </w:tr>
      <w:tr>
        <w:tc>
          <w:tcPr>
            <w:tcW w:type="dxa" w:w="27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Levantamiento de requisitos</w:t>
            </w:r>
          </w:p>
        </w:tc>
        <w:tc>
          <w:tcPr>
            <w:tcW w:type="dxa" w:w="12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70 %</w:t>
            </w:r>
          </w:p>
        </w:tc>
        <w:tc>
          <w:tcPr>
            <w:tcW w:type="dxa" w:w="10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65 %</w:t>
            </w:r>
          </w:p>
        </w:tc>
        <w:tc>
          <w:tcPr>
            <w:tcW w:type="dxa" w:w="13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En curso</w:t>
            </w:r>
          </w:p>
        </w:tc>
        <w:tc>
          <w:tcPr>
            <w:tcW w:type="dxa" w:w="3160"/>
            <w:shd w:fill="FAFBFC" w:color="auto" w:val="clear"/>
            <w:tcMar>
              <w:top w:type="dxa" w:w="60"/>
              <w:left w:type="dxa" w:w="90"/>
              <w:bottom w:type="dxa" w:w="60"/>
              <w:right w:type="dxa" w:w="90"/>
            </w:tcMar>
            <w:vAlign w:val="center"/>
          </w:tcPr>
          <w:p>
            <w:pPr>
              <w:spacing w:after="40" w:before="40" w:line="250"/>
              <w:jc w:val="both"/>
            </w:pPr>
            <w:r>
              <w:rPr>
                <w:rFonts w:ascii="Calibri" w:cs="Calibri" w:eastAsia="Calibri" w:hAnsi="Calibri"/>
                <w:sz w:val="17"/>
                <w:szCs w:val="17"/>
              </w:rPr>
              <w:t xml:space="preserve">Catálogo preliminar de requisitos funcionales en revisión antes de su cierre.</w:t>
            </w:r>
          </w:p>
        </w:tc>
      </w:tr>
      <w:tr>
        <w:tc>
          <w:tcPr>
            <w:tcW w:type="dxa" w:w="27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Prueba de concepto del pipeline 3D</w:t>
            </w:r>
          </w:p>
        </w:tc>
        <w:tc>
          <w:tcPr>
            <w:tcW w:type="dxa" w:w="12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60 %</w:t>
            </w:r>
          </w:p>
        </w:tc>
        <w:tc>
          <w:tcPr>
            <w:tcW w:type="dxa" w:w="10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55 %</w:t>
            </w:r>
          </w:p>
        </w:tc>
        <w:tc>
          <w:tcPr>
            <w:tcW w:type="dxa" w:w="13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En curso</w:t>
            </w:r>
          </w:p>
        </w:tc>
        <w:tc>
          <w:tcPr>
            <w:tcW w:type="dxa" w:w="3160"/>
            <w:tcMar>
              <w:top w:type="dxa" w:w="60"/>
              <w:left w:type="dxa" w:w="90"/>
              <w:bottom w:type="dxa" w:w="60"/>
              <w:right w:type="dxa" w:w="90"/>
            </w:tcMar>
            <w:vAlign w:val="center"/>
          </w:tcPr>
          <w:p>
            <w:pPr>
              <w:spacing w:after="40" w:before="40" w:line="250"/>
              <w:jc w:val="both"/>
            </w:pPr>
            <w:r>
              <w:rPr>
                <w:rFonts w:ascii="Calibri" w:cs="Calibri" w:eastAsia="Calibri" w:hAnsi="Calibri"/>
                <w:sz w:val="17"/>
                <w:szCs w:val="17"/>
              </w:rPr>
              <w:t xml:space="preserve">Entorno instalado; primeras pruebas de reconstrucción con capturas de referencia.</w:t>
            </w:r>
          </w:p>
        </w:tc>
      </w:tr>
      <w:tr>
        <w:tc>
          <w:tcPr>
            <w:tcW w:type="dxa" w:w="27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Modelado UML</w:t>
            </w:r>
          </w:p>
        </w:tc>
        <w:tc>
          <w:tcPr>
            <w:tcW w:type="dxa" w:w="12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10 %</w:t>
            </w:r>
          </w:p>
        </w:tc>
        <w:tc>
          <w:tcPr>
            <w:tcW w:type="dxa" w:w="10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10 %</w:t>
            </w:r>
          </w:p>
        </w:tc>
        <w:tc>
          <w:tcPr>
            <w:tcW w:type="dxa" w:w="1300"/>
            <w:shd w:fill="FAFBFC"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En curso</w:t>
            </w:r>
          </w:p>
        </w:tc>
        <w:tc>
          <w:tcPr>
            <w:tcW w:type="dxa" w:w="3160"/>
            <w:shd w:fill="FAFBFC" w:color="auto" w:val="clear"/>
            <w:tcMar>
              <w:top w:type="dxa" w:w="60"/>
              <w:left w:type="dxa" w:w="90"/>
              <w:bottom w:type="dxa" w:w="60"/>
              <w:right w:type="dxa" w:w="90"/>
            </w:tcMar>
            <w:vAlign w:val="center"/>
          </w:tcPr>
          <w:p>
            <w:pPr>
              <w:spacing w:after="40" w:before="40" w:line="250"/>
              <w:jc w:val="both"/>
            </w:pPr>
            <w:r>
              <w:rPr>
                <w:rFonts w:ascii="Calibri" w:cs="Calibri" w:eastAsia="Calibri" w:hAnsi="Calibri"/>
                <w:sz w:val="17"/>
                <w:szCs w:val="17"/>
              </w:rPr>
              <w:t xml:space="preserve">Identificación preliminar de actores, a formalizar en el modelo de casos de uso.</w:t>
            </w:r>
          </w:p>
        </w:tc>
      </w:tr>
      <w:tr>
        <w:tc>
          <w:tcPr>
            <w:tcW w:type="dxa" w:w="27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Documentos de diseño y de gestión</w:t>
            </w:r>
          </w:p>
        </w:tc>
        <w:tc>
          <w:tcPr>
            <w:tcW w:type="dxa" w:w="12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15 %</w:t>
            </w:r>
          </w:p>
        </w:tc>
        <w:tc>
          <w:tcPr>
            <w:tcW w:type="dxa" w:w="10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15 %</w:t>
            </w:r>
          </w:p>
        </w:tc>
        <w:tc>
          <w:tcPr>
            <w:tcW w:type="dxa" w:w="1300"/>
            <w:tcMar>
              <w:top w:type="dxa" w:w="60"/>
              <w:left w:type="dxa" w:w="90"/>
              <w:bottom w:type="dxa" w:w="60"/>
              <w:right w:type="dxa" w:w="90"/>
            </w:tcMar>
            <w:vAlign w:val="center"/>
          </w:tcPr>
          <w:p>
            <w:pPr>
              <w:spacing w:after="40" w:before="40" w:line="250"/>
              <w:jc w:val="center"/>
            </w:pPr>
            <w:r>
              <w:rPr>
                <w:rFonts w:ascii="Calibri" w:cs="Calibri" w:eastAsia="Calibri" w:hAnsi="Calibri"/>
                <w:sz w:val="17"/>
                <w:szCs w:val="17"/>
              </w:rPr>
              <w:t xml:space="preserve">En curso</w:t>
            </w:r>
          </w:p>
        </w:tc>
        <w:tc>
          <w:tcPr>
            <w:tcW w:type="dxa" w:w="3160"/>
            <w:tcMar>
              <w:top w:type="dxa" w:w="60"/>
              <w:left w:type="dxa" w:w="90"/>
              <w:bottom w:type="dxa" w:w="60"/>
              <w:right w:type="dxa" w:w="90"/>
            </w:tcMar>
            <w:vAlign w:val="center"/>
          </w:tcPr>
          <w:p>
            <w:pPr>
              <w:spacing w:after="40" w:before="40" w:line="250"/>
              <w:jc w:val="both"/>
            </w:pPr>
            <w:r>
              <w:rPr>
                <w:rFonts w:ascii="Calibri" w:cs="Calibri" w:eastAsia="Calibri" w:hAnsi="Calibri"/>
                <w:sz w:val="17"/>
                <w:szCs w:val="17"/>
              </w:rPr>
              <w:t xml:space="preserve">Estructura de ambos documentos definida a partir de los acuerdos de las dos primeras actas.</w:t>
            </w:r>
          </w:p>
        </w:tc>
      </w:tr>
    </w:tbl>
    <w:p>
      <w:pPr>
        <w:spacing w:after="140"/>
      </w:pPr>
    </w:p>
    <w:p>
      <w:pPr>
        <w:spacing w:after="80"/>
      </w:pPr>
      <w:r>
        <w:rPr>
          <w:rFonts w:ascii="Calibri" w:cs="Calibri" w:eastAsia="Calibri" w:hAnsi="Calibri"/>
          <w:b/>
          <w:bCs/>
          <w:sz w:val="21"/>
          <w:szCs w:val="21"/>
        </w:rPr>
        <w:t xml:space="preserve">Logros del período</w:t>
      </w:r>
    </w:p>
    <w:p>
      <w:pPr>
        <w:pStyle w:val="ListParagraph"/>
        <w:numPr>
          <w:ilvl w:val="0"/>
          <w:numId w:val="2"/>
        </w:numPr>
        <w:spacing w:after="70" w:line="270"/>
      </w:pPr>
      <w:r>
        <w:rPr>
          <w:rFonts w:ascii="Calibri" w:cs="Calibri" w:eastAsia="Calibri" w:hAnsi="Calibri"/>
          <w:sz w:val="22"/>
          <w:szCs w:val="22"/>
        </w:rPr>
        <w:t xml:space="preserve">Se cerró la decisión metodológica del proyecto: desarrollo incremental con cinco entregas, con la justificación documentada frente a Scrum.</w:t>
      </w:r>
    </w:p>
    <w:p>
      <w:pPr>
        <w:pStyle w:val="ListParagraph"/>
        <w:numPr>
          <w:ilvl w:val="0"/>
          <w:numId w:val="2"/>
        </w:numPr>
        <w:spacing w:after="70" w:line="270"/>
      </w:pPr>
      <w:r>
        <w:rPr>
          <w:rFonts w:ascii="Calibri" w:cs="Calibri" w:eastAsia="Calibri" w:hAnsi="Calibri"/>
          <w:sz w:val="22"/>
          <w:szCs w:val="22"/>
        </w:rPr>
        <w:t xml:space="preserve">Se confirmó la arquitectura de cuatro componentes desacoplados y el principio de diseño que evita que el worker escriba directamente en la base de datos.</w:t>
      </w:r>
    </w:p>
    <w:p>
      <w:pPr>
        <w:pStyle w:val="ListParagraph"/>
        <w:numPr>
          <w:ilvl w:val="0"/>
          <w:numId w:val="2"/>
        </w:numPr>
        <w:spacing w:after="70" w:line="270"/>
      </w:pPr>
      <w:r>
        <w:rPr>
          <w:rFonts w:ascii="Calibri" w:cs="Calibri" w:eastAsia="Calibri" w:hAnsi="Calibri"/>
          <w:sz w:val="22"/>
          <w:szCs w:val="22"/>
        </w:rPr>
        <w:t xml:space="preserve">Se fijó el presupuesto máximo de GPU y el mecanismo de control semanal de consumo.</w:t>
      </w:r>
    </w:p>
    <w:p>
      <w:pPr>
        <w:pStyle w:val="ListParagraph"/>
        <w:numPr>
          <w:ilvl w:val="0"/>
          <w:numId w:val="2"/>
        </w:numPr>
        <w:spacing w:after="70" w:line="270"/>
      </w:pPr>
      <w:r>
        <w:rPr>
          <w:rFonts w:ascii="Calibri" w:cs="Calibri" w:eastAsia="Calibri" w:hAnsi="Calibri"/>
          <w:sz w:val="22"/>
          <w:szCs w:val="22"/>
        </w:rPr>
        <w:t xml:space="preserve">Se consultó al docente guía, Luís Bravo, sobre el nivel de detalle esperado en los documentos de la Fase 1.</w:t>
      </w:r>
    </w:p>
    <w:p>
      <w:pPr>
        <w:spacing w:after="100"/>
      </w:pPr>
    </w:p>
    <w:p>
      <w:pPr>
        <w:spacing w:after="80"/>
      </w:pPr>
      <w:r>
        <w:rPr>
          <w:rFonts w:ascii="Calibri" w:cs="Calibri" w:eastAsia="Calibri" w:hAnsi="Calibri"/>
          <w:b/>
          <w:bCs/>
          <w:sz w:val="21"/>
          <w:szCs w:val="21"/>
        </w:rPr>
        <w:t xml:space="preserve">Desviaciones y dificultades</w:t>
      </w:r>
    </w:p>
    <w:p>
      <w:pPr>
        <w:pStyle w:val="ListParagraph"/>
        <w:numPr>
          <w:ilvl w:val="0"/>
          <w:numId w:val="2"/>
        </w:numPr>
        <w:spacing w:after="70" w:line="270"/>
      </w:pPr>
      <w:r>
        <w:rPr>
          <w:rFonts w:ascii="Calibri" w:cs="Calibri" w:eastAsia="Calibri" w:hAnsi="Calibri"/>
          <w:sz w:val="22"/>
          <w:szCs w:val="22"/>
        </w:rPr>
        <w:t xml:space="preserve">No se registran desviaciones respecto de lo planificado para esta segunda semana. El levantamiento de requisitos y la prueba de concepto avanzan en paralelo, según lo previsto, y se espera cerrarlos en la reunión del 9 de septiembre.</w:t>
      </w:r>
    </w:p>
    <w:p>
      <w:pPr>
        <w:spacing w:after="100"/>
      </w:pPr>
    </w:p>
    <w:p>
      <w:pPr>
        <w:spacing w:after="80"/>
      </w:pPr>
      <w:r>
        <w:rPr>
          <w:rFonts w:ascii="Calibri" w:cs="Calibri" w:eastAsia="Calibri" w:hAnsi="Calibri"/>
          <w:b/>
          <w:bCs/>
          <w:sz w:val="21"/>
          <w:szCs w:val="21"/>
        </w:rPr>
        <w:t xml:space="preserve">Riesgos activos</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700"/>
        <w:gridCol w:w="3000"/>
        <w:gridCol w:w="1500"/>
        <w:gridCol w:w="4160"/>
      </w:tblGrid>
      <w:tr>
        <w:trPr>
          <w:tblHeader/>
        </w:trPr>
        <w:tc>
          <w:tcPr>
            <w:tcW w:type="dxa" w:w="7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ID</w:t>
            </w:r>
          </w:p>
        </w:tc>
        <w:tc>
          <w:tcPr>
            <w:tcW w:type="dxa" w:w="30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Riesgo</w:t>
            </w:r>
          </w:p>
        </w:tc>
        <w:tc>
          <w:tcPr>
            <w:tcW w:type="dxa" w:w="15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Tendencia</w:t>
            </w:r>
          </w:p>
        </w:tc>
        <w:tc>
          <w:tcPr>
            <w:tcW w:type="dxa" w:w="41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Acción en curso</w:t>
            </w:r>
          </w:p>
        </w:tc>
      </w:tr>
      <w:tr>
        <w:tc>
          <w:tcPr>
            <w:tcW w:type="dxa" w:w="7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R-04</w:t>
            </w:r>
          </w:p>
        </w:tc>
        <w:tc>
          <w:tcPr>
            <w:tcW w:type="dxa" w:w="30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Curva de aprendizaje de las herramientas de reconstrucción.</w:t>
            </w:r>
          </w:p>
        </w:tc>
        <w:tc>
          <w:tcPr>
            <w:tcW w:type="dxa" w:w="15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Estable</w:t>
            </w:r>
          </w:p>
        </w:tc>
        <w:tc>
          <w:tcPr>
            <w:tcW w:type="dxa" w:w="41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Las primeras pruebas del entorno no arrojaron incidentes mayores; se continúa documentando el procedimiento.</w:t>
            </w:r>
          </w:p>
        </w:tc>
      </w:tr>
      <w:tr>
        <w:tc>
          <w:tcPr>
            <w:tcW w:type="dxa" w:w="7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R-01</w:t>
            </w:r>
          </w:p>
        </w:tc>
        <w:tc>
          <w:tcPr>
            <w:tcW w:type="dxa" w:w="30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Consumo de GPU sobre el presupuesto disponible.</w:t>
            </w:r>
          </w:p>
        </w:tc>
        <w:tc>
          <w:tcPr>
            <w:tcW w:type="dxa" w:w="15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Estable</w:t>
            </w:r>
          </w:p>
        </w:tc>
        <w:tc>
          <w:tcPr>
            <w:tcW w:type="dxa" w:w="41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Consumo aún marginal; el control formal comienza junto con el cierre de la prueba de concepto.</w:t>
            </w:r>
          </w:p>
        </w:tc>
      </w:tr>
      <w:tr>
        <w:tc>
          <w:tcPr>
            <w:tcW w:type="dxa" w:w="7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R-05</w:t>
            </w:r>
          </w:p>
        </w:tc>
        <w:tc>
          <w:tcPr>
            <w:tcW w:type="dxa" w:w="30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Reducción de la disponibilidad del equipo por carga académica.</w:t>
            </w:r>
          </w:p>
        </w:tc>
        <w:tc>
          <w:tcPr>
            <w:tcW w:type="dxa" w:w="15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Estable</w:t>
            </w:r>
          </w:p>
        </w:tc>
        <w:tc>
          <w:tcPr>
            <w:tcW w:type="dxa" w:w="41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Sin evaluaciones relevantes en el período informado.</w:t>
            </w:r>
          </w:p>
        </w:tc>
      </w:tr>
    </w:tbl>
    <w:p>
      <w:pPr>
        <w:spacing w:after="140"/>
      </w:pPr>
    </w:p>
    <w:p>
      <w:pPr>
        <w:spacing w:after="80"/>
      </w:pPr>
      <w:r>
        <w:rPr>
          <w:rFonts w:ascii="Calibri" w:cs="Calibri" w:eastAsia="Calibri" w:hAnsi="Calibri"/>
          <w:b/>
          <w:bCs/>
          <w:sz w:val="21"/>
          <w:szCs w:val="21"/>
        </w:rPr>
        <w:t xml:space="preserve">Actividades comprometidas para el próximo período</w:t>
      </w:r>
    </w:p>
    <w:p>
      <w:pPr>
        <w:pStyle w:val="ListParagraph"/>
        <w:numPr>
          <w:ilvl w:val="0"/>
          <w:numId w:val="2"/>
        </w:numPr>
        <w:spacing w:after="70" w:line="270"/>
      </w:pPr>
      <w:r>
        <w:rPr>
          <w:rFonts w:ascii="Calibri" w:cs="Calibri" w:eastAsia="Calibri" w:hAnsi="Calibri"/>
          <w:sz w:val="22"/>
          <w:szCs w:val="22"/>
        </w:rPr>
        <w:t xml:space="preserve">Cerrar el catálogo de requisitos funcionales y no funcionales, y redactar las historias de usuario con su estimación.</w:t>
      </w:r>
    </w:p>
    <w:p>
      <w:pPr>
        <w:pStyle w:val="ListParagraph"/>
        <w:numPr>
          <w:ilvl w:val="0"/>
          <w:numId w:val="2"/>
        </w:numPr>
        <w:spacing w:after="70" w:line="270"/>
      </w:pPr>
      <w:r>
        <w:rPr>
          <w:rFonts w:ascii="Calibri" w:cs="Calibri" w:eastAsia="Calibri" w:hAnsi="Calibri"/>
          <w:sz w:val="22"/>
          <w:szCs w:val="22"/>
        </w:rPr>
        <w:t xml:space="preserve">Concluir la prueba de concepto del pipeline y documentar sus resultados finales.</w:t>
      </w:r>
    </w:p>
    <w:p>
      <w:pPr>
        <w:pStyle w:val="ListParagraph"/>
        <w:numPr>
          <w:ilvl w:val="0"/>
          <w:numId w:val="2"/>
        </w:numPr>
        <w:spacing w:after="70" w:line="270"/>
      </w:pPr>
      <w:r>
        <w:rPr>
          <w:rFonts w:ascii="Calibri" w:cs="Calibri" w:eastAsia="Calibri" w:hAnsi="Calibri"/>
          <w:sz w:val="22"/>
          <w:szCs w:val="22"/>
        </w:rPr>
        <w:t xml:space="preserve">Elaborar el modelo de casos de uso y el modelo de clases del dominio.</w:t>
      </w:r>
    </w:p>
    <w:p>
      <w:pPr>
        <w:pStyle w:val="ListParagraph"/>
        <w:numPr>
          <w:ilvl w:val="0"/>
          <w:numId w:val="2"/>
        </w:numPr>
        <w:spacing w:after="70" w:line="270"/>
      </w:pPr>
      <w:r>
        <w:rPr>
          <w:rFonts w:ascii="Calibri" w:cs="Calibri" w:eastAsia="Calibri" w:hAnsi="Calibri"/>
          <w:sz w:val="22"/>
          <w:szCs w:val="22"/>
        </w:rPr>
        <w:t xml:space="preserve">Avanzar en la redacción de los documentos de diseño y de gestión hacia su versión 1.0.</w:t>
      </w:r>
    </w:p>
    <w:p>
      <w:r>
        <w:br w:type="page"/>
      </w:r>
    </w:p>
    <w:p>
      <w:pPr>
        <w:pStyle w:val="Heading1"/>
        <w:spacing w:after="200" w:before="320"/>
      </w:pPr>
      <w:r>
        <w:t xml:space="preserve">5. Resolución de conflictos</w:t>
      </w:r>
    </w:p>
    <w:p>
      <w:pPr>
        <w:spacing w:after="120" w:line="280"/>
        <w:jc w:val="both"/>
      </w:pPr>
      <w:r>
        <w:rPr>
          <w:rFonts w:ascii="Calibri" w:cs="Calibri" w:eastAsia="Calibri" w:hAnsi="Calibri"/>
          <w:sz w:val="22"/>
          <w:szCs w:val="22"/>
        </w:rPr>
        <w:t xml:space="preserve">En un equipo pequeño y con alta interdependencia técnica, el desacuerdo es esperable y, cuando se conduce adecuadamente, constituye una fuente de mejores decisiones. El problema no es el conflicto en sí, sino su prolongación sin resolución o su desplazamiento desde el plano técnico hacia el plano personal. Este capítulo establece el procedimiento acordado por el equipo para prevenir, encauzar y resolver los conflictos que surjan durante el proyecto.</w:t>
      </w:r>
    </w:p>
    <w:p>
      <w:pPr>
        <w:spacing w:after="120" w:line="280"/>
        <w:jc w:val="both"/>
      </w:pPr>
      <w:r>
        <w:rPr>
          <w:rFonts w:ascii="Calibri" w:cs="Calibri" w:eastAsia="Calibri" w:hAnsi="Calibri"/>
          <w:sz w:val="22"/>
          <w:szCs w:val="22"/>
        </w:rPr>
        <w:t xml:space="preserve">El procedimiento fue acordado durante la fase de planificación, es decir, antes de que existiera un conflicto concreto. Definirlo en frío evita que las reglas se discutan en el momento de mayor tensión, cuando la capacidad de acuerdo es menor.</w:t>
      </w:r>
    </w:p>
    <w:p>
      <w:pPr>
        <w:pStyle w:val="Heading2"/>
        <w:spacing w:after="160" w:before="260"/>
      </w:pPr>
      <w:r>
        <w:t xml:space="preserve">5.1 Principios acordados</w:t>
      </w:r>
    </w:p>
    <w:p>
      <w:pPr>
        <w:pStyle w:val="ListParagraph"/>
        <w:numPr>
          <w:ilvl w:val="0"/>
          <w:numId w:val="2"/>
        </w:numPr>
        <w:spacing w:after="70" w:line="270"/>
      </w:pPr>
      <w:r>
        <w:rPr>
          <w:rFonts w:ascii="Calibri" w:cs="Calibri" w:eastAsia="Calibri" w:hAnsi="Calibri"/>
          <w:sz w:val="22"/>
          <w:szCs w:val="22"/>
        </w:rPr>
        <w:t xml:space="preserve">Toda discrepancia técnica se resuelve con evidencia. Quien propone una alternativa asume la carga de fundamentarla mediante datos, pruebas de concepto o referencias verificables.</w:t>
      </w:r>
    </w:p>
    <w:p>
      <w:pPr>
        <w:pStyle w:val="ListParagraph"/>
        <w:numPr>
          <w:ilvl w:val="0"/>
          <w:numId w:val="2"/>
        </w:numPr>
        <w:spacing w:after="70" w:line="270"/>
      </w:pPr>
      <w:r>
        <w:rPr>
          <w:rFonts w:ascii="Calibri" w:cs="Calibri" w:eastAsia="Calibri" w:hAnsi="Calibri"/>
          <w:sz w:val="22"/>
          <w:szCs w:val="22"/>
        </w:rPr>
        <w:t xml:space="preserve">El desacuerdo se dirige a la idea y nunca a la persona. Descalificar la competencia de un integrante se considera una falta al acuerdo de trabajo.</w:t>
      </w:r>
    </w:p>
    <w:p>
      <w:pPr>
        <w:pStyle w:val="ListParagraph"/>
        <w:numPr>
          <w:ilvl w:val="0"/>
          <w:numId w:val="2"/>
        </w:numPr>
        <w:spacing w:after="70" w:line="270"/>
      </w:pPr>
      <w:r>
        <w:rPr>
          <w:rFonts w:ascii="Calibri" w:cs="Calibri" w:eastAsia="Calibri" w:hAnsi="Calibri"/>
          <w:sz w:val="22"/>
          <w:szCs w:val="22"/>
        </w:rPr>
        <w:t xml:space="preserve">Ningún conflicto permanece sin resolución más allá de una reunión de coordinación. Si no se alcanza acuerdo, se escala al nivel siguiente.</w:t>
      </w:r>
    </w:p>
    <w:p>
      <w:pPr>
        <w:pStyle w:val="ListParagraph"/>
        <w:numPr>
          <w:ilvl w:val="0"/>
          <w:numId w:val="2"/>
        </w:numPr>
        <w:spacing w:after="70" w:line="270"/>
      </w:pPr>
      <w:r>
        <w:rPr>
          <w:rFonts w:ascii="Calibri" w:cs="Calibri" w:eastAsia="Calibri" w:hAnsi="Calibri"/>
          <w:sz w:val="22"/>
          <w:szCs w:val="22"/>
        </w:rPr>
        <w:t xml:space="preserve">Se aplica el principio de discrepar y comprometerse: adoptada una decisión, todos los integrantes la ejecutan íntegramente, aun quienes sostuvieron la posición contraria.</w:t>
      </w:r>
    </w:p>
    <w:p>
      <w:pPr>
        <w:pStyle w:val="ListParagraph"/>
        <w:numPr>
          <w:ilvl w:val="0"/>
          <w:numId w:val="2"/>
        </w:numPr>
        <w:spacing w:after="70" w:line="270"/>
      </w:pPr>
      <w:r>
        <w:rPr>
          <w:rFonts w:ascii="Calibri" w:cs="Calibri" w:eastAsia="Calibri" w:hAnsi="Calibri"/>
          <w:sz w:val="22"/>
          <w:szCs w:val="22"/>
        </w:rPr>
        <w:t xml:space="preserve">Toda resolución queda registrada en acta con su fundamento, de modo que la discusión no se reabra sin información nueva.</w:t>
      </w:r>
    </w:p>
    <w:p>
      <w:pPr>
        <w:pStyle w:val="ListParagraph"/>
        <w:numPr>
          <w:ilvl w:val="0"/>
          <w:numId w:val="2"/>
        </w:numPr>
        <w:spacing w:after="70" w:line="270"/>
      </w:pPr>
      <w:r>
        <w:rPr>
          <w:rFonts w:ascii="Calibri" w:cs="Calibri" w:eastAsia="Calibri" w:hAnsi="Calibri"/>
          <w:sz w:val="22"/>
          <w:szCs w:val="22"/>
        </w:rPr>
        <w:t xml:space="preserve">El silencio no equivale a acuerdo. Cada integrante debe manifestar su posición de forma explícita antes de cerrar una decisión.</w:t>
      </w:r>
    </w:p>
    <w:p>
      <w:pPr>
        <w:pStyle w:val="Heading2"/>
        <w:spacing w:after="160" w:before="260"/>
      </w:pPr>
      <w:r>
        <w:t xml:space="preserve">5.2 Tipología de conflictos previstos</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1500"/>
        <w:gridCol w:w="2600"/>
        <w:gridCol w:w="3300"/>
        <w:gridCol w:w="1960"/>
      </w:tblGrid>
      <w:tr>
        <w:trPr>
          <w:tblHeader/>
        </w:trPr>
        <w:tc>
          <w:tcPr>
            <w:tcW w:type="dxa" w:w="15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Tipo</w:t>
            </w:r>
          </w:p>
        </w:tc>
        <w:tc>
          <w:tcPr>
            <w:tcW w:type="dxa" w:w="26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Descripción</w:t>
            </w:r>
          </w:p>
        </w:tc>
        <w:tc>
          <w:tcPr>
            <w:tcW w:type="dxa" w:w="33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Ejemplo esperable</w:t>
            </w:r>
          </w:p>
        </w:tc>
        <w:tc>
          <w:tcPr>
            <w:tcW w:type="dxa" w:w="19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Nivel inicial</w:t>
            </w:r>
          </w:p>
        </w:tc>
      </w:tr>
      <w:tr>
        <w:tc>
          <w:tcPr>
            <w:tcW w:type="dxa" w:w="15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Técnico</w:t>
            </w:r>
          </w:p>
        </w:tc>
        <w:tc>
          <w:tcPr>
            <w:tcW w:type="dxa" w:w="26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Discrepancia sobre la solución de diseño o sobre la tecnología a emplear.</w:t>
            </w:r>
          </w:p>
        </w:tc>
        <w:tc>
          <w:tcPr>
            <w:tcW w:type="dxa" w:w="33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Discusión sobre si el worker debe escribir directamente en la base de datos o reportar a través del backend.</w:t>
            </w:r>
          </w:p>
        </w:tc>
        <w:tc>
          <w:tcPr>
            <w:tcW w:type="dxa" w:w="196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Nivel 1</w:t>
            </w:r>
          </w:p>
        </w:tc>
      </w:tr>
      <w:tr>
        <w:tc>
          <w:tcPr>
            <w:tcW w:type="dxa" w:w="15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De alcance</w:t>
            </w:r>
          </w:p>
        </w:tc>
        <w:tc>
          <w:tcPr>
            <w:tcW w:type="dxa" w:w="26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Discrepancia sobre si una funcionalidad forma parte del compromiso adquirido.</w:t>
            </w:r>
          </w:p>
        </w:tc>
        <w:tc>
          <w:tcPr>
            <w:tcW w:type="dxa" w:w="3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Propuesta de incorporar mensajería en tiempo real durante el Incremento 4.</w:t>
            </w:r>
          </w:p>
        </w:tc>
        <w:tc>
          <w:tcPr>
            <w:tcW w:type="dxa" w:w="19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Nivel 2</w:t>
            </w:r>
          </w:p>
        </w:tc>
      </w:tr>
      <w:tr>
        <w:tc>
          <w:tcPr>
            <w:tcW w:type="dxa" w:w="15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De carga de trabajo</w:t>
            </w:r>
          </w:p>
        </w:tc>
        <w:tc>
          <w:tcPr>
            <w:tcW w:type="dxa" w:w="26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Percepción de distribución desigual del esfuerzo entre integrantes.</w:t>
            </w:r>
          </w:p>
        </w:tc>
        <w:tc>
          <w:tcPr>
            <w:tcW w:type="dxa" w:w="33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Un integrante concentra tareas de alta complejidad mientras otro dispone de holgura.</w:t>
            </w:r>
          </w:p>
        </w:tc>
        <w:tc>
          <w:tcPr>
            <w:tcW w:type="dxa" w:w="196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Nivel 2</w:t>
            </w:r>
          </w:p>
        </w:tc>
      </w:tr>
      <w:tr>
        <w:tc>
          <w:tcPr>
            <w:tcW w:type="dxa" w:w="15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De cumplimiento</w:t>
            </w:r>
          </w:p>
        </w:tc>
        <w:tc>
          <w:tcPr>
            <w:tcW w:type="dxa" w:w="26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Incumplimiento reiterado de compromisos asumidos en acta.</w:t>
            </w:r>
          </w:p>
        </w:tc>
        <w:tc>
          <w:tcPr>
            <w:tcW w:type="dxa" w:w="3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Entregas fuera de plazo sin aviso previo ni justificación.</w:t>
            </w:r>
          </w:p>
        </w:tc>
        <w:tc>
          <w:tcPr>
            <w:tcW w:type="dxa" w:w="19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Nivel 2</w:t>
            </w:r>
          </w:p>
        </w:tc>
      </w:tr>
      <w:tr>
        <w:tc>
          <w:tcPr>
            <w:tcW w:type="dxa" w:w="15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De prioridad</w:t>
            </w:r>
          </w:p>
        </w:tc>
        <w:tc>
          <w:tcPr>
            <w:tcW w:type="dxa" w:w="26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Discrepancia sobre el orden en que deben abordarse las actividades.</w:t>
            </w:r>
          </w:p>
        </w:tc>
        <w:tc>
          <w:tcPr>
            <w:tcW w:type="dxa" w:w="330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Adelantar el visor tridimensional frente a completar el catálogo.</w:t>
            </w:r>
          </w:p>
        </w:tc>
        <w:tc>
          <w:tcPr>
            <w:tcW w:type="dxa" w:w="1960"/>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Nivel 1</w:t>
            </w:r>
          </w:p>
        </w:tc>
      </w:tr>
      <w:tr>
        <w:tc>
          <w:tcPr>
            <w:tcW w:type="dxa" w:w="15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Externo</w:t>
            </w:r>
          </w:p>
        </w:tc>
        <w:tc>
          <w:tcPr>
            <w:tcW w:type="dxa" w:w="26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Diferencia entre la interpretación del equipo y la del docente guía o la rúbrica.</w:t>
            </w:r>
          </w:p>
        </w:tc>
        <w:tc>
          <w:tcPr>
            <w:tcW w:type="dxa" w:w="33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Distinto entendimiento sobre el nivel de detalle exigido en un entregable.</w:t>
            </w:r>
          </w:p>
        </w:tc>
        <w:tc>
          <w:tcPr>
            <w:tcW w:type="dxa" w:w="19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6"/>
                <w:szCs w:val="16"/>
              </w:rPr>
              <w:t xml:space="preserve">Nivel 3</w:t>
            </w:r>
          </w:p>
        </w:tc>
      </w:tr>
    </w:tbl>
    <w:p>
      <w:r>
        <w:br w:type="page"/>
      </w:r>
    </w:p>
    <w:p>
      <w:pPr>
        <w:pStyle w:val="Heading2"/>
        <w:spacing w:after="160" w:before="260"/>
      </w:pPr>
      <w:r>
        <w:t xml:space="preserve">5.3 Niveles de escalamiento</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1100"/>
        <w:gridCol w:w="2600"/>
        <w:gridCol w:w="1700"/>
        <w:gridCol w:w="3960"/>
      </w:tblGrid>
      <w:tr>
        <w:trPr>
          <w:tblHeader/>
        </w:trPr>
        <w:tc>
          <w:tcPr>
            <w:tcW w:type="dxa" w:w="11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Nivel</w:t>
            </w:r>
          </w:p>
        </w:tc>
        <w:tc>
          <w:tcPr>
            <w:tcW w:type="dxa" w:w="26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Instancia</w:t>
            </w:r>
          </w:p>
        </w:tc>
        <w:tc>
          <w:tcPr>
            <w:tcW w:type="dxa" w:w="17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Plazo máximo</w:t>
            </w:r>
          </w:p>
        </w:tc>
        <w:tc>
          <w:tcPr>
            <w:tcW w:type="dxa" w:w="39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Mecanismo de resolución</w:t>
            </w:r>
          </w:p>
        </w:tc>
      </w:tr>
      <w:tr>
        <w:tc>
          <w:tcPr>
            <w:tcW w:type="dxa" w:w="11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Nivel 1</w:t>
            </w:r>
          </w:p>
        </w:tc>
        <w:tc>
          <w:tcPr>
            <w:tcW w:type="dxa" w:w="26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Conversación directa entre los involucrados.</w:t>
            </w:r>
          </w:p>
        </w:tc>
        <w:tc>
          <w:tcPr>
            <w:tcW w:type="dxa" w:w="17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48 horas</w:t>
            </w:r>
          </w:p>
        </w:tc>
        <w:tc>
          <w:tcPr>
            <w:tcW w:type="dxa" w:w="39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Las partes exponen sus posiciones con su fundamento y buscan una solución acordada. Si se resuelve, se informa al equipo en la reunión siguiente.</w:t>
            </w:r>
          </w:p>
        </w:tc>
      </w:tr>
      <w:tr>
        <w:tc>
          <w:tcPr>
            <w:tcW w:type="dxa" w:w="11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Nivel 2</w:t>
            </w:r>
          </w:p>
        </w:tc>
        <w:tc>
          <w:tcPr>
            <w:tcW w:type="dxa" w:w="26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Reunión de coordinación del equipo.</w:t>
            </w:r>
          </w:p>
        </w:tc>
        <w:tc>
          <w:tcPr>
            <w:tcW w:type="dxa" w:w="17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Una reunión</w:t>
            </w:r>
          </w:p>
        </w:tc>
        <w:tc>
          <w:tcPr>
            <w:tcW w:type="dxa" w:w="39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Cada parte expone durante un máximo de cinco minutos. El tercer integrante actúa como facilitador. Se busca consenso; de no alcanzarse, se somete a votación.</w:t>
            </w:r>
          </w:p>
        </w:tc>
      </w:tr>
      <w:tr>
        <w:tc>
          <w:tcPr>
            <w:tcW w:type="dxa" w:w="11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Nivel 3</w:t>
            </w:r>
          </w:p>
        </w:tc>
        <w:tc>
          <w:tcPr>
            <w:tcW w:type="dxa" w:w="26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Decisión de J. Rojas Gutiérrez, responsable de la coordinación del cronograma.</w:t>
            </w:r>
          </w:p>
        </w:tc>
        <w:tc>
          <w:tcPr>
            <w:tcW w:type="dxa" w:w="17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24 horas tras la reunión</w:t>
            </w:r>
          </w:p>
        </w:tc>
        <w:tc>
          <w:tcPr>
            <w:tcW w:type="dxa" w:w="39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Ante empate o bloqueo, J. Rojas Gutiérrez decide y fundamenta su decisión por escrito en el acta. La decisión es vinculante.</w:t>
            </w:r>
          </w:p>
        </w:tc>
      </w:tr>
      <w:tr>
        <w:tc>
          <w:tcPr>
            <w:tcW w:type="dxa" w:w="11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Nivel 4</w:t>
            </w:r>
          </w:p>
        </w:tc>
        <w:tc>
          <w:tcPr>
            <w:tcW w:type="dxa" w:w="26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Mediación del docente guía.</w:t>
            </w:r>
          </w:p>
        </w:tc>
        <w:tc>
          <w:tcPr>
            <w:tcW w:type="dxa" w:w="17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Siguiente reunión de seguimiento</w:t>
            </w:r>
          </w:p>
        </w:tc>
        <w:tc>
          <w:tcPr>
            <w:tcW w:type="dxa" w:w="39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Se recurre a esta instancia únicamente cuando el conflicto compromete un hito, afecta la convivencia del equipo o involucra al propio responsable de la coordinación del cronograma.</w:t>
            </w:r>
          </w:p>
        </w:tc>
      </w:tr>
    </w:tbl>
    <w:p>
      <w:pPr>
        <w:spacing w:after="120"/>
      </w:pPr>
    </w:p>
    <w:p>
      <w:pPr>
        <w:spacing w:after="120" w:line="280"/>
        <w:jc w:val="both"/>
      </w:pPr>
      <w:r>
        <w:rPr>
          <w:rFonts w:ascii="Calibri" w:cs="Calibri" w:eastAsia="Calibri" w:hAnsi="Calibri"/>
          <w:sz w:val="22"/>
          <w:szCs w:val="22"/>
        </w:rPr>
        <w:t xml:space="preserve">El escalamiento es secuencial: no se accede a un nivel superior sin haber agotado el anterior, salvo en los casos de conflicto de cumplimiento reiterado, que ingresan directamente al Nivel 2 por afectar al conjunto del equipo.</w:t>
      </w:r>
    </w:p>
    <w:p>
      <w:pPr>
        <w:pStyle w:val="Heading2"/>
        <w:spacing w:after="160" w:before="260"/>
      </w:pPr>
      <w:r>
        <w:t xml:space="preserve">5.4 Procedimiento de resolución</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700"/>
        <w:gridCol w:w="4260"/>
        <w:gridCol w:w="2200"/>
        <w:gridCol w:w="2200"/>
      </w:tblGrid>
      <w:tr>
        <w:trPr>
          <w:tblHeader/>
        </w:trPr>
        <w:tc>
          <w:tcPr>
            <w:tcW w:type="dxa" w:w="7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Paso</w:t>
            </w:r>
          </w:p>
        </w:tc>
        <w:tc>
          <w:tcPr>
            <w:tcW w:type="dxa" w:w="42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Actividad</w:t>
            </w:r>
          </w:p>
        </w:tc>
        <w:tc>
          <w:tcPr>
            <w:tcW w:type="dxa" w:w="22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Responsable</w:t>
            </w:r>
          </w:p>
        </w:tc>
        <w:tc>
          <w:tcPr>
            <w:tcW w:type="dxa" w:w="22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Registro</w:t>
            </w:r>
          </w:p>
        </w:tc>
      </w:tr>
      <w:tr>
        <w:tc>
          <w:tcPr>
            <w:tcW w:type="dxa" w:w="7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1</w:t>
            </w:r>
          </w:p>
        </w:tc>
        <w:tc>
          <w:tcPr>
            <w:tcW w:type="dxa" w:w="42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Identificación y declaración explícita del conflicto, señalando su tipo y los involucrados.</w:t>
            </w:r>
          </w:p>
        </w:tc>
        <w:tc>
          <w:tcPr>
            <w:tcW w:type="dxa" w:w="2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Quien lo detecta</w:t>
            </w:r>
          </w:p>
        </w:tc>
        <w:tc>
          <w:tcPr>
            <w:tcW w:type="dxa" w:w="2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Registro de conflictos</w:t>
            </w:r>
          </w:p>
        </w:tc>
      </w:tr>
      <w:tr>
        <w:tc>
          <w:tcPr>
            <w:tcW w:type="dxa" w:w="7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2</w:t>
            </w:r>
          </w:p>
        </w:tc>
        <w:tc>
          <w:tcPr>
            <w:tcW w:type="dxa" w:w="42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Exposición de las posiciones, cada una con su fundamento verificable.</w:t>
            </w:r>
          </w:p>
        </w:tc>
        <w:tc>
          <w:tcPr>
            <w:tcW w:type="dxa" w:w="22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Involucrados</w:t>
            </w:r>
          </w:p>
        </w:tc>
        <w:tc>
          <w:tcPr>
            <w:tcW w:type="dxa" w:w="22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Acta de reunión</w:t>
            </w:r>
          </w:p>
        </w:tc>
      </w:tr>
      <w:tr>
        <w:tc>
          <w:tcPr>
            <w:tcW w:type="dxa" w:w="7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3</w:t>
            </w:r>
          </w:p>
        </w:tc>
        <w:tc>
          <w:tcPr>
            <w:tcW w:type="dxa" w:w="42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Análisis de las alternativas frente a los objetivos del proyecto, no frente a las preferencias individuales.</w:t>
            </w:r>
          </w:p>
        </w:tc>
        <w:tc>
          <w:tcPr>
            <w:tcW w:type="dxa" w:w="2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Equipo</w:t>
            </w:r>
          </w:p>
        </w:tc>
        <w:tc>
          <w:tcPr>
            <w:tcW w:type="dxa" w:w="2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Acta de reunión</w:t>
            </w:r>
          </w:p>
        </w:tc>
      </w:tr>
      <w:tr>
        <w:tc>
          <w:tcPr>
            <w:tcW w:type="dxa" w:w="7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4</w:t>
            </w:r>
          </w:p>
        </w:tc>
        <w:tc>
          <w:tcPr>
            <w:tcW w:type="dxa" w:w="42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Adopción de la decisión mediante consenso, votación o resolución de J. Rojas Gutiérrez, según el nivel alcanzado.</w:t>
            </w:r>
          </w:p>
        </w:tc>
        <w:tc>
          <w:tcPr>
            <w:tcW w:type="dxa" w:w="22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Según el nivel</w:t>
            </w:r>
          </w:p>
        </w:tc>
        <w:tc>
          <w:tcPr>
            <w:tcW w:type="dxa" w:w="22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Acta de reunión</w:t>
            </w:r>
          </w:p>
        </w:tc>
      </w:tr>
      <w:tr>
        <w:tc>
          <w:tcPr>
            <w:tcW w:type="dxa" w:w="7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5</w:t>
            </w:r>
          </w:p>
        </w:tc>
        <w:tc>
          <w:tcPr>
            <w:tcW w:type="dxa" w:w="42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Registro de la decisión con su fundamento y con las alternativas descartadas.</w:t>
            </w:r>
          </w:p>
        </w:tc>
        <w:tc>
          <w:tcPr>
            <w:tcW w:type="dxa" w:w="2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Secretario de la reunión</w:t>
            </w:r>
          </w:p>
        </w:tc>
        <w:tc>
          <w:tcPr>
            <w:tcW w:type="dxa" w:w="2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Acta y registro de conflictos</w:t>
            </w:r>
          </w:p>
        </w:tc>
      </w:tr>
      <w:tr>
        <w:tc>
          <w:tcPr>
            <w:tcW w:type="dxa" w:w="7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6</w:t>
            </w:r>
          </w:p>
        </w:tc>
        <w:tc>
          <w:tcPr>
            <w:tcW w:type="dxa" w:w="42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Verificación de la ejecución de lo acordado en la reunión siguiente.</w:t>
            </w:r>
          </w:p>
        </w:tc>
        <w:tc>
          <w:tcPr>
            <w:tcW w:type="dxa" w:w="22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J. Rojas Gutiérrez</w:t>
            </w:r>
          </w:p>
        </w:tc>
        <w:tc>
          <w:tcPr>
            <w:tcW w:type="dxa" w:w="22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Acta de reunión</w:t>
            </w:r>
          </w:p>
        </w:tc>
      </w:tr>
      <w:tr>
        <w:tc>
          <w:tcPr>
            <w:tcW w:type="dxa" w:w="7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7</w:t>
            </w:r>
          </w:p>
        </w:tc>
        <w:tc>
          <w:tcPr>
            <w:tcW w:type="dxa" w:w="426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Evaluación del resultado de la decisión al cierre del incremento correspondiente.</w:t>
            </w:r>
          </w:p>
        </w:tc>
        <w:tc>
          <w:tcPr>
            <w:tcW w:type="dxa" w:w="2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Equipo</w:t>
            </w:r>
          </w:p>
        </w:tc>
        <w:tc>
          <w:tcPr>
            <w:tcW w:type="dxa" w:w="2200"/>
            <w:tcMar>
              <w:top w:type="dxa" w:w="60"/>
              <w:left w:type="dxa" w:w="90"/>
              <w:bottom w:type="dxa" w:w="60"/>
              <w:right w:type="dxa" w:w="90"/>
            </w:tcMar>
            <w:vAlign w:val="center"/>
          </w:tcPr>
          <w:p>
            <w:pPr>
              <w:spacing w:after="40" w:before="40" w:line="250"/>
              <w:jc w:val="left"/>
            </w:pPr>
            <w:r>
              <w:rPr>
                <w:rFonts w:ascii="Calibri" w:cs="Calibri" w:eastAsia="Calibri" w:hAnsi="Calibri"/>
                <w:sz w:val="17"/>
                <w:szCs w:val="17"/>
              </w:rPr>
              <w:t xml:space="preserve">Registro de lecciones aprendidas</w:t>
            </w:r>
          </w:p>
        </w:tc>
      </w:tr>
    </w:tbl>
    <w:p>
      <w:pPr>
        <w:pStyle w:val="Heading2"/>
        <w:spacing w:after="160" w:before="260"/>
      </w:pPr>
      <w:r>
        <w:t xml:space="preserve">5.5 Registro de conflictos</w:t>
      </w:r>
    </w:p>
    <w:p>
      <w:pPr>
        <w:spacing w:after="120" w:line="280"/>
        <w:jc w:val="both"/>
      </w:pPr>
      <w:r>
        <w:rPr>
          <w:rFonts w:ascii="Calibri" w:cs="Calibri" w:eastAsia="Calibri" w:hAnsi="Calibri"/>
          <w:sz w:val="22"/>
          <w:szCs w:val="22"/>
        </w:rPr>
        <w:t xml:space="preserve">Se registran a continuación las discrepancias relevantes surgidas durante la fase de planificación. Su inclusión responde al valor documental del proceso de decisión: dejar constancia de las alternativas descartadas y de las razones de su descarte evita que la discusión se reabra sin información nueva.</w:t>
      </w:r>
    </w:p>
    <w:p>
      <w:pPr>
        <w:spacing w:after="80" w:before="220"/>
      </w:pPr>
      <w:r>
        <w:rPr>
          <w:rFonts w:ascii="Calibri" w:cs="Calibri" w:eastAsia="Calibri" w:hAnsi="Calibri"/>
          <w:b/>
          <w:bCs/>
          <w:color w:val="2E6DA4"/>
          <w:sz w:val="22"/>
          <w:szCs w:val="22"/>
        </w:rPr>
        <w:t xml:space="preserve">RC-01 — Metodología de desarrollo: Scrum frente a modelo incremental</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2500"/>
        <w:gridCol w:w="6860"/>
      </w:tblGrid>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Tipo</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Técnico y de gestión</w:t>
            </w:r>
          </w:p>
        </w:tc>
      </w:tr>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Fecha de detección</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2 de septiembre de 2026 (reunión ACT-02)</w:t>
            </w:r>
          </w:p>
        </w:tc>
      </w:tr>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Involucrados</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Jesús Rojas Gutiérrez y Aldo Espinoza</w:t>
            </w:r>
          </w:p>
        </w:tc>
      </w:tr>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Descripción</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Aldo Espinoza propuso adoptar Scrum, argumentando su amplia difusión en la industria y su valoración positiva en la evaluación académica. Jesús Rojas Gutiérrez sostuvo que la estructura de roles de Scrum carece de separación real en un equipo de tres integrantes y que el calendario académico fijo impide renegociar el alcance de cada iteración, que es donde reside su valor principal.</w:t>
            </w:r>
          </w:p>
        </w:tc>
      </w:tr>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Nivel alcanzado</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Nivel 2 — Reunión de coordinación</w:t>
            </w:r>
          </w:p>
        </w:tc>
      </w:tr>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Alternativas evaluadas</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1. Scrum con iteraciones de dos semanas.</w:t>
            </w:r>
            <w:r>
              <w:rPr>
                <w:rFonts w:ascii="Calibri" w:cs="Calibri" w:eastAsia="Calibri" w:hAnsi="Calibri"/>
                <w:b w:val="false"/>
                <w:bCs w:val="false"/>
                <w:sz w:val="19"/>
                <w:szCs w:val="19"/>
              </w:rPr>
              <w:br/>
              <w:t xml:space="preserve">2. Modelo incremental con cinco entregas.</w:t>
            </w:r>
            <w:r>
              <w:rPr>
                <w:rFonts w:ascii="Calibri" w:cs="Calibri" w:eastAsia="Calibri" w:hAnsi="Calibri"/>
                <w:b w:val="false"/>
                <w:bCs w:val="false"/>
                <w:sz w:val="19"/>
                <w:szCs w:val="19"/>
              </w:rPr>
              <w:br/>
              <w:t xml:space="preserve">3. Enfoque híbrido con ceremonias de Scrum sobre una planificación anticipada.</w:t>
            </w:r>
          </w:p>
        </w:tc>
      </w:tr>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Resolución</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Se adopta el modelo incremental por consenso, tras verificar que los tres argumentos de descarte de Scrum —tamaño del equipo, calendario fijo y estabilidad de los requisitos— son verificables y no discutibles. Se incorporan del enfoque ágil dos prácticas que sí aportan valor: la retrospectiva al cierre de cada incremento y la definición de terminado explícita.</w:t>
            </w:r>
          </w:p>
        </w:tc>
      </w:tr>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Fundamento</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La metodología debe responder a las características reales del proyecto y no a su prestigio. Adoptar una estructura de roles sin separación efectiva habría producido una formalidad sin efecto sobre el resultado.</w:t>
            </w:r>
          </w:p>
        </w:tc>
      </w:tr>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Estado</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Cerrado el 2 de septiembre de 2026. Registrado en el acuerdo 1 del acta ACT-02.</w:t>
            </w:r>
          </w:p>
        </w:tc>
      </w:tr>
    </w:tbl>
    <w:p>
      <w:r>
        <w:br w:type="page"/>
      </w:r>
    </w:p>
    <w:p>
      <w:pPr>
        <w:spacing w:after="80" w:before="220"/>
      </w:pPr>
      <w:r>
        <w:rPr>
          <w:rFonts w:ascii="Calibri" w:cs="Calibri" w:eastAsia="Calibri" w:hAnsi="Calibri"/>
          <w:b/>
          <w:bCs/>
          <w:color w:val="2E6DA4"/>
          <w:sz w:val="22"/>
          <w:szCs w:val="22"/>
        </w:rPr>
        <w:t xml:space="preserve">RC-02 — Responsabilidad de la escritura del estado del trabajo de reconstrucción</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2500"/>
        <w:gridCol w:w="6860"/>
      </w:tblGrid>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Tipo</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Técnico</w:t>
            </w:r>
          </w:p>
        </w:tc>
      </w:tr>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Fecha de detección</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2 de septiembre de 2026 (reunión ACT-02)</w:t>
            </w:r>
          </w:p>
        </w:tc>
      </w:tr>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Involucrados</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Jesús Rojas Gutiérrez y Aldo Espinoza</w:t>
            </w:r>
          </w:p>
        </w:tc>
      </w:tr>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Descripción</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Jesús Rojas Gutiérrez propuso que el worker de reconstrucción actualizara directamente la base de datos con el estado del trabajo, por simplicidad de implementación. Aldo Espinoza objetó que ello duplica las reglas de negocio en dos componentes, dispersa la lógica de autorización y dificulta la aplicación consistente de las políticas de acceso a nivel de fila.</w:t>
            </w:r>
          </w:p>
        </w:tc>
      </w:tr>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Nivel alcanzado</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Nivel 2 — Reunión de coordinación</w:t>
            </w:r>
          </w:p>
        </w:tc>
      </w:tr>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Alternativas evaluadas</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1. Escritura directa del worker sobre la base de datos.</w:t>
            </w:r>
            <w:r>
              <w:rPr>
                <w:rFonts w:ascii="Calibri" w:cs="Calibri" w:eastAsia="Calibri" w:hAnsi="Calibri"/>
                <w:b w:val="false"/>
                <w:bCs w:val="false"/>
                <w:sz w:val="19"/>
                <w:szCs w:val="19"/>
              </w:rPr>
              <w:br/>
              <w:t xml:space="preserve">2. Reporte del worker al backend mediante una llamada de retorno autenticada.</w:t>
            </w:r>
            <w:r>
              <w:rPr>
                <w:rFonts w:ascii="Calibri" w:cs="Calibri" w:eastAsia="Calibri" w:hAnsi="Calibri"/>
                <w:b w:val="false"/>
                <w:bCs w:val="false"/>
                <w:sz w:val="19"/>
                <w:szCs w:val="19"/>
              </w:rPr>
              <w:br/>
              <w:t xml:space="preserve">3. Cola de mensajes intermedia consumida por el backend.</w:t>
            </w:r>
          </w:p>
        </w:tc>
      </w:tr>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Resolución</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Se adopta la segunda alternativa. La tercera se descarta por incorporar un componente adicional cuya complejidad no se justifica en el volumen previsto. La decisión se eleva a principio de diseño y queda incorporada como requisito especial del caso de uso CU-25.</w:t>
            </w:r>
          </w:p>
        </w:tc>
      </w:tr>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Fundamento</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Mantener una única fuente de verdad para las reglas de negocio y para la autorización reduce el riesgo de inconsistencias y facilita la auditoría, a un costo de implementación marginal.</w:t>
            </w:r>
          </w:p>
        </w:tc>
      </w:tr>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Estado</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Cerrado el 2 de septiembre de 2026. Registrado en el acuerdo 4 del acta ACT-02.</w:t>
            </w:r>
          </w:p>
        </w:tc>
      </w:tr>
    </w:tbl>
    <w:p>
      <w:pPr>
        <w:spacing w:after="80" w:before="220"/>
      </w:pPr>
      <w:r>
        <w:rPr>
          <w:rFonts w:ascii="Calibri" w:cs="Calibri" w:eastAsia="Calibri" w:hAnsi="Calibri"/>
          <w:b/>
          <w:bCs/>
          <w:color w:val="2E6DA4"/>
          <w:sz w:val="22"/>
          <w:szCs w:val="22"/>
        </w:rPr>
        <w:t xml:space="preserve">RC-03 — Tratamiento del déficit de capacidad proyectado para la construcción</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2500"/>
        <w:gridCol w:w="6860"/>
      </w:tblGrid>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Tipo</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De alcance y de carga de trabajo</w:t>
            </w:r>
          </w:p>
        </w:tc>
      </w:tr>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Fecha de detección</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5 de septiembre de 2026 (análisis preliminar de estimación)</w:t>
            </w:r>
          </w:p>
        </w:tc>
      </w:tr>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Involucrados</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Equipo completo</w:t>
            </w:r>
          </w:p>
        </w:tc>
      </w:tr>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Descripción</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Una primera proyección de esfuerzo sobre el alcance acordado arroja alrededor de 582 horas frente a una capacidad nominal de 432 horas para las fases de desarrollo. Lorna Zúñiga propone reducir el alcance eliminando funcionalidades; Jesús Rojas Gutiérrez propone ampliar la dedicación semanal; Aldo Espinoza advierte que ampliar la dedicación durante períodos de evaluación de otras asignaturas sería una solución solamente aparente.</w:t>
            </w:r>
          </w:p>
        </w:tc>
      </w:tr>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Nivel alcanzado</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Nivel 1 — Conversación directa entre los involucrados, pendiente de ratificación formal en la reunión del 9 de septiembre</w:t>
            </w:r>
          </w:p>
        </w:tc>
      </w:tr>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Alternativas en evaluación</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1. Reducir el alcance eliminando funcionalidades.</w:t>
            </w:r>
            <w:r>
              <w:rPr>
                <w:rFonts w:ascii="Calibri" w:cs="Calibri" w:eastAsia="Calibri" w:hAnsi="Calibri"/>
                <w:b w:val="false"/>
                <w:bCs w:val="false"/>
                <w:sz w:val="19"/>
                <w:szCs w:val="19"/>
              </w:rPr>
              <w:br/>
              <w:t xml:space="preserve">2. Ampliar la dedicación semanal del equipo.</w:t>
            </w:r>
            <w:r>
              <w:rPr>
                <w:rFonts w:ascii="Calibri" w:cs="Calibri" w:eastAsia="Calibri" w:hAnsi="Calibri"/>
                <w:b w:val="false"/>
                <w:bCs w:val="false"/>
                <w:sz w:val="19"/>
                <w:szCs w:val="19"/>
              </w:rPr>
              <w:br/>
              <w:t xml:space="preserve">3. Combinar reclasificación de prioridades, adelanto de actividades y ampliación acotada de la dedicación.</w:t>
            </w:r>
          </w:p>
        </w:tc>
      </w:tr>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Orientación preliminar</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El equipo se inclina por la tercera alternativa: reclasificar como postergables las historias de menor prioridad, adelantar el inicio del visor tridimensional y ampliar la dedicación solo en semanas verificadas como libres de evaluaciones de otras asignaturas. Esta orientación se someterá a acuerdo formal una vez cerrado el catálogo definitivo de historias de usuario.</w:t>
            </w:r>
          </w:p>
        </w:tc>
      </w:tr>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Fundamento</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Ninguna de las dos primeras alternativas resuelve el problema por sí sola: eliminar funcionalidades compromete objetivos específicos, y ampliar la dedicación sin verificar la disponibilidad real trasladaría el problema al riesgo R-05.</w:t>
            </w:r>
          </w:p>
        </w:tc>
      </w:tr>
      <w:tr>
        <w:tc>
          <w:tcPr>
            <w:tcW w:type="dxa" w:w="25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Estado</w:t>
            </w:r>
          </w:p>
        </w:tc>
        <w:tc>
          <w:tcPr>
            <w:tcW w:type="dxa" w:w="68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Abierto. Se formalizará en el acta de la reunión del 9 de septiembre de 2026, una vez cerrada la estimación definitiva por historia de usuario. Sujeto a evaluación en el hito Informe de Avance (S12).</w:t>
            </w:r>
          </w:p>
        </w:tc>
      </w:tr>
    </w:tbl>
    <w:p>
      <w:pPr>
        <w:pStyle w:val="Heading2"/>
        <w:spacing w:after="160" w:before="260"/>
      </w:pPr>
      <w:r>
        <w:t xml:space="preserve">5.6 Prevención de conflictos</w:t>
      </w:r>
    </w:p>
    <w:p>
      <w:pPr>
        <w:pStyle w:val="ListParagraph"/>
        <w:numPr>
          <w:ilvl w:val="0"/>
          <w:numId w:val="2"/>
        </w:numPr>
        <w:spacing w:after="70" w:line="270"/>
      </w:pPr>
      <w:r>
        <w:rPr>
          <w:rFonts w:ascii="Calibri" w:cs="Calibri" w:eastAsia="Calibri" w:hAnsi="Calibri"/>
          <w:sz w:val="22"/>
          <w:szCs w:val="22"/>
        </w:rPr>
        <w:t xml:space="preserve">Definición explícita de la responsabilidad de cada integrante mediante la matriz RACI, lo que reduce las zonas grises de atribución.</w:t>
      </w:r>
    </w:p>
    <w:p>
      <w:pPr>
        <w:pStyle w:val="ListParagraph"/>
        <w:numPr>
          <w:ilvl w:val="0"/>
          <w:numId w:val="2"/>
        </w:numPr>
        <w:spacing w:after="70" w:line="270"/>
      </w:pPr>
      <w:r>
        <w:rPr>
          <w:rFonts w:ascii="Calibri" w:cs="Calibri" w:eastAsia="Calibri" w:hAnsi="Calibri"/>
          <w:sz w:val="22"/>
          <w:szCs w:val="22"/>
        </w:rPr>
        <w:t xml:space="preserve">Reunión de coordinación semanal con acta obligatoria, que impide la acumulación silenciosa de desacuerdos.</w:t>
      </w:r>
    </w:p>
    <w:p>
      <w:pPr>
        <w:pStyle w:val="ListParagraph"/>
        <w:numPr>
          <w:ilvl w:val="0"/>
          <w:numId w:val="2"/>
        </w:numPr>
        <w:spacing w:after="70" w:line="270"/>
      </w:pPr>
      <w:r>
        <w:rPr>
          <w:rFonts w:ascii="Calibri" w:cs="Calibri" w:eastAsia="Calibri" w:hAnsi="Calibri"/>
          <w:sz w:val="22"/>
          <w:szCs w:val="22"/>
        </w:rPr>
        <w:t xml:space="preserve">Retrospectiva al cierre de cada incremento, con espacio expreso para observaciones sobre la dinámica de trabajo y no solamente sobre resultados técnicos.</w:t>
      </w:r>
    </w:p>
    <w:p>
      <w:pPr>
        <w:pStyle w:val="ListParagraph"/>
        <w:numPr>
          <w:ilvl w:val="0"/>
          <w:numId w:val="2"/>
        </w:numPr>
        <w:spacing w:after="70" w:line="270"/>
      </w:pPr>
      <w:r>
        <w:rPr>
          <w:rFonts w:ascii="Calibri" w:cs="Calibri" w:eastAsia="Calibri" w:hAnsi="Calibri"/>
          <w:sz w:val="22"/>
          <w:szCs w:val="22"/>
        </w:rPr>
        <w:t xml:space="preserve">Rotación del rol de secretario, que distribuye la carga administrativa y evita la percepción de asimetría en las tareas de menor visibilidad.</w:t>
      </w:r>
    </w:p>
    <w:p>
      <w:pPr>
        <w:pStyle w:val="ListParagraph"/>
        <w:numPr>
          <w:ilvl w:val="0"/>
          <w:numId w:val="2"/>
        </w:numPr>
        <w:spacing w:after="70" w:line="270"/>
      </w:pPr>
      <w:r>
        <w:rPr>
          <w:rFonts w:ascii="Calibri" w:cs="Calibri" w:eastAsia="Calibri" w:hAnsi="Calibri"/>
          <w:sz w:val="22"/>
          <w:szCs w:val="22"/>
        </w:rPr>
        <w:t xml:space="preserve">Revisión cruzada de código, que normaliza la crítica técnica como práctica habitual y no como cuestionamiento personal.</w:t>
      </w:r>
    </w:p>
    <w:p>
      <w:pPr>
        <w:pStyle w:val="ListParagraph"/>
        <w:numPr>
          <w:ilvl w:val="0"/>
          <w:numId w:val="2"/>
        </w:numPr>
        <w:spacing w:after="70" w:line="270"/>
      </w:pPr>
      <w:r>
        <w:rPr>
          <w:rFonts w:ascii="Calibri" w:cs="Calibri" w:eastAsia="Calibri" w:hAnsi="Calibri"/>
          <w:sz w:val="22"/>
          <w:szCs w:val="22"/>
        </w:rPr>
        <w:t xml:space="preserve">Registro documentado de las decisiones con su fundamento, que evita la reapertura de discusiones ya resueltas.</w:t>
      </w:r>
    </w:p>
    <w:p>
      <w:r>
        <w:br w:type="page"/>
      </w:r>
    </w:p>
    <w:p>
      <w:pPr>
        <w:pStyle w:val="Heading1"/>
        <w:spacing w:after="200" w:before="320"/>
      </w:pPr>
      <w:r>
        <w:t xml:space="preserve">Anexo A. Plantilla de acta de reunión</w:t>
      </w:r>
    </w:p>
    <w:p>
      <w:pPr>
        <w:spacing w:after="120" w:line="280"/>
        <w:jc w:val="both"/>
      </w:pPr>
      <w:r>
        <w:rPr>
          <w:rFonts w:ascii="Calibri" w:cs="Calibri" w:eastAsia="Calibri" w:hAnsi="Calibri"/>
          <w:sz w:val="22"/>
          <w:szCs w:val="22"/>
        </w:rPr>
        <w:t xml:space="preserve">Toda reunión del equipo se registra con la siguiente plantilla. El acta se redacta durante la reunión y se publica en el repositorio dentro de las 24 horas siguientes.</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2600"/>
        <w:gridCol w:w="6760"/>
      </w:tblGrid>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Identificador</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ACT-XX</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Fecha y hora</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Fecha, hora de inicio y hora de término.</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Modalidad y duración</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Presencial o videollamada; duración efectiva.</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Convoca y secretario</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Quien cita la reunión y quien redacta el acta (rol rotativo).</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Asistentes y ausentes</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Nómina completa, indicando el rol de cada participante.</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Objetivo</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Propósito de la reunión en una o dos líneas.</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Temas tratados</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Lista numerada de los asuntos abordados.</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Acuerdos adoptados</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Tabla con número, acuerdo, responsable y plazo comprometido.</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Compromisos pendientes</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Verificación del cumplimiento de los acuerdos de la reunión anterior.</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Próxima reunión</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Fecha, hora y tema previsto.</w:t>
            </w:r>
          </w:p>
        </w:tc>
      </w:tr>
    </w:tbl>
    <w:p>
      <w:r>
        <w:br w:type="page"/>
      </w:r>
    </w:p>
    <w:p>
      <w:pPr>
        <w:pStyle w:val="Heading1"/>
        <w:spacing w:after="200" w:before="320"/>
      </w:pPr>
      <w:r>
        <w:t xml:space="preserve">Anexo B. Plantilla de estado de avance</w:t>
      </w:r>
    </w:p>
    <w:p>
      <w:pPr>
        <w:spacing w:after="120" w:line="280"/>
        <w:jc w:val="both"/>
      </w:pPr>
      <w:r>
        <w:rPr>
          <w:rFonts w:ascii="Calibri" w:cs="Calibri" w:eastAsia="Calibri" w:hAnsi="Calibri"/>
          <w:sz w:val="22"/>
          <w:szCs w:val="22"/>
        </w:rPr>
        <w:t xml:space="preserve">El estado de avance se emite con periodicidad quincenal y se remite al docente guía con al menos 48 horas de anticipación a la reunión de seguimiento.</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2600"/>
        <w:gridCol w:w="6760"/>
      </w:tblGrid>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Identificador</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EA-XX</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Período informado</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Rango de fechas y semanas del cronograma que cubre el informe.</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Estado general</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Verde, amarillo o rojo, según el criterio definido en el capítulo 4.</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Avance del proyecto</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Porcentaje acumulado respecto del total y respecto de la fase en curso.</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Avance por actividad</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Tabla comparativa entre lo planificado y lo efectivamente realizado.</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Logros del período</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Resultados concretos obtenidos, expresados de forma verificable.</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Desviaciones</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Diferencias respecto del plan, con su causa y su plan de recuperación.</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Riesgos activos</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Riesgos vigentes con su tendencia y las acciones en curso.</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Próximo período</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Actividades comprometidas para la quincena siguiente.</w:t>
            </w:r>
          </w:p>
        </w:tc>
      </w:tr>
    </w:tbl>
    <w:p>
      <w:r>
        <w:br w:type="page"/>
      </w:r>
    </w:p>
    <w:p>
      <w:pPr>
        <w:pStyle w:val="Heading1"/>
        <w:spacing w:after="200" w:before="320"/>
      </w:pPr>
      <w:r>
        <w:t xml:space="preserve">Anexo C. Plantilla de informe de cierre de incremento</w:t>
      </w:r>
    </w:p>
    <w:p>
      <w:pPr>
        <w:spacing w:after="120" w:line="280"/>
        <w:jc w:val="both"/>
      </w:pPr>
      <w:r>
        <w:rPr>
          <w:rFonts w:ascii="Calibri" w:cs="Calibri" w:eastAsia="Calibri" w:hAnsi="Calibri"/>
          <w:sz w:val="22"/>
          <w:szCs w:val="22"/>
        </w:rPr>
        <w:t xml:space="preserve">Al término de cada incremento se emite un informe que documenta lo entregado, los resultados de las pruebas y las lecciones aprendidas. Este informe constituye la evidencia principal del avance ante el docente guía.</w:t>
      </w: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2600"/>
        <w:gridCol w:w="6760"/>
      </w:tblGrid>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Identificador</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INC-XX</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Período y hito asociado</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Semanas cubiertas e hito de control correspondiente.</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Historias comprometidas</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Lista de historias planificadas con su estimación en puntos.</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Historias completadas</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Historias que cumplen íntegramente la definición de terminado.</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Historias postergadas</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Historias no completadas, con su causa y su reprogramación.</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Velocidad obtenida</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Puntos completados frente a puntos comprometidos.</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Resultados de las pruebas</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Cobertura alcanzada, pruebas de aceptación superadas y defectos abiertos.</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Requisitos no funcionales verificados</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Identificadores verificados en el incremento y su evidencia.</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Deuda técnica registrada</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Decisiones de implementación que requieren revisión posterior.</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Retrospectiva</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Qué funcionó, qué no funcionó y qué se modificará en el incremento siguiente.</w:t>
            </w:r>
          </w:p>
        </w:tc>
      </w:tr>
      <w:tr>
        <w:tc>
          <w:tcPr>
            <w:tcW w:type="dxa" w:w="2600"/>
            <w:shd w:fill="F2F4F6" w:color="auto" w:val="clear"/>
            <w:tcMar>
              <w:top w:type="dxa" w:w="60"/>
              <w:left w:type="dxa" w:w="90"/>
              <w:bottom w:type="dxa" w:w="60"/>
              <w:right w:type="dxa" w:w="90"/>
            </w:tcMar>
            <w:vAlign w:val="center"/>
          </w:tcPr>
          <w:p>
            <w:pPr>
              <w:spacing w:after="40" w:before="40" w:line="250"/>
              <w:jc w:val="left"/>
            </w:pPr>
            <w:r>
              <w:rPr>
                <w:rFonts w:ascii="Calibri" w:cs="Calibri" w:eastAsia="Calibri" w:hAnsi="Calibri"/>
                <w:b/>
                <w:bCs/>
                <w:sz w:val="19"/>
                <w:szCs w:val="19"/>
              </w:rPr>
              <w:t xml:space="preserve">Ajustes al plan</w:t>
            </w:r>
          </w:p>
        </w:tc>
        <w:tc>
          <w:tcPr>
            <w:tcW w:type="dxa" w:w="6760"/>
            <w:tcMar>
              <w:top w:type="dxa" w:w="60"/>
              <w:left w:type="dxa" w:w="90"/>
              <w:bottom w:type="dxa" w:w="60"/>
              <w:right w:type="dxa" w:w="90"/>
            </w:tcMar>
            <w:vAlign w:val="center"/>
          </w:tcPr>
          <w:p>
            <w:pPr>
              <w:spacing w:after="40" w:before="40" w:line="250"/>
              <w:jc w:val="left"/>
            </w:pPr>
            <w:r>
              <w:rPr>
                <w:rFonts w:ascii="Calibri" w:cs="Calibri" w:eastAsia="Calibri" w:hAnsi="Calibri"/>
                <w:b w:val="false"/>
                <w:bCs w:val="false"/>
                <w:sz w:val="19"/>
                <w:szCs w:val="19"/>
              </w:rPr>
              <w:t xml:space="preserve">Modificaciones de alcance, cronograma o riesgos derivadas del incremento.</w:t>
            </w:r>
          </w:p>
        </w:tc>
      </w:tr>
    </w:tbl>
    <w:p>
      <w:r>
        <w:br w:type="page"/>
      </w:r>
    </w:p>
    <w:p>
      <w:pPr>
        <w:pStyle w:val="Heading1"/>
        <w:spacing w:after="200" w:before="320"/>
      </w:pPr>
      <w:r>
        <w:t xml:space="preserve">Anexo D. Acuerdo de trabajo del equipo</w:t>
      </w:r>
    </w:p>
    <w:p>
      <w:pPr>
        <w:spacing w:after="120" w:line="280"/>
        <w:jc w:val="both"/>
      </w:pPr>
      <w:r>
        <w:rPr>
          <w:rFonts w:ascii="Calibri" w:cs="Calibri" w:eastAsia="Calibri" w:hAnsi="Calibri"/>
          <w:sz w:val="22"/>
          <w:szCs w:val="22"/>
        </w:rPr>
        <w:t xml:space="preserve">El siguiente acuerdo fue suscrito por los tres integrantes en la reunión de inicio del proyecto y constituye la base de la convivencia y de la disciplina de trabajo durante todo el desarrollo.</w:t>
      </w:r>
    </w:p>
    <w:p>
      <w:pPr>
        <w:pStyle w:val="ListParagraph"/>
        <w:numPr>
          <w:ilvl w:val="0"/>
          <w:numId w:val="2"/>
        </w:numPr>
        <w:spacing w:after="70" w:line="270"/>
      </w:pPr>
      <w:r>
        <w:rPr>
          <w:rFonts w:ascii="Calibri" w:cs="Calibri" w:eastAsia="Calibri" w:hAnsi="Calibri"/>
          <w:sz w:val="22"/>
          <w:szCs w:val="22"/>
        </w:rPr>
        <w:t xml:space="preserve">Cada integrante compromete un mínimo de 12 horas semanales de dedicación efectiva al proyecto.</w:t>
      </w:r>
    </w:p>
    <w:p>
      <w:pPr>
        <w:pStyle w:val="ListParagraph"/>
        <w:numPr>
          <w:ilvl w:val="0"/>
          <w:numId w:val="2"/>
        </w:numPr>
        <w:spacing w:after="70" w:line="270"/>
      </w:pPr>
      <w:r>
        <w:rPr>
          <w:rFonts w:ascii="Calibri" w:cs="Calibri" w:eastAsia="Calibri" w:hAnsi="Calibri"/>
          <w:sz w:val="22"/>
          <w:szCs w:val="22"/>
        </w:rPr>
        <w:t xml:space="preserve">La reunión de coordinación se realiza los días miércoles a las 19:00 horas. La inasistencia se avisa con al menos 24 horas de anticipación.</w:t>
      </w:r>
    </w:p>
    <w:p>
      <w:pPr>
        <w:pStyle w:val="ListParagraph"/>
        <w:numPr>
          <w:ilvl w:val="0"/>
          <w:numId w:val="2"/>
        </w:numPr>
        <w:spacing w:after="70" w:line="270"/>
      </w:pPr>
      <w:r>
        <w:rPr>
          <w:rFonts w:ascii="Calibri" w:cs="Calibri" w:eastAsia="Calibri" w:hAnsi="Calibri"/>
          <w:sz w:val="22"/>
          <w:szCs w:val="22"/>
        </w:rPr>
        <w:t xml:space="preserve">Todo compromiso asumido en acta tiene un responsable único y un plazo determinado. Si no podrá cumplirse, se informa antes del vencimiento y no después.</w:t>
      </w:r>
    </w:p>
    <w:p>
      <w:pPr>
        <w:pStyle w:val="ListParagraph"/>
        <w:numPr>
          <w:ilvl w:val="0"/>
          <w:numId w:val="2"/>
        </w:numPr>
        <w:spacing w:after="70" w:line="270"/>
      </w:pPr>
      <w:r>
        <w:rPr>
          <w:rFonts w:ascii="Calibri" w:cs="Calibri" w:eastAsia="Calibri" w:hAnsi="Calibri"/>
          <w:sz w:val="22"/>
          <w:szCs w:val="22"/>
        </w:rPr>
        <w:t xml:space="preserve">El trabajo se integra al repositorio de forma diaria. No se mantiene trabajo terminado únicamente en el equipo local de un integrante.</w:t>
      </w:r>
    </w:p>
    <w:p>
      <w:pPr>
        <w:pStyle w:val="ListParagraph"/>
        <w:numPr>
          <w:ilvl w:val="0"/>
          <w:numId w:val="2"/>
        </w:numPr>
        <w:spacing w:after="70" w:line="270"/>
      </w:pPr>
      <w:r>
        <w:rPr>
          <w:rFonts w:ascii="Calibri" w:cs="Calibri" w:eastAsia="Calibri" w:hAnsi="Calibri"/>
          <w:sz w:val="22"/>
          <w:szCs w:val="22"/>
        </w:rPr>
        <w:t xml:space="preserve">Ninguna incorporación al tronco principal se realiza sin revisión de un integrante distinto de su autor.</w:t>
      </w:r>
    </w:p>
    <w:p>
      <w:pPr>
        <w:pStyle w:val="ListParagraph"/>
        <w:numPr>
          <w:ilvl w:val="0"/>
          <w:numId w:val="2"/>
        </w:numPr>
        <w:spacing w:after="70" w:line="270"/>
      </w:pPr>
      <w:r>
        <w:rPr>
          <w:rFonts w:ascii="Calibri" w:cs="Calibri" w:eastAsia="Calibri" w:hAnsi="Calibri"/>
          <w:sz w:val="22"/>
          <w:szCs w:val="22"/>
        </w:rPr>
        <w:t xml:space="preserve">Las discrepancias técnicas se resuelven con evidencia y conforme al procedimiento del capítulo 5.</w:t>
      </w:r>
    </w:p>
    <w:p>
      <w:pPr>
        <w:pStyle w:val="ListParagraph"/>
        <w:numPr>
          <w:ilvl w:val="0"/>
          <w:numId w:val="2"/>
        </w:numPr>
        <w:spacing w:after="70" w:line="270"/>
      </w:pPr>
      <w:r>
        <w:rPr>
          <w:rFonts w:ascii="Calibri" w:cs="Calibri" w:eastAsia="Calibri" w:hAnsi="Calibri"/>
          <w:sz w:val="22"/>
          <w:szCs w:val="22"/>
        </w:rPr>
        <w:t xml:space="preserve">Adoptada una decisión, todos los integrantes la ejecutan íntegramente, incluidos quienes sostuvieron la posición contraria.</w:t>
      </w:r>
    </w:p>
    <w:p>
      <w:pPr>
        <w:pStyle w:val="ListParagraph"/>
        <w:numPr>
          <w:ilvl w:val="0"/>
          <w:numId w:val="2"/>
        </w:numPr>
        <w:spacing w:after="70" w:line="270"/>
      </w:pPr>
      <w:r>
        <w:rPr>
          <w:rFonts w:ascii="Calibri" w:cs="Calibri" w:eastAsia="Calibri" w:hAnsi="Calibri"/>
          <w:sz w:val="22"/>
          <w:szCs w:val="22"/>
        </w:rPr>
        <w:t xml:space="preserve">La documentación se actualiza junto con el código y no al final del proyecto.</w:t>
      </w:r>
    </w:p>
    <w:p>
      <w:pPr>
        <w:pStyle w:val="ListParagraph"/>
        <w:numPr>
          <w:ilvl w:val="0"/>
          <w:numId w:val="2"/>
        </w:numPr>
        <w:spacing w:after="70" w:line="270"/>
      </w:pPr>
      <w:r>
        <w:rPr>
          <w:rFonts w:ascii="Calibri" w:cs="Calibri" w:eastAsia="Calibri" w:hAnsi="Calibri"/>
          <w:sz w:val="22"/>
          <w:szCs w:val="22"/>
        </w:rPr>
        <w:t xml:space="preserve">Las dificultades personales o académicas que afecten la disponibilidad se comunican tempranamente, de modo que el equipo pueda redistribuir la carga sin comprometer los hitos.</w:t>
      </w:r>
    </w:p>
    <w:p>
      <w:pPr>
        <w:spacing w:after="300"/>
      </w:pPr>
    </w:p>
    <w:tbl>
      <w:tblPr>
        <w:tblW w:type="dxa" w:w="9360"/>
        <w:tblBorders>
          <w:top w:val="single" w:color="B4C2D2" w:sz="4"/>
          <w:left w:val="single" w:color="B4C2D2" w:sz="4"/>
          <w:bottom w:val="single" w:color="B4C2D2" w:sz="4"/>
          <w:right w:val="single" w:color="B4C2D2" w:sz="4"/>
          <w:insideH w:val="single" w:color="B4C2D2" w:sz="4"/>
          <w:insideV w:val="single" w:color="B4C2D2" w:sz="4"/>
        </w:tblBorders>
      </w:tblPr>
      <w:tblGrid>
        <w:gridCol w:w="3400"/>
        <w:gridCol w:w="3800"/>
        <w:gridCol w:w="2160"/>
      </w:tblGrid>
      <w:tr>
        <w:trPr>
          <w:tblHeader/>
        </w:trPr>
        <w:tc>
          <w:tcPr>
            <w:tcW w:type="dxa" w:w="34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Integrante</w:t>
            </w:r>
          </w:p>
        </w:tc>
        <w:tc>
          <w:tcPr>
            <w:tcW w:type="dxa" w:w="380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Firma</w:t>
            </w:r>
          </w:p>
        </w:tc>
        <w:tc>
          <w:tcPr>
            <w:tcW w:type="dxa" w:w="2160"/>
            <w:shd w:fill="DCE7F2" w:color="auto" w:val="clear"/>
            <w:tcMar>
              <w:top w:type="dxa" w:w="60"/>
              <w:left w:type="dxa" w:w="90"/>
              <w:bottom w:type="dxa" w:w="60"/>
              <w:right w:type="dxa" w:w="90"/>
            </w:tcMar>
            <w:vAlign w:val="center"/>
          </w:tcPr>
          <w:p>
            <w:pPr>
              <w:spacing w:after="40" w:before="40" w:line="250"/>
              <w:jc w:val="center"/>
            </w:pPr>
            <w:r>
              <w:rPr>
                <w:rFonts w:ascii="Calibri" w:cs="Calibri" w:eastAsia="Calibri" w:hAnsi="Calibri"/>
                <w:b/>
                <w:bCs/>
                <w:sz w:val="19"/>
                <w:szCs w:val="19"/>
              </w:rPr>
              <w:t xml:space="preserve">Fecha</w:t>
            </w:r>
          </w:p>
        </w:tc>
      </w:tr>
      <w:tr>
        <w:tc>
          <w:tcPr>
            <w:tcW w:type="dxa" w:w="340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Jesús Rojas Gutiérrez</w:t>
            </w:r>
          </w:p>
        </w:tc>
        <w:tc>
          <w:tcPr>
            <w:tcW w:type="dxa" w:w="380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
            </w:r>
          </w:p>
        </w:tc>
        <w:tc>
          <w:tcPr>
            <w:tcW w:type="dxa" w:w="216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26-08-2026</w:t>
            </w:r>
          </w:p>
        </w:tc>
      </w:tr>
      <w:tr>
        <w:tc>
          <w:tcPr>
            <w:tcW w:type="dxa" w:w="34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Lorna Zúñiga Aguilera</w:t>
            </w:r>
          </w:p>
        </w:tc>
        <w:tc>
          <w:tcPr>
            <w:tcW w:type="dxa" w:w="380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
            </w:r>
          </w:p>
        </w:tc>
        <w:tc>
          <w:tcPr>
            <w:tcW w:type="dxa" w:w="2160"/>
            <w:shd w:fill="FAFBFC" w:color="auto" w:val="clear"/>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26-08-2026</w:t>
            </w:r>
          </w:p>
        </w:tc>
      </w:tr>
      <w:tr>
        <w:tc>
          <w:tcPr>
            <w:tcW w:type="dxa" w:w="340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Aldo Espinoza Daza</w:t>
            </w:r>
          </w:p>
        </w:tc>
        <w:tc>
          <w:tcPr>
            <w:tcW w:type="dxa" w:w="380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
            </w:r>
          </w:p>
        </w:tc>
        <w:tc>
          <w:tcPr>
            <w:tcW w:type="dxa" w:w="2160"/>
            <w:tcMar>
              <w:top w:type="dxa" w:w="60"/>
              <w:left w:type="dxa" w:w="90"/>
              <w:bottom w:type="dxa" w:w="60"/>
              <w:right w:type="dxa" w:w="90"/>
            </w:tcMar>
            <w:vAlign w:val="center"/>
          </w:tcPr>
          <w:p>
            <w:pPr>
              <w:spacing w:after="40" w:before="40" w:line="250"/>
              <w:jc w:val="left"/>
            </w:pPr>
            <w:r>
              <w:rPr>
                <w:rFonts w:ascii="Calibri" w:cs="Calibri" w:eastAsia="Calibri" w:hAnsi="Calibri"/>
                <w:sz w:val="19"/>
                <w:szCs w:val="19"/>
              </w:rPr>
              <w:t xml:space="preserve">26-08-2026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lvl w:ilvl="2" w15:tentative="1">
      <w:start w:val="1"/>
      <w:numFmt w:val="bullet"/>
      <w:lvlText w:val="▪"/>
      <w:lvlJc w:val="left"/>
      <w:pPr>
        <w:ind w:left="1340" w:hanging="260"/>
      </w:pPr>
    </w:lvl>
  </w:abstractNum>
  <w:abstractNum w:abstractNumId="3" w15:restartNumberingAfterBreak="0">
    <w:multiLevelType w:val="hybridMultilevel"/>
    <w:lvl w:ilvl="0" w15:tentative="1">
      <w:start w:val="1"/>
      <w:numFmt w:val="decimal"/>
      <w:lvlText w:val="%1."/>
      <w:lvlJc w:val="left"/>
      <w:pPr>
        <w:ind w:left="520" w:hanging="300"/>
      </w:pPr>
    </w:lvl>
  </w:abstractNum>
  <w:abstractNum w:abstractNumId="4" w15:restartNumberingAfterBreak="0">
    <w:multiLevelType w:val="hybridMultilevel"/>
    <w:lvl w:ilvl="0" w15:tentative="1">
      <w:start w:val="1"/>
      <w:numFmt w:val="decimal"/>
      <w:lvlText w:val="%1."/>
      <w:lvlJc w:val="left"/>
      <w:pPr>
        <w:ind w:left="520" w:hanging="300"/>
      </w:pPr>
    </w:lvl>
  </w:abstractNum>
  <w:abstractNum w:abstractNumId="5" w15:restartNumberingAfterBreak="0">
    <w:multiLevelType w:val="hybridMultilevel"/>
    <w:lvl w:ilvl="0" w15:tentative="1">
      <w:start w:val="1"/>
      <w:numFmt w:val="decimal"/>
      <w:lvlText w:val="%1."/>
      <w:lvlJc w:val="left"/>
      <w:pPr>
        <w:ind w:left="520" w:hanging="300"/>
      </w:pPr>
    </w:lvl>
  </w:abstractNum>
  <w:abstractNum w:abstractNumId="6" w15:restartNumberingAfterBreak="0">
    <w:multiLevelType w:val="hybridMultilevel"/>
    <w:lvl w:ilvl="0" w15:tentative="1">
      <w:start w:val="1"/>
      <w:numFmt w:val="decimal"/>
      <w:lvlText w:val="%1."/>
      <w:lvlJc w:val="left"/>
      <w:pPr>
        <w:ind w:left="520" w:hanging="300"/>
      </w:pPr>
    </w:lvl>
  </w:abstractNum>
  <w:abstractNum w:abstractNumId="7" w15:restartNumberingAfterBreak="0">
    <w:multiLevelType w:val="hybridMultilevel"/>
    <w:lvl w:ilvl="0" w15:tentative="1">
      <w:start w:val="1"/>
      <w:numFmt w:val="decimal"/>
      <w:lvlText w:val="%1."/>
      <w:lvlJc w:val="left"/>
      <w:pPr>
        <w:ind w:left="520" w:hanging="300"/>
      </w:pPr>
    </w:lvl>
  </w:abstractNum>
  <w:abstractNum w:abstractNumId="8" w15:restartNumberingAfterBreak="0">
    <w:multiLevelType w:val="hybridMultilevel"/>
    <w:lvl w:ilvl="0" w15:tentative="1">
      <w:start w:val="1"/>
      <w:numFmt w:val="decimal"/>
      <w:lvlText w:val="%1."/>
      <w:lvlJc w:val="left"/>
      <w:pPr>
        <w:ind w:left="520" w:hanging="300"/>
      </w:pPr>
    </w:lvl>
  </w:abstractNum>
  <w:abstractNum w:abstractNumId="9" w15:restartNumberingAfterBreak="0">
    <w:multiLevelType w:val="hybridMultilevel"/>
    <w:lvl w:ilvl="0" w15:tentative="1">
      <w:start w:val="1"/>
      <w:numFmt w:val="decimal"/>
      <w:lvlText w:val="%1."/>
      <w:lvlJc w:val="left"/>
      <w:pPr>
        <w:ind w:left="520" w:hanging="300"/>
      </w:pPr>
    </w:lvl>
  </w:abstractNum>
  <w:abstractNum w:abstractNumId="10" w15:restartNumberingAfterBreak="0">
    <w:multiLevelType w:val="hybridMultilevel"/>
    <w:lvl w:ilvl="0" w15:tentative="1">
      <w:start w:val="1"/>
      <w:numFmt w:val="decimal"/>
      <w:lvlText w:val="%1."/>
      <w:lvlJc w:val="left"/>
      <w:pPr>
        <w:ind w:left="5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2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CE7F2" w:sz="8" w:space="6"/>
      </w:pBdr>
      <w:spacing w:after="180" w:before="320"/>
    </w:pPr>
    <w:rPr>
      <w:rFonts w:ascii="Calibri" w:cs="Calibri" w:eastAsia="Calibri" w:hAnsi="Calibri"/>
      <w:b/>
      <w:bCs/>
      <w:color w:val="1F3A5F"/>
      <w:sz w:val="30"/>
      <w:szCs w:val="30"/>
    </w:rPr>
  </w:style>
  <w:style w:type="paragraph" w:styleId="Heading2">
    <w:name w:val="Heading 2"/>
    <w:basedOn w:val="Normal"/>
    <w:next w:val="Normal"/>
    <w:qFormat/>
    <w:pPr>
      <w:spacing w:after="140" w:before="260"/>
    </w:pPr>
    <w:rPr>
      <w:rFonts w:ascii="Calibri" w:cs="Calibri" w:eastAsia="Calibri" w:hAnsi="Calibri"/>
      <w:b/>
      <w:bCs/>
      <w:color w:val="2E6DA4"/>
      <w:sz w:val="25"/>
      <w:szCs w:val="25"/>
    </w:rPr>
  </w:style>
  <w:style w:type="paragraph" w:styleId="Heading3">
    <w:name w:val="Heading 3"/>
    <w:basedOn w:val="Normal"/>
    <w:next w:val="Normal"/>
    <w:qFormat/>
    <w:pPr>
      <w:spacing w:after="120" w:before="220"/>
    </w:pPr>
    <w:rPr>
      <w:rFonts w:ascii="Calibri" w:cs="Calibri" w:eastAsia="Calibri" w:hAnsi="Calibri"/>
      <w:b/>
      <w:bCs/>
      <w:color w:val="2E6DA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05b46e4108990cbae2c138b76b0c4fa7835a0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AutoSplat — Documentos de Gestión</dc:title>
  <dc:creator>Equipo AutoSplat</dc:creator>
  <dc:description>Plan del proyecto, stakeholders, actas de reunión, estados de avance y resolución de conflictos.</dc:description>
  <cp:lastModifiedBy>Un-named</cp:lastModifiedBy>
  <cp:revision>1</cp:revision>
  <dcterms:created xsi:type="dcterms:W3CDTF">2026-09-08T13:58:19.290Z</dcterms:created>
  <dcterms:modified xsi:type="dcterms:W3CDTF">2026-09-08T13:58:19.290Z</dcterms:modified>
</cp:coreProperties>
</file>

<file path=docProps/custom.xml><?xml version="1.0" encoding="utf-8"?>
<Properties xmlns="http://schemas.openxmlformats.org/officeDocument/2006/custom-properties" xmlns:vt="http://schemas.openxmlformats.org/officeDocument/2006/docPropsVTypes"/>
</file>