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2E4057"/>
          <w:sz w:val="40"/>
          <w:szCs w:val="40"/>
        </w:rPr>
        <w:t xml:space="preserve">Compound Hazard Risk Prioritization in Great Britain</w:t>
      </w:r>
    </w:p>
    <w:p>
      <w:pPr>
        <w:spacing w:after="200"/>
        <w:jc w:val="center"/>
      </w:pPr>
      <w:r>
        <w:rPr>
          <w:rFonts w:ascii="Arial" w:cs="Arial" w:eastAsia="Arial" w:hAnsi="Arial"/>
          <w:i/>
          <w:iCs/>
          <w:color w:val="666666"/>
          <w:sz w:val="28"/>
          <w:szCs w:val="28"/>
        </w:rPr>
        <w:t xml:space="preserve">Spatiotemporal Identification of Extreme Wind and Precipitation Events</w:t>
      </w:r>
    </w:p>
    <w:p>
      <w:pPr>
        <w:spacing w:after="120"/>
      </w:pPr>
      <w:r>
        <w:t xml:space="preserve"/>
      </w:r>
    </w:p>
    <w:p>
      <w:pPr>
        <w:spacing w:after="160"/>
        <w:jc w:val="center"/>
      </w:pPr>
      <w:r>
        <w:rPr>
          <w:rFonts w:ascii="Arial" w:cs="Arial" w:eastAsia="Arial" w:hAnsi="Arial"/>
          <w:sz w:val="22"/>
          <w:szCs w:val="22"/>
        </w:rPr>
        <w:t xml:space="preserve">Course: Artificial Intelligence in Human Water Systems</w:t>
      </w:r>
    </w:p>
    <w:p>
      <w:pPr>
        <w:spacing w:after="160"/>
        <w:jc w:val="center"/>
      </w:pPr>
      <w:r>
        <w:rPr>
          <w:rFonts w:ascii="Arial" w:cs="Arial" w:eastAsia="Arial" w:hAnsi="Arial"/>
          <w:sz w:val="22"/>
          <w:szCs w:val="22"/>
        </w:rPr>
        <w:t xml:space="preserve">Technische Universitat Berlin</w:t>
      </w:r>
    </w:p>
    <w:p>
      <w:pPr>
        <w:spacing w:after="120"/>
      </w:pPr>
      <w:r>
        <w:t xml:space="preserve"/>
      </w:r>
    </w:p>
    <w:p>
      <w:pPr>
        <w:spacing w:after="160"/>
        <w:jc w:val="center"/>
      </w:pPr>
      <w:r>
        <w:rPr>
          <w:rFonts w:ascii="Arial" w:cs="Arial" w:eastAsia="Arial" w:hAnsi="Arial"/>
          <w:b/>
          <w:bCs/>
          <w:sz w:val="24"/>
          <w:szCs w:val="24"/>
        </w:rPr>
        <w:t xml:space="preserve">Author: Jessica Gonzalez Hurtado</w:t>
      </w:r>
    </w:p>
    <w:p>
      <w:pPr>
        <w:spacing w:after="160"/>
        <w:jc w:val="center"/>
      </w:pPr>
      <w:r>
        <w:rPr>
          <w:rFonts w:ascii="Arial" w:cs="Arial" w:eastAsia="Arial" w:hAnsi="Arial"/>
          <w:sz w:val="22"/>
          <w:szCs w:val="22"/>
        </w:rPr>
        <w:t xml:space="preserve">Matrikelnummer: 5406583</w:t>
      </w:r>
    </w:p>
    <w:p>
      <w:pPr>
        <w:spacing w:after="160"/>
        <w:jc w:val="center"/>
      </w:pPr>
      <w:r>
        <w:rPr>
          <w:rFonts w:ascii="Arial" w:cs="Arial" w:eastAsia="Arial" w:hAnsi="Arial"/>
          <w:sz w:val="22"/>
          <w:szCs w:val="22"/>
        </w:rPr>
        <w:t xml:space="preserve">April 2026</w:t>
      </w:r>
    </w:p>
    <w:p>
      <w:pPr>
        <w:spacing w:after="120"/>
      </w:pPr>
      <w:r>
        <w:t xml:space="preserve"/>
      </w:r>
    </w:p>
    <w:p>
      <w:pPr>
        <w:spacing w:after="160"/>
        <w:jc w:val="center"/>
      </w:pPr>
      <w:r>
        <w:rPr>
          <w:rFonts w:ascii="Arial" w:cs="Arial" w:eastAsia="Arial" w:hAnsi="Arial"/>
          <w:sz w:val="22"/>
          <w:szCs w:val="22"/>
        </w:rPr>
        <w:t xml:space="preserve">GitHub Repository: </w:t>
      </w:r>
      <w:r>
        <w:rPr>
          <w:rFonts w:ascii="Arial" w:cs="Arial" w:eastAsia="Arial" w:hAnsi="Arial"/>
          <w:color w:val="2E75B6"/>
          <w:sz w:val="22"/>
          <w:szCs w:val="22"/>
        </w:rPr>
        <w:t xml:space="preserve">github.com/jess-go1/gb-compound-hazards-risk-prioritization</w:t>
      </w:r>
    </w:p>
    <w:p>
      <w:r>
        <w:br w:type="page"/>
      </w:r>
    </w:p>
    <w:p>
      <w:pPr>
        <w:pStyle w:val="Heading1"/>
      </w:pPr>
      <w:r>
        <w:rPr>
          <w:rFonts w:ascii="Arial" w:cs="Arial" w:eastAsia="Arial" w:hAnsi="Arial"/>
          <w:b/>
          <w:bCs/>
          <w:color w:val="2E4057"/>
          <w:sz w:val="28"/>
          <w:szCs w:val="28"/>
        </w:rPr>
        <w:t xml:space="preserve">1. Introduction</w:t>
      </w:r>
    </w:p>
    <w:p>
      <w:pPr>
        <w:spacing w:after="160"/>
      </w:pPr>
      <w:r>
        <w:rPr>
          <w:rFonts w:ascii="Arial" w:cs="Arial" w:eastAsia="Arial" w:hAnsi="Arial"/>
          <w:sz w:val="22"/>
          <w:szCs w:val="22"/>
        </w:rPr>
        <w:t xml:space="preserve">Compound hazard events, defined as the simultaneous or sequential occurrence of two or more natural hazards in the same spatial area and time period, represent a growing challenge for disaster risk management and resource allocation. Unlike single hazard events, compound hazards can produce impacts that are disproportionately larger than the sum of their individual components, creating cascading effects that overwhelm emergency response systems and infrastructure.</w:t>
      </w:r>
    </w:p>
    <w:p>
      <w:pPr>
        <w:spacing w:after="120"/>
      </w:pPr>
      <w:r>
        <w:t xml:space="preserve"/>
      </w:r>
    </w:p>
    <w:p>
      <w:pPr>
        <w:spacing w:after="160"/>
      </w:pPr>
      <w:r>
        <w:rPr>
          <w:rFonts w:ascii="Arial" w:cs="Arial" w:eastAsia="Arial" w:hAnsi="Arial"/>
          <w:sz w:val="22"/>
          <w:szCs w:val="22"/>
        </w:rPr>
        <w:t xml:space="preserve">Great Britain is particularly susceptible to compound wind and precipitation extremes due to its geographic position at the boundary of the North Atlantic storm track. Extratropical cyclones frequently bring simultaneous high winds and heavy precipitation, leading to compound events that cause flooding, infrastructure damage, and disruption to transportation and energy networks. The southwestern coast of Great Britain is especially exposed, receiving the first impact of Atlantic weather systems before they move inland.</w:t>
      </w:r>
    </w:p>
    <w:p>
      <w:pPr>
        <w:spacing w:after="120"/>
      </w:pPr>
      <w:r>
        <w:t xml:space="preserve"/>
      </w:r>
    </w:p>
    <w:p>
      <w:pPr>
        <w:spacing w:after="160"/>
      </w:pPr>
      <w:r>
        <w:rPr>
          <w:rFonts w:ascii="Arial" w:cs="Arial" w:eastAsia="Arial" w:hAnsi="Arial"/>
          <w:sz w:val="22"/>
          <w:szCs w:val="22"/>
        </w:rPr>
        <w:t xml:space="preserve">The motivation for this project stems from the need to provide decision-makers with actionable, data-driven categorizations that can inform the prioritization of emergency resources. Current approaches to risk management often treat wind and precipitation extremes independently, missing the compounded impacts that occur when both hazards co-occur. By identifying and characterizing spatiotemporal clusters of compound hazard events, this project aims to bridge the gap between scientific hazard analysis and practical resource allocation decisions.</w:t>
      </w:r>
    </w:p>
    <w:p>
      <w:pPr>
        <w:spacing w:after="120"/>
      </w:pPr>
      <w:r>
        <w:t xml:space="preserve"/>
      </w:r>
    </w:p>
    <w:p>
      <w:pPr>
        <w:spacing w:after="160"/>
      </w:pPr>
      <w:r>
        <w:rPr>
          <w:rFonts w:ascii="Arial" w:cs="Arial" w:eastAsia="Arial" w:hAnsi="Arial"/>
          <w:sz w:val="22"/>
          <w:szCs w:val="22"/>
        </w:rPr>
        <w:t xml:space="preserve">This project addresses the following research question:</w:t>
      </w:r>
    </w:p>
    <w:p>
      <w:pPr>
        <w:spacing w:after="120"/>
      </w:pPr>
      <w:r>
        <w:t xml:space="preserve"/>
      </w:r>
    </w:p>
    <w:p>
      <w:pPr>
        <w:spacing w:after="160"/>
        <w:ind w:left="720"/>
      </w:pPr>
      <w:r>
        <w:rPr>
          <w:rFonts w:ascii="Arial" w:cs="Arial" w:eastAsia="Arial" w:hAnsi="Arial"/>
          <w:b/>
          <w:bCs/>
          <w:i/>
          <w:iCs/>
          <w:sz w:val="22"/>
          <w:szCs w:val="22"/>
        </w:rPr>
        <w:t xml:space="preserve">"For the regions in Great Britain that have experienced extreme compound-risk events, which categorizations could decision-makers define to prioritize the allocation of resources?"</w:t>
      </w:r>
    </w:p>
    <w:p>
      <w:pPr>
        <w:spacing w:after="120"/>
      </w:pPr>
      <w:r>
        <w:t xml:space="preserve"/>
      </w:r>
    </w:p>
    <w:p>
      <w:pPr>
        <w:spacing w:after="160"/>
      </w:pPr>
      <w:r>
        <w:rPr>
          <w:rFonts w:ascii="Arial" w:cs="Arial" w:eastAsia="Arial" w:hAnsi="Arial"/>
          <w:sz w:val="22"/>
          <w:szCs w:val="22"/>
        </w:rPr>
        <w:t xml:space="preserve">To answer this question, this project applies a machine learning pipeline consisting of extreme event filtering using the 99th percentile threshold, spatiotemporal clustering using the DBSCAN algorithm, compound hazard detection through spatiotemporal overlap analysis, and a risk categorization framework based on a wind-precipitation intensity matrix.</w:t>
      </w:r>
    </w:p>
    <w:p>
      <w:pPr>
        <w:spacing w:after="120"/>
      </w:pPr>
      <w:r>
        <w:t xml:space="preserve"/>
      </w:r>
    </w:p>
    <w:p>
      <w:pPr>
        <w:pStyle w:val="Heading1"/>
      </w:pPr>
      <w:r>
        <w:rPr>
          <w:rFonts w:ascii="Arial" w:cs="Arial" w:eastAsia="Arial" w:hAnsi="Arial"/>
          <w:b/>
          <w:bCs/>
          <w:color w:val="2E4057"/>
          <w:sz w:val="28"/>
          <w:szCs w:val="28"/>
        </w:rPr>
        <w:t xml:space="preserve">2. Review of State-of-the-Art Literature</w:t>
      </w:r>
    </w:p>
    <w:p>
      <w:pPr>
        <w:pStyle w:val="Heading2"/>
      </w:pPr>
      <w:r>
        <w:rPr>
          <w:rFonts w:ascii="Arial" w:cs="Arial" w:eastAsia="Arial" w:hAnsi="Arial"/>
          <w:b/>
          <w:bCs/>
          <w:color w:val="2E4057"/>
          <w:sz w:val="24"/>
          <w:szCs w:val="24"/>
        </w:rPr>
        <w:t xml:space="preserve">2.1 Compound Hazards Research</w:t>
      </w:r>
    </w:p>
    <w:p>
      <w:pPr>
        <w:spacing w:after="160"/>
      </w:pPr>
      <w:r>
        <w:rPr>
          <w:rFonts w:ascii="Arial" w:cs="Arial" w:eastAsia="Arial" w:hAnsi="Arial"/>
          <w:sz w:val="22"/>
          <w:szCs w:val="22"/>
        </w:rPr>
        <w:t xml:space="preserve">The study of compound hazards has gained significant attention in recent years, driven by the recognition that multi-hazard events often cause greater societal impacts than individual hazards (Zscheischler et al., 2020). Compound events are particularly challenging because their probability of occurrence, spatial footprint, and temporal dynamics differ substantially from those of their constituent single hazards.</w:t>
      </w:r>
    </w:p>
    <w:p>
      <w:pPr>
        <w:spacing w:after="120"/>
      </w:pPr>
      <w:r>
        <w:t xml:space="preserve"/>
      </w:r>
    </w:p>
    <w:p>
      <w:pPr>
        <w:spacing w:after="160"/>
      </w:pPr>
      <w:r>
        <w:rPr>
          <w:rFonts w:ascii="Arial" w:cs="Arial" w:eastAsia="Arial" w:hAnsi="Arial"/>
          <w:sz w:val="22"/>
          <w:szCs w:val="22"/>
        </w:rPr>
        <w:t xml:space="preserve">Tilloy et al. (2022) developed a comprehensive methodology for the spatiotemporal identification of compound hazards in Great Britain, focusing specifically on wind and precipitation extremes from ERA5 reanalysis data for the period 1979-2019. Their work introduced the Spatiotemporal Identification of Compound Hazards (SI-CH) methodology, which applies the Density-Based Spatial Clustering of Applications with Noise (DBSCAN) algorithm to identify coherent spatiotemporal clusters of extreme events. Their analysis detected 18,086 precipitation clusters, 6,190 wind clusters, and 4,555 compound hazard clusters, achieving an overall hit rate of 93.7% when validated against a catalogue of 157 significant weather events.</w:t>
      </w:r>
    </w:p>
    <w:p>
      <w:pPr>
        <w:spacing w:after="120"/>
      </w:pPr>
      <w:r>
        <w:t xml:space="preserve"/>
      </w:r>
    </w:p>
    <w:p>
      <w:pPr>
        <w:spacing w:after="160"/>
      </w:pPr>
      <w:r>
        <w:rPr>
          <w:rFonts w:ascii="Arial" w:cs="Arial" w:eastAsia="Arial" w:hAnsi="Arial"/>
          <w:sz w:val="22"/>
          <w:szCs w:val="22"/>
        </w:rPr>
        <w:t xml:space="preserve">A key finding of Tilloy et al. (2022) is that compound wind-precipitation clusters are more prevalent in mountainous areas and along the southwestern coast of Great Britain, where the frequency of compound clusters was highest. This spatial pattern is consistent with the prevailing direction of Atlantic cyclonic weather systems and the orographic enhancement of precipitation in western upland regions.</w:t>
      </w:r>
    </w:p>
    <w:p>
      <w:pPr>
        <w:spacing w:after="120"/>
      </w:pPr>
      <w:r>
        <w:t xml:space="preserve"/>
      </w:r>
    </w:p>
    <w:p>
      <w:pPr>
        <w:pStyle w:val="Heading2"/>
      </w:pPr>
      <w:r>
        <w:rPr>
          <w:rFonts w:ascii="Arial" w:cs="Arial" w:eastAsia="Arial" w:hAnsi="Arial"/>
          <w:b/>
          <w:bCs/>
          <w:color w:val="2E4057"/>
          <w:sz w:val="24"/>
          <w:szCs w:val="24"/>
        </w:rPr>
        <w:t xml:space="preserve">2.2 Research Gap</w:t>
      </w:r>
    </w:p>
    <w:p>
      <w:pPr>
        <w:spacing w:after="160"/>
      </w:pPr>
      <w:r>
        <w:rPr>
          <w:rFonts w:ascii="Arial" w:cs="Arial" w:eastAsia="Arial" w:hAnsi="Arial"/>
          <w:sz w:val="22"/>
          <w:szCs w:val="22"/>
        </w:rPr>
        <w:t xml:space="preserve">While Tilloy et al. (2022) provide a robust methodology for detecting and characterizing compound hazard clusters, their work focuses primarily on the spatiotemporal properties of these events rather than on their implications for resource allocation. The paper does not provide a risk classification framework or prioritization table that decision-makers could use to allocate emergency resources.</w:t>
      </w:r>
    </w:p>
    <w:p>
      <w:pPr>
        <w:spacing w:after="120"/>
      </w:pPr>
      <w:r>
        <w:t xml:space="preserve"/>
      </w:r>
    </w:p>
    <w:p>
      <w:pPr>
        <w:spacing w:after="160"/>
      </w:pPr>
      <w:r>
        <w:rPr>
          <w:rFonts w:ascii="Arial" w:cs="Arial" w:eastAsia="Arial" w:hAnsi="Arial"/>
          <w:sz w:val="22"/>
          <w:szCs w:val="22"/>
        </w:rPr>
        <w:t xml:space="preserve">This represents a significant gap in the literature: the translation of compound hazard science into actionable decision-support tools. Risk practitioners and emergency managers require not just information about where and when compound hazards occur, but also categorizations that indicate the severity of those events relative to one another and relative to available resources.</w:t>
      </w:r>
    </w:p>
    <w:p>
      <w:pPr>
        <w:spacing w:after="120"/>
      </w:pPr>
      <w:r>
        <w:t xml:space="preserve"/>
      </w:r>
    </w:p>
    <w:p>
      <w:pPr>
        <w:pStyle w:val="Heading2"/>
      </w:pPr>
      <w:r>
        <w:rPr>
          <w:rFonts w:ascii="Arial" w:cs="Arial" w:eastAsia="Arial" w:hAnsi="Arial"/>
          <w:b/>
          <w:bCs/>
          <w:color w:val="2E4057"/>
          <w:sz w:val="24"/>
          <w:szCs w:val="24"/>
        </w:rPr>
        <w:t xml:space="preserve">2.3 Choice of Methodology</w:t>
      </w:r>
    </w:p>
    <w:p>
      <w:pPr>
        <w:spacing w:after="160"/>
      </w:pPr>
      <w:r>
        <w:rPr>
          <w:rFonts w:ascii="Arial" w:cs="Arial" w:eastAsia="Arial" w:hAnsi="Arial"/>
          <w:sz w:val="22"/>
          <w:szCs w:val="22"/>
        </w:rPr>
        <w:t xml:space="preserve">This project adopts the DBSCAN algorithm for spatiotemporal clustering, following the methodological framework of Tilloy et al. (2022), for several well-founded reasons. First, DBSCAN is particularly well suited for spatial data because it identifies clusters of arbitrary shape, which is important for atmospheric hazard events that do not conform to simple geometric forms. Second, DBSCAN does not require a predefined number of clusters, allowing the data to determine the cluster structure organically. Third, DBSCAN explicitly handles noise and outliers by classifying isolated extreme observations as noise points rather than forcing them into clusters, which is important for maintaining the physical coherence of identified hazard events.</w:t>
      </w:r>
    </w:p>
    <w:p>
      <w:pPr>
        <w:spacing w:after="120"/>
      </w:pPr>
      <w:r>
        <w:t xml:space="preserve"/>
      </w:r>
    </w:p>
    <w:p>
      <w:pPr>
        <w:spacing w:after="160"/>
      </w:pPr>
      <w:r>
        <w:rPr>
          <w:rFonts w:ascii="Arial" w:cs="Arial" w:eastAsia="Arial" w:hAnsi="Arial"/>
          <w:sz w:val="22"/>
          <w:szCs w:val="22"/>
        </w:rPr>
        <w:t xml:space="preserve">An important distinction between this project and a simple percentile-based approach is that the 99th percentile alone identifies extreme grid cells, while DBSCAN identifies extreme events. A decision-maker cannot act on information that cell X had extreme values on Y occasions over 10 years. They can act on information that region Z experienced N compound hazard events with average duration D hours and peak intensity I, classified as High, Medium, or Low priority.</w:t>
      </w:r>
    </w:p>
    <w:p>
      <w:pPr>
        <w:spacing w:after="120"/>
      </w:pPr>
      <w:r>
        <w:t xml:space="preserve"/>
      </w:r>
    </w:p>
    <w:p>
      <w:pPr>
        <w:pStyle w:val="Heading1"/>
      </w:pPr>
      <w:r>
        <w:rPr>
          <w:rFonts w:ascii="Arial" w:cs="Arial" w:eastAsia="Arial" w:hAnsi="Arial"/>
          <w:b/>
          <w:bCs/>
          <w:color w:val="2E4057"/>
          <w:sz w:val="28"/>
          <w:szCs w:val="28"/>
        </w:rPr>
        <w:t xml:space="preserve">3. Datasets and Methodology</w:t>
      </w:r>
    </w:p>
    <w:p>
      <w:pPr>
        <w:pStyle w:val="Heading2"/>
      </w:pPr>
      <w:r>
        <w:rPr>
          <w:rFonts w:ascii="Arial" w:cs="Arial" w:eastAsia="Arial" w:hAnsi="Arial"/>
          <w:b/>
          <w:bCs/>
          <w:color w:val="2E4057"/>
          <w:sz w:val="24"/>
          <w:szCs w:val="24"/>
        </w:rPr>
        <w:t xml:space="preserve">3.1 Data Source</w:t>
      </w:r>
    </w:p>
    <w:p>
      <w:pPr>
        <w:spacing w:after="160"/>
      </w:pPr>
      <w:r>
        <w:rPr>
          <w:rFonts w:ascii="Arial" w:cs="Arial" w:eastAsia="Arial" w:hAnsi="Arial"/>
          <w:sz w:val="22"/>
          <w:szCs w:val="22"/>
        </w:rPr>
        <w:t xml:space="preserve">The analysis uses ERA5 climate reanalysis data from the Copernicus Climate Data Store, specifically a pre-processed dataset covering Great Britain for the period 2009-2019. ERA5 is produced by the European Centre for Medium-Range Weather Forecasts (ECMWF) and provides hourly estimates of atmospheric variables at a spatial resolution of 0.25 degrees x 0.25 degrees.</w:t>
      </w:r>
    </w:p>
    <w:p>
      <w:pPr>
        <w:spacing w:after="120"/>
      </w:pPr>
      <w:r>
        <w:t xml:space="preserve"/>
      </w:r>
    </w:p>
    <w:p>
      <w:pPr>
        <w:spacing w:after="160"/>
      </w:pPr>
      <w:r>
        <w:rPr>
          <w:rFonts w:ascii="Arial" w:cs="Arial" w:eastAsia="Arial" w:hAnsi="Arial"/>
          <w:sz w:val="22"/>
          <w:szCs w:val="22"/>
        </w:rPr>
        <w:t xml:space="preserve">Two variables are used in this analysis:</w:t>
      </w:r>
    </w:p>
    <w:p>
      <w:pPr>
        <w:pStyle w:val="ListParagraph"/>
        <w:numPr>
          <w:ilvl w:val="0"/>
          <w:numId w:val="2"/>
        </w:numPr>
        <w:spacing w:after="80"/>
      </w:pPr>
      <w:r>
        <w:rPr>
          <w:rFonts w:ascii="Arial" w:cs="Arial" w:eastAsia="Arial" w:hAnsi="Arial"/>
          <w:sz w:val="22"/>
          <w:szCs w:val="22"/>
        </w:rPr>
        <w:t xml:space="preserve">Total precipitation (raindat_0919.nc): hourly accumulated precipitation in metres, converted to millimetres for analysis</w:t>
      </w:r>
    </w:p>
    <w:p>
      <w:pPr>
        <w:pStyle w:val="ListParagraph"/>
        <w:numPr>
          <w:ilvl w:val="0"/>
          <w:numId w:val="2"/>
        </w:numPr>
        <w:spacing w:after="80"/>
      </w:pPr>
      <w:r>
        <w:rPr>
          <w:rFonts w:ascii="Arial" w:cs="Arial" w:eastAsia="Arial" w:hAnsi="Arial"/>
          <w:sz w:val="22"/>
          <w:szCs w:val="22"/>
        </w:rPr>
        <w:t xml:space="preserve">Instantaneous 10-metre wind gust (windat_0919.nc): hourly maximum wind gust at 10m height in metres per second</w:t>
      </w:r>
    </w:p>
    <w:p>
      <w:pPr>
        <w:spacing w:after="120"/>
      </w:pPr>
      <w:r>
        <w:t xml:space="preserve"/>
      </w:r>
    </w:p>
    <w:p>
      <w:pPr>
        <w:spacing w:after="160"/>
      </w:pPr>
      <w:r>
        <w:rPr>
          <w:rFonts w:ascii="Arial" w:cs="Arial" w:eastAsia="Arial" w:hAnsi="Arial"/>
          <w:sz w:val="22"/>
          <w:szCs w:val="22"/>
        </w:rPr>
        <w:t xml:space="preserve">The dataset covers a spatial domain of 53 x 41 grid cells (latitude 47.0N to 60.0N, longitude 7.0W to 3.0E), encompassing Great Britain and parts of the surrounding sea areas. The temporal extent covers 95,095 hourly timesteps for precipitation and 95,215 for wind gust. Each NetCDF file contains two variables: p0001 (full gridded values) and p0005 (pre-filtered observations).</w:t>
      </w:r>
    </w:p>
    <w:p>
      <w:pPr>
        <w:spacing w:after="12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70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Precipitation</w:t>
            </w:r>
          </w:p>
        </w:tc>
        <w:tc>
          <w:tcPr>
            <w:tcW w:type="dxa" w:w="2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Wind Gust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Variable name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p0005 (total_precipitation)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p0005 (wind_gust_10m)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mm/h (converted from 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Spatial resolution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0.25 x 0.25 degrees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0.25 x 0.25 degrees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Temporal resolution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Hourly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Study period</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2009-2019</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2009-2019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size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 x 41 cells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 x 41 cells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Extreme observations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36,925</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39,109</w:t>
            </w:r>
          </w:p>
        </w:tc>
      </w:tr>
    </w:tbl>
    <w:p>
      <w:pPr>
        <w:spacing w:after="120"/>
      </w:pPr>
      <w:r>
        <w:t xml:space="preserve"/>
      </w:r>
    </w:p>
    <w:p>
      <w:pPr>
        <w:spacing w:after="160"/>
        <w:jc w:val="center"/>
      </w:pPr>
      <w:r>
        <w:rPr>
          <w:rFonts w:ascii="Arial" w:cs="Arial" w:eastAsia="Arial" w:hAnsi="Arial"/>
          <w:i/>
          <w:iCs/>
          <w:sz w:val="20"/>
          <w:szCs w:val="20"/>
        </w:rPr>
        <w:t xml:space="preserve">Table 1: Dataset characteristics for ERA5 precipitation and wind gust variables</w:t>
      </w:r>
    </w:p>
    <w:p>
      <w:pPr>
        <w:spacing w:after="120"/>
      </w:pPr>
      <w:r>
        <w:t xml:space="preserve"/>
      </w:r>
    </w:p>
    <w:p>
      <w:pPr>
        <w:pStyle w:val="Heading2"/>
      </w:pPr>
      <w:r>
        <w:rPr>
          <w:rFonts w:ascii="Arial" w:cs="Arial" w:eastAsia="Arial" w:hAnsi="Arial"/>
          <w:b/>
          <w:bCs/>
          <w:color w:val="2E4057"/>
          <w:sz w:val="24"/>
          <w:szCs w:val="24"/>
        </w:rPr>
        <w:t xml:space="preserve">3.2 Preprocessing</w:t>
      </w:r>
    </w:p>
    <w:p>
      <w:pPr>
        <w:spacing w:after="160"/>
      </w:pPr>
      <w:r>
        <w:rPr>
          <w:rFonts w:ascii="Arial" w:cs="Arial" w:eastAsia="Arial" w:hAnsi="Arial"/>
          <w:sz w:val="22"/>
          <w:szCs w:val="22"/>
        </w:rPr>
        <w:t xml:space="preserve">The preprocessing pipeline applies a 99th percentile threshold to filter extreme observations. For each of the 2,173 grid cells in the study domain, the 99th percentile value is computed across all hourly timesteps. Observations exceeding this cell-specific threshold are retained as extreme events. This approach follows the percentile-based methodology of Tilloy et al. (2022) and ensures that extreme events are defined relative to the local climate of each grid cell, rather than applying a uniform threshold across the entire domain.</w:t>
      </w:r>
    </w:p>
    <w:p>
      <w:pPr>
        <w:spacing w:after="120"/>
      </w:pPr>
      <w:r>
        <w:t xml:space="preserve"/>
      </w:r>
    </w:p>
    <w:p>
      <w:pPr>
        <w:spacing w:after="160"/>
      </w:pPr>
      <w:r>
        <w:rPr>
          <w:rFonts w:ascii="Arial" w:cs="Arial" w:eastAsia="Arial" w:hAnsi="Arial"/>
          <w:sz w:val="22"/>
          <w:szCs w:val="22"/>
        </w:rPr>
        <w:t xml:space="preserve">This filtering step reduces the dataset from approximately 200 million values per variable to 36,925 extreme precipitation observations and 39,109 extreme wind gust observations, representing approximately 1% of the total data as expected for a 99th percentile filter.</w:t>
      </w:r>
    </w:p>
    <w:p>
      <w:pPr>
        <w:spacing w:after="120"/>
      </w:pPr>
      <w:r>
        <w:t xml:space="preserve"/>
      </w:r>
    </w:p>
    <w:p>
      <w:pPr>
        <w:spacing w:after="160"/>
      </w:pPr>
      <w:r>
        <w:rPr>
          <w:rFonts w:ascii="Arial" w:cs="Arial" w:eastAsia="Arial" w:hAnsi="Arial"/>
          <w:sz w:val="22"/>
          <w:szCs w:val="22"/>
        </w:rPr>
        <w:t xml:space="preserve">The filtered extreme observations are then converted into a space-time point representation for DBSCAN clustering. Each extreme observation is represented as a point in a three-dimensional space-time cube with coordinates (normalized latitude, normalized longitude, time in hours). The spatial coordinates are normalized by dividing by the grid resolution (0.25 degrees), so that one unit of distance corresponds to one grid cell. The temporal coordinate is expressed in hours since the start of the extreme event period. This normalization scheme ensures that the DBSCAN distance metric treats spatial and temporal proximity equivalently.</w:t>
      </w:r>
    </w:p>
    <w:p>
      <w:pPr>
        <w:spacing w:after="120"/>
      </w:pPr>
      <w:r>
        <w:t xml:space="preserve"/>
      </w:r>
    </w:p>
    <w:p>
      <w:pPr>
        <w:pStyle w:val="Heading2"/>
      </w:pPr>
      <w:r>
        <w:rPr>
          <w:rFonts w:ascii="Arial" w:cs="Arial" w:eastAsia="Arial" w:hAnsi="Arial"/>
          <w:b/>
          <w:bCs/>
          <w:color w:val="2E4057"/>
          <w:sz w:val="24"/>
          <w:szCs w:val="24"/>
        </w:rPr>
        <w:t xml:space="preserve">3.3 DBSCAN Clustering</w:t>
      </w:r>
    </w:p>
    <w:p>
      <w:pPr>
        <w:spacing w:after="160"/>
      </w:pPr>
      <w:r>
        <w:rPr>
          <w:rFonts w:ascii="Arial" w:cs="Arial" w:eastAsia="Arial" w:hAnsi="Arial"/>
          <w:sz w:val="22"/>
          <w:szCs w:val="22"/>
        </w:rPr>
        <w:t xml:space="preserve">DBSCAN is applied independently to the extreme precipitation observations and the extreme wind gust observations to identify spatiotemporal clusters of each hazard type. The algorithm requires two hyperparameters:</w:t>
      </w:r>
    </w:p>
    <w:p>
      <w:pPr>
        <w:pStyle w:val="ListParagraph"/>
        <w:numPr>
          <w:ilvl w:val="0"/>
          <w:numId w:val="2"/>
        </w:numPr>
        <w:spacing w:after="80"/>
      </w:pPr>
      <w:r>
        <w:rPr>
          <w:rFonts w:ascii="Arial" w:cs="Arial" w:eastAsia="Arial" w:hAnsi="Arial"/>
          <w:sz w:val="22"/>
          <w:szCs w:val="22"/>
        </w:rPr>
        <w:t xml:space="preserve">Epsilon (epsilon): the neighbourhood radius within which at least min_samples points must exist for a point to be considered a core point. Determined via the k-Nearest Neighbour distance plot (k=10), identifying the knee of the sorted distance curve.</w:t>
      </w:r>
    </w:p>
    <w:p>
      <w:pPr>
        <w:pStyle w:val="ListParagraph"/>
        <w:numPr>
          <w:ilvl w:val="0"/>
          <w:numId w:val="2"/>
        </w:numPr>
        <w:spacing w:after="80"/>
      </w:pPr>
      <w:r>
        <w:rPr>
          <w:rFonts w:ascii="Arial" w:cs="Arial" w:eastAsia="Arial" w:hAnsi="Arial"/>
          <w:sz w:val="22"/>
          <w:szCs w:val="22"/>
        </w:rPr>
        <w:t xml:space="preserve">min_samples (mu): the minimum number of neighbouring points required to form a cluster, set to 10 following Tilloy et al. (2022) to detect events covering at least 10 grid cell-hour observations.</w:t>
      </w:r>
    </w:p>
    <w:p>
      <w:pPr>
        <w:spacing w:after="120"/>
      </w:pPr>
      <w:r>
        <w:t xml:space="preserve"/>
      </w:r>
    </w:p>
    <w:p>
      <w:pPr>
        <w:spacing w:after="160"/>
      </w:pPr>
      <w:r>
        <w:rPr>
          <w:rFonts w:ascii="Arial" w:cs="Arial" w:eastAsia="Arial" w:hAnsi="Arial"/>
          <w:sz w:val="22"/>
          <w:szCs w:val="22"/>
        </w:rPr>
        <w:t xml:space="preserve">The optimal epsilon was determined empirically using the k-NN distance plot technique, testing values on representative samples of the data. The final parameters selected were epsilon = 2.0 and min_samples = 10 for both precipitation and wind gust clustering.</w:t>
      </w:r>
    </w:p>
    <w:p>
      <w:pPr>
        <w:spacing w:after="12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20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epsilon (rain)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Identified from k-NN distance plot knee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epsilon (wind)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Identified from k-NN distance plot knee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min_samples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Following Tilloy et al. (2022)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Algorithm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ball_tree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Efficient for spatial data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Metric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Euclidean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Applied to normalized space-time cube</w:t>
            </w:r>
          </w:p>
        </w:tc>
      </w:tr>
    </w:tbl>
    <w:p>
      <w:pPr>
        <w:spacing w:after="120"/>
      </w:pPr>
      <w:r>
        <w:t xml:space="preserve"/>
      </w:r>
    </w:p>
    <w:p>
      <w:pPr>
        <w:spacing w:after="160"/>
        <w:jc w:val="center"/>
      </w:pPr>
      <w:r>
        <w:rPr>
          <w:rFonts w:ascii="Arial" w:cs="Arial" w:eastAsia="Arial" w:hAnsi="Arial"/>
          <w:i/>
          <w:iCs/>
          <w:sz w:val="20"/>
          <w:szCs w:val="20"/>
        </w:rPr>
        <w:t xml:space="preserve">Table 2: DBSCAN hyperparameters and justification</w:t>
      </w:r>
    </w:p>
    <w:p>
      <w:pPr>
        <w:spacing w:after="120"/>
      </w:pPr>
      <w:r>
        <w:t xml:space="preserve"/>
      </w:r>
    </w:p>
    <w:p>
      <w:pPr>
        <w:pStyle w:val="Heading2"/>
      </w:pPr>
      <w:r>
        <w:rPr>
          <w:rFonts w:ascii="Arial" w:cs="Arial" w:eastAsia="Arial" w:hAnsi="Arial"/>
          <w:b/>
          <w:bCs/>
          <w:color w:val="2E4057"/>
          <w:sz w:val="24"/>
          <w:szCs w:val="24"/>
        </w:rPr>
        <w:t xml:space="preserve">3.4 Compound Hazard Detection</w:t>
      </w:r>
    </w:p>
    <w:p>
      <w:pPr>
        <w:spacing w:after="160"/>
      </w:pPr>
      <w:r>
        <w:rPr>
          <w:rFonts w:ascii="Arial" w:cs="Arial" w:eastAsia="Arial" w:hAnsi="Arial"/>
          <w:sz w:val="22"/>
          <w:szCs w:val="22"/>
        </w:rPr>
        <w:t xml:space="preserve">Compound hazard events are identified by detecting spatiotemporal overlaps between precipitation clusters and wind clusters, following the methodology of Tilloy et al. (2022). A compound event is defined when two conditions are satisfied simultaneously:</w:t>
      </w:r>
    </w:p>
    <w:p>
      <w:pPr>
        <w:pStyle w:val="ListParagraph"/>
        <w:numPr>
          <w:ilvl w:val="0"/>
          <w:numId w:val="2"/>
        </w:numPr>
        <w:spacing w:after="80"/>
      </w:pPr>
      <w:r>
        <w:rPr>
          <w:rFonts w:ascii="Arial" w:cs="Arial" w:eastAsia="Arial" w:hAnsi="Arial"/>
          <w:sz w:val="22"/>
          <w:szCs w:val="22"/>
        </w:rPr>
        <w:t xml:space="preserve">Temporal overlap: the time windows of a precipitation cluster and a wind cluster overlap, meaning they co-occur during at least part of the same period</w:t>
      </w:r>
    </w:p>
    <w:p>
      <w:pPr>
        <w:pStyle w:val="ListParagraph"/>
        <w:numPr>
          <w:ilvl w:val="0"/>
          <w:numId w:val="2"/>
        </w:numPr>
        <w:spacing w:after="80"/>
      </w:pPr>
      <w:r>
        <w:rPr>
          <w:rFonts w:ascii="Arial" w:cs="Arial" w:eastAsia="Arial" w:hAnsi="Arial"/>
          <w:sz w:val="22"/>
          <w:szCs w:val="22"/>
        </w:rPr>
        <w:t xml:space="preserve">Spatial overlap: the bounding boxes of the two clusters share at least one common grid cell</w:t>
      </w:r>
    </w:p>
    <w:p>
      <w:pPr>
        <w:spacing w:after="120"/>
      </w:pPr>
      <w:r>
        <w:t xml:space="preserve"/>
      </w:r>
    </w:p>
    <w:p>
      <w:pPr>
        <w:spacing w:after="160"/>
      </w:pPr>
      <w:r>
        <w:rPr>
          <w:rFonts w:ascii="Arial" w:cs="Arial" w:eastAsia="Arial" w:hAnsi="Arial"/>
          <w:sz w:val="22"/>
          <w:szCs w:val="22"/>
        </w:rPr>
        <w:t xml:space="preserve">When both conditions are met, the compound event is characterized by its spatial footprint (the intersection of both cluster footprints, AND operation) and its temporal extent (the union of both cluster durations, OR operation). This definition follows Tilloy et al. (2022) and accounts for the fact that hazard impacts can persist after the hazard itself has ended.</w:t>
      </w:r>
    </w:p>
    <w:p>
      <w:pPr>
        <w:spacing w:after="120"/>
      </w:pPr>
      <w:r>
        <w:t xml:space="preserve"/>
      </w:r>
    </w:p>
    <w:p>
      <w:pPr>
        <w:spacing w:after="160"/>
      </w:pPr>
      <w:r>
        <w:rPr>
          <w:rFonts w:ascii="Arial" w:cs="Arial" w:eastAsia="Arial" w:hAnsi="Arial"/>
          <w:sz w:val="22"/>
          <w:szCs w:val="22"/>
        </w:rPr>
        <w:t xml:space="preserve">Each detected compound event is then assigned to a NUTS1 administrative region of Great Britain based on the spatial overlap between the compound event footprint and the NUTS1 regional boundaries.</w:t>
      </w:r>
    </w:p>
    <w:p>
      <w:pPr>
        <w:spacing w:after="120"/>
      </w:pPr>
      <w:r>
        <w:t xml:space="preserve"/>
      </w:r>
    </w:p>
    <w:p>
      <w:pPr>
        <w:pStyle w:val="Heading2"/>
      </w:pPr>
      <w:r>
        <w:rPr>
          <w:rFonts w:ascii="Arial" w:cs="Arial" w:eastAsia="Arial" w:hAnsi="Arial"/>
          <w:b/>
          <w:bCs/>
          <w:color w:val="2E4057"/>
          <w:sz w:val="24"/>
          <w:szCs w:val="24"/>
        </w:rPr>
        <w:t xml:space="preserve">3.5 Risk Categorization Framework</w:t>
      </w:r>
    </w:p>
    <w:p>
      <w:pPr>
        <w:spacing w:after="160"/>
      </w:pPr>
      <w:r>
        <w:rPr>
          <w:rFonts w:ascii="Arial" w:cs="Arial" w:eastAsia="Arial" w:hAnsi="Arial"/>
          <w:sz w:val="22"/>
          <w:szCs w:val="22"/>
        </w:rPr>
        <w:t xml:space="preserve">The risk categorization framework classifies each compound hazard event into one of three risk levels (High, Medium, Low) using a two-dimensional wind-precipitation intensity matrix. The intensity of each hazard is first normalized to an empirical cumulative probability scale [0, 1] using the rank-based transformation described in Tilloy et al. (2022):</w:t>
      </w:r>
    </w:p>
    <w:p>
      <w:pPr>
        <w:spacing w:after="120"/>
      </w:pPr>
      <w:r>
        <w:t xml:space="preserve"/>
      </w:r>
    </w:p>
    <w:p>
      <w:pPr>
        <w:spacing w:after="160"/>
        <w:ind w:left="720"/>
      </w:pPr>
      <w:r>
        <w:rPr>
          <w:rFonts w:ascii="Arial" w:cs="Arial" w:eastAsia="Arial" w:hAnsi="Arial"/>
          <w:i/>
          <w:iCs/>
          <w:sz w:val="22"/>
          <w:szCs w:val="22"/>
        </w:rPr>
        <w:t xml:space="preserve">P(xi) = R(x,i) / (Nx + 1)</w:t>
      </w:r>
    </w:p>
    <w:p>
      <w:pPr>
        <w:spacing w:after="120"/>
      </w:pPr>
      <w:r>
        <w:t xml:space="preserve"/>
      </w:r>
    </w:p>
    <w:p>
      <w:pPr>
        <w:spacing w:after="160"/>
      </w:pPr>
      <w:r>
        <w:rPr>
          <w:rFonts w:ascii="Arial" w:cs="Arial" w:eastAsia="Arial" w:hAnsi="Arial"/>
          <w:sz w:val="22"/>
          <w:szCs w:val="22"/>
        </w:rPr>
        <w:t xml:space="preserve">where R(x,i) is the rank of observation xi among all values of variable x, and Nx is the total sample size. This normalization allows wind and precipitation intensities to be compared on the same scale regardless of their different physical units.</w:t>
      </w:r>
    </w:p>
    <w:p>
      <w:pPr>
        <w:spacing w:after="120"/>
      </w:pPr>
      <w:r>
        <w:t xml:space="preserve"/>
      </w:r>
    </w:p>
    <w:p>
      <w:pPr>
        <w:spacing w:after="160"/>
      </w:pPr>
      <w:r>
        <w:rPr>
          <w:rFonts w:ascii="Arial" w:cs="Arial" w:eastAsia="Arial" w:hAnsi="Arial"/>
          <w:sz w:val="22"/>
          <w:szCs w:val="22"/>
        </w:rPr>
        <w:t xml:space="preserve">Each normalized intensity value is then classified as Low (&lt;0.33), Medium (0.33-0.66), or High (&gt;0.66). The risk level is assigned according to the following matrix:</w:t>
      </w:r>
    </w:p>
    <w:p>
      <w:pPr>
        <w:spacing w:after="12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00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Precipitation \ Wind</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Low Wind</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Medium Wind</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High Wind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 Precipitation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Precipitation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 Precipitation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120"/>
      </w:pPr>
      <w:r>
        <w:t xml:space="preserve"/>
      </w:r>
    </w:p>
    <w:p>
      <w:pPr>
        <w:spacing w:after="160"/>
        <w:jc w:val="center"/>
      </w:pPr>
      <w:r>
        <w:rPr>
          <w:rFonts w:ascii="Arial" w:cs="Arial" w:eastAsia="Arial" w:hAnsi="Arial"/>
          <w:i/>
          <w:iCs/>
          <w:sz w:val="20"/>
          <w:szCs w:val="20"/>
        </w:rPr>
        <w:t xml:space="preserve">Table 3: Wind x Precipitation risk classification matrix</w:t>
      </w:r>
    </w:p>
    <w:p>
      <w:pPr>
        <w:spacing w:after="120"/>
      </w:pPr>
      <w:r>
        <w:t xml:space="preserve"/>
      </w:r>
    </w:p>
    <w:p>
      <w:pPr>
        <w:pStyle w:val="Heading1"/>
      </w:pPr>
      <w:r>
        <w:rPr>
          <w:rFonts w:ascii="Arial" w:cs="Arial" w:eastAsia="Arial" w:hAnsi="Arial"/>
          <w:b/>
          <w:bCs/>
          <w:color w:val="2E4057"/>
          <w:sz w:val="28"/>
          <w:szCs w:val="28"/>
        </w:rPr>
        <w:t xml:space="preserve">4. Results</w:t>
      </w:r>
    </w:p>
    <w:p>
      <w:pPr>
        <w:pStyle w:val="Heading2"/>
      </w:pPr>
      <w:r>
        <w:rPr>
          <w:rFonts w:ascii="Arial" w:cs="Arial" w:eastAsia="Arial" w:hAnsi="Arial"/>
          <w:b/>
          <w:bCs/>
          <w:color w:val="2E4057"/>
          <w:sz w:val="24"/>
          <w:szCs w:val="24"/>
        </w:rPr>
        <w:t xml:space="preserve">4.1 Extreme Event Filtering</w:t>
      </w:r>
    </w:p>
    <w:p>
      <w:pPr>
        <w:spacing w:after="160"/>
      </w:pPr>
      <w:r>
        <w:rPr>
          <w:rFonts w:ascii="Arial" w:cs="Arial" w:eastAsia="Arial" w:hAnsi="Arial"/>
          <w:sz w:val="22"/>
          <w:szCs w:val="22"/>
        </w:rPr>
        <w:t xml:space="preserve">The application of the 99th percentile threshold to the ERA5 dataset yielded 36,925 extreme precipitation observations and 39,109 extreme wind gust observations, representing approximately 1% of the total dataset as expected. The spatial distribution of extreme precipitation intensity (mean value per grid cell) shows a clear west-east gradient, with higher intensities in the northwestern regions of the domain consistent with the prevailing Atlantic weather patterns. Extreme wind gust intensity is concentrated along the northern and coastal areas, reflecting the exposure of these regions to high-speed Atlantic storms.</w:t>
      </w:r>
    </w:p>
    <w:p>
      <w:pPr>
        <w:spacing w:after="120"/>
      </w:pPr>
      <w:r>
        <w:t xml:space="preserve"/>
      </w:r>
    </w:p>
    <w:p>
      <w:pPr>
        <w:pStyle w:val="Heading2"/>
      </w:pPr>
      <w:r>
        <w:rPr>
          <w:rFonts w:ascii="Arial" w:cs="Arial" w:eastAsia="Arial" w:hAnsi="Arial"/>
          <w:b/>
          <w:bCs/>
          <w:color w:val="2E4057"/>
          <w:sz w:val="24"/>
          <w:szCs w:val="24"/>
        </w:rPr>
        <w:t xml:space="preserve">4.2 DBSCAN Clustering Results</w:t>
      </w:r>
    </w:p>
    <w:p>
      <w:pPr>
        <w:spacing w:after="160"/>
      </w:pPr>
      <w:r>
        <w:rPr>
          <w:rFonts w:ascii="Arial" w:cs="Arial" w:eastAsia="Arial" w:hAnsi="Arial"/>
          <w:sz w:val="22"/>
          <w:szCs w:val="22"/>
        </w:rPr>
        <w:t xml:space="preserve">DBSCAN identified 161 precipitation clusters and 128 wind gust clusters from the filtered extreme observations. The cluster databases contain rich attribute sets for each detected event, summarized in the table below:</w:t>
      </w:r>
    </w:p>
    <w:p>
      <w:pPr>
        <w:spacing w:after="12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Precipitation Clusters</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Wind Clusters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clusters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duration (hours)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duration (hours)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28.0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spatial extent (km2)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39,697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32,763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spatial extent (km2)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387,355</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422,979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peak intensity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3.85 mm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21.7 m/s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peak intensity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10.6 mm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36.6 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Noise points (%)</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bl>
    <w:p>
      <w:pPr>
        <w:spacing w:after="120"/>
      </w:pPr>
      <w:r>
        <w:t xml:space="preserve"/>
      </w:r>
    </w:p>
    <w:p>
      <w:pPr>
        <w:spacing w:after="160"/>
        <w:jc w:val="center"/>
      </w:pPr>
      <w:r>
        <w:rPr>
          <w:rFonts w:ascii="Arial" w:cs="Arial" w:eastAsia="Arial" w:hAnsi="Arial"/>
          <w:i/>
          <w:iCs/>
          <w:sz w:val="20"/>
          <w:szCs w:val="20"/>
        </w:rPr>
        <w:t xml:space="preserve">Table 4: DBSCAN cluster database summary statistics</w:t>
      </w:r>
    </w:p>
    <w:p>
      <w:pPr>
        <w:spacing w:after="120"/>
      </w:pPr>
      <w:r>
        <w:t xml:space="preserve"/>
      </w:r>
    </w:p>
    <w:p>
      <w:pPr>
        <w:spacing w:after="160"/>
      </w:pPr>
      <w:r>
        <w:rPr>
          <w:rFonts w:ascii="Arial" w:cs="Arial" w:eastAsia="Arial" w:hAnsi="Arial"/>
          <w:sz w:val="22"/>
          <w:szCs w:val="22"/>
        </w:rPr>
        <w:t xml:space="preserve">The clusters exhibit meaningful variation in duration and spatial extent, confirming that DBSCAN successfully identifies coherent spatiotemporal events rather than arbitrary groupings of grid points. The maximum peak wind gust of 36.6 m/s corresponds to approximately 132 km/h, which is consistent with the most severe Atlantic storm systems that affect Great Britain. The relatively high noise rate for precipitation (9.4%) reflects the more localized and intermittent nature of extreme precipitation compared to wind events.</w:t>
      </w:r>
    </w:p>
    <w:p>
      <w:pPr>
        <w:spacing w:after="120"/>
      </w:pPr>
      <w:r>
        <w:t xml:space="preserve"/>
      </w:r>
    </w:p>
    <w:p>
      <w:pPr>
        <w:pStyle w:val="Heading2"/>
      </w:pPr>
      <w:r>
        <w:rPr>
          <w:rFonts w:ascii="Arial" w:cs="Arial" w:eastAsia="Arial" w:hAnsi="Arial"/>
          <w:b/>
          <w:bCs/>
          <w:color w:val="2E4057"/>
          <w:sz w:val="24"/>
          <w:szCs w:val="24"/>
        </w:rPr>
        <w:t xml:space="preserve">4.3 Compound Hazard Detection</w:t>
      </w:r>
    </w:p>
    <w:p>
      <w:pPr>
        <w:spacing w:after="160"/>
      </w:pPr>
      <w:r>
        <w:rPr>
          <w:rFonts w:ascii="Arial" w:cs="Arial" w:eastAsia="Arial" w:hAnsi="Arial"/>
          <w:sz w:val="22"/>
          <w:szCs w:val="22"/>
        </w:rPr>
        <w:t xml:space="preserve">The spatiotemporal overlap analysis identified 85 compound hazard events from the combination of 161 precipitation clusters and 128 wind clusters. All 85 compound events occurred during the September-November 2019 (SON season) period covered by the extreme event window in the dataset. The compound events are characterized as follows:</w:t>
      </w:r>
    </w:p>
    <w:p>
      <w:pPr>
        <w:spacing w:after="12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0"/>
        <w:gridCol w:w="3900"/>
      </w:tblGrid>
      <w:tr>
        <w:tc>
          <w:tcPr>
            <w:tcW w:type="dxa" w:w="5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compound events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 (September-November 2019)</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Mean compound duration (hours)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 compound duration (hours)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compound duration (hours)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36.0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spatial extent (km2)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30,160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spatial extent (km2)</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360,750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peak precipitation (mm)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4.59</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Mean peak wind gust (m/s)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23.7</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peak wind gust (m/s)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36.6</w:t>
            </w:r>
          </w:p>
        </w:tc>
      </w:tr>
    </w:tbl>
    <w:p>
      <w:pPr>
        <w:spacing w:after="120"/>
      </w:pPr>
      <w:r>
        <w:t xml:space="preserve"/>
      </w:r>
    </w:p>
    <w:p>
      <w:pPr>
        <w:spacing w:after="160"/>
        <w:jc w:val="center"/>
      </w:pPr>
      <w:r>
        <w:rPr>
          <w:rFonts w:ascii="Arial" w:cs="Arial" w:eastAsia="Arial" w:hAnsi="Arial"/>
          <w:i/>
          <w:iCs/>
          <w:sz w:val="20"/>
          <w:szCs w:val="20"/>
        </w:rPr>
        <w:t xml:space="preserve">Table 5: Compound hazard event summary statistics</w:t>
      </w:r>
    </w:p>
    <w:p>
      <w:pPr>
        <w:spacing w:after="120"/>
      </w:pPr>
      <w:r>
        <w:t xml:space="preserve"/>
      </w:r>
    </w:p>
    <w:p>
      <w:pPr>
        <w:spacing w:after="160"/>
      </w:pPr>
      <w:r>
        <w:rPr>
          <w:rFonts w:ascii="Arial" w:cs="Arial" w:eastAsia="Arial" w:hAnsi="Arial"/>
          <w:sz w:val="22"/>
          <w:szCs w:val="22"/>
        </w:rPr>
        <w:t xml:space="preserve">The mean compound duration of 16.3 hours is notably longer than the mean duration of individual precipitation (5.9 hours) or wind (5.9 hours) clusters, consistent with the definition of compound event duration as the union of both hazard durations. This finding is consistent with Tilloy et al. (2022), who reported that compound hazard clusters last on average 24 hours compared to 6.8 hours for precipitation and 9.6 hours for wind clusters alone.</w:t>
      </w:r>
    </w:p>
    <w:p>
      <w:pPr>
        <w:spacing w:after="120"/>
      </w:pPr>
      <w:r>
        <w:t xml:space="preserve"/>
      </w:r>
    </w:p>
    <w:p>
      <w:pPr>
        <w:spacing w:after="160"/>
      </w:pPr>
      <w:r>
        <w:rPr>
          <w:rFonts w:ascii="Arial" w:cs="Arial" w:eastAsia="Arial" w:hAnsi="Arial"/>
          <w:sz w:val="22"/>
          <w:szCs w:val="22"/>
        </w:rPr>
        <w:t xml:space="preserve">The spatial assignment of compound events to NUTS1 regions identified South West England as the primary affected region, with 73 out of 85 compound events (85.9%) assigned to this region. The remaining 12 events fell outside the defined NUTS1 boundaries, primarily in the English Channel and surrounding marine areas. This spatial concentration is consistent with the findings of Tilloy et al. (2022), who identified the southeastern and southwestern coasts of Great Britain as primary hotspots for compound wind-precipitation clusters, attributing this pattern to the prevailing direction of Atlantic cyclonic weather systems.</w:t>
      </w:r>
    </w:p>
    <w:p>
      <w:pPr>
        <w:spacing w:after="120"/>
      </w:pPr>
      <w:r>
        <w:t xml:space="preserve"/>
      </w:r>
    </w:p>
    <w:p>
      <w:pPr>
        <w:pStyle w:val="Heading2"/>
      </w:pPr>
      <w:r>
        <w:rPr>
          <w:rFonts w:ascii="Arial" w:cs="Arial" w:eastAsia="Arial" w:hAnsi="Arial"/>
          <w:b/>
          <w:bCs/>
          <w:color w:val="2E4057"/>
          <w:sz w:val="24"/>
          <w:szCs w:val="24"/>
        </w:rPr>
        <w:t xml:space="preserve">4.4 Risk Categorization</w:t>
      </w:r>
    </w:p>
    <w:p>
      <w:pPr>
        <w:spacing w:after="160"/>
      </w:pPr>
      <w:r>
        <w:rPr>
          <w:rFonts w:ascii="Arial" w:cs="Arial" w:eastAsia="Arial" w:hAnsi="Arial"/>
          <w:sz w:val="22"/>
          <w:szCs w:val="22"/>
        </w:rPr>
        <w:t xml:space="preserve">The risk classification of the 73 compound events assigned to South West England yielded a balanced distribution across the three risk levels:</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00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Number of Events</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34.2%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Immediate resource allocation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 investment and preparedness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31.5%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Monitoring and baseline preparedness</w:t>
            </w:r>
          </w:p>
        </w:tc>
      </w:tr>
    </w:tbl>
    <w:p>
      <w:pPr>
        <w:spacing w:after="120"/>
      </w:pPr>
      <w:r>
        <w:t xml:space="preserve"/>
      </w:r>
    </w:p>
    <w:p>
      <w:pPr>
        <w:spacing w:after="160"/>
        <w:jc w:val="center"/>
      </w:pPr>
      <w:r>
        <w:rPr>
          <w:rFonts w:ascii="Arial" w:cs="Arial" w:eastAsia="Arial" w:hAnsi="Arial"/>
          <w:i/>
          <w:iCs/>
          <w:sz w:val="20"/>
          <w:szCs w:val="20"/>
        </w:rPr>
        <w:t xml:space="preserve">Table 6: Risk level distribution for South West England compound events</w:t>
      </w:r>
    </w:p>
    <w:p>
      <w:pPr>
        <w:spacing w:after="120"/>
      </w:pPr>
      <w:r>
        <w:t xml:space="preserve"/>
      </w:r>
    </w:p>
    <w:p>
      <w:pPr>
        <w:pStyle w:val="Heading2"/>
      </w:pPr>
      <w:r>
        <w:rPr>
          <w:rFonts w:ascii="Arial" w:cs="Arial" w:eastAsia="Arial" w:hAnsi="Arial"/>
          <w:b/>
          <w:bCs/>
          <w:color w:val="2E4057"/>
          <w:sz w:val="24"/>
          <w:szCs w:val="24"/>
        </w:rPr>
        <w:t xml:space="preserve">4.5 Final Prioritization Table</w:t>
      </w:r>
    </w:p>
    <w:p>
      <w:pPr>
        <w:spacing w:after="160"/>
      </w:pPr>
      <w:r>
        <w:rPr>
          <w:rFonts w:ascii="Arial" w:cs="Arial" w:eastAsia="Arial" w:hAnsi="Arial"/>
          <w:sz w:val="22"/>
          <w:szCs w:val="22"/>
        </w:rPr>
        <w:t xml:space="preserve">The final decision-maker prioritization table aggregates the compound hazard characteristics by NUTS1 region and provides actionable categorizations for resource allocation:</w:t>
      </w:r>
    </w:p>
    <w:p>
      <w:pPr>
        <w:spacing w:after="120"/>
      </w:pPr>
      <w:r>
        <w:t xml:space="preserve"/>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500"/>
        <w:gridCol w:w="1800"/>
        <w:gridCol w:w="1800"/>
        <w:gridCol w:w="1600"/>
        <w:gridCol w:w="110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Region (NUTS1)</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Total Events</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High Risk</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Avg Duration (h)</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Avg Peak Wind (m/s)</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Avg Peak Rain (mm)</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Avg Extent (km2)</w:t>
            </w:r>
          </w:p>
        </w:tc>
        <w:tc>
          <w:tcPr>
            <w:tcW w:type="dxa" w:w="1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South West England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24.13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4.67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35,043</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r>
    </w:tbl>
    <w:p>
      <w:pPr>
        <w:spacing w:after="120"/>
      </w:pPr>
      <w:r>
        <w:t xml:space="preserve"/>
      </w:r>
    </w:p>
    <w:p>
      <w:pPr>
        <w:spacing w:after="160"/>
        <w:jc w:val="center"/>
      </w:pPr>
      <w:r>
        <w:rPr>
          <w:rFonts w:ascii="Arial" w:cs="Arial" w:eastAsia="Arial" w:hAnsi="Arial"/>
          <w:i/>
          <w:iCs/>
          <w:sz w:val="20"/>
          <w:szCs w:val="20"/>
        </w:rPr>
        <w:t xml:space="preserve">Table 7: Final compound hazard risk prioritization table for Great Britain (2009-2019)</w:t>
      </w:r>
    </w:p>
    <w:p>
      <w:pPr>
        <w:spacing w:after="120"/>
      </w:pPr>
      <w:r>
        <w:t xml:space="preserve"/>
      </w:r>
    </w:p>
    <w:p>
      <w:pPr>
        <w:spacing w:after="160"/>
      </w:pPr>
      <w:r>
        <w:rPr>
          <w:rFonts w:ascii="Arial" w:cs="Arial" w:eastAsia="Arial" w:hAnsi="Arial"/>
          <w:sz w:val="22"/>
          <w:szCs w:val="22"/>
        </w:rPr>
        <w:t xml:space="preserve">South West England is classified as HIGH priority based on its dominant risk level, with 25 High-risk compound events, an average compound event duration of 16.6 hours, average peak wind gusts of 24.13 m/s (approximately 87 km/h), and an average spatial footprint of 35,043 km2. The HIGH priority classification indicates that this region requires immediate and sustained resource allocation for compound hazard response, including pre-positioned emergency resources, coordinated multi-agency response plans, and infrastructure reinforcement for the simultaneous management of wind damage and flood events.</w:t>
      </w:r>
    </w:p>
    <w:p>
      <w:pPr>
        <w:spacing w:after="120"/>
      </w:pPr>
      <w:r>
        <w:t xml:space="preserve"/>
      </w:r>
    </w:p>
    <w:p>
      <w:pPr>
        <w:pStyle w:val="Heading1"/>
      </w:pPr>
      <w:r>
        <w:rPr>
          <w:rFonts w:ascii="Arial" w:cs="Arial" w:eastAsia="Arial" w:hAnsi="Arial"/>
          <w:b/>
          <w:bCs/>
          <w:color w:val="2E4057"/>
          <w:sz w:val="28"/>
          <w:szCs w:val="28"/>
        </w:rPr>
        <w:t xml:space="preserve">5. Discussion and Conclusion</w:t>
      </w:r>
    </w:p>
    <w:p>
      <w:pPr>
        <w:pStyle w:val="Heading2"/>
      </w:pPr>
      <w:r>
        <w:rPr>
          <w:rFonts w:ascii="Arial" w:cs="Arial" w:eastAsia="Arial" w:hAnsi="Arial"/>
          <w:b/>
          <w:bCs/>
          <w:color w:val="2E4057"/>
          <w:sz w:val="24"/>
          <w:szCs w:val="24"/>
        </w:rPr>
        <w:t xml:space="preserve">5.1 Critical Evaluation</w:t>
      </w:r>
    </w:p>
    <w:p>
      <w:pPr>
        <w:spacing w:after="160"/>
      </w:pPr>
      <w:r>
        <w:rPr>
          <w:rFonts w:ascii="Arial" w:cs="Arial" w:eastAsia="Arial" w:hAnsi="Arial"/>
          <w:sz w:val="22"/>
          <w:szCs w:val="22"/>
        </w:rPr>
        <w:t xml:space="preserve">The analysis successfully demonstrates the application of unsupervised machine learning (DBSCAN) to spatiotemporal compound hazard detection and risk prioritization. However, several limitations must be acknowledged.</w:t>
      </w:r>
    </w:p>
    <w:p>
      <w:pPr>
        <w:spacing w:after="120"/>
      </w:pPr>
      <w:r>
        <w:t xml:space="preserve"/>
      </w:r>
    </w:p>
    <w:p>
      <w:pPr>
        <w:spacing w:after="160"/>
      </w:pPr>
      <w:r>
        <w:rPr>
          <w:rFonts w:ascii="Arial" w:cs="Arial" w:eastAsia="Arial" w:hAnsi="Arial"/>
          <w:sz w:val="22"/>
          <w:szCs w:val="22"/>
        </w:rPr>
        <w:t xml:space="preserve">The most significant limitation is the temporal scope of the extreme event window in the dataset. While the ERA5 data nominally covers 2009-2019, the extreme observations captured in the p0005 variable are concentrated in a single period of approximately 1,608 hours (September-November 2019). This means that the 85 compound events detected represent a snapshot of one extreme weather season rather than a decade-long climatological analysis. A full 2009-2019 analysis using the raw ERA5 data would provide a more robust characterization of compound hazard frequency and trends over time.</w:t>
      </w:r>
    </w:p>
    <w:p>
      <w:pPr>
        <w:spacing w:after="120"/>
      </w:pPr>
      <w:r>
        <w:t xml:space="preserve"/>
      </w:r>
    </w:p>
    <w:p>
      <w:pPr>
        <w:spacing w:after="160"/>
      </w:pPr>
      <w:r>
        <w:rPr>
          <w:rFonts w:ascii="Arial" w:cs="Arial" w:eastAsia="Arial" w:hAnsi="Arial"/>
          <w:sz w:val="22"/>
          <w:szCs w:val="22"/>
        </w:rPr>
        <w:t xml:space="preserve">The spatial assignment of compound events to a single NUTS1 region (South West England) reflects both the geographic reality of the data and the limitations of the centroid-based regional assignment. Many compound events in the study area have large spatial footprints that overlap multiple regions, and the assignment to a single region based on maximum spatial overlap may underrepresent the multi-regional character of major storm events.</w:t>
      </w:r>
    </w:p>
    <w:p>
      <w:pPr>
        <w:spacing w:after="120"/>
      </w:pPr>
      <w:r>
        <w:t xml:space="preserve"/>
      </w:r>
    </w:p>
    <w:p>
      <w:pPr>
        <w:spacing w:after="160"/>
      </w:pPr>
      <w:r>
        <w:rPr>
          <w:rFonts w:ascii="Arial" w:cs="Arial" w:eastAsia="Arial" w:hAnsi="Arial"/>
          <w:sz w:val="22"/>
          <w:szCs w:val="22"/>
        </w:rPr>
        <w:t xml:space="preserve">The DBSCAN parameters (epsilon = 2.0, min_samples = 10) were selected empirically using the k-NN distance plot technique. The sensitivity of the results to these parameters was not exhaustively tested, and alternative parameter choices could yield different numbers of clusters and compound events. A systematic sensitivity analysis, as performed by Tilloy et al. (2022), would strengthen the robustness of the results.</w:t>
      </w:r>
    </w:p>
    <w:p>
      <w:pPr>
        <w:spacing w:after="120"/>
      </w:pPr>
      <w:r>
        <w:t xml:space="preserve"/>
      </w:r>
    </w:p>
    <w:p>
      <w:pPr>
        <w:pStyle w:val="Heading2"/>
      </w:pPr>
      <w:r>
        <w:rPr>
          <w:rFonts w:ascii="Arial" w:cs="Arial" w:eastAsia="Arial" w:hAnsi="Arial"/>
          <w:b/>
          <w:bCs/>
          <w:color w:val="2E4057"/>
          <w:sz w:val="24"/>
          <w:szCs w:val="24"/>
        </w:rPr>
        <w:t xml:space="preserve">5.2 Comparison with Alternative Approaches</w:t>
      </w:r>
    </w:p>
    <w:p>
      <w:pPr>
        <w:spacing w:after="160"/>
      </w:pPr>
      <w:r>
        <w:rPr>
          <w:rFonts w:ascii="Arial" w:cs="Arial" w:eastAsia="Arial" w:hAnsi="Arial"/>
          <w:sz w:val="22"/>
          <w:szCs w:val="22"/>
        </w:rPr>
        <w:t xml:space="preserve">The choice of DBSCAN over alternative clustering approaches (K-Means, hierarchical clustering) is justified by its ability to handle clusters of arbitrary shape and its explicit treatment of noise. K-Means, for example, would require specifying the number of clusters a priori, which is not physically motivated for atmospheric hazard events. Hierarchical clustering would be computationally intractable for datasets with tens of thousands of points.</w:t>
      </w:r>
    </w:p>
    <w:p>
      <w:pPr>
        <w:spacing w:after="120"/>
      </w:pPr>
      <w:r>
        <w:t xml:space="preserve"/>
      </w:r>
    </w:p>
    <w:p>
      <w:pPr>
        <w:spacing w:after="160"/>
      </w:pPr>
      <w:r>
        <w:rPr>
          <w:rFonts w:ascii="Arial" w:cs="Arial" w:eastAsia="Arial" w:hAnsi="Arial"/>
          <w:sz w:val="22"/>
          <w:szCs w:val="22"/>
        </w:rPr>
        <w:t xml:space="preserve">An alternative approach suggested by the course instructor was to use the 99th percentile threshold alone, without DBSCAN clustering. While this would identify extreme grid cells, it would not produce the event-level characterizations (duration, spatial extent, intensity) that are required for the risk prioritization table. DBSCAN is therefore a necessary component of the pipeline, not merely a methodological choice.</w:t>
      </w:r>
    </w:p>
    <w:p>
      <w:pPr>
        <w:spacing w:after="120"/>
      </w:pPr>
      <w:r>
        <w:t xml:space="preserve"/>
      </w:r>
    </w:p>
    <w:p>
      <w:pPr>
        <w:spacing w:after="160"/>
      </w:pPr>
      <w:r>
        <w:rPr>
          <w:rFonts w:ascii="Arial" w:cs="Arial" w:eastAsia="Arial" w:hAnsi="Arial"/>
          <w:sz w:val="22"/>
          <w:szCs w:val="22"/>
        </w:rPr>
        <w:t xml:space="preserve">HDBSCAN (Hierarchical DBSCAN) was also considered as an alternative, as it can handle varying density clusters and does not require epsilon to be specified manually. Given the time constraints of this project, DBSCAN was retained, but HDBSCAN would be a valuable direction for future work.</w:t>
      </w:r>
    </w:p>
    <w:p>
      <w:pPr>
        <w:spacing w:after="120"/>
      </w:pPr>
      <w:r>
        <w:t xml:space="preserve"/>
      </w:r>
    </w:p>
    <w:p>
      <w:pPr>
        <w:pStyle w:val="Heading2"/>
      </w:pPr>
      <w:r>
        <w:rPr>
          <w:rFonts w:ascii="Arial" w:cs="Arial" w:eastAsia="Arial" w:hAnsi="Arial"/>
          <w:b/>
          <w:bCs/>
          <w:color w:val="2E4057"/>
          <w:sz w:val="24"/>
          <w:szCs w:val="24"/>
        </w:rPr>
        <w:t xml:space="preserve">5.3 Applicability and Scalability</w:t>
      </w:r>
    </w:p>
    <w:p>
      <w:pPr>
        <w:spacing w:after="160"/>
      </w:pPr>
      <w:r>
        <w:rPr>
          <w:rFonts w:ascii="Arial" w:cs="Arial" w:eastAsia="Arial" w:hAnsi="Arial"/>
          <w:sz w:val="22"/>
          <w:szCs w:val="22"/>
        </w:rPr>
        <w:t xml:space="preserve">The pipeline developed in this project is designed to be reproducible and extensible. The modular notebook structure allows each step of the analysis to be run independently or replaced with alternative implementations. The use of open-source Python libraries (scikit-learn, xarray, geopandas) ensures that the workflow can be reproduced without proprietary software.</w:t>
      </w:r>
    </w:p>
    <w:p>
      <w:pPr>
        <w:spacing w:after="120"/>
      </w:pPr>
      <w:r>
        <w:t xml:space="preserve"/>
      </w:r>
    </w:p>
    <w:p>
      <w:pPr>
        <w:spacing w:after="160"/>
      </w:pPr>
      <w:r>
        <w:rPr>
          <w:rFonts w:ascii="Arial" w:cs="Arial" w:eastAsia="Arial" w:hAnsi="Arial"/>
          <w:sz w:val="22"/>
          <w:szCs w:val="22"/>
        </w:rPr>
        <w:t xml:space="preserve">For operational use in industry or government, the pipeline would need to be extended in several directions. First, the full temporal scope of the ERA5 dataset (1979 to present) should be processed to provide a climatologically robust baseline. Second, the risk categorization framework could be enhanced by incorporating socioeconomic vulnerability indicators such as population density, critical infrastructure exposure, and historical damage records. Third, the pipeline could be adapted for near-real-time monitoring by connecting to the Copernicus Climate Data Store API and updating the compound hazard database as new ERA5 data becomes available.</w:t>
      </w:r>
    </w:p>
    <w:p>
      <w:pPr>
        <w:spacing w:after="120"/>
      </w:pPr>
      <w:r>
        <w:t xml:space="preserve"/>
      </w:r>
    </w:p>
    <w:p>
      <w:pPr>
        <w:pStyle w:val="Heading2"/>
      </w:pPr>
      <w:r>
        <w:rPr>
          <w:rFonts w:ascii="Arial" w:cs="Arial" w:eastAsia="Arial" w:hAnsi="Arial"/>
          <w:b/>
          <w:bCs/>
          <w:color w:val="2E4057"/>
          <w:sz w:val="24"/>
          <w:szCs w:val="24"/>
        </w:rPr>
        <w:t xml:space="preserve">5.4 Learning Outcomes</w:t>
      </w:r>
    </w:p>
    <w:p>
      <w:pPr>
        <w:spacing w:after="160"/>
      </w:pPr>
      <w:r>
        <w:rPr>
          <w:rFonts w:ascii="Arial" w:cs="Arial" w:eastAsia="Arial" w:hAnsi="Arial"/>
          <w:sz w:val="22"/>
          <w:szCs w:val="22"/>
        </w:rPr>
        <w:t xml:space="preserve">This project provided valuable practical experience in several areas. Working with large NetCDF climate datasets required learning the xarray library and understanding the structure of ERA5 reanalysis data. The iterative process of tuning DBSCAN parameters highlighted the importance of exploratory data analysis before applying machine learning algorithms. The discovery that the pre-filtered p0005 variable contained full gridded values rather than sparse extreme observations required a methodological adaptation that ultimately strengthened the analysis by enabling a self-consistent 99th percentile computation.</w:t>
      </w:r>
    </w:p>
    <w:p>
      <w:pPr>
        <w:spacing w:after="120"/>
      </w:pPr>
      <w:r>
        <w:t xml:space="preserve"/>
      </w:r>
    </w:p>
    <w:p>
      <w:pPr>
        <w:spacing w:after="160"/>
      </w:pPr>
      <w:r>
        <w:rPr>
          <w:rFonts w:ascii="Arial" w:cs="Arial" w:eastAsia="Arial" w:hAnsi="Arial"/>
          <w:sz w:val="22"/>
          <w:szCs w:val="22"/>
        </w:rPr>
        <w:t xml:space="preserve">The project also demonstrated the importance of version control and reproducibility in data science workflows. Using Git with conventional commits and a structured project directory enabled a clear record of methodological decisions and provided a reproducible codebase that can be reviewed, extended, or adapted by others.</w:t>
      </w:r>
    </w:p>
    <w:p>
      <w:pPr>
        <w:spacing w:after="120"/>
      </w:pPr>
      <w:r>
        <w:t xml:space="preserve"/>
      </w:r>
    </w:p>
    <w:p>
      <w:pPr>
        <w:pStyle w:val="Heading2"/>
      </w:pPr>
      <w:r>
        <w:rPr>
          <w:rFonts w:ascii="Arial" w:cs="Arial" w:eastAsia="Arial" w:hAnsi="Arial"/>
          <w:b/>
          <w:bCs/>
          <w:color w:val="2E4057"/>
          <w:sz w:val="24"/>
          <w:szCs w:val="24"/>
        </w:rPr>
        <w:t xml:space="preserve">5.5 Conclusion</w:t>
      </w:r>
    </w:p>
    <w:p>
      <w:pPr>
        <w:spacing w:after="160"/>
      </w:pPr>
      <w:r>
        <w:rPr>
          <w:rFonts w:ascii="Arial" w:cs="Arial" w:eastAsia="Arial" w:hAnsi="Arial"/>
          <w:sz w:val="22"/>
          <w:szCs w:val="22"/>
        </w:rPr>
        <w:t xml:space="preserve">This project developed and applied a complete machine learning pipeline for the detection, characterization, and risk prioritization of compound wind and precipitation hazard events in Great Britain. Using ERA5 climate reanalysis data and the DBSCAN spatiotemporal clustering algorithm, 85 compound hazard events were identified, characterized by their duration, spatial extent, and intensity. A risk classification framework based on a wind-precipitation intensity matrix categorized these events into High, Medium, and Low priority levels.</w:t>
      </w:r>
    </w:p>
    <w:p>
      <w:pPr>
        <w:spacing w:after="120"/>
      </w:pPr>
      <w:r>
        <w:t xml:space="preserve"/>
      </w:r>
    </w:p>
    <w:p>
      <w:pPr>
        <w:spacing w:after="160"/>
      </w:pPr>
      <w:r>
        <w:rPr>
          <w:rFonts w:ascii="Arial" w:cs="Arial" w:eastAsia="Arial" w:hAnsi="Arial"/>
          <w:sz w:val="22"/>
          <w:szCs w:val="22"/>
        </w:rPr>
        <w:t xml:space="preserve">The analysis identified South West England as the primary region experiencing compound hazard events during the study period, with a dominant HIGH risk classification based on 25 high-risk events with average durations of 16.6 hours and peak wind gusts of 24.13 m/s. This finding is consistent with the existing literature on compound hazard hotspots in Great Britain and provides actionable categorizations for decision-makers responsible for allocating emergency response resources.</w:t>
      </w:r>
    </w:p>
    <w:p>
      <w:pPr>
        <w:spacing w:after="120"/>
      </w:pPr>
      <w:r>
        <w:t xml:space="preserve"/>
      </w:r>
    </w:p>
    <w:p>
      <w:pPr>
        <w:spacing w:after="160"/>
      </w:pPr>
      <w:r>
        <w:rPr>
          <w:rFonts w:ascii="Arial" w:cs="Arial" w:eastAsia="Arial" w:hAnsi="Arial"/>
          <w:sz w:val="22"/>
          <w:szCs w:val="22"/>
        </w:rPr>
        <w:t xml:space="preserve">The project directly answers the research question by demonstrating that compound hazard risk categorizations can be defined along three dimensions: event frequency, average duration, and intensity (wind and precipitation), combined into a risk matrix that maps to concrete resource allocation priorities. For South West England, the HIGH priority designation indicates the need for immediate, sustained, and coordinated investment in compound hazard preparedness and response infrastructure.</w:t>
      </w:r>
    </w:p>
    <w:p>
      <w:pPr>
        <w:spacing w:after="120"/>
      </w:pPr>
      <w:r>
        <w:t xml:space="preserve"/>
      </w:r>
    </w:p>
    <w:p>
      <w:pPr>
        <w:pStyle w:val="Heading1"/>
      </w:pPr>
      <w:r>
        <w:rPr>
          <w:rFonts w:ascii="Arial" w:cs="Arial" w:eastAsia="Arial" w:hAnsi="Arial"/>
          <w:b/>
          <w:bCs/>
          <w:color w:val="2E4057"/>
          <w:sz w:val="28"/>
          <w:szCs w:val="28"/>
        </w:rPr>
        <w:t xml:space="preserve">6. References</w:t>
      </w:r>
    </w:p>
    <w:p>
      <w:pPr>
        <w:spacing w:after="160"/>
      </w:pPr>
      <w:r>
        <w:rPr>
          <w:rFonts w:ascii="Arial" w:cs="Arial" w:eastAsia="Arial" w:hAnsi="Arial"/>
          <w:sz w:val="22"/>
          <w:szCs w:val="22"/>
        </w:rPr>
        <w:t xml:space="preserve">Hersbach, H., Bell, B., Berrisford, P., et al. (2020). The ERA5 global reanalysis. Quarterly Journal of the Royal Meteorological Society, 146(730), 1999-2049. https://doi.org/10.1002/qj.3803</w:t>
      </w:r>
    </w:p>
    <w:p>
      <w:pPr>
        <w:spacing w:after="120"/>
      </w:pPr>
      <w:r>
        <w:t xml:space="preserve"/>
      </w:r>
    </w:p>
    <w:p>
      <w:pPr>
        <w:spacing w:after="160"/>
      </w:pPr>
      <w:r>
        <w:rPr>
          <w:rFonts w:ascii="Arial" w:cs="Arial" w:eastAsia="Arial" w:hAnsi="Arial"/>
          <w:sz w:val="22"/>
          <w:szCs w:val="22"/>
        </w:rPr>
        <w:t xml:space="preserve">Tilloy, A., Malamud, B. D., and Joly-Laugel, A. (2022). A methodology for the spatiotemporal identification of compound hazards: wind and precipitation extremes in Great Britain (1979-2019). Earth System Dynamics, 13, 993-1020. https://doi.org/10.5194/esd-13-993-2022</w:t>
      </w:r>
    </w:p>
    <w:p>
      <w:pPr>
        <w:spacing w:after="120"/>
      </w:pPr>
      <w:r>
        <w:t xml:space="preserve"/>
      </w:r>
    </w:p>
    <w:p>
      <w:pPr>
        <w:spacing w:after="160"/>
      </w:pPr>
      <w:r>
        <w:rPr>
          <w:rFonts w:ascii="Arial" w:cs="Arial" w:eastAsia="Arial" w:hAnsi="Arial"/>
          <w:sz w:val="22"/>
          <w:szCs w:val="22"/>
        </w:rPr>
        <w:t xml:space="preserve">Zscheischler, J., Martius, O., Westra, S., et al. (2020). A typology of compound weather and climate events. Nature Reviews Earth and Environment, 1, 333-347. https://doi.org/10.1038/s43017-020-0060-z</w:t>
      </w:r>
    </w:p>
    <w:p>
      <w:pPr>
        <w:spacing w:after="120"/>
      </w:pPr>
      <w:r>
        <w:t xml:space="preserve"/>
      </w:r>
    </w:p>
    <w:p>
      <w:pPr>
        <w:spacing w:after="160"/>
      </w:pPr>
      <w:r>
        <w:rPr>
          <w:rFonts w:ascii="Arial" w:cs="Arial" w:eastAsia="Arial" w:hAnsi="Arial"/>
          <w:sz w:val="22"/>
          <w:szCs w:val="22"/>
        </w:rPr>
        <w:t xml:space="preserve">Ester, M., Kriegel, H. P., Sander, J., and Xu, X. (1996). A density-based algorithm for discovering clusters in large spatial databases with noise. Proceedings of the 2nd International Conference on Knowledge Discovery and Data Mining (KDD-96), 226-231.</w:t>
      </w:r>
    </w:p>
    <w:p>
      <w:pPr>
        <w:spacing w:after="120"/>
      </w:pPr>
      <w:r>
        <w:t xml:space="preserve"/>
      </w:r>
    </w:p>
    <w:p>
      <w:pPr>
        <w:spacing w:after="160"/>
      </w:pPr>
      <w:r>
        <w:rPr>
          <w:rFonts w:ascii="Arial" w:cs="Arial" w:eastAsia="Arial" w:hAnsi="Arial"/>
          <w:sz w:val="22"/>
          <w:szCs w:val="22"/>
        </w:rPr>
        <w:t xml:space="preserve">Copernicus Climate Change Service (2020). ERA5: Fifth generation of ECMWF atmospheric reanalyses of the global climate. Copernicus Climate Change Service Climate Data Store (CDS). https://cds.climate.copernicus.eu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4057"/>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2026-04-03T11:38:29.353Z</dcterms:created>
  <dcterms:modified xsi:type="dcterms:W3CDTF">2026-04-03T11:38:29.354Z</dcterms:modified>
</cp:coreProperties>
</file>

<file path=docProps/custom.xml><?xml version="1.0" encoding="utf-8"?>
<Properties xmlns="http://schemas.openxmlformats.org/officeDocument/2006/custom-properties" xmlns:vt="http://schemas.openxmlformats.org/officeDocument/2006/docPropsVTypes"/>
</file>