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1C5" w:rsidRPr="00C24A55" w:rsidRDefault="003C14DE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name files using</w:t>
      </w:r>
      <w:r w:rsidR="00EC3DD7"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the following information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:rsidR="002202E6" w:rsidRPr="00C24A55" w:rsidRDefault="002202E6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454EA2" w:rsidRPr="00C24A55" w:rsidRDefault="00F30FC9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name: taken from Excel document “</w:t>
      </w:r>
      <w:proofErr w:type="spellStart"/>
      <w:r w:rsidR="00454EA2" w:rsidRPr="00C24A55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Gorilla_tasks_surprise_project</w:t>
      </w:r>
      <w:proofErr w:type="spellEnd"/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” which we need to update every time we have a new study.</w:t>
      </w:r>
    </w:p>
    <w:p w:rsidR="00454EA2" w:rsidRPr="00C24A55" w:rsidRDefault="00454E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 version on Gorilla</w:t>
      </w:r>
    </w:p>
    <w:p w:rsidR="00454EA2" w:rsidRPr="00C24A55" w:rsidRDefault="00963E28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 names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using online platform names for online testing, for school testing where we send Gorilla links </w:t>
      </w:r>
      <w:r w:rsidR="00BE2499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directly,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we can mention Gorilla</w:t>
      </w:r>
      <w:r w:rsidR="00C07F2D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to make it clear that the link was sent directly.</w:t>
      </w:r>
    </w:p>
    <w:p w:rsidR="003657A7" w:rsidRDefault="005B3AA7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4928C0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 whether we collected video, audio or written text</w:t>
      </w:r>
      <w:r w:rsidR="006E4019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3657A7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in the surprise task</w:t>
      </w:r>
    </w:p>
    <w:p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type: </w:t>
      </w:r>
      <w:r w:rsidR="00E75CD1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it was a pilot study</w:t>
      </w:r>
    </w:p>
    <w:p w:rsidR="00027302" w:rsidRDefault="00A654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uestionnaire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s: 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we use abbreviations for each questionnaire at the end of the file name (since Gorilla saves all data for all participants in a long format per questionnaire/task).</w:t>
      </w:r>
    </w:p>
    <w:p w:rsidR="00222574" w:rsidRDefault="00222574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222574" w:rsidRPr="00F92BE6" w:rsidRDefault="00222574" w:rsidP="00FB5622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="00EB3A4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</w:t>
      </w:r>
      <w:r w:rsidR="00E75CD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hether or not the task included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participants providing prediction</w:t>
      </w:r>
    </w:p>
    <w:p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the task provided participants with feedback</w:t>
      </w:r>
    </w:p>
    <w:p w:rsidR="00027302" w:rsidRDefault="00500038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design (feedback type): how the feedback values were created</w:t>
      </w:r>
      <w:r w:rsidR="009276F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(random or not)</w:t>
      </w:r>
    </w:p>
    <w:p w:rsidR="00027302" w:rsidRPr="00027302" w:rsidRDefault="00027302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542676" w:rsidRPr="00B73DF5" w:rsidRDefault="00542676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EC3DD7" w:rsidRPr="00C24A55" w:rsidRDefault="00EC3DD7" w:rsidP="00FB5622">
      <w:pPr>
        <w:ind w:left="360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676D48" w:rsidRPr="002B042E" w:rsidRDefault="006E5047" w:rsidP="00FB5622">
      <w:pPr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2B042E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created abbreviations for the above information to be used in the file names:</w:t>
      </w:r>
    </w:p>
    <w:p w:rsidR="00B066A9" w:rsidRPr="00C24A55" w:rsidRDefault="00B066A9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676D48" w:rsidRPr="00C24A55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name: </w:t>
      </w:r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SUP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(for surprise study)</w:t>
      </w:r>
    </w:p>
    <w:p w:rsidR="00B066A9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Experiment version: </w:t>
      </w:r>
      <w:proofErr w:type="spellStart"/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</w:t>
      </w:r>
      <w:r w:rsidR="00676D48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n</w:t>
      </w:r>
      <w:r w:rsidR="00CD5812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umbe</w:t>
      </w:r>
      <w:r w:rsidR="002F7BFF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r</w:t>
      </w:r>
      <w:proofErr w:type="spellEnd"/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DD3DC1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e.g.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v1, for version 1 of the experiment on Gorilla)</w:t>
      </w:r>
    </w:p>
    <w:p w:rsidR="008D696E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</w:t>
      </w: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D53C5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AMT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MTurk</w:t>
      </w:r>
      <w:proofErr w:type="spellEnd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PRF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(Prolific),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TSB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(Testable Minds),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GRL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(Gorilla)</w:t>
      </w:r>
    </w:p>
    <w:p w:rsidR="003C14DE" w:rsidRDefault="008D696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3C14DE" w:rsidRPr="008D696E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profile picture taken),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vid</w:t>
      </w:r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(video recorded which includes audio),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aud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(only audio recorded)</w:t>
      </w:r>
    </w:p>
    <w:p w:rsidR="007B579D" w:rsidRDefault="00FB65B8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type: pilot, adding pilot at the beginning of the study name (not file name</w:t>
      </w:r>
      <w:r w:rsidR="00740FF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, see example below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:rsidR="00A654A2" w:rsidRDefault="0011683C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Questionnaires</w:t>
      </w:r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/tasks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ari</w:t>
      </w:r>
      <w:proofErr w:type="spellEnd"/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C5135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Affective Reactivity Index</w:t>
      </w:r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asrs</w:t>
      </w:r>
      <w:proofErr w:type="spellEnd"/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attention_chk_1 or 2 (attention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cheks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on Gorilla)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audit ()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</w:t>
      </w:r>
      <w:r w:rsidR="00757F4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E57E26" w:rsidRPr="00E57E2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Body Image Questionnaire (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ces_d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clinical_srv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(clinical survey)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consent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dudit</w:t>
      </w:r>
      <w:proofErr w:type="spellEnd"/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lsas_sr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C5135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Liebowitz Social Anxiety Scale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mdq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mini_spin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(Mini-SPIN)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3C1EF0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psychosis_scr</w:t>
      </w:r>
      <w:proofErr w:type="spellEnd"/>
      <w:r w:rsidR="003C1EF0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(psychosis screening questions)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3C1EF0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496E4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task_instructions</w:t>
      </w:r>
      <w:proofErr w:type="spellEnd"/>
      <w:r w:rsidR="00496E43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(empty file Gorilla saves just because it is presented separately, we could just delete this file)</w:t>
      </w:r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task_main</w:t>
      </w:r>
      <w:proofErr w:type="spellEnd"/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(one file per task data in long format)</w:t>
      </w:r>
    </w:p>
    <w:p w:rsidR="00496E43" w:rsidRDefault="00496E43" w:rsidP="00496E43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7F1187" w:rsidRPr="007F1187" w:rsidRDefault="007F1187" w:rsidP="007F1187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:rsidR="00FB65B8" w:rsidRDefault="00F3578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Pr="00F35781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pred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predicted the rating they received</w:t>
      </w:r>
    </w:p>
    <w:p w:rsidR="00F35781" w:rsidRDefault="0067669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fdbk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received feedback in that version</w:t>
      </w:r>
    </w:p>
    <w:p w:rsidR="00981B4D" w:rsidRPr="008D696E" w:rsidRDefault="00981B4D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design (</w:t>
      </w:r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feedback type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):</w:t>
      </w:r>
      <w:r w:rsidR="00500038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rand (random feedback), </w:t>
      </w:r>
      <w:proofErr w:type="spellStart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nrand</w:t>
      </w:r>
      <w:proofErr w:type="spellEnd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(non-random), </w:t>
      </w:r>
      <w:proofErr w:type="spellStart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bigPE</w:t>
      </w:r>
      <w:proofErr w:type="spellEnd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(feedback being bigger than previous version to create bigger positive PE, once </w:t>
      </w:r>
      <w:proofErr w:type="gramStart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per  judge</w:t>
      </w:r>
      <w:proofErr w:type="gramEnd"/>
      <w:r w:rsidR="001F3AC4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(8 judges), 1 out of 6 trials.</w:t>
      </w:r>
    </w:p>
    <w:p w:rsidR="001571C5" w:rsidRDefault="001571C5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23515" w:rsidRDefault="00113C08" w:rsidP="00723515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>Here are two examples for one questionnaire and task</w:t>
      </w:r>
      <w:r w:rsidR="00723515">
        <w:rPr>
          <w:rFonts w:ascii="Helvetica" w:hAnsi="Helvetica" w:cstheme="minorHAnsi"/>
          <w:color w:val="000000" w:themeColor="text1"/>
          <w:sz w:val="22"/>
          <w:szCs w:val="22"/>
        </w:rPr>
        <w:t xml:space="preserve"> file</w:t>
      </w:r>
      <w:r>
        <w:rPr>
          <w:rFonts w:ascii="Helvetica" w:hAnsi="Helvetica" w:cstheme="minorHAnsi"/>
          <w:color w:val="000000" w:themeColor="text1"/>
          <w:sz w:val="22"/>
          <w:szCs w:val="22"/>
        </w:rPr>
        <w:t>:</w:t>
      </w:r>
    </w:p>
    <w:p w:rsidR="00BB3676" w:rsidRPr="00416779" w:rsidRDefault="00416779" w:rsidP="00416779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Surprise task experiment on Gorilla, version 8, with prediction, no picture was taken, video was collected on Prolific:  </w:t>
      </w:r>
      <w:hyperlink r:id="rId5" w:history="1">
        <w:r w:rsidR="00BB3676" w:rsidRPr="00416779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SUP_PRF_pilot_pred_nopic_vid_v8_task_main.csv</w:t>
        </w:r>
      </w:hyperlink>
    </w:p>
    <w:p w:rsidR="00BB3676" w:rsidRPr="0078251E" w:rsidRDefault="00F036FA" w:rsidP="00F036FA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The file below contains the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</w:rPr>
        <w:t>dudit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 data of participants who have done the Surprise task experiment on Gorilla, version 8, with prediction, no picture was taken, video was collected on Prolific:</w:t>
      </w:r>
      <w:r w:rsidR="00416779">
        <w:rPr>
          <w:rFonts w:ascii="Helvetica" w:hAnsi="Helvetica" w:cstheme="minorHAnsi"/>
          <w:color w:val="000000" w:themeColor="text1"/>
          <w:sz w:val="22"/>
          <w:szCs w:val="22"/>
        </w:rPr>
        <w:t xml:space="preserve">  </w:t>
      </w:r>
      <w:hyperlink r:id="rId6" w:history="1">
        <w:r w:rsidR="00BB3676" w:rsidRPr="00F036FA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SUP_PRF_pilot_pred_nopic_vid_v8_dudit.csv</w:t>
        </w:r>
      </w:hyperlink>
    </w:p>
    <w:p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References:</w:t>
      </w:r>
    </w:p>
    <w:p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bookmarkStart w:id="0" w:name="_GoBack"/>
      <w:bookmarkEnd w:id="0"/>
    </w:p>
    <w:p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Kessler, R. C., Adler, L., Ames, M.,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Demler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O.,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Faraone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S.,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Hiripi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E., Howes, M. J.,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Jin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Secnik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K., Spencer, T.,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Ustun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T. B., &amp; Walters, E. E. (2005). The World Health Organization Adult ADHD Self-Report Scale (ASRS): a short screening scale for use in the general population.</w:t>
      </w:r>
      <w:r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Psychological Medicine, 35(2), 245–256. </w:t>
      </w:r>
      <w:hyperlink r:id="rId7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shd w:val="clear" w:color="auto" w:fill="FFFFFF"/>
          </w:rPr>
          <w:t>https://doi.org/10.1017/s0033291704002892</w:t>
        </w:r>
      </w:hyperlink>
    </w:p>
    <w:p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:rsidR="0078251E" w:rsidRDefault="0078251E" w:rsidP="0019480F">
      <w:pPr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Stringaris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A., Goodman, R., Ferdinando, S.,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Razdan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V.,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Muhrer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Leibenluft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&amp;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Brotman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M. A. (2012). The Affective Reactivity Index: a concise irritability scale for clinical and research settings.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Journal of Child Psychology and Psychiatry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53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(11), 1109-1117.</w:t>
      </w:r>
    </w:p>
    <w:p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:rsid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Hirschfeld, R. M., Williams, J. B., Spitzer, R. L., Calabrese, J. R., Flynn, L., Keck, P. E., Jr, Lewis, L., McElroy, S. L., Post, R. M., Rapport, D. J., Russell, J. M., Sachs, G. S., &amp;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Zajecka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, J. (2000). Development and validation of a screening instrument for bipolar spectrum disorder: </w:t>
      </w:r>
      <w:proofErr w:type="gram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the</w:t>
      </w:r>
      <w:proofErr w:type="gram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 Mood Disorder Questionnaire. The American Journal of Psychiatry, 157(11), 1873–1875. </w:t>
      </w:r>
      <w:hyperlink r:id="rId8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</w:rPr>
          <w:t>https://doi.org/10.1176/appi.ajp.157.11.1873</w:t>
        </w:r>
      </w:hyperlink>
      <w:r w:rsidRPr="0078251E">
        <w:rPr>
          <w:rFonts w:ascii="Helvetica" w:hAnsi="Helvetica" w:cs="Helvetica"/>
          <w:color w:val="000000" w:themeColor="text1"/>
          <w:sz w:val="22"/>
          <w:szCs w:val="22"/>
        </w:rPr>
        <w:t>  </w:t>
      </w:r>
    </w:p>
    <w:p w:rsidR="0078251E" w:rsidRP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Saunders JB,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Aasland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OG,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Babor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TF, de la Fuente JR and Grant </w:t>
      </w:r>
      <w:proofErr w:type="spellStart"/>
      <w:proofErr w:type="gram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M.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Development</w:t>
      </w:r>
      <w:proofErr w:type="spellEnd"/>
      <w:proofErr w:type="gram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of the Alcohol Use Disorders Identification Test (AUDIT): WHO Collaborative Project on Early Detection of Persons with Harmful Alcohol Consumption II. Addiction 1993; 88:791-804.</w:t>
      </w:r>
    </w:p>
    <w:p w:rsid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Fischer, J. A., Roche, A. M., &amp;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Duraisingam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V. (2021). </w:t>
      </w:r>
      <w:r w:rsidRPr="0078251E">
        <w:rPr>
          <w:rFonts w:ascii="Helvetica" w:hAnsi="Helvetica" w:cs="Helvetica"/>
          <w:i/>
          <w:iCs/>
          <w:color w:val="000000" w:themeColor="text1"/>
          <w:sz w:val="22"/>
          <w:szCs w:val="22"/>
          <w:shd w:val="clear" w:color="auto" w:fill="FFFFFF"/>
        </w:rPr>
        <w:t>AOD Screening and Withdrawal Tools Collection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. </w:t>
      </w:r>
      <w:r w:rsidRPr="0078251E">
        <w:rPr>
          <w:rFonts w:ascii="Helvetica" w:hAnsi="Helvetica" w:cs="Helvetica"/>
          <w:i/>
          <w:iCs/>
          <w:color w:val="000000" w:themeColor="text1"/>
          <w:sz w:val="22"/>
          <w:szCs w:val="22"/>
          <w:shd w:val="clear" w:color="auto" w:fill="FFFFFF"/>
        </w:rPr>
        <w:t>AOD Screening and Withdrawal Tools Collection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. Adelaide, South Australia: NCETA, Flinders University.</w:t>
      </w:r>
    </w:p>
    <w:p w:rsidR="0078251E" w:rsidRP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Connor, K. M., Kobak, K. A., Churchill, L.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Katzelnick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D., &amp; Davidson, J. R. (2001). Mini</w:t>
      </w:r>
      <w:r w:rsidRPr="0078251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SPIN: A brief screening assessment for generalized social anxiety disorder.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Depression and anxiety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14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(2),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137-140.</w:t>
      </w:r>
    </w:p>
    <w:p w:rsid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Veale, D, Ellison, N, Werner, T,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Dodhia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Serfaty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M &amp; Clarke, A. (2012) Development of a cosmetic procedure screening questionnaire (COPS) for Body Dysmorphic Disorder. Journal of Plastic Reconstructive and Aesthetic Surgery, 65:530-532.</w:t>
      </w:r>
      <w:r w:rsidRPr="0019480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hyperlink r:id="rId9" w:tgtFrame="_blank" w:history="1">
        <w:r w:rsidRPr="0019480F">
          <w:rPr>
            <w:rStyle w:val="Hyperlink"/>
            <w:rFonts w:ascii="Helvetica" w:hAnsi="Helvetica" w:cs="Helvetica"/>
            <w:bCs/>
            <w:color w:val="000000" w:themeColor="text1"/>
            <w:sz w:val="22"/>
            <w:szCs w:val="22"/>
            <w:shd w:val="clear" w:color="auto" w:fill="FFFFFF"/>
          </w:rPr>
          <w:t>http://dx.doi.org/10.1016/j.bjps.2011.09.007</w:t>
        </w:r>
      </w:hyperlink>
    </w:p>
    <w:p w:rsidR="0078251E" w:rsidRPr="0019480F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eastAsiaTheme="minorHAnsi" w:hAnsi="Helvetica" w:cs="Helvetica"/>
          <w:color w:val="000000"/>
          <w:kern w:val="2"/>
          <w:sz w:val="22"/>
          <w:szCs w:val="22"/>
          <w:bdr w:val="none" w:sz="0" w:space="0" w:color="auto" w:frame="1"/>
          <w:lang w:eastAsia="en-US"/>
          <w14:ligatures w14:val="standardContextual"/>
        </w:rPr>
      </w:pP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Heimberg, R. G., Horner, K. J.,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Juster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H. R.,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Safren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S. A., Brown, E. J.,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Schneier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F. R., &amp; Liebowitz, M. R. (1999). Psychometric properties of the Liebowitz social anxiety 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scale.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Psychological medicine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29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(1), 199-212.</w:t>
      </w:r>
    </w:p>
    <w:p w:rsidR="0078251E" w:rsidRPr="0019480F" w:rsidRDefault="0019480F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</w:pPr>
      <w:proofErr w:type="spellStart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L. S. (1977). The CES-D scale: A self-report depression scale for research in the general population.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Applied psychological measurement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(3), 385-401.</w:t>
      </w:r>
    </w:p>
    <w:p w:rsidR="0078251E" w:rsidRPr="0019480F" w:rsidRDefault="0078251E" w:rsidP="0078251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2"/>
          <w:szCs w:val="22"/>
        </w:rPr>
      </w:pPr>
      <w:r w:rsidRPr="0019480F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:rsidR="00113C08" w:rsidRPr="0078251E" w:rsidRDefault="00113C08" w:rsidP="00FB5622">
      <w:pPr>
        <w:jc w:val="both"/>
        <w:rPr>
          <w:rFonts w:cstheme="minorHAnsi"/>
          <w:color w:val="000000" w:themeColor="text1"/>
          <w:sz w:val="22"/>
          <w:szCs w:val="22"/>
        </w:rPr>
      </w:pPr>
    </w:p>
    <w:sectPr w:rsidR="00113C08" w:rsidRPr="0078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1FE"/>
    <w:multiLevelType w:val="hybridMultilevel"/>
    <w:tmpl w:val="D5DE1C8E"/>
    <w:lvl w:ilvl="0" w:tplc="57D4E98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7295"/>
    <w:multiLevelType w:val="hybridMultilevel"/>
    <w:tmpl w:val="CF5C75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936"/>
    <w:multiLevelType w:val="hybridMultilevel"/>
    <w:tmpl w:val="C018F4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3FB"/>
    <w:multiLevelType w:val="multilevel"/>
    <w:tmpl w:val="5D5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B351C"/>
    <w:multiLevelType w:val="hybridMultilevel"/>
    <w:tmpl w:val="1166E6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1"/>
    <w:rsid w:val="00027302"/>
    <w:rsid w:val="00037101"/>
    <w:rsid w:val="0008217F"/>
    <w:rsid w:val="000C3198"/>
    <w:rsid w:val="00113C08"/>
    <w:rsid w:val="0011683C"/>
    <w:rsid w:val="00122852"/>
    <w:rsid w:val="001565D8"/>
    <w:rsid w:val="001571C5"/>
    <w:rsid w:val="0019480F"/>
    <w:rsid w:val="001C3B9B"/>
    <w:rsid w:val="001D53C5"/>
    <w:rsid w:val="001F3AC4"/>
    <w:rsid w:val="002202E6"/>
    <w:rsid w:val="00222574"/>
    <w:rsid w:val="002B042E"/>
    <w:rsid w:val="002F7BFF"/>
    <w:rsid w:val="00325D65"/>
    <w:rsid w:val="003657A7"/>
    <w:rsid w:val="003C14DE"/>
    <w:rsid w:val="003C1EF0"/>
    <w:rsid w:val="00416779"/>
    <w:rsid w:val="00454EA2"/>
    <w:rsid w:val="004928C0"/>
    <w:rsid w:val="00496E43"/>
    <w:rsid w:val="004C50DC"/>
    <w:rsid w:val="004E7A68"/>
    <w:rsid w:val="00500038"/>
    <w:rsid w:val="00542676"/>
    <w:rsid w:val="00546E91"/>
    <w:rsid w:val="005B3AA7"/>
    <w:rsid w:val="005D7BE0"/>
    <w:rsid w:val="005F6037"/>
    <w:rsid w:val="00676691"/>
    <w:rsid w:val="00676D48"/>
    <w:rsid w:val="006918AD"/>
    <w:rsid w:val="006E4019"/>
    <w:rsid w:val="006E5047"/>
    <w:rsid w:val="00723515"/>
    <w:rsid w:val="00734683"/>
    <w:rsid w:val="00740FF6"/>
    <w:rsid w:val="00753FD0"/>
    <w:rsid w:val="00757F46"/>
    <w:rsid w:val="0078251E"/>
    <w:rsid w:val="007B579D"/>
    <w:rsid w:val="007F1187"/>
    <w:rsid w:val="00864F86"/>
    <w:rsid w:val="008A7E13"/>
    <w:rsid w:val="008B5070"/>
    <w:rsid w:val="008C32D0"/>
    <w:rsid w:val="008D5C8C"/>
    <w:rsid w:val="008D696E"/>
    <w:rsid w:val="009276F2"/>
    <w:rsid w:val="0094276C"/>
    <w:rsid w:val="00963E28"/>
    <w:rsid w:val="00981B4D"/>
    <w:rsid w:val="009A46BB"/>
    <w:rsid w:val="009F6CD5"/>
    <w:rsid w:val="00A654A2"/>
    <w:rsid w:val="00B066A9"/>
    <w:rsid w:val="00B73DF5"/>
    <w:rsid w:val="00B77813"/>
    <w:rsid w:val="00B975BA"/>
    <w:rsid w:val="00BB3676"/>
    <w:rsid w:val="00BE2499"/>
    <w:rsid w:val="00C07F2D"/>
    <w:rsid w:val="00C24A55"/>
    <w:rsid w:val="00C51352"/>
    <w:rsid w:val="00CD5812"/>
    <w:rsid w:val="00D2224A"/>
    <w:rsid w:val="00D554D6"/>
    <w:rsid w:val="00DD3DC1"/>
    <w:rsid w:val="00E57E26"/>
    <w:rsid w:val="00E75CD1"/>
    <w:rsid w:val="00EB3A45"/>
    <w:rsid w:val="00EC3DD7"/>
    <w:rsid w:val="00F036FA"/>
    <w:rsid w:val="00F07520"/>
    <w:rsid w:val="00F30FC9"/>
    <w:rsid w:val="00F35781"/>
    <w:rsid w:val="00F467D3"/>
    <w:rsid w:val="00F92BE6"/>
    <w:rsid w:val="00FB5622"/>
    <w:rsid w:val="00FB65B8"/>
    <w:rsid w:val="00FD7D93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24F"/>
  <w15:chartTrackingRefBased/>
  <w15:docId w15:val="{FCDE8AC6-8474-5D49-83F3-858DCCA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6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7101"/>
    <w:rPr>
      <w:i/>
      <w:iCs/>
    </w:rPr>
  </w:style>
  <w:style w:type="paragraph" w:styleId="ListParagraph">
    <w:name w:val="List Paragraph"/>
    <w:basedOn w:val="Normal"/>
    <w:uiPriority w:val="34"/>
    <w:qFormat/>
    <w:rsid w:val="00454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6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36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2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6/appi.ajp.157.11.18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7/s0033291704002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satlantic-comppsych/aim_lab_1/blob/main/SUP_PRF_pilot_pred_nopic_vid/SUP_PRF_pilot_pred_nopic_vid_v8/SUP_PRF_pilot_pred_nopic_vid_v8_dudi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ansatlantic-comppsych/aim_lab_1/blob/main/SUP_PRF_pilot_pred_nopic_vid/SUP_PRF_pilot_pred_nopic_vid_v8/SUP_PRF_pilot_pred_nopic_vid_v8_task_main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1016/j.bjps.2011.09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Biria, Marjan</dc:creator>
  <cp:keywords/>
  <dc:description/>
  <cp:lastModifiedBy>Elena Bagdades</cp:lastModifiedBy>
  <cp:revision>97</cp:revision>
  <dcterms:created xsi:type="dcterms:W3CDTF">2023-10-18T15:08:00Z</dcterms:created>
  <dcterms:modified xsi:type="dcterms:W3CDTF">2023-10-23T12:50:00Z</dcterms:modified>
</cp:coreProperties>
</file>