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08C4" w14:textId="5A830E60" w:rsidR="004F46F3" w:rsidRDefault="001E6D80">
      <w:pPr>
        <w:pStyle w:val="a5"/>
      </w:pPr>
    </w:p>
    <w:p w14:paraId="5FE733EC" w14:textId="02D2ABB9" w:rsidR="004F46F3" w:rsidRPr="00CC2BB6" w:rsidRDefault="00CC2BB6" w:rsidP="00240CFF">
      <w:pPr>
        <w:pStyle w:val="a7"/>
        <w:jc w:val="center"/>
      </w:pPr>
      <w:r w:rsidRPr="00843493">
        <w:rPr>
          <w:rFonts w:hint="eastAsia"/>
        </w:rPr>
        <w:t>移动互联网的过去现在和未来</w:t>
      </w:r>
    </w:p>
    <w:p w14:paraId="43BFD414" w14:textId="7E7477C1" w:rsidR="004F46F3" w:rsidRPr="00240CFF" w:rsidRDefault="00CC2BB6">
      <w:pPr>
        <w:pStyle w:val="ae"/>
        <w:rPr>
          <w:b/>
          <w:bCs/>
        </w:rPr>
      </w:pPr>
      <w:r w:rsidRPr="00240CFF">
        <w:rPr>
          <w:b/>
          <w:bCs/>
        </w:rPr>
        <w:t xml:space="preserve">19151633 </w:t>
      </w:r>
      <w:proofErr w:type="gramStart"/>
      <w:r w:rsidRPr="00240CFF">
        <w:rPr>
          <w:rFonts w:hint="eastAsia"/>
          <w:b/>
          <w:bCs/>
        </w:rPr>
        <w:t>应宇杰</w:t>
      </w:r>
      <w:proofErr w:type="gramEnd"/>
    </w:p>
    <w:p w14:paraId="246FDA9B" w14:textId="72223BBB" w:rsidR="000C3400" w:rsidRDefault="00AA5731" w:rsidP="000C3400">
      <w:pPr>
        <w:jc w:val="center"/>
      </w:pPr>
      <w:r>
        <w:rPr>
          <w:noProof/>
          <w:lang w:val="en-US"/>
        </w:rPr>
        <w:drawing>
          <wp:inline distT="0" distB="0" distL="0" distR="0" wp14:anchorId="28E0E6E6" wp14:editId="26903A52">
            <wp:extent cx="4805829" cy="3203886"/>
            <wp:effectExtent l="0" t="0" r="0" b="0"/>
            <wp:docPr id="2"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extLst>
                        <a:ext uri="{28A0092B-C50C-407E-A947-70E740481C1C}">
                          <a14:useLocalDpi xmlns:a14="http://schemas.microsoft.com/office/drawing/2010/main" val="0"/>
                        </a:ext>
                      </a:extLst>
                    </a:blip>
                    <a:stretch>
                      <a:fillRect/>
                    </a:stretch>
                  </pic:blipFill>
                  <pic:spPr>
                    <a:xfrm>
                      <a:off x="0" y="0"/>
                      <a:ext cx="4819479" cy="3212986"/>
                    </a:xfrm>
                    <a:prstGeom prst="rect">
                      <a:avLst/>
                    </a:prstGeom>
                  </pic:spPr>
                </pic:pic>
              </a:graphicData>
            </a:graphic>
          </wp:inline>
        </w:drawing>
      </w:r>
    </w:p>
    <w:p w14:paraId="46B16BE9" w14:textId="418E15D4" w:rsidR="004F46F3" w:rsidRDefault="00CC2BB6">
      <w:pPr>
        <w:pStyle w:val="1"/>
      </w:pPr>
      <w:r>
        <w:rPr>
          <w:rFonts w:hint="eastAsia"/>
        </w:rPr>
        <w:t>1</w:t>
      </w:r>
      <w:r>
        <w:rPr>
          <w:rFonts w:hint="eastAsia"/>
        </w:rPr>
        <w:t>、</w:t>
      </w:r>
      <w:r w:rsidR="00407CDA">
        <w:t>移动互联网的发展历史</w:t>
      </w:r>
    </w:p>
    <w:p w14:paraId="609D0F79" w14:textId="77777777" w:rsidR="00CC2BB6" w:rsidRPr="0009020B" w:rsidRDefault="00CC2BB6" w:rsidP="00CC2BB6">
      <w:pPr>
        <w:spacing w:line="360" w:lineRule="auto"/>
        <w:ind w:firstLine="420"/>
        <w:rPr>
          <w:rFonts w:ascii="宋体" w:eastAsia="宋体" w:hAnsi="宋体" w:cs="宋体"/>
          <w:szCs w:val="21"/>
        </w:rPr>
      </w:pPr>
      <w:r w:rsidRPr="0009020B">
        <w:rPr>
          <w:rFonts w:ascii="宋体" w:eastAsia="宋体" w:hAnsi="宋体" w:cs="宋体" w:hint="eastAsia"/>
          <w:szCs w:val="21"/>
        </w:rPr>
        <w:t>人类对于移动通信的设想，在马可尼1896年发明无线电技术时就产生了。早在20世纪20年代，欧美一些国家就曾经有过车载无线电系统问世。</w:t>
      </w:r>
    </w:p>
    <w:p w14:paraId="046774CB" w14:textId="77777777" w:rsidR="00CC2BB6" w:rsidRPr="0009020B" w:rsidRDefault="00CC2BB6" w:rsidP="00CC2BB6">
      <w:pPr>
        <w:spacing w:line="360" w:lineRule="auto"/>
        <w:rPr>
          <w:rFonts w:ascii="宋体" w:eastAsia="宋体" w:hAnsi="宋体" w:cs="宋体"/>
          <w:szCs w:val="21"/>
        </w:rPr>
      </w:pPr>
      <w:r w:rsidRPr="0009020B">
        <w:rPr>
          <w:rFonts w:ascii="宋体" w:eastAsia="宋体" w:hAnsi="宋体" w:cs="宋体" w:hint="eastAsia"/>
          <w:szCs w:val="21"/>
        </w:rPr>
        <w:t>现代蜂窝无线移动通信（cellular radio mobile communication）的概念是美国的贝尔实验室在1947年提出的</w:t>
      </w:r>
      <w:r w:rsidRPr="0009020B">
        <w:rPr>
          <w:rFonts w:ascii="宋体" w:eastAsia="宋体" w:hAnsi="宋体" w:cs="宋体" w:hint="eastAsia"/>
          <w:szCs w:val="21"/>
          <w:vertAlign w:val="superscript"/>
        </w:rPr>
        <w:t>[</w:t>
      </w:r>
      <w:hyperlink r:id="rId8" w:anchor="b8" w:history="1">
        <w:r w:rsidRPr="0009020B">
          <w:rPr>
            <w:rFonts w:ascii="宋体" w:eastAsia="宋体" w:hAnsi="宋体" w:cs="宋体" w:hint="eastAsia"/>
            <w:szCs w:val="21"/>
            <w:vertAlign w:val="superscript"/>
          </w:rPr>
          <w:t>9</w:t>
        </w:r>
      </w:hyperlink>
      <w:r w:rsidRPr="0009020B">
        <w:rPr>
          <w:rFonts w:ascii="宋体" w:eastAsia="宋体" w:hAnsi="宋体" w:cs="宋体" w:hint="eastAsia"/>
          <w:szCs w:val="21"/>
          <w:vertAlign w:val="superscript"/>
        </w:rPr>
        <w:t>]</w:t>
      </w:r>
      <w:r w:rsidRPr="0009020B">
        <w:rPr>
          <w:rFonts w:ascii="宋体" w:eastAsia="宋体" w:hAnsi="宋体" w:cs="宋体" w:hint="eastAsia"/>
          <w:szCs w:val="21"/>
        </w:rPr>
        <w:t>，并于1958年向美国联邦通信委员会（FCC）提出了建议。1977年，贝尔实验室完成了可行性技术论证。1978年，他们成功地进行了芝加哥先进移动电话系统（advanced mobile phone system，AMPS）的试验。</w:t>
      </w:r>
    </w:p>
    <w:p w14:paraId="0FF84F70" w14:textId="77777777" w:rsidR="00CC2BB6" w:rsidRPr="0009020B" w:rsidRDefault="00CC2BB6" w:rsidP="00CC2BB6">
      <w:pPr>
        <w:spacing w:line="360" w:lineRule="auto"/>
        <w:ind w:firstLine="420"/>
        <w:rPr>
          <w:rFonts w:ascii="宋体" w:eastAsia="宋体" w:hAnsi="宋体" w:cs="宋体"/>
          <w:szCs w:val="21"/>
        </w:rPr>
      </w:pPr>
      <w:r w:rsidRPr="0009020B">
        <w:rPr>
          <w:rFonts w:ascii="宋体" w:eastAsia="宋体" w:hAnsi="宋体" w:cs="宋体" w:hint="eastAsia"/>
          <w:szCs w:val="21"/>
        </w:rPr>
        <w:t>1983年，第一代（1G）蜂窝移动通信系统AMPS正式投入运营。与此同时，欧洲也有全接入通信系统（total access communications system，TACS）问世。1G系统采用</w:t>
      </w:r>
      <w:r w:rsidRPr="0009020B">
        <w:rPr>
          <w:rFonts w:ascii="宋体" w:eastAsia="宋体" w:hAnsi="宋体" w:cs="宋体" w:hint="eastAsia"/>
          <w:szCs w:val="21"/>
        </w:rPr>
        <w:lastRenderedPageBreak/>
        <w:t>模拟信号技术，多址方式为频分多址（FDMA），提供单一的语音通话服务。当时，中国采用了TACS。</w:t>
      </w:r>
    </w:p>
    <w:p w14:paraId="440C3E4D" w14:textId="77777777" w:rsidR="00CC2BB6" w:rsidRPr="0009020B" w:rsidRDefault="00CC2BB6" w:rsidP="00CC2BB6">
      <w:pPr>
        <w:spacing w:line="360" w:lineRule="auto"/>
        <w:ind w:firstLine="420"/>
        <w:rPr>
          <w:rFonts w:ascii="宋体" w:eastAsia="宋体" w:hAnsi="宋体" w:cs="宋体"/>
          <w:szCs w:val="21"/>
        </w:rPr>
      </w:pPr>
      <w:r w:rsidRPr="0009020B">
        <w:rPr>
          <w:rFonts w:ascii="宋体" w:eastAsia="宋体" w:hAnsi="宋体" w:cs="宋体" w:hint="eastAsia"/>
          <w:szCs w:val="21"/>
        </w:rPr>
        <w:t>第二代（2G）移动通信系统采用了数字信号技术。多址方式采用了时分多址（TDMA）和窄带码分多址（CDMA），有欧洲的全球移动通信系统（global system for mobile communications，GSM）和美国的IS-95（interim standard-95）两个主流标准。中国移动采用了GSM标准，后来成立的中国联通则采用了IS-95标准。2G可以提供更丰富的业务，并且在保密性、频谱利用效率方面都有显著的提高，推动了移动通信系统的全球普及。</w:t>
      </w:r>
    </w:p>
    <w:p w14:paraId="24BED5CF" w14:textId="77777777" w:rsidR="00CC2BB6" w:rsidRPr="0009020B" w:rsidRDefault="00CC2BB6" w:rsidP="00CC2BB6">
      <w:pPr>
        <w:spacing w:line="360" w:lineRule="auto"/>
        <w:ind w:firstLine="420"/>
        <w:rPr>
          <w:rFonts w:ascii="宋体" w:eastAsia="宋体" w:hAnsi="宋体" w:cs="宋体"/>
          <w:szCs w:val="21"/>
        </w:rPr>
      </w:pPr>
      <w:r w:rsidRPr="0009020B">
        <w:rPr>
          <w:rFonts w:ascii="宋体" w:eastAsia="宋体" w:hAnsi="宋体" w:cs="宋体" w:hint="eastAsia"/>
          <w:szCs w:val="21"/>
        </w:rPr>
        <w:t>第三代（3G）通信系统，国际电信联盟（ITU）将其命名为国际移动通信-2000（IMT-2000）。3G有3个主流技术标准，分别是欧洲提出的WCDMA、美国提出的cdma2000和中国提出的TD-SCDMA，于2000年发布。3G的大规模商用使得更高速率及更高质量的业务成为移动通信服务的主要内容。</w:t>
      </w:r>
    </w:p>
    <w:p w14:paraId="481D24C4" w14:textId="77777777" w:rsidR="00CC2BB6" w:rsidRPr="0009020B" w:rsidRDefault="00CC2BB6" w:rsidP="00CC2BB6">
      <w:pPr>
        <w:spacing w:line="360" w:lineRule="auto"/>
        <w:ind w:firstLine="420"/>
        <w:rPr>
          <w:rFonts w:ascii="宋体" w:eastAsia="宋体" w:hAnsi="宋体" w:cs="宋体"/>
          <w:szCs w:val="21"/>
        </w:rPr>
      </w:pPr>
      <w:r w:rsidRPr="0009020B">
        <w:rPr>
          <w:rFonts w:ascii="宋体" w:eastAsia="宋体" w:hAnsi="宋体" w:cs="宋体" w:hint="eastAsia"/>
          <w:szCs w:val="21"/>
        </w:rPr>
        <w:t>到了第四代（4G）移动通信系统，无线传输技术获得了进一步的突破。基于正交频分复用（OFDM）及多输入多输出（MIMO）等关键技术的应用，使网络容量、蜂窝边缘性能、系统时延等性能指标都得到了较好的改善</w:t>
      </w:r>
      <w:r w:rsidRPr="0009020B">
        <w:rPr>
          <w:rFonts w:ascii="宋体" w:eastAsia="宋体" w:hAnsi="宋体" w:cs="宋体" w:hint="eastAsia"/>
          <w:szCs w:val="21"/>
          <w:vertAlign w:val="superscript"/>
        </w:rPr>
        <w:t>[</w:t>
      </w:r>
      <w:hyperlink r:id="rId9" w:anchor="b9" w:history="1">
        <w:r w:rsidRPr="0009020B">
          <w:rPr>
            <w:rFonts w:ascii="宋体" w:eastAsia="宋体" w:hAnsi="宋体" w:cs="宋体" w:hint="eastAsia"/>
            <w:szCs w:val="21"/>
            <w:vertAlign w:val="superscript"/>
          </w:rPr>
          <w:t>10</w:t>
        </w:r>
      </w:hyperlink>
      <w:r w:rsidRPr="0009020B">
        <w:rPr>
          <w:rFonts w:ascii="宋体" w:eastAsia="宋体" w:hAnsi="宋体" w:cs="宋体" w:hint="eastAsia"/>
          <w:szCs w:val="21"/>
          <w:vertAlign w:val="superscript"/>
        </w:rPr>
        <w:t>]</w:t>
      </w:r>
      <w:r w:rsidRPr="0009020B">
        <w:rPr>
          <w:rFonts w:ascii="宋体" w:eastAsia="宋体" w:hAnsi="宋体" w:cs="宋体" w:hint="eastAsia"/>
          <w:szCs w:val="21"/>
        </w:rPr>
        <w:t>。</w:t>
      </w:r>
    </w:p>
    <w:p w14:paraId="21184062" w14:textId="77777777" w:rsidR="00CC2BB6" w:rsidRPr="0009020B" w:rsidRDefault="00CC2BB6" w:rsidP="00CC2BB6">
      <w:pPr>
        <w:spacing w:line="360" w:lineRule="auto"/>
        <w:rPr>
          <w:rFonts w:ascii="宋体" w:eastAsia="宋体" w:hAnsi="宋体" w:cs="宋体"/>
          <w:szCs w:val="21"/>
        </w:rPr>
      </w:pPr>
      <w:r w:rsidRPr="0009020B">
        <w:rPr>
          <w:rFonts w:ascii="宋体" w:eastAsia="宋体" w:hAnsi="宋体" w:cs="宋体" w:hint="eastAsia"/>
          <w:szCs w:val="21"/>
        </w:rPr>
        <w:t>移动通信的发展史，是载波频率不断向高频迁移的历史；是数据速率不断提高的历史；也是应用服务内容不断拓展的历史。发展至今的移动通信，已经与互联网相连接，与互联网密不可分。因此，今天的移动网，不仅是人与人之间的通信网，更是一张可以让移动着的网民获取知识、搜索信息、进行社交、开展商务的网络。</w:t>
      </w:r>
    </w:p>
    <w:p w14:paraId="3A6AA686" w14:textId="77777777" w:rsidR="00CC2BB6" w:rsidRPr="0009020B" w:rsidRDefault="00CC2BB6" w:rsidP="00CC2BB6">
      <w:pPr>
        <w:spacing w:line="360" w:lineRule="auto"/>
        <w:rPr>
          <w:rFonts w:ascii="宋体" w:eastAsia="宋体" w:hAnsi="宋体" w:cs="宋体"/>
          <w:szCs w:val="21"/>
        </w:rPr>
      </w:pPr>
      <w:r w:rsidRPr="0009020B">
        <w:rPr>
          <w:rFonts w:ascii="宋体" w:eastAsia="宋体" w:hAnsi="宋体" w:cs="宋体" w:hint="eastAsia"/>
          <w:szCs w:val="21"/>
        </w:rPr>
        <w:t>光纤网络、无线移动网络，几十年来不断地增强传输能力、增加接入带宽，根本的驱动力是视频。3 min语音的信息量为2.9 MB，3 min CD质量的音乐为125 MB，而3 min的高清电视则高达150 GB。即使利用图像压缩技术可以减少视频带宽，但视频所需的传输带宽仍然是语音和音乐的几十倍、几百倍。正是为了把视频传到网络终端、手机屏幕，促使互联网和移动互联网不断地增加带宽。</w:t>
      </w:r>
    </w:p>
    <w:p w14:paraId="288341FD" w14:textId="77777777" w:rsidR="00CC2BB6" w:rsidRPr="0009020B" w:rsidRDefault="00CC2BB6" w:rsidP="00CC2BB6">
      <w:pPr>
        <w:spacing w:line="360" w:lineRule="auto"/>
        <w:rPr>
          <w:rFonts w:ascii="宋体" w:eastAsia="宋体" w:hAnsi="宋体" w:cs="宋体"/>
          <w:szCs w:val="21"/>
        </w:rPr>
      </w:pPr>
      <w:r w:rsidRPr="0009020B">
        <w:rPr>
          <w:rFonts w:ascii="宋体" w:eastAsia="宋体" w:hAnsi="宋体" w:cs="宋体" w:hint="eastAsia"/>
          <w:szCs w:val="21"/>
        </w:rPr>
        <w:t>随着移动通信技术的升级换代和用户需求的扩展，与移动接入相配合的技术标准相继形成。针对无线局域网（WLAN）和无线</w:t>
      </w:r>
      <w:proofErr w:type="gramStart"/>
      <w:r w:rsidRPr="0009020B">
        <w:rPr>
          <w:rFonts w:ascii="宋体" w:eastAsia="宋体" w:hAnsi="宋体" w:cs="宋体" w:hint="eastAsia"/>
          <w:szCs w:val="21"/>
        </w:rPr>
        <w:t>个</w:t>
      </w:r>
      <w:proofErr w:type="gramEnd"/>
      <w:r w:rsidRPr="0009020B">
        <w:rPr>
          <w:rFonts w:ascii="宋体" w:eastAsia="宋体" w:hAnsi="宋体" w:cs="宋体" w:hint="eastAsia"/>
          <w:szCs w:val="21"/>
        </w:rPr>
        <w:t>域网（WPAN），产生了IEEE 802.11a/b/g/n、蓝牙（</w:t>
      </w:r>
      <w:proofErr w:type="spellStart"/>
      <w:r w:rsidRPr="0009020B">
        <w:rPr>
          <w:rFonts w:ascii="宋体" w:eastAsia="宋体" w:hAnsi="宋体" w:cs="宋体" w:hint="eastAsia"/>
          <w:szCs w:val="21"/>
        </w:rPr>
        <w:t>bluetooth</w:t>
      </w:r>
      <w:proofErr w:type="spellEnd"/>
      <w:r w:rsidRPr="0009020B">
        <w:rPr>
          <w:rFonts w:ascii="宋体" w:eastAsia="宋体" w:hAnsi="宋体" w:cs="宋体" w:hint="eastAsia"/>
          <w:szCs w:val="21"/>
        </w:rPr>
        <w:t>）、ECMA-387、Wi-Fi VHT、ZigBee、</w:t>
      </w:r>
      <w:proofErr w:type="spellStart"/>
      <w:r w:rsidRPr="0009020B">
        <w:rPr>
          <w:rFonts w:ascii="宋体" w:eastAsia="宋体" w:hAnsi="宋体" w:cs="宋体" w:hint="eastAsia"/>
          <w:szCs w:val="21"/>
        </w:rPr>
        <w:t>WiMedia</w:t>
      </w:r>
      <w:proofErr w:type="spellEnd"/>
      <w:r w:rsidRPr="0009020B">
        <w:rPr>
          <w:rFonts w:ascii="宋体" w:eastAsia="宋体" w:hAnsi="宋体" w:cs="宋体" w:hint="eastAsia"/>
          <w:szCs w:val="21"/>
        </w:rPr>
        <w:t>等各项标准。这些技术和</w:t>
      </w:r>
      <w:r w:rsidRPr="0009020B">
        <w:rPr>
          <w:rFonts w:ascii="宋体" w:eastAsia="宋体" w:hAnsi="宋体" w:cs="宋体" w:hint="eastAsia"/>
          <w:szCs w:val="21"/>
        </w:rPr>
        <w:lastRenderedPageBreak/>
        <w:t>标准的建立，不仅为移动通信的接入提供了丰富多彩的手段，而且为无线传感网络与移动互联网的融合创造了条件。</w:t>
      </w:r>
    </w:p>
    <w:p w14:paraId="4E87628C" w14:textId="77777777" w:rsidR="00CC2BB6" w:rsidRPr="00CC2BB6" w:rsidRDefault="00CC2BB6" w:rsidP="00CC2BB6">
      <w:pPr>
        <w:pStyle w:val="1"/>
      </w:pPr>
      <w:r w:rsidRPr="00CC2BB6">
        <w:rPr>
          <w:rFonts w:hint="eastAsia"/>
        </w:rPr>
        <w:t>2</w:t>
      </w:r>
      <w:r w:rsidRPr="00CC2BB6">
        <w:rPr>
          <w:rFonts w:hint="eastAsia"/>
        </w:rPr>
        <w:t>、移动互联网的发展现状</w:t>
      </w:r>
    </w:p>
    <w:p w14:paraId="3ADC7452" w14:textId="77777777" w:rsidR="00CC2BB6" w:rsidRPr="0009020B" w:rsidRDefault="00CC2BB6" w:rsidP="00CC2BB6">
      <w:pPr>
        <w:spacing w:before="345" w:line="360" w:lineRule="auto"/>
        <w:ind w:firstLine="480"/>
        <w:rPr>
          <w:rFonts w:ascii="宋体" w:eastAsia="宋体" w:hAnsi="宋体" w:cs="宋体"/>
          <w:szCs w:val="21"/>
        </w:rPr>
      </w:pPr>
      <w:r w:rsidRPr="0009020B">
        <w:rPr>
          <w:rFonts w:ascii="宋体" w:eastAsia="宋体" w:hAnsi="宋体" w:cs="宋体" w:hint="eastAsia"/>
          <w:szCs w:val="21"/>
        </w:rPr>
        <w:t>（一）5G带动工业互联网、区块链应用等不断拓展</w:t>
      </w:r>
    </w:p>
    <w:p w14:paraId="36673100" w14:textId="77777777" w:rsidR="00CC2BB6" w:rsidRPr="0009020B" w:rsidRDefault="00CC2BB6" w:rsidP="00CC2BB6">
      <w:pPr>
        <w:spacing w:before="345" w:line="360" w:lineRule="auto"/>
        <w:ind w:firstLine="480"/>
        <w:rPr>
          <w:rFonts w:ascii="宋体" w:eastAsia="宋体" w:hAnsi="宋体" w:cs="宋体"/>
          <w:szCs w:val="21"/>
        </w:rPr>
      </w:pPr>
      <w:r w:rsidRPr="0009020B">
        <w:rPr>
          <w:rFonts w:ascii="宋体" w:eastAsia="宋体" w:hAnsi="宋体" w:cs="宋体" w:hint="eastAsia"/>
          <w:szCs w:val="21"/>
        </w:rPr>
        <w:t>1.工业互联网进入快速发展期，赋能千行百业数字化转型。截至2020年11月，我国已建成具有影响力的工业互联网</w:t>
      </w:r>
      <w:proofErr w:type="gramStart"/>
      <w:r w:rsidRPr="0009020B">
        <w:rPr>
          <w:rFonts w:ascii="宋体" w:eastAsia="宋体" w:hAnsi="宋体" w:cs="宋体" w:hint="eastAsia"/>
          <w:szCs w:val="21"/>
        </w:rPr>
        <w:t>平台超</w:t>
      </w:r>
      <w:proofErr w:type="gramEnd"/>
      <w:r w:rsidRPr="0009020B">
        <w:rPr>
          <w:rFonts w:ascii="宋体" w:eastAsia="宋体" w:hAnsi="宋体" w:cs="宋体" w:hint="eastAsia"/>
          <w:szCs w:val="21"/>
        </w:rPr>
        <w:t>70个，连接工业设备数量达4000万台（套），工业APP突破25万个，工业互联网标识注册量超过80亿。工业互联网网络覆盖全国300个城市、30多个行业，连接18万家企业。2020年,我国工业互联网产值规模约为3.1</w:t>
      </w:r>
      <w:proofErr w:type="gramStart"/>
      <w:r w:rsidRPr="0009020B">
        <w:rPr>
          <w:rFonts w:ascii="宋体" w:eastAsia="宋体" w:hAnsi="宋体" w:cs="宋体" w:hint="eastAsia"/>
          <w:szCs w:val="21"/>
        </w:rPr>
        <w:t>万亿</w:t>
      </w:r>
      <w:proofErr w:type="gramEnd"/>
      <w:r w:rsidRPr="0009020B">
        <w:rPr>
          <w:rFonts w:ascii="宋体" w:eastAsia="宋体" w:hAnsi="宋体" w:cs="宋体" w:hint="eastAsia"/>
          <w:szCs w:val="21"/>
        </w:rPr>
        <w:t>元,同比增长47.9%，对GDP</w:t>
      </w:r>
      <w:proofErr w:type="gramStart"/>
      <w:r w:rsidRPr="0009020B">
        <w:rPr>
          <w:rFonts w:ascii="宋体" w:eastAsia="宋体" w:hAnsi="宋体" w:cs="宋体" w:hint="eastAsia"/>
          <w:szCs w:val="21"/>
        </w:rPr>
        <w:t>贡献率超</w:t>
      </w:r>
      <w:proofErr w:type="gramEnd"/>
      <w:r w:rsidRPr="0009020B">
        <w:rPr>
          <w:rFonts w:ascii="宋体" w:eastAsia="宋体" w:hAnsi="宋体" w:cs="宋体" w:hint="eastAsia"/>
          <w:szCs w:val="21"/>
        </w:rPr>
        <w:t>11%。</w:t>
      </w:r>
    </w:p>
    <w:p w14:paraId="2FCFA438" w14:textId="77777777" w:rsidR="00CC2BB6" w:rsidRPr="0009020B" w:rsidRDefault="00CC2BB6" w:rsidP="00CC2BB6">
      <w:pPr>
        <w:spacing w:before="345" w:line="360" w:lineRule="auto"/>
        <w:ind w:firstLine="480"/>
        <w:rPr>
          <w:rFonts w:ascii="宋体" w:eastAsia="宋体" w:hAnsi="宋体" w:cs="宋体"/>
          <w:szCs w:val="21"/>
        </w:rPr>
      </w:pPr>
      <w:r w:rsidRPr="0009020B">
        <w:rPr>
          <w:rFonts w:ascii="宋体" w:eastAsia="宋体" w:hAnsi="宋体" w:cs="宋体" w:hint="eastAsia"/>
          <w:szCs w:val="21"/>
        </w:rPr>
        <w:t>2.区块链产业蓬勃发展，应用场景持续扩大。2020年，区块链产业迎来新发展。中央及各大部委陆续出台推动区块链应用落地政策。疫情防控期间，区块链技术为“不见面审批”“一网通办”等政务服务平台项目赋能；区块链技术在金融行业广泛应用；国家电网基于区块链技术建成“国网链”；最高人民法院指导规范全国法院数据上链。2020年全国共有1958个区块链项目，已建成40个区块链产业园区，区块链相关企业数达64996家，区块链市场规模达到32.43亿元。</w:t>
      </w:r>
    </w:p>
    <w:p w14:paraId="4BDBBC4E" w14:textId="77777777" w:rsidR="00CC2BB6" w:rsidRPr="0009020B" w:rsidRDefault="00CC2BB6" w:rsidP="00CC2BB6">
      <w:pPr>
        <w:spacing w:before="345" w:line="360" w:lineRule="auto"/>
        <w:ind w:firstLine="480"/>
        <w:rPr>
          <w:rFonts w:ascii="宋体" w:eastAsia="宋体" w:hAnsi="宋体" w:cs="宋体"/>
          <w:szCs w:val="21"/>
        </w:rPr>
      </w:pPr>
      <w:r w:rsidRPr="0009020B">
        <w:rPr>
          <w:rFonts w:ascii="宋体" w:eastAsia="宋体" w:hAnsi="宋体" w:cs="宋体" w:hint="eastAsia"/>
          <w:szCs w:val="21"/>
        </w:rPr>
        <w:t>3.人工智能等技术不断突破，各类移动应用发展势头迅猛。2020年，十余省份出台相关政策，进一步推动人工智能发展与产业落地。人工智能与移动互联网相结合的应用场景日趋丰富，自动驾驶汽车、智能语音、虚拟现实和增强现实等正越来越广泛地应用在社会生活领域。受新冠肺炎疫情影响，人工智能在医疗领域应用加速。疾病监测预警人工智能、导诊机器人、语音电子病历等应用不断拓展，人工智能辅助疫苗研发与药物临床研究也得到进一步深化。</w:t>
      </w:r>
    </w:p>
    <w:p w14:paraId="47D3CC82" w14:textId="77777777" w:rsidR="00CC2BB6" w:rsidRPr="0009020B" w:rsidRDefault="00CC2BB6" w:rsidP="00CC2BB6">
      <w:pPr>
        <w:spacing w:before="345" w:line="360" w:lineRule="auto"/>
        <w:ind w:firstLine="480"/>
        <w:rPr>
          <w:rFonts w:ascii="宋体" w:eastAsia="宋体" w:hAnsi="宋体" w:cs="宋体"/>
          <w:szCs w:val="21"/>
        </w:rPr>
      </w:pPr>
      <w:r w:rsidRPr="0009020B">
        <w:rPr>
          <w:rFonts w:ascii="宋体" w:eastAsia="宋体" w:hAnsi="宋体" w:cs="宋体" w:hint="eastAsia"/>
          <w:szCs w:val="21"/>
        </w:rPr>
        <w:t>2020年，中央政治局集体学习时强调，要加强量子科技发展战略谋划和系统布局。浙江、广东、重庆等相继提出推进量子信息技术发展措施。我国实现</w:t>
      </w:r>
      <w:proofErr w:type="gramStart"/>
      <w:r w:rsidRPr="0009020B">
        <w:rPr>
          <w:rFonts w:ascii="宋体" w:eastAsia="宋体" w:hAnsi="宋体" w:cs="宋体" w:hint="eastAsia"/>
          <w:szCs w:val="21"/>
        </w:rPr>
        <w:t>千公里</w:t>
      </w:r>
      <w:proofErr w:type="gramEnd"/>
      <w:r w:rsidRPr="0009020B">
        <w:rPr>
          <w:rFonts w:ascii="宋体" w:eastAsia="宋体" w:hAnsi="宋体" w:cs="宋体" w:hint="eastAsia"/>
          <w:szCs w:val="21"/>
        </w:rPr>
        <w:t>级量子密钥分发，成功研发量子计算原型机“九章”，被视为下一代网络关键技术的量子信息技术研究与应用不断深入。</w:t>
      </w:r>
    </w:p>
    <w:p w14:paraId="23597EB4" w14:textId="77777777" w:rsidR="00CC2BB6" w:rsidRPr="0009020B" w:rsidRDefault="00CC2BB6" w:rsidP="00CC2BB6">
      <w:pPr>
        <w:spacing w:before="345" w:line="360" w:lineRule="auto"/>
        <w:ind w:firstLine="480"/>
        <w:rPr>
          <w:rFonts w:ascii="宋体" w:eastAsia="宋体" w:hAnsi="宋体" w:cs="宋体"/>
          <w:szCs w:val="21"/>
        </w:rPr>
      </w:pPr>
      <w:r w:rsidRPr="0009020B">
        <w:rPr>
          <w:rFonts w:ascii="宋体" w:eastAsia="宋体" w:hAnsi="宋体" w:cs="宋体" w:hint="eastAsia"/>
          <w:szCs w:val="21"/>
        </w:rPr>
        <w:lastRenderedPageBreak/>
        <w:t>（二）移动互联网新</w:t>
      </w:r>
      <w:proofErr w:type="gramStart"/>
      <w:r w:rsidRPr="0009020B">
        <w:rPr>
          <w:rFonts w:ascii="宋体" w:eastAsia="宋体" w:hAnsi="宋体" w:cs="宋体" w:hint="eastAsia"/>
          <w:szCs w:val="21"/>
        </w:rPr>
        <w:t>业态成经济</w:t>
      </w:r>
      <w:proofErr w:type="gramEnd"/>
      <w:r w:rsidRPr="0009020B">
        <w:rPr>
          <w:rFonts w:ascii="宋体" w:eastAsia="宋体" w:hAnsi="宋体" w:cs="宋体" w:hint="eastAsia"/>
          <w:szCs w:val="21"/>
        </w:rPr>
        <w:t>发展“强牵引”</w:t>
      </w:r>
    </w:p>
    <w:p w14:paraId="3B5E9350" w14:textId="77777777" w:rsidR="00CC2BB6" w:rsidRPr="0009020B" w:rsidRDefault="00CC2BB6" w:rsidP="00CC2BB6">
      <w:pPr>
        <w:spacing w:before="345" w:line="360" w:lineRule="auto"/>
        <w:ind w:firstLine="480"/>
        <w:rPr>
          <w:rFonts w:ascii="宋体" w:eastAsia="宋体" w:hAnsi="宋体" w:cs="宋体"/>
          <w:szCs w:val="21"/>
        </w:rPr>
      </w:pPr>
      <w:r w:rsidRPr="0009020B">
        <w:rPr>
          <w:rFonts w:ascii="宋体" w:eastAsia="宋体" w:hAnsi="宋体" w:cs="宋体" w:hint="eastAsia"/>
          <w:szCs w:val="21"/>
        </w:rPr>
        <w:t>1.网上零售、直播带货赋予消费新活力。新冠肺炎疫情在一定程度上“重塑”了人们的消费方式，推动了网上零售、直播带货等新模式全面爆发。2020年，我国手机网络购物用户规模达7.81亿。全国网上零售额达11.76</w:t>
      </w:r>
      <w:proofErr w:type="gramStart"/>
      <w:r w:rsidRPr="0009020B">
        <w:rPr>
          <w:rFonts w:ascii="宋体" w:eastAsia="宋体" w:hAnsi="宋体" w:cs="宋体" w:hint="eastAsia"/>
          <w:szCs w:val="21"/>
        </w:rPr>
        <w:t>万亿</w:t>
      </w:r>
      <w:proofErr w:type="gramEnd"/>
      <w:r w:rsidRPr="0009020B">
        <w:rPr>
          <w:rFonts w:ascii="宋体" w:eastAsia="宋体" w:hAnsi="宋体" w:cs="宋体" w:hint="eastAsia"/>
          <w:szCs w:val="21"/>
        </w:rPr>
        <w:t>元，同比增长10.9%，占社会消费品零售总额的比重接近四分之一。截至2020年12月，电商直播超2400万场，电商直播用户规模达3.88亿，较2020年3月增加1.23亿。网络零售的蓬勃发展推动各地复工复产与经济复苏。不少地方领导干部参与直播带货，获得舆论与市场的积极反馈。不少地区制定直播发展计划，抢占直播经济这一新风口。</w:t>
      </w:r>
    </w:p>
    <w:p w14:paraId="36462853" w14:textId="77777777" w:rsidR="00CC2BB6" w:rsidRPr="0009020B" w:rsidRDefault="00CC2BB6" w:rsidP="00CC2BB6">
      <w:pPr>
        <w:spacing w:before="345" w:line="360" w:lineRule="auto"/>
        <w:ind w:firstLine="480"/>
        <w:rPr>
          <w:rFonts w:ascii="宋体" w:eastAsia="宋体" w:hAnsi="宋体" w:cs="宋体"/>
          <w:szCs w:val="21"/>
        </w:rPr>
      </w:pPr>
      <w:r w:rsidRPr="0009020B">
        <w:rPr>
          <w:rFonts w:ascii="宋体" w:eastAsia="宋体" w:hAnsi="宋体" w:cs="宋体" w:hint="eastAsia"/>
          <w:szCs w:val="21"/>
        </w:rPr>
        <w:t>2.“宅经济”催生经济增长新动能。2020年新冠肺炎疫情让许多线下消费</w:t>
      </w:r>
      <w:proofErr w:type="gramStart"/>
      <w:r w:rsidRPr="0009020B">
        <w:rPr>
          <w:rFonts w:ascii="宋体" w:eastAsia="宋体" w:hAnsi="宋体" w:cs="宋体" w:hint="eastAsia"/>
          <w:szCs w:val="21"/>
        </w:rPr>
        <w:t>转移至线上</w:t>
      </w:r>
      <w:proofErr w:type="gramEnd"/>
      <w:r w:rsidRPr="0009020B">
        <w:rPr>
          <w:rFonts w:ascii="宋体" w:eastAsia="宋体" w:hAnsi="宋体" w:cs="宋体" w:hint="eastAsia"/>
          <w:szCs w:val="21"/>
        </w:rPr>
        <w:t>，在线办公、远程医疗、在线教育、</w:t>
      </w:r>
      <w:proofErr w:type="gramStart"/>
      <w:r w:rsidRPr="0009020B">
        <w:rPr>
          <w:rFonts w:ascii="宋体" w:eastAsia="宋体" w:hAnsi="宋体" w:cs="宋体" w:hint="eastAsia"/>
          <w:szCs w:val="21"/>
        </w:rPr>
        <w:t>外卖闪送等</w:t>
      </w:r>
      <w:proofErr w:type="gramEnd"/>
      <w:r w:rsidRPr="0009020B">
        <w:rPr>
          <w:rFonts w:ascii="宋体" w:eastAsia="宋体" w:hAnsi="宋体" w:cs="宋体" w:hint="eastAsia"/>
          <w:szCs w:val="21"/>
        </w:rPr>
        <w:t>移动生活服务呈现爆发式增长，由此催生的“宅经济”成为拉动经济增长的一个重要引擎。数据显示，截至2020年12月，我国远程办公用户规模达3.46亿，占网民整体的34.9%,用户使用日趋常态化。2020年我国在线教育用户规模达到3.52亿人，在线教育销售额同比增长超过140%。远程医疗用户规模达2.15亿，远程医疗患者咨询人次同比增长73.4%。手机外卖用户达4.18亿,外卖市场总体规模达到8352亿元，同比增长14.8%。</w:t>
      </w:r>
    </w:p>
    <w:p w14:paraId="3C85BDD6" w14:textId="77777777" w:rsidR="00CC2BB6" w:rsidRPr="0009020B" w:rsidRDefault="00CC2BB6" w:rsidP="00CC2BB6">
      <w:pPr>
        <w:spacing w:before="345" w:line="360" w:lineRule="auto"/>
        <w:ind w:firstLine="480"/>
        <w:rPr>
          <w:rFonts w:ascii="宋体" w:eastAsia="宋体" w:hAnsi="宋体" w:cs="宋体"/>
          <w:szCs w:val="21"/>
        </w:rPr>
      </w:pPr>
      <w:r w:rsidRPr="0009020B">
        <w:rPr>
          <w:rFonts w:ascii="宋体" w:eastAsia="宋体" w:hAnsi="宋体" w:cs="宋体" w:hint="eastAsia"/>
          <w:szCs w:val="21"/>
        </w:rPr>
        <w:t>3.“云旅游”、网络视频创新消费新业态。2020年，基于移动互联网的“云上游”“云看展”等旅游新业态、新模式迅速发展。全国有超过100个城市的500多个景点“上云”，可利用手机参观游览，“云游故宫”等活动给游客带来了全新的体验。截至2020年12月，我国手机游戏用户达5.16亿，手机游戏市场销售规模达2096.76亿元，同比增长20.71%。网络视频用户规模达9.27亿，短视频用户规模为8.73亿，较2020年3月增长1.00亿。各大短视频平台也积极发力布局直播带货模式，引领了新型消费方式。</w:t>
      </w:r>
    </w:p>
    <w:p w14:paraId="71D091BB" w14:textId="61EDD2A5" w:rsidR="00CC2BB6" w:rsidRPr="00CC2BB6" w:rsidRDefault="00CC2BB6" w:rsidP="00CC2BB6">
      <w:pPr>
        <w:pStyle w:val="1"/>
      </w:pPr>
      <w:r w:rsidRPr="00CC2BB6">
        <w:rPr>
          <w:rFonts w:hint="eastAsia"/>
        </w:rPr>
        <w:t>3</w:t>
      </w:r>
      <w:r w:rsidRPr="00CC2BB6">
        <w:rPr>
          <w:rFonts w:hint="eastAsia"/>
        </w:rPr>
        <w:t>、移动互联网的发展趋势</w:t>
      </w:r>
    </w:p>
    <w:p w14:paraId="6973AEB7" w14:textId="69DC1DC8" w:rsidR="00CC2BB6" w:rsidRPr="0009020B" w:rsidRDefault="00CC2BB6" w:rsidP="00CC2BB6">
      <w:pPr>
        <w:spacing w:line="360" w:lineRule="auto"/>
        <w:ind w:firstLine="420"/>
        <w:rPr>
          <w:rFonts w:ascii="宋体" w:eastAsia="宋体" w:hAnsi="宋体" w:cs="宋体"/>
          <w:szCs w:val="21"/>
        </w:rPr>
      </w:pPr>
      <w:r w:rsidRPr="0009020B">
        <w:rPr>
          <w:rFonts w:ascii="宋体" w:eastAsia="宋体" w:hAnsi="宋体" w:cs="宋体" w:hint="eastAsia"/>
          <w:szCs w:val="21"/>
        </w:rPr>
        <w:t>未来关键技术：从5G移动通信技术、互联网技术、物联网技术3方面来看，影响第五代移动互联网未来发展的关键技术将主要包括高频段通信、小蜂窝、云无线接入网等网络接入技术；软件定义网络、内容分发网络等互联网技术和机器间通信等物联网技术。</w:t>
      </w:r>
    </w:p>
    <w:p w14:paraId="16027F05" w14:textId="77777777" w:rsidR="00CC2BB6" w:rsidRPr="0009020B" w:rsidRDefault="00CC2BB6" w:rsidP="00CC2BB6">
      <w:pPr>
        <w:spacing w:line="360" w:lineRule="auto"/>
        <w:rPr>
          <w:rFonts w:ascii="宋体" w:eastAsia="宋体" w:hAnsi="宋体" w:cs="宋体"/>
          <w:szCs w:val="21"/>
        </w:rPr>
      </w:pPr>
      <w:r w:rsidRPr="0009020B">
        <w:rPr>
          <w:rFonts w:ascii="宋体" w:eastAsia="宋体" w:hAnsi="宋体" w:cs="宋体" w:hint="eastAsia"/>
          <w:szCs w:val="21"/>
        </w:rPr>
        <w:lastRenderedPageBreak/>
        <w:t>（1）高频段通信</w:t>
      </w:r>
    </w:p>
    <w:p w14:paraId="78CFA2CD" w14:textId="77777777" w:rsidR="00CC2BB6" w:rsidRPr="0009020B" w:rsidRDefault="00CC2BB6" w:rsidP="00CC2BB6">
      <w:pPr>
        <w:spacing w:line="360" w:lineRule="auto"/>
        <w:ind w:firstLine="420"/>
        <w:rPr>
          <w:rFonts w:ascii="宋体" w:eastAsia="宋体" w:hAnsi="宋体" w:cs="宋体"/>
          <w:szCs w:val="21"/>
        </w:rPr>
      </w:pPr>
      <w:r w:rsidRPr="0009020B">
        <w:rPr>
          <w:rFonts w:ascii="宋体" w:eastAsia="宋体" w:hAnsi="宋体" w:cs="宋体" w:hint="eastAsia"/>
          <w:szCs w:val="21"/>
        </w:rPr>
        <w:t>目前，适合移动通信无线传输的低频频段已经基本被占用，针对未来的5G系统研发，采用高频段通信将成为重要的技术手段。移动通信的学者和企业的研发工程师，近年来在一个很宽的频谱范围内不懈探索，从6 GHz、15 GHz、28 GHz、60 GHz到79～90 GHz</w:t>
      </w:r>
      <w:r w:rsidRPr="0009020B">
        <w:rPr>
          <w:rFonts w:ascii="宋体" w:eastAsia="宋体" w:hAnsi="宋体" w:cs="宋体" w:hint="eastAsia"/>
          <w:szCs w:val="21"/>
          <w:vertAlign w:val="superscript"/>
        </w:rPr>
        <w:t>[</w:t>
      </w:r>
      <w:hyperlink r:id="rId10" w:anchor="b14" w:history="1">
        <w:r w:rsidRPr="0009020B">
          <w:rPr>
            <w:rFonts w:ascii="宋体" w:eastAsia="宋体" w:hAnsi="宋体" w:cs="宋体" w:hint="eastAsia"/>
            <w:szCs w:val="21"/>
            <w:vertAlign w:val="superscript"/>
          </w:rPr>
          <w:t>15</w:t>
        </w:r>
      </w:hyperlink>
      <w:r w:rsidRPr="0009020B">
        <w:rPr>
          <w:rFonts w:ascii="宋体" w:eastAsia="宋体" w:hAnsi="宋体" w:cs="宋体" w:hint="eastAsia"/>
          <w:szCs w:val="21"/>
          <w:vertAlign w:val="superscript"/>
        </w:rPr>
        <w:t>]</w:t>
      </w:r>
      <w:r w:rsidRPr="0009020B">
        <w:rPr>
          <w:rFonts w:ascii="宋体" w:eastAsia="宋体" w:hAnsi="宋体" w:cs="宋体" w:hint="eastAsia"/>
          <w:szCs w:val="21"/>
        </w:rPr>
        <w:t>，这些频段开发的试验系统在无线传输测试中最高传输速率可达到115 Gbit/s。采用不同高频频段的5G试验系统也已经逐步出现。但是高频段通信使用的波长短能量强覆盖范围短，如果要公共使用的话需要部署大量5</w:t>
      </w:r>
      <w:r w:rsidRPr="0009020B">
        <w:rPr>
          <w:rFonts w:ascii="宋体" w:eastAsia="宋体" w:hAnsi="宋体" w:cs="宋体"/>
          <w:szCs w:val="21"/>
        </w:rPr>
        <w:t>G</w:t>
      </w:r>
      <w:r w:rsidRPr="0009020B">
        <w:rPr>
          <w:rFonts w:ascii="宋体" w:eastAsia="宋体" w:hAnsi="宋体" w:cs="宋体" w:hint="eastAsia"/>
          <w:szCs w:val="21"/>
        </w:rPr>
        <w:t>设备在城市中，投入成本比4</w:t>
      </w:r>
      <w:r w:rsidRPr="0009020B">
        <w:rPr>
          <w:rFonts w:ascii="宋体" w:eastAsia="宋体" w:hAnsi="宋体" w:cs="宋体"/>
          <w:szCs w:val="21"/>
        </w:rPr>
        <w:t>G</w:t>
      </w:r>
      <w:r>
        <w:rPr>
          <w:rFonts w:ascii="宋体" w:eastAsia="宋体" w:hAnsi="宋体" w:cs="宋体" w:hint="eastAsia"/>
          <w:szCs w:val="21"/>
        </w:rPr>
        <w:t>相比</w:t>
      </w:r>
      <w:r w:rsidRPr="0009020B">
        <w:rPr>
          <w:rFonts w:ascii="宋体" w:eastAsia="宋体" w:hAnsi="宋体" w:cs="宋体" w:hint="eastAsia"/>
          <w:szCs w:val="21"/>
        </w:rPr>
        <w:t>呈现几何倍增加</w:t>
      </w:r>
      <w:r>
        <w:rPr>
          <w:rFonts w:ascii="宋体" w:eastAsia="宋体" w:hAnsi="宋体" w:cs="宋体" w:hint="eastAsia"/>
          <w:szCs w:val="21"/>
        </w:rPr>
        <w:t>，要再过几年</w:t>
      </w:r>
      <w:r>
        <w:rPr>
          <w:rFonts w:ascii="宋体" w:eastAsia="宋体" w:hAnsi="宋体" w:cs="宋体"/>
          <w:szCs w:val="21"/>
        </w:rPr>
        <w:t>5G</w:t>
      </w:r>
      <w:r>
        <w:rPr>
          <w:rFonts w:ascii="宋体" w:eastAsia="宋体" w:hAnsi="宋体" w:cs="宋体" w:hint="eastAsia"/>
          <w:szCs w:val="21"/>
        </w:rPr>
        <w:t>才能全面普及。</w:t>
      </w:r>
    </w:p>
    <w:p w14:paraId="50A59752" w14:textId="77777777" w:rsidR="00CC2BB6" w:rsidRPr="0009020B" w:rsidRDefault="00CC2BB6" w:rsidP="00CC2BB6">
      <w:pPr>
        <w:spacing w:line="360" w:lineRule="auto"/>
        <w:rPr>
          <w:rFonts w:ascii="宋体" w:eastAsia="宋体" w:hAnsi="宋体" w:cs="宋体"/>
          <w:szCs w:val="21"/>
        </w:rPr>
      </w:pPr>
      <w:r w:rsidRPr="0009020B">
        <w:rPr>
          <w:rFonts w:ascii="宋体" w:eastAsia="宋体" w:hAnsi="宋体" w:cs="宋体" w:hint="eastAsia"/>
          <w:szCs w:val="21"/>
        </w:rPr>
        <w:t>（</w:t>
      </w:r>
      <w:r>
        <w:rPr>
          <w:rFonts w:ascii="宋体" w:eastAsia="宋体" w:hAnsi="宋体" w:cs="宋体"/>
          <w:szCs w:val="21"/>
        </w:rPr>
        <w:t>2</w:t>
      </w:r>
      <w:r w:rsidRPr="0009020B">
        <w:rPr>
          <w:rFonts w:ascii="宋体" w:eastAsia="宋体" w:hAnsi="宋体" w:cs="宋体" w:hint="eastAsia"/>
          <w:szCs w:val="21"/>
        </w:rPr>
        <w:t>）小蜂窝技术</w:t>
      </w:r>
    </w:p>
    <w:p w14:paraId="7BAB0093" w14:textId="77777777" w:rsidR="00CC2BB6" w:rsidRPr="0009020B" w:rsidRDefault="00CC2BB6" w:rsidP="00CC2BB6">
      <w:pPr>
        <w:spacing w:line="360" w:lineRule="auto"/>
        <w:ind w:firstLine="420"/>
        <w:rPr>
          <w:rFonts w:ascii="宋体" w:eastAsia="宋体" w:hAnsi="宋体" w:cs="宋体"/>
          <w:szCs w:val="21"/>
        </w:rPr>
      </w:pPr>
      <w:r>
        <w:rPr>
          <w:rFonts w:ascii="宋体" w:eastAsia="宋体" w:hAnsi="宋体" w:cs="宋体" w:hint="eastAsia"/>
          <w:szCs w:val="21"/>
        </w:rPr>
        <w:t>未来小蜂窝技术得到发展，使得人们能够享受到高速的网络，使得在低成本的基础上能够满足V</w:t>
      </w:r>
      <w:r>
        <w:rPr>
          <w:rFonts w:ascii="宋体" w:eastAsia="宋体" w:hAnsi="宋体" w:cs="宋体"/>
          <w:szCs w:val="21"/>
        </w:rPr>
        <w:t>R</w:t>
      </w:r>
      <w:r>
        <w:rPr>
          <w:rFonts w:ascii="宋体" w:eastAsia="宋体" w:hAnsi="宋体" w:cs="宋体" w:hint="eastAsia"/>
          <w:szCs w:val="21"/>
        </w:rPr>
        <w:t>等类型的游戏所需要的网速。</w:t>
      </w:r>
      <w:r w:rsidRPr="0009020B">
        <w:rPr>
          <w:rFonts w:ascii="宋体" w:eastAsia="宋体" w:hAnsi="宋体" w:cs="宋体" w:hint="eastAsia"/>
          <w:szCs w:val="21"/>
        </w:rPr>
        <w:t>世界移动通信的现状是数百万蜂窝覆盖着50亿个移动用户。这样的宏蜂窝（macroce11）基站覆盖半径约为2 km。理论上可以证明</w:t>
      </w:r>
      <w:r w:rsidRPr="0009020B">
        <w:rPr>
          <w:rFonts w:ascii="宋体" w:eastAsia="宋体" w:hAnsi="宋体" w:cs="宋体" w:hint="eastAsia"/>
          <w:szCs w:val="21"/>
          <w:vertAlign w:val="superscript"/>
        </w:rPr>
        <w:t>[</w:t>
      </w:r>
      <w:hyperlink r:id="rId11" w:anchor="b11" w:history="1">
        <w:r w:rsidRPr="0009020B">
          <w:rPr>
            <w:rFonts w:ascii="宋体" w:eastAsia="宋体" w:hAnsi="宋体" w:cs="宋体" w:hint="eastAsia"/>
            <w:szCs w:val="21"/>
            <w:vertAlign w:val="superscript"/>
          </w:rPr>
          <w:t>12</w:t>
        </w:r>
      </w:hyperlink>
      <w:r w:rsidRPr="0009020B">
        <w:rPr>
          <w:rFonts w:ascii="宋体" w:eastAsia="宋体" w:hAnsi="宋体" w:cs="宋体" w:hint="eastAsia"/>
          <w:szCs w:val="21"/>
          <w:vertAlign w:val="superscript"/>
        </w:rPr>
        <w:t>]</w:t>
      </w:r>
      <w:r w:rsidRPr="0009020B">
        <w:rPr>
          <w:rFonts w:ascii="宋体" w:eastAsia="宋体" w:hAnsi="宋体" w:cs="宋体" w:hint="eastAsia"/>
          <w:szCs w:val="21"/>
        </w:rPr>
        <w:t>，蜂窝小型化是提高系统容量、减少系统能耗的重要方法。20年前，人们把小蜂窝统称为微蜂窝（microce11）。现在，参照毫、微、纳、皮、飞的进位表示法，把蜂窝半径为200 m的蜂窝称为皮蜂窝（picoce11），半径为10 m的蜂窝称为飞蜂窝（femtoce11），以便精细地设计第五代移动互联网。</w:t>
      </w:r>
    </w:p>
    <w:p w14:paraId="6A41F4CC" w14:textId="77777777" w:rsidR="00CC2BB6" w:rsidRPr="0009020B" w:rsidRDefault="00CC2BB6" w:rsidP="00076DEB">
      <w:pPr>
        <w:spacing w:line="360" w:lineRule="auto"/>
        <w:ind w:firstLine="420"/>
        <w:rPr>
          <w:rFonts w:ascii="宋体" w:eastAsia="宋体" w:hAnsi="宋体" w:cs="宋体"/>
          <w:szCs w:val="21"/>
        </w:rPr>
      </w:pPr>
      <w:r w:rsidRPr="0009020B">
        <w:rPr>
          <w:rFonts w:ascii="宋体" w:eastAsia="宋体" w:hAnsi="宋体" w:cs="宋体" w:hint="eastAsia"/>
          <w:szCs w:val="21"/>
        </w:rPr>
        <w:t>皮蜂窝适合于户外，飞蜂窝适合于室内。宏蜂窝基站的传输功率约为40 W，而皮蜂窝和飞蜂窝分别只需2 W和0.1W。同时，小蜂窝的总体硬件成本可以大大低于宏蜂窝，而且更适合实现室内等热点区域的覆盖。</w:t>
      </w:r>
    </w:p>
    <w:p w14:paraId="7F591770" w14:textId="77777777" w:rsidR="00CC2BB6" w:rsidRPr="0009020B" w:rsidRDefault="00CC2BB6" w:rsidP="00CC2BB6">
      <w:pPr>
        <w:spacing w:line="360" w:lineRule="auto"/>
        <w:rPr>
          <w:rFonts w:ascii="宋体" w:eastAsia="宋体" w:hAnsi="宋体" w:cs="宋体"/>
          <w:szCs w:val="21"/>
        </w:rPr>
      </w:pPr>
      <w:r w:rsidRPr="0009020B">
        <w:rPr>
          <w:rFonts w:ascii="宋体" w:eastAsia="宋体" w:hAnsi="宋体" w:cs="宋体" w:hint="eastAsia"/>
          <w:szCs w:val="21"/>
        </w:rPr>
        <w:t>（</w:t>
      </w:r>
      <w:r>
        <w:rPr>
          <w:rFonts w:ascii="宋体" w:eastAsia="宋体" w:hAnsi="宋体" w:cs="宋体"/>
          <w:szCs w:val="21"/>
        </w:rPr>
        <w:t>3</w:t>
      </w:r>
      <w:r w:rsidRPr="0009020B">
        <w:rPr>
          <w:rFonts w:ascii="宋体" w:eastAsia="宋体" w:hAnsi="宋体" w:cs="宋体" w:hint="eastAsia"/>
          <w:szCs w:val="21"/>
        </w:rPr>
        <w:t>）云无线接入网技术</w:t>
      </w:r>
    </w:p>
    <w:p w14:paraId="30AE46DA" w14:textId="29C7DF2C" w:rsidR="004F46F3" w:rsidRPr="00CC2BB6" w:rsidRDefault="00CC2BB6" w:rsidP="00CC2BB6">
      <w:pPr>
        <w:spacing w:line="360" w:lineRule="auto"/>
        <w:ind w:firstLine="420"/>
        <w:rPr>
          <w:rFonts w:ascii="宋体" w:eastAsia="宋体" w:hAnsi="宋体" w:cs="宋体"/>
          <w:szCs w:val="21"/>
        </w:rPr>
      </w:pPr>
      <w:r w:rsidRPr="0009020B">
        <w:rPr>
          <w:rFonts w:ascii="宋体" w:eastAsia="宋体" w:hAnsi="宋体" w:cs="宋体" w:hint="eastAsia"/>
          <w:szCs w:val="21"/>
        </w:rPr>
        <w:t>云无线接入网（C-RAN）</w:t>
      </w:r>
      <w:r w:rsidRPr="0009020B">
        <w:rPr>
          <w:rFonts w:ascii="宋体" w:eastAsia="宋体" w:hAnsi="宋体" w:cs="宋体" w:hint="eastAsia"/>
          <w:szCs w:val="21"/>
          <w:vertAlign w:val="superscript"/>
        </w:rPr>
        <w:t>[</w:t>
      </w:r>
      <w:hyperlink r:id="rId12" w:anchor="b11" w:history="1">
        <w:r w:rsidRPr="0009020B">
          <w:rPr>
            <w:rFonts w:ascii="宋体" w:eastAsia="宋体" w:hAnsi="宋体" w:cs="宋体" w:hint="eastAsia"/>
            <w:szCs w:val="21"/>
            <w:vertAlign w:val="superscript"/>
          </w:rPr>
          <w:t>12</w:t>
        </w:r>
      </w:hyperlink>
      <w:r w:rsidRPr="0009020B">
        <w:rPr>
          <w:rFonts w:ascii="宋体" w:eastAsia="宋体" w:hAnsi="宋体" w:cs="宋体" w:hint="eastAsia"/>
          <w:szCs w:val="21"/>
          <w:vertAlign w:val="superscript"/>
        </w:rPr>
        <w:t>，</w:t>
      </w:r>
      <w:hyperlink r:id="rId13" w:anchor="b14" w:history="1">
        <w:r w:rsidRPr="0009020B">
          <w:rPr>
            <w:rFonts w:ascii="宋体" w:eastAsia="宋体" w:hAnsi="宋体" w:cs="宋体" w:hint="eastAsia"/>
            <w:szCs w:val="21"/>
            <w:vertAlign w:val="superscript"/>
          </w:rPr>
          <w:t>15</w:t>
        </w:r>
      </w:hyperlink>
      <w:r w:rsidRPr="0009020B">
        <w:rPr>
          <w:rFonts w:ascii="宋体" w:eastAsia="宋体" w:hAnsi="宋体" w:cs="宋体" w:hint="eastAsia"/>
          <w:szCs w:val="21"/>
          <w:vertAlign w:val="superscript"/>
        </w:rPr>
        <w:t>]</w:t>
      </w:r>
      <w:r w:rsidRPr="0009020B">
        <w:rPr>
          <w:rFonts w:ascii="宋体" w:eastAsia="宋体" w:hAnsi="宋体" w:cs="宋体" w:hint="eastAsia"/>
          <w:szCs w:val="21"/>
        </w:rPr>
        <w:t>是针对5G大容量数据业务传输的组网方案。将云计算技术应用于移动通信系统组网，可以在减少运行成本的前提下提升网络性能，同时降低网络能耗。虽然C-RAN技术在实际网络内的性能已经得到若干验证，但是C-RAN技术在高效集中式无线资源管理方面仍然面临较大的挑战；对于光通信网络也提出了更大容量、更高速率的要求。</w:t>
      </w:r>
    </w:p>
    <w:sectPr w:rsidR="004F46F3" w:rsidRPr="00CC2BB6">
      <w:footerReference w:type="default" r:id="rId14"/>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6D757" w14:textId="77777777" w:rsidR="001E6D80" w:rsidRDefault="001E6D80">
      <w:pPr>
        <w:spacing w:after="0" w:line="240" w:lineRule="auto"/>
      </w:pPr>
      <w:r>
        <w:separator/>
      </w:r>
    </w:p>
  </w:endnote>
  <w:endnote w:type="continuationSeparator" w:id="0">
    <w:p w14:paraId="7390C769" w14:textId="77777777" w:rsidR="001E6D80" w:rsidRDefault="001E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652CC7CE" w14:textId="77777777" w:rsidR="004F46F3" w:rsidRDefault="00AA5731">
        <w:pPr>
          <w:pStyle w:val="af7"/>
        </w:pPr>
        <w:r>
          <w:fldChar w:fldCharType="begin"/>
        </w:r>
        <w:r>
          <w:instrText xml:space="preserve"> PAGE   \* MERGEFORMAT </w:instrText>
        </w:r>
        <w:r>
          <w:fldChar w:fldCharType="separate"/>
        </w:r>
        <w:r w:rsidR="000C340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F3154" w14:textId="77777777" w:rsidR="001E6D80" w:rsidRDefault="001E6D80">
      <w:pPr>
        <w:spacing w:after="0" w:line="240" w:lineRule="auto"/>
      </w:pPr>
      <w:r>
        <w:separator/>
      </w:r>
    </w:p>
  </w:footnote>
  <w:footnote w:type="continuationSeparator" w:id="0">
    <w:p w14:paraId="7A8B6499" w14:textId="77777777" w:rsidR="001E6D80" w:rsidRDefault="001E6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AB1AA5B8">
      <w:start w:val="1"/>
      <w:numFmt w:val="bullet"/>
      <w:lvlText w:val=""/>
      <w:lvlJc w:val="left"/>
      <w:pPr>
        <w:ind w:left="749" w:hanging="259"/>
      </w:pPr>
      <w:rPr>
        <w:rFonts w:ascii="Symbol" w:hAnsi="Symbol" w:hint="default"/>
        <w:color w:val="000000" w:themeColor="text1"/>
        <w:w w:val="100"/>
      </w:rPr>
    </w:lvl>
    <w:lvl w:ilvl="1" w:tplc="356E49D8" w:tentative="1">
      <w:start w:val="1"/>
      <w:numFmt w:val="bullet"/>
      <w:lvlText w:val="o"/>
      <w:lvlJc w:val="left"/>
      <w:pPr>
        <w:ind w:left="1440" w:hanging="360"/>
      </w:pPr>
      <w:rPr>
        <w:rFonts w:ascii="Courier New" w:hAnsi="Courier New" w:cs="Courier New" w:hint="default"/>
      </w:rPr>
    </w:lvl>
    <w:lvl w:ilvl="2" w:tplc="4F8C4720" w:tentative="1">
      <w:start w:val="1"/>
      <w:numFmt w:val="bullet"/>
      <w:lvlText w:val=""/>
      <w:lvlJc w:val="left"/>
      <w:pPr>
        <w:ind w:left="2160" w:hanging="360"/>
      </w:pPr>
      <w:rPr>
        <w:rFonts w:ascii="Wingdings" w:hAnsi="Wingdings" w:hint="default"/>
      </w:rPr>
    </w:lvl>
    <w:lvl w:ilvl="3" w:tplc="E7FE798E" w:tentative="1">
      <w:start w:val="1"/>
      <w:numFmt w:val="bullet"/>
      <w:lvlText w:val=""/>
      <w:lvlJc w:val="left"/>
      <w:pPr>
        <w:ind w:left="2880" w:hanging="360"/>
      </w:pPr>
      <w:rPr>
        <w:rFonts w:ascii="Symbol" w:hAnsi="Symbol" w:hint="default"/>
      </w:rPr>
    </w:lvl>
    <w:lvl w:ilvl="4" w:tplc="B6FECC62" w:tentative="1">
      <w:start w:val="1"/>
      <w:numFmt w:val="bullet"/>
      <w:lvlText w:val="o"/>
      <w:lvlJc w:val="left"/>
      <w:pPr>
        <w:ind w:left="3600" w:hanging="360"/>
      </w:pPr>
      <w:rPr>
        <w:rFonts w:ascii="Courier New" w:hAnsi="Courier New" w:cs="Courier New" w:hint="default"/>
      </w:rPr>
    </w:lvl>
    <w:lvl w:ilvl="5" w:tplc="599E9EE0" w:tentative="1">
      <w:start w:val="1"/>
      <w:numFmt w:val="bullet"/>
      <w:lvlText w:val=""/>
      <w:lvlJc w:val="left"/>
      <w:pPr>
        <w:ind w:left="4320" w:hanging="360"/>
      </w:pPr>
      <w:rPr>
        <w:rFonts w:ascii="Wingdings" w:hAnsi="Wingdings" w:hint="default"/>
      </w:rPr>
    </w:lvl>
    <w:lvl w:ilvl="6" w:tplc="61FEB276" w:tentative="1">
      <w:start w:val="1"/>
      <w:numFmt w:val="bullet"/>
      <w:lvlText w:val=""/>
      <w:lvlJc w:val="left"/>
      <w:pPr>
        <w:ind w:left="5040" w:hanging="360"/>
      </w:pPr>
      <w:rPr>
        <w:rFonts w:ascii="Symbol" w:hAnsi="Symbol" w:hint="default"/>
      </w:rPr>
    </w:lvl>
    <w:lvl w:ilvl="7" w:tplc="E8301B7A" w:tentative="1">
      <w:start w:val="1"/>
      <w:numFmt w:val="bullet"/>
      <w:lvlText w:val="o"/>
      <w:lvlJc w:val="left"/>
      <w:pPr>
        <w:ind w:left="5760" w:hanging="360"/>
      </w:pPr>
      <w:rPr>
        <w:rFonts w:ascii="Courier New" w:hAnsi="Courier New" w:cs="Courier New" w:hint="default"/>
      </w:rPr>
    </w:lvl>
    <w:lvl w:ilvl="8" w:tplc="8C308E58"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844E2BC6">
      <w:start w:val="1"/>
      <w:numFmt w:val="bullet"/>
      <w:lvlText w:val=""/>
      <w:lvlJc w:val="left"/>
      <w:pPr>
        <w:tabs>
          <w:tab w:val="num" w:pos="662"/>
        </w:tabs>
        <w:ind w:left="173" w:firstLine="317"/>
      </w:pPr>
      <w:rPr>
        <w:rFonts w:ascii="Symbol" w:hAnsi="Symbol" w:hint="default"/>
      </w:rPr>
    </w:lvl>
    <w:lvl w:ilvl="1" w:tplc="D17E7EE4" w:tentative="1">
      <w:start w:val="1"/>
      <w:numFmt w:val="bullet"/>
      <w:lvlText w:val="o"/>
      <w:lvlJc w:val="left"/>
      <w:pPr>
        <w:ind w:left="1440" w:hanging="360"/>
      </w:pPr>
      <w:rPr>
        <w:rFonts w:ascii="Courier New" w:hAnsi="Courier New" w:cs="Courier New" w:hint="default"/>
      </w:rPr>
    </w:lvl>
    <w:lvl w:ilvl="2" w:tplc="7AB86848" w:tentative="1">
      <w:start w:val="1"/>
      <w:numFmt w:val="bullet"/>
      <w:lvlText w:val=""/>
      <w:lvlJc w:val="left"/>
      <w:pPr>
        <w:ind w:left="2160" w:hanging="360"/>
      </w:pPr>
      <w:rPr>
        <w:rFonts w:ascii="Wingdings" w:hAnsi="Wingdings" w:hint="default"/>
      </w:rPr>
    </w:lvl>
    <w:lvl w:ilvl="3" w:tplc="F43C543E" w:tentative="1">
      <w:start w:val="1"/>
      <w:numFmt w:val="bullet"/>
      <w:lvlText w:val=""/>
      <w:lvlJc w:val="left"/>
      <w:pPr>
        <w:ind w:left="2880" w:hanging="360"/>
      </w:pPr>
      <w:rPr>
        <w:rFonts w:ascii="Symbol" w:hAnsi="Symbol" w:hint="default"/>
      </w:rPr>
    </w:lvl>
    <w:lvl w:ilvl="4" w:tplc="4C966D64" w:tentative="1">
      <w:start w:val="1"/>
      <w:numFmt w:val="bullet"/>
      <w:lvlText w:val="o"/>
      <w:lvlJc w:val="left"/>
      <w:pPr>
        <w:ind w:left="3600" w:hanging="360"/>
      </w:pPr>
      <w:rPr>
        <w:rFonts w:ascii="Courier New" w:hAnsi="Courier New" w:cs="Courier New" w:hint="default"/>
      </w:rPr>
    </w:lvl>
    <w:lvl w:ilvl="5" w:tplc="29F4EF7C" w:tentative="1">
      <w:start w:val="1"/>
      <w:numFmt w:val="bullet"/>
      <w:lvlText w:val=""/>
      <w:lvlJc w:val="left"/>
      <w:pPr>
        <w:ind w:left="4320" w:hanging="360"/>
      </w:pPr>
      <w:rPr>
        <w:rFonts w:ascii="Wingdings" w:hAnsi="Wingdings" w:hint="default"/>
      </w:rPr>
    </w:lvl>
    <w:lvl w:ilvl="6" w:tplc="12E08B84" w:tentative="1">
      <w:start w:val="1"/>
      <w:numFmt w:val="bullet"/>
      <w:lvlText w:val=""/>
      <w:lvlJc w:val="left"/>
      <w:pPr>
        <w:ind w:left="5040" w:hanging="360"/>
      </w:pPr>
      <w:rPr>
        <w:rFonts w:ascii="Symbol" w:hAnsi="Symbol" w:hint="default"/>
      </w:rPr>
    </w:lvl>
    <w:lvl w:ilvl="7" w:tplc="D9FC49A0" w:tentative="1">
      <w:start w:val="1"/>
      <w:numFmt w:val="bullet"/>
      <w:lvlText w:val="o"/>
      <w:lvlJc w:val="left"/>
      <w:pPr>
        <w:ind w:left="5760" w:hanging="360"/>
      </w:pPr>
      <w:rPr>
        <w:rFonts w:ascii="Courier New" w:hAnsi="Courier New" w:cs="Courier New" w:hint="default"/>
      </w:rPr>
    </w:lvl>
    <w:lvl w:ilvl="8" w:tplc="15AA8E56"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9A565AF2">
      <w:start w:val="1"/>
      <w:numFmt w:val="bullet"/>
      <w:lvlText w:val=""/>
      <w:lvlJc w:val="left"/>
      <w:pPr>
        <w:ind w:left="662" w:hanging="172"/>
      </w:pPr>
      <w:rPr>
        <w:rFonts w:ascii="Symbol" w:hAnsi="Symbol" w:hint="default"/>
        <w:color w:val="000000" w:themeColor="text1"/>
        <w:w w:val="100"/>
      </w:rPr>
    </w:lvl>
    <w:lvl w:ilvl="1" w:tplc="831C67C8" w:tentative="1">
      <w:start w:val="1"/>
      <w:numFmt w:val="bullet"/>
      <w:lvlText w:val="o"/>
      <w:lvlJc w:val="left"/>
      <w:pPr>
        <w:ind w:left="1440" w:hanging="360"/>
      </w:pPr>
      <w:rPr>
        <w:rFonts w:ascii="Courier New" w:hAnsi="Courier New" w:cs="Courier New" w:hint="default"/>
      </w:rPr>
    </w:lvl>
    <w:lvl w:ilvl="2" w:tplc="DC32F4F2" w:tentative="1">
      <w:start w:val="1"/>
      <w:numFmt w:val="bullet"/>
      <w:lvlText w:val=""/>
      <w:lvlJc w:val="left"/>
      <w:pPr>
        <w:ind w:left="2160" w:hanging="360"/>
      </w:pPr>
      <w:rPr>
        <w:rFonts w:ascii="Wingdings" w:hAnsi="Wingdings" w:hint="default"/>
      </w:rPr>
    </w:lvl>
    <w:lvl w:ilvl="3" w:tplc="9846459E" w:tentative="1">
      <w:start w:val="1"/>
      <w:numFmt w:val="bullet"/>
      <w:lvlText w:val=""/>
      <w:lvlJc w:val="left"/>
      <w:pPr>
        <w:ind w:left="2880" w:hanging="360"/>
      </w:pPr>
      <w:rPr>
        <w:rFonts w:ascii="Symbol" w:hAnsi="Symbol" w:hint="default"/>
      </w:rPr>
    </w:lvl>
    <w:lvl w:ilvl="4" w:tplc="4022B1B2" w:tentative="1">
      <w:start w:val="1"/>
      <w:numFmt w:val="bullet"/>
      <w:lvlText w:val="o"/>
      <w:lvlJc w:val="left"/>
      <w:pPr>
        <w:ind w:left="3600" w:hanging="360"/>
      </w:pPr>
      <w:rPr>
        <w:rFonts w:ascii="Courier New" w:hAnsi="Courier New" w:cs="Courier New" w:hint="default"/>
      </w:rPr>
    </w:lvl>
    <w:lvl w:ilvl="5" w:tplc="82F42924" w:tentative="1">
      <w:start w:val="1"/>
      <w:numFmt w:val="bullet"/>
      <w:lvlText w:val=""/>
      <w:lvlJc w:val="left"/>
      <w:pPr>
        <w:ind w:left="4320" w:hanging="360"/>
      </w:pPr>
      <w:rPr>
        <w:rFonts w:ascii="Wingdings" w:hAnsi="Wingdings" w:hint="default"/>
      </w:rPr>
    </w:lvl>
    <w:lvl w:ilvl="6" w:tplc="B46ABB34" w:tentative="1">
      <w:start w:val="1"/>
      <w:numFmt w:val="bullet"/>
      <w:lvlText w:val=""/>
      <w:lvlJc w:val="left"/>
      <w:pPr>
        <w:ind w:left="5040" w:hanging="360"/>
      </w:pPr>
      <w:rPr>
        <w:rFonts w:ascii="Symbol" w:hAnsi="Symbol" w:hint="default"/>
      </w:rPr>
    </w:lvl>
    <w:lvl w:ilvl="7" w:tplc="55A4EFDA" w:tentative="1">
      <w:start w:val="1"/>
      <w:numFmt w:val="bullet"/>
      <w:lvlText w:val="o"/>
      <w:lvlJc w:val="left"/>
      <w:pPr>
        <w:ind w:left="5760" w:hanging="360"/>
      </w:pPr>
      <w:rPr>
        <w:rFonts w:ascii="Courier New" w:hAnsi="Courier New" w:cs="Courier New" w:hint="default"/>
      </w:rPr>
    </w:lvl>
    <w:lvl w:ilvl="8" w:tplc="0186EDD2"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0FC65A76">
      <w:start w:val="1"/>
      <w:numFmt w:val="bullet"/>
      <w:pStyle w:val="a"/>
      <w:lvlText w:val=""/>
      <w:lvlJc w:val="left"/>
      <w:pPr>
        <w:tabs>
          <w:tab w:val="num" w:pos="749"/>
        </w:tabs>
        <w:ind w:left="749" w:hanging="259"/>
      </w:pPr>
      <w:rPr>
        <w:rFonts w:ascii="Symbol" w:hAnsi="Symbol" w:hint="default"/>
        <w:color w:val="000000" w:themeColor="text1"/>
        <w:w w:val="100"/>
      </w:rPr>
    </w:lvl>
    <w:lvl w:ilvl="1" w:tplc="B4801F6C">
      <w:start w:val="1"/>
      <w:numFmt w:val="bullet"/>
      <w:lvlText w:val="o"/>
      <w:lvlJc w:val="left"/>
      <w:pPr>
        <w:ind w:left="1440" w:hanging="360"/>
      </w:pPr>
      <w:rPr>
        <w:rFonts w:ascii="Courier New" w:hAnsi="Courier New" w:cs="Courier New" w:hint="default"/>
      </w:rPr>
    </w:lvl>
    <w:lvl w:ilvl="2" w:tplc="E396B138" w:tentative="1">
      <w:start w:val="1"/>
      <w:numFmt w:val="bullet"/>
      <w:lvlText w:val=""/>
      <w:lvlJc w:val="left"/>
      <w:pPr>
        <w:ind w:left="2160" w:hanging="360"/>
      </w:pPr>
      <w:rPr>
        <w:rFonts w:ascii="Wingdings" w:hAnsi="Wingdings" w:hint="default"/>
      </w:rPr>
    </w:lvl>
    <w:lvl w:ilvl="3" w:tplc="1CA41E92" w:tentative="1">
      <w:start w:val="1"/>
      <w:numFmt w:val="bullet"/>
      <w:lvlText w:val=""/>
      <w:lvlJc w:val="left"/>
      <w:pPr>
        <w:ind w:left="2880" w:hanging="360"/>
      </w:pPr>
      <w:rPr>
        <w:rFonts w:ascii="Symbol" w:hAnsi="Symbol" w:hint="default"/>
      </w:rPr>
    </w:lvl>
    <w:lvl w:ilvl="4" w:tplc="07F248EE" w:tentative="1">
      <w:start w:val="1"/>
      <w:numFmt w:val="bullet"/>
      <w:lvlText w:val="o"/>
      <w:lvlJc w:val="left"/>
      <w:pPr>
        <w:ind w:left="3600" w:hanging="360"/>
      </w:pPr>
      <w:rPr>
        <w:rFonts w:ascii="Courier New" w:hAnsi="Courier New" w:cs="Courier New" w:hint="default"/>
      </w:rPr>
    </w:lvl>
    <w:lvl w:ilvl="5" w:tplc="317E1DA0" w:tentative="1">
      <w:start w:val="1"/>
      <w:numFmt w:val="bullet"/>
      <w:lvlText w:val=""/>
      <w:lvlJc w:val="left"/>
      <w:pPr>
        <w:ind w:left="4320" w:hanging="360"/>
      </w:pPr>
      <w:rPr>
        <w:rFonts w:ascii="Wingdings" w:hAnsi="Wingdings" w:hint="default"/>
      </w:rPr>
    </w:lvl>
    <w:lvl w:ilvl="6" w:tplc="0D5C0292" w:tentative="1">
      <w:start w:val="1"/>
      <w:numFmt w:val="bullet"/>
      <w:lvlText w:val=""/>
      <w:lvlJc w:val="left"/>
      <w:pPr>
        <w:ind w:left="5040" w:hanging="360"/>
      </w:pPr>
      <w:rPr>
        <w:rFonts w:ascii="Symbol" w:hAnsi="Symbol" w:hint="default"/>
      </w:rPr>
    </w:lvl>
    <w:lvl w:ilvl="7" w:tplc="071E4312" w:tentative="1">
      <w:start w:val="1"/>
      <w:numFmt w:val="bullet"/>
      <w:lvlText w:val="o"/>
      <w:lvlJc w:val="left"/>
      <w:pPr>
        <w:ind w:left="5760" w:hanging="360"/>
      </w:pPr>
      <w:rPr>
        <w:rFonts w:ascii="Courier New" w:hAnsi="Courier New" w:cs="Courier New" w:hint="default"/>
      </w:rPr>
    </w:lvl>
    <w:lvl w:ilvl="8" w:tplc="5DB8E1B8"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9B7EC12C">
      <w:start w:val="1"/>
      <w:numFmt w:val="bullet"/>
      <w:lvlText w:val=""/>
      <w:lvlJc w:val="left"/>
      <w:pPr>
        <w:ind w:left="850" w:hanging="360"/>
      </w:pPr>
      <w:rPr>
        <w:rFonts w:ascii="Symbol" w:hAnsi="Symbol" w:hint="default"/>
        <w:color w:val="000000" w:themeColor="text1"/>
        <w:w w:val="100"/>
      </w:rPr>
    </w:lvl>
    <w:lvl w:ilvl="1" w:tplc="3BD0ECE4" w:tentative="1">
      <w:start w:val="1"/>
      <w:numFmt w:val="bullet"/>
      <w:lvlText w:val="o"/>
      <w:lvlJc w:val="left"/>
      <w:pPr>
        <w:ind w:left="1440" w:hanging="360"/>
      </w:pPr>
      <w:rPr>
        <w:rFonts w:ascii="Courier New" w:hAnsi="Courier New" w:cs="Courier New" w:hint="default"/>
      </w:rPr>
    </w:lvl>
    <w:lvl w:ilvl="2" w:tplc="6B0AF186" w:tentative="1">
      <w:start w:val="1"/>
      <w:numFmt w:val="bullet"/>
      <w:lvlText w:val=""/>
      <w:lvlJc w:val="left"/>
      <w:pPr>
        <w:ind w:left="2160" w:hanging="360"/>
      </w:pPr>
      <w:rPr>
        <w:rFonts w:ascii="Wingdings" w:hAnsi="Wingdings" w:hint="default"/>
      </w:rPr>
    </w:lvl>
    <w:lvl w:ilvl="3" w:tplc="4CBE64DA" w:tentative="1">
      <w:start w:val="1"/>
      <w:numFmt w:val="bullet"/>
      <w:lvlText w:val=""/>
      <w:lvlJc w:val="left"/>
      <w:pPr>
        <w:ind w:left="2880" w:hanging="360"/>
      </w:pPr>
      <w:rPr>
        <w:rFonts w:ascii="Symbol" w:hAnsi="Symbol" w:hint="default"/>
      </w:rPr>
    </w:lvl>
    <w:lvl w:ilvl="4" w:tplc="716CC378" w:tentative="1">
      <w:start w:val="1"/>
      <w:numFmt w:val="bullet"/>
      <w:lvlText w:val="o"/>
      <w:lvlJc w:val="left"/>
      <w:pPr>
        <w:ind w:left="3600" w:hanging="360"/>
      </w:pPr>
      <w:rPr>
        <w:rFonts w:ascii="Courier New" w:hAnsi="Courier New" w:cs="Courier New" w:hint="default"/>
      </w:rPr>
    </w:lvl>
    <w:lvl w:ilvl="5" w:tplc="877C004A" w:tentative="1">
      <w:start w:val="1"/>
      <w:numFmt w:val="bullet"/>
      <w:lvlText w:val=""/>
      <w:lvlJc w:val="left"/>
      <w:pPr>
        <w:ind w:left="4320" w:hanging="360"/>
      </w:pPr>
      <w:rPr>
        <w:rFonts w:ascii="Wingdings" w:hAnsi="Wingdings" w:hint="default"/>
      </w:rPr>
    </w:lvl>
    <w:lvl w:ilvl="6" w:tplc="68BEC182" w:tentative="1">
      <w:start w:val="1"/>
      <w:numFmt w:val="bullet"/>
      <w:lvlText w:val=""/>
      <w:lvlJc w:val="left"/>
      <w:pPr>
        <w:ind w:left="5040" w:hanging="360"/>
      </w:pPr>
      <w:rPr>
        <w:rFonts w:ascii="Symbol" w:hAnsi="Symbol" w:hint="default"/>
      </w:rPr>
    </w:lvl>
    <w:lvl w:ilvl="7" w:tplc="22F6858A" w:tentative="1">
      <w:start w:val="1"/>
      <w:numFmt w:val="bullet"/>
      <w:lvlText w:val="o"/>
      <w:lvlJc w:val="left"/>
      <w:pPr>
        <w:ind w:left="5760" w:hanging="360"/>
      </w:pPr>
      <w:rPr>
        <w:rFonts w:ascii="Courier New" w:hAnsi="Courier New" w:cs="Courier New" w:hint="default"/>
      </w:rPr>
    </w:lvl>
    <w:lvl w:ilvl="8" w:tplc="6DEEC9CA"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B588502">
      <w:start w:val="1"/>
      <w:numFmt w:val="decimal"/>
      <w:pStyle w:val="a0"/>
      <w:lvlText w:val="%1."/>
      <w:lvlJc w:val="left"/>
      <w:pPr>
        <w:ind w:left="720" w:hanging="360"/>
      </w:pPr>
    </w:lvl>
    <w:lvl w:ilvl="1" w:tplc="167CFE48">
      <w:start w:val="1"/>
      <w:numFmt w:val="lowerLetter"/>
      <w:lvlText w:val="%2."/>
      <w:lvlJc w:val="left"/>
      <w:pPr>
        <w:ind w:left="1440" w:hanging="360"/>
      </w:pPr>
    </w:lvl>
    <w:lvl w:ilvl="2" w:tplc="B772358E">
      <w:start w:val="1"/>
      <w:numFmt w:val="lowerRoman"/>
      <w:lvlText w:val="%3."/>
      <w:lvlJc w:val="right"/>
      <w:pPr>
        <w:ind w:left="2160" w:hanging="180"/>
      </w:pPr>
    </w:lvl>
    <w:lvl w:ilvl="3" w:tplc="035A1644">
      <w:start w:val="1"/>
      <w:numFmt w:val="decimal"/>
      <w:lvlText w:val="%4."/>
      <w:lvlJc w:val="left"/>
      <w:pPr>
        <w:ind w:left="2880" w:hanging="360"/>
      </w:pPr>
    </w:lvl>
    <w:lvl w:ilvl="4" w:tplc="77940A24" w:tentative="1">
      <w:start w:val="1"/>
      <w:numFmt w:val="lowerLetter"/>
      <w:lvlText w:val="%5."/>
      <w:lvlJc w:val="left"/>
      <w:pPr>
        <w:ind w:left="3600" w:hanging="360"/>
      </w:pPr>
    </w:lvl>
    <w:lvl w:ilvl="5" w:tplc="6B08A476" w:tentative="1">
      <w:start w:val="1"/>
      <w:numFmt w:val="lowerRoman"/>
      <w:lvlText w:val="%6."/>
      <w:lvlJc w:val="right"/>
      <w:pPr>
        <w:ind w:left="4320" w:hanging="180"/>
      </w:pPr>
    </w:lvl>
    <w:lvl w:ilvl="6" w:tplc="BF4687E4" w:tentative="1">
      <w:start w:val="1"/>
      <w:numFmt w:val="decimal"/>
      <w:lvlText w:val="%7."/>
      <w:lvlJc w:val="left"/>
      <w:pPr>
        <w:ind w:left="5040" w:hanging="360"/>
      </w:pPr>
    </w:lvl>
    <w:lvl w:ilvl="7" w:tplc="ABAA4A86" w:tentative="1">
      <w:start w:val="1"/>
      <w:numFmt w:val="lowerLetter"/>
      <w:lvlText w:val="%8."/>
      <w:lvlJc w:val="left"/>
      <w:pPr>
        <w:ind w:left="5760" w:hanging="360"/>
      </w:pPr>
    </w:lvl>
    <w:lvl w:ilvl="8" w:tplc="72AEE410"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CDA"/>
    <w:rsid w:val="00076DEB"/>
    <w:rsid w:val="000C3400"/>
    <w:rsid w:val="001E6D80"/>
    <w:rsid w:val="001F1895"/>
    <w:rsid w:val="00240CFF"/>
    <w:rsid w:val="00407CDA"/>
    <w:rsid w:val="005C0D6B"/>
    <w:rsid w:val="0086770C"/>
    <w:rsid w:val="00AA5731"/>
    <w:rsid w:val="00CC2BB6"/>
    <w:rsid w:val="00DF380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19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90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comm-journal.com/dxkx/article/2015/1000-0801/1000-0801-31-5-00001.shtml" TargetMode="External"/><Relationship Id="rId13" Type="http://schemas.openxmlformats.org/officeDocument/2006/relationships/hyperlink" Target="http://www.infocomm-journal.com/dxkx/article/2015/1000-0801/1000-0801-31-5-00001.s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nfocomm-journal.com/dxkx/article/2015/1000-0801/1000-0801-31-5-00001.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comm-journal.com/dxkx/article/2015/1000-0801/1000-0801-31-5-00001.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nfocomm-journal.com/dxkx/article/2015/1000-0801/1000-0801-31-5-00001.shtml" TargetMode="External"/><Relationship Id="rId4" Type="http://schemas.openxmlformats.org/officeDocument/2006/relationships/webSettings" Target="webSettings.xml"/><Relationship Id="rId9" Type="http://schemas.openxmlformats.org/officeDocument/2006/relationships/hyperlink" Target="http://www.infocomm-journal.com/dxkx/article/2015/1000-0801/1000-0801-31-5-00001.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应 宇杰</cp:lastModifiedBy>
  <cp:revision>5</cp:revision>
  <dcterms:created xsi:type="dcterms:W3CDTF">2020-02-12T15:38:00Z</dcterms:created>
  <dcterms:modified xsi:type="dcterms:W3CDTF">2021-09-26T12:01:00Z</dcterms:modified>
</cp:coreProperties>
</file>