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505B" w:rsidRPr="00BA0461" w14:paraId="31CF3BA6" w14:textId="77777777" w:rsidTr="0007505B">
        <w:trPr>
          <w:trHeight w:val="5156"/>
        </w:trPr>
        <w:tc>
          <w:tcPr>
            <w:tcW w:w="9016" w:type="dxa"/>
          </w:tcPr>
          <w:p w14:paraId="7C6EF171" w14:textId="77777777" w:rsidR="0007505B" w:rsidRPr="00BA0461" w:rsidRDefault="0007505B" w:rsidP="0007505B">
            <w:pPr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47317B5B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50561CE9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2A00218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F7D1854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D1B1E8B" w14:textId="03945398" w:rsidR="0007505B" w:rsidRPr="00BA0461" w:rsidRDefault="00562C04" w:rsidP="000D3648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  <w:r>
              <w:rPr>
                <w:rFonts w:ascii="Arial" w:hAnsi="Arial" w:cs="Arial"/>
                <w:b/>
                <w:sz w:val="48"/>
                <w:szCs w:val="48"/>
                <w:lang w:val="en-US"/>
              </w:rPr>
              <w:t xml:space="preserve">Calibration </w:t>
            </w:r>
            <w:r w:rsidR="00C67BC8">
              <w:rPr>
                <w:rFonts w:ascii="Arial" w:hAnsi="Arial" w:cs="Arial"/>
                <w:b/>
                <w:sz w:val="48"/>
                <w:szCs w:val="48"/>
                <w:lang w:val="en-US"/>
              </w:rPr>
              <w:t>App</w:t>
            </w:r>
          </w:p>
          <w:p w14:paraId="346F6DAC" w14:textId="77777777" w:rsidR="0007505B" w:rsidRPr="00BA0461" w:rsidRDefault="0007505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7505B" w:rsidRPr="00BA0461" w14:paraId="750A664D" w14:textId="77777777" w:rsidTr="0007505B">
        <w:trPr>
          <w:trHeight w:val="5228"/>
        </w:trPr>
        <w:tc>
          <w:tcPr>
            <w:tcW w:w="9016" w:type="dxa"/>
          </w:tcPr>
          <w:p w14:paraId="763012D0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2D4EA8A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3DA8E882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13EC94E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761914F1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3B455624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6E066ED4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07D6AD5C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51C55D1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1B911DD0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293181F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6B53AC8E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A0461">
              <w:rPr>
                <w:rFonts w:ascii="Arial" w:hAnsi="Arial" w:cs="Arial"/>
                <w:b/>
                <w:sz w:val="36"/>
                <w:szCs w:val="36"/>
                <w:lang w:val="en-US"/>
              </w:rPr>
              <w:t>Version History</w:t>
            </w:r>
          </w:p>
          <w:tbl>
            <w:tblPr>
              <w:tblStyle w:val="NexOSTable"/>
              <w:tblW w:w="0" w:type="auto"/>
              <w:tblLook w:val="01E0" w:firstRow="1" w:lastRow="1" w:firstColumn="1" w:lastColumn="1" w:noHBand="0" w:noVBand="0"/>
            </w:tblPr>
            <w:tblGrid>
              <w:gridCol w:w="1238"/>
              <w:gridCol w:w="1135"/>
              <w:gridCol w:w="1481"/>
              <w:gridCol w:w="4936"/>
            </w:tblGrid>
            <w:tr w:rsidR="0007505B" w:rsidRPr="00BA0461" w14:paraId="38BE169C" w14:textId="77777777" w:rsidTr="00D20D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38" w:type="dxa"/>
                  <w:shd w:val="clear" w:color="auto" w:fill="E6E6E6"/>
                </w:tcPr>
                <w:p w14:paraId="040FBCE6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1135" w:type="dxa"/>
                  <w:shd w:val="clear" w:color="auto" w:fill="E6E6E6"/>
                </w:tcPr>
                <w:p w14:paraId="6ACE7A06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Version</w:t>
                  </w:r>
                </w:p>
              </w:tc>
              <w:tc>
                <w:tcPr>
                  <w:tcW w:w="1481" w:type="dxa"/>
                  <w:shd w:val="clear" w:color="auto" w:fill="E6E6E6"/>
                </w:tcPr>
                <w:p w14:paraId="0E2C3A69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Author</w:t>
                  </w:r>
                </w:p>
              </w:tc>
              <w:tc>
                <w:tcPr>
                  <w:tcW w:w="4936" w:type="dxa"/>
                  <w:shd w:val="clear" w:color="auto" w:fill="E6E6E6"/>
                </w:tcPr>
                <w:p w14:paraId="51C975EE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Changes</w:t>
                  </w:r>
                </w:p>
              </w:tc>
            </w:tr>
            <w:tr w:rsidR="0007505B" w:rsidRPr="00BA0461" w14:paraId="6CC7C8AD" w14:textId="77777777" w:rsidTr="00D20D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238" w:type="dxa"/>
                </w:tcPr>
                <w:p w14:paraId="6F762EC5" w14:textId="6A775C2F" w:rsidR="0007505B" w:rsidRPr="00BA0461" w:rsidRDefault="00562C04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27</w:t>
                  </w:r>
                  <w:r w:rsidR="00C67BC8">
                    <w:rPr>
                      <w:rFonts w:ascii="Arial" w:hAnsi="Arial" w:cs="Arial"/>
                    </w:rPr>
                    <w:t>/0</w:t>
                  </w:r>
                  <w:r>
                    <w:rPr>
                      <w:rFonts w:ascii="Arial" w:hAnsi="Arial" w:cs="Arial"/>
                    </w:rPr>
                    <w:t>7</w:t>
                  </w:r>
                  <w:r w:rsidR="00C67BC8">
                    <w:rPr>
                      <w:rFonts w:ascii="Arial" w:hAnsi="Arial" w:cs="Arial"/>
                    </w:rPr>
                    <w:t>/2020</w:t>
                  </w:r>
                </w:p>
              </w:tc>
              <w:tc>
                <w:tcPr>
                  <w:tcW w:w="1135" w:type="dxa"/>
                </w:tcPr>
                <w:p w14:paraId="23ED1C13" w14:textId="222E095D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481" w:type="dxa"/>
                </w:tcPr>
                <w:p w14:paraId="5A5ADCF1" w14:textId="0CF06D7F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 Boonekamp</w:t>
                  </w:r>
                </w:p>
              </w:tc>
              <w:tc>
                <w:tcPr>
                  <w:tcW w:w="4936" w:type="dxa"/>
                </w:tcPr>
                <w:p w14:paraId="6ADAF3CC" w14:textId="5F677BD2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Initial</w:t>
                  </w:r>
                </w:p>
              </w:tc>
            </w:tr>
            <w:tr w:rsidR="0007505B" w:rsidRPr="00BA0461" w14:paraId="1B960669" w14:textId="77777777" w:rsidTr="00D20DB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38" w:type="dxa"/>
                </w:tcPr>
                <w:p w14:paraId="476A8085" w14:textId="03486DD4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5" w:type="dxa"/>
                </w:tcPr>
                <w:p w14:paraId="5BD148E7" w14:textId="54F983F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81" w:type="dxa"/>
                </w:tcPr>
                <w:p w14:paraId="06E6B6EA" w14:textId="40C808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cnfStyle w:val="000000000010" w:firstRow="0" w:lastRow="0" w:firstColumn="0" w:lastColumn="0" w:oddVBand="0" w:evenVBand="0" w:oddHBand="0" w:evenHBand="0" w:firstRowFirstColumn="0" w:firstRowLastColumn="0" w:lastRowFirstColumn="0" w:lastRowLastColumn="1"/>
                  <w:tcW w:w="4936" w:type="dxa"/>
                </w:tcPr>
                <w:p w14:paraId="5C03DF2F" w14:textId="001856D6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C744CF6" w14:textId="77777777" w:rsidR="0007505B" w:rsidRPr="00BA0461" w:rsidRDefault="0007505B" w:rsidP="0007505B">
            <w:pPr>
              <w:rPr>
                <w:rFonts w:ascii="Arial" w:hAnsi="Arial" w:cs="Arial"/>
                <w:b/>
                <w:lang w:val="en-US"/>
              </w:rPr>
            </w:pPr>
          </w:p>
          <w:p w14:paraId="24B9554E" w14:textId="77777777" w:rsidR="0007505B" w:rsidRPr="00BA0461" w:rsidRDefault="0007505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B03976D" w14:textId="77777777" w:rsidR="00FF4684" w:rsidRPr="00BA0461" w:rsidRDefault="00FF4684">
      <w:pPr>
        <w:rPr>
          <w:rFonts w:ascii="Arial" w:hAnsi="Arial" w:cs="Arial"/>
          <w:b/>
          <w:lang w:val="en-US"/>
        </w:rPr>
      </w:pPr>
    </w:p>
    <w:p w14:paraId="43D50963" w14:textId="77777777" w:rsidR="00E604F9" w:rsidRPr="00BA0461" w:rsidRDefault="00E604F9">
      <w:pPr>
        <w:rPr>
          <w:rFonts w:ascii="Arial" w:hAnsi="Arial" w:cs="Arial"/>
          <w:b/>
          <w:lang w:val="en-US"/>
        </w:rPr>
      </w:pPr>
    </w:p>
    <w:p w14:paraId="49A2F2EC" w14:textId="0B4E1AAF" w:rsidR="00733820" w:rsidRDefault="00733820" w:rsidP="00733820">
      <w:pPr>
        <w:rPr>
          <w:rFonts w:ascii="Arial" w:hAnsi="Arial" w:cs="Arial"/>
          <w:lang w:val="en-US"/>
        </w:rPr>
      </w:pPr>
    </w:p>
    <w:p w14:paraId="4E6261F9" w14:textId="2F55625A" w:rsidR="00733820" w:rsidRDefault="00733820" w:rsidP="00733820">
      <w:pPr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642889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31A7AE" w14:textId="4BC9B429" w:rsidR="00733820" w:rsidRDefault="00733820">
          <w:pPr>
            <w:pStyle w:val="TOCHeading"/>
          </w:pPr>
          <w:r>
            <w:t>Contents</w:t>
          </w:r>
        </w:p>
        <w:p w14:paraId="49E1080F" w14:textId="6E69E4FB" w:rsidR="00C41EF8" w:rsidRDefault="007338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6803" w:history="1">
            <w:r w:rsidR="00C41EF8" w:rsidRPr="00C86F4E">
              <w:rPr>
                <w:rStyle w:val="Hyperlink"/>
                <w:noProof/>
                <w:lang w:val="en-US"/>
              </w:rPr>
              <w:t xml:space="preserve">How to access </w:t>
            </w:r>
            <w:r w:rsidR="00C41EF8" w:rsidRPr="00C86F4E">
              <w:rPr>
                <w:rStyle w:val="Hyperlink"/>
                <w:noProof/>
                <w:lang w:val="en-US"/>
              </w:rPr>
              <w:t>t</w:t>
            </w:r>
            <w:r w:rsidR="00C41EF8" w:rsidRPr="00C86F4E">
              <w:rPr>
                <w:rStyle w:val="Hyperlink"/>
                <w:noProof/>
                <w:lang w:val="en-US"/>
              </w:rPr>
              <w:t>he Calibration App</w:t>
            </w:r>
            <w:r w:rsidR="00C41EF8">
              <w:rPr>
                <w:noProof/>
                <w:webHidden/>
              </w:rPr>
              <w:tab/>
            </w:r>
            <w:r w:rsidR="00C41EF8">
              <w:rPr>
                <w:noProof/>
                <w:webHidden/>
              </w:rPr>
              <w:fldChar w:fldCharType="begin"/>
            </w:r>
            <w:r w:rsidR="00C41EF8">
              <w:rPr>
                <w:noProof/>
                <w:webHidden/>
              </w:rPr>
              <w:instrText xml:space="preserve"> PAGEREF _Toc46746803 \h </w:instrText>
            </w:r>
            <w:r w:rsidR="00C41EF8">
              <w:rPr>
                <w:noProof/>
                <w:webHidden/>
              </w:rPr>
            </w:r>
            <w:r w:rsidR="00C41EF8">
              <w:rPr>
                <w:noProof/>
                <w:webHidden/>
              </w:rPr>
              <w:fldChar w:fldCharType="separate"/>
            </w:r>
            <w:r w:rsidR="00C41EF8">
              <w:rPr>
                <w:noProof/>
                <w:webHidden/>
              </w:rPr>
              <w:t>3</w:t>
            </w:r>
            <w:r w:rsidR="00C41EF8">
              <w:rPr>
                <w:noProof/>
                <w:webHidden/>
              </w:rPr>
              <w:fldChar w:fldCharType="end"/>
            </w:r>
          </w:hyperlink>
        </w:p>
        <w:p w14:paraId="58FF0662" w14:textId="79E5D90D" w:rsidR="00C41EF8" w:rsidRDefault="00C41E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6746804" w:history="1">
            <w:r w:rsidRPr="00C86F4E">
              <w:rPr>
                <w:rStyle w:val="Hyperlink"/>
                <w:noProof/>
                <w:lang w:val="en-US"/>
              </w:rPr>
              <w:t>How to Update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BCC3" w14:textId="74A12791" w:rsidR="00C41EF8" w:rsidRDefault="00C41E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6746805" w:history="1">
            <w:r w:rsidRPr="00C86F4E">
              <w:rPr>
                <w:rStyle w:val="Hyperlink"/>
                <w:noProof/>
                <w:lang w:val="en-US"/>
              </w:rPr>
              <w:t>How to Delete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528B" w14:textId="425381A7" w:rsidR="00C41EF8" w:rsidRDefault="00C41E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6746806" w:history="1">
            <w:r w:rsidRPr="00C86F4E">
              <w:rPr>
                <w:rStyle w:val="Hyperlink"/>
                <w:noProof/>
                <w:lang w:val="en-US"/>
              </w:rPr>
              <w:t>How to add a new piece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5FD6" w14:textId="1203BDFA" w:rsidR="00C41EF8" w:rsidRDefault="00C41E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6746807" w:history="1">
            <w:r w:rsidRPr="00C86F4E">
              <w:rPr>
                <w:rStyle w:val="Hyperlink"/>
                <w:noProof/>
                <w:lang w:val="en-US"/>
              </w:rPr>
              <w:t>Vie</w:t>
            </w:r>
            <w:r w:rsidRPr="00C86F4E">
              <w:rPr>
                <w:rStyle w:val="Hyperlink"/>
                <w:noProof/>
                <w:lang w:val="en-US"/>
              </w:rPr>
              <w:t>w</w:t>
            </w:r>
            <w:r w:rsidRPr="00C86F4E">
              <w:rPr>
                <w:rStyle w:val="Hyperlink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5734" w14:textId="59AF74A6" w:rsidR="00C41EF8" w:rsidRDefault="00C41E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6746808" w:history="1">
            <w:r w:rsidRPr="00C86F4E">
              <w:rPr>
                <w:rStyle w:val="Hyperlink"/>
                <w:noProof/>
                <w:lang w:val="en-US"/>
              </w:rPr>
              <w:t>Issues/Requests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937B" w14:textId="142E28D4" w:rsidR="00733820" w:rsidRDefault="00733820">
          <w:r>
            <w:rPr>
              <w:b/>
              <w:bCs/>
              <w:noProof/>
            </w:rPr>
            <w:fldChar w:fldCharType="end"/>
          </w:r>
        </w:p>
      </w:sdtContent>
    </w:sdt>
    <w:p w14:paraId="79AAE8D0" w14:textId="50145FC1" w:rsidR="00F174DC" w:rsidRDefault="00F174DC">
      <w:pPr>
        <w:rPr>
          <w:lang w:val="en-US"/>
        </w:rPr>
      </w:pPr>
      <w:r>
        <w:rPr>
          <w:lang w:val="en-US"/>
        </w:rPr>
        <w:br w:type="page"/>
      </w:r>
    </w:p>
    <w:p w14:paraId="278E1295" w14:textId="77777777" w:rsidR="00F174DC" w:rsidRDefault="00F174DC" w:rsidP="00733820">
      <w:pPr>
        <w:pStyle w:val="Heading1"/>
        <w:rPr>
          <w:lang w:val="en-US"/>
        </w:rPr>
      </w:pPr>
    </w:p>
    <w:p w14:paraId="67C285D9" w14:textId="2643755A" w:rsidR="00C67BC8" w:rsidRDefault="008E32AB" w:rsidP="00733820">
      <w:pPr>
        <w:pStyle w:val="Heading1"/>
        <w:rPr>
          <w:lang w:val="en-US"/>
        </w:rPr>
      </w:pPr>
      <w:bookmarkStart w:id="0" w:name="_Toc46746803"/>
      <w:r>
        <w:rPr>
          <w:lang w:val="en-US"/>
        </w:rPr>
        <w:t xml:space="preserve">How to access the </w:t>
      </w:r>
      <w:r w:rsidR="0069035D">
        <w:rPr>
          <w:lang w:val="en-US"/>
        </w:rPr>
        <w:t>Calibration App</w:t>
      </w:r>
      <w:bookmarkEnd w:id="0"/>
    </w:p>
    <w:p w14:paraId="59017B8C" w14:textId="0062094F" w:rsidR="008E32AB" w:rsidRDefault="008E32AB" w:rsidP="008E32AB">
      <w:pPr>
        <w:rPr>
          <w:lang w:val="en-US"/>
        </w:rPr>
      </w:pPr>
      <w:r>
        <w:rPr>
          <w:lang w:val="en-US"/>
        </w:rPr>
        <w:t xml:space="preserve">The </w:t>
      </w:r>
      <w:r w:rsidR="0069035D">
        <w:rPr>
          <w:lang w:val="en-US"/>
        </w:rPr>
        <w:t>Calibration app tracks and automatically creates new Calibration jobs for factory equipment.</w:t>
      </w:r>
      <w:r>
        <w:rPr>
          <w:lang w:val="en-US"/>
        </w:rPr>
        <w:t xml:space="preserve"> </w:t>
      </w:r>
      <w:bookmarkStart w:id="1" w:name="_GoBack"/>
      <w:bookmarkEnd w:id="1"/>
    </w:p>
    <w:p w14:paraId="04E7031C" w14:textId="77777777" w:rsidR="0069035D" w:rsidRDefault="008E32AB" w:rsidP="008E32AB">
      <w:r>
        <w:rPr>
          <w:lang w:val="en-US"/>
        </w:rPr>
        <w:t xml:space="preserve">Open </w:t>
      </w:r>
      <w:hyperlink r:id="rId8" w:history="1">
        <w:r w:rsidR="0069035D">
          <w:rPr>
            <w:rStyle w:val="Hyperlink"/>
          </w:rPr>
          <w:t>https://apps.powerapps.com/play/bc84cb5e-6f4f-411c-b703-abc6e160f587?tenantId=c3d4e9f2-27ad-4c0a-8519-de6ff3626339</w:t>
        </w:r>
      </w:hyperlink>
      <w:r w:rsidR="0069035D">
        <w:t xml:space="preserve"> in any web browser.</w:t>
      </w:r>
    </w:p>
    <w:p w14:paraId="69F9C874" w14:textId="5209DEBD" w:rsidR="008E32AB" w:rsidRDefault="0069035D" w:rsidP="008E32AB">
      <w:r>
        <w:t>NOTE: To edit items, you need to be part of the Calibration access group. If you are not a member, you will see a message on the screen and the edit controls will be hidden.</w:t>
      </w:r>
    </w:p>
    <w:p w14:paraId="5FB2EB99" w14:textId="77777777" w:rsidR="00562C04" w:rsidRDefault="00562C04" w:rsidP="008E32AB"/>
    <w:p w14:paraId="3CCAACED" w14:textId="6E72EEBB" w:rsidR="00794364" w:rsidRDefault="0069035D" w:rsidP="00562C04">
      <w:pPr>
        <w:jc w:val="center"/>
      </w:pPr>
      <w:r>
        <w:rPr>
          <w:noProof/>
        </w:rPr>
        <w:drawing>
          <wp:inline distT="0" distB="0" distL="0" distR="0" wp14:anchorId="4A3D65CF" wp14:editId="61F59D8E">
            <wp:extent cx="2850888" cy="507014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00" cy="51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797F" w14:textId="3845F28D" w:rsidR="0069035D" w:rsidRDefault="0069035D" w:rsidP="00733820">
      <w:pPr>
        <w:pStyle w:val="Heading1"/>
        <w:rPr>
          <w:lang w:val="en-US"/>
        </w:rPr>
      </w:pPr>
    </w:p>
    <w:p w14:paraId="6E76D6F9" w14:textId="602200CC" w:rsidR="0069035D" w:rsidRDefault="0069035D" w:rsidP="0069035D">
      <w:pPr>
        <w:rPr>
          <w:lang w:val="en-US"/>
        </w:rPr>
      </w:pPr>
    </w:p>
    <w:p w14:paraId="13857325" w14:textId="77777777" w:rsidR="0069035D" w:rsidRPr="0069035D" w:rsidRDefault="0069035D" w:rsidP="0069035D">
      <w:pPr>
        <w:rPr>
          <w:lang w:val="en-US"/>
        </w:rPr>
      </w:pPr>
    </w:p>
    <w:p w14:paraId="36F2806D" w14:textId="26AA31C5" w:rsidR="00733820" w:rsidRDefault="00733820" w:rsidP="00733820">
      <w:pPr>
        <w:pStyle w:val="Heading1"/>
        <w:rPr>
          <w:lang w:val="en-US"/>
        </w:rPr>
      </w:pPr>
      <w:bookmarkStart w:id="2" w:name="_Toc46746804"/>
      <w:r>
        <w:rPr>
          <w:lang w:val="en-US"/>
        </w:rPr>
        <w:lastRenderedPageBreak/>
        <w:t xml:space="preserve">How to </w:t>
      </w:r>
      <w:r w:rsidR="0069035D">
        <w:rPr>
          <w:lang w:val="en-US"/>
        </w:rPr>
        <w:t>Update a Job</w:t>
      </w:r>
      <w:bookmarkEnd w:id="2"/>
    </w:p>
    <w:p w14:paraId="34591BC5" w14:textId="363DBBAB" w:rsidR="00733820" w:rsidRDefault="0069035D" w:rsidP="00733820">
      <w:pPr>
        <w:rPr>
          <w:lang w:val="en-US"/>
        </w:rPr>
      </w:pPr>
      <w:r>
        <w:rPr>
          <w:lang w:val="en-US"/>
        </w:rPr>
        <w:t xml:space="preserve">Once you see the screen above, click on ‘This Week’.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Calibration jobs due this week are returned. Click the arrow</w:t>
      </w:r>
      <w:r w:rsidR="00107D36">
        <w:rPr>
          <w:lang w:val="en-US"/>
        </w:rPr>
        <w:t xml:space="preserve"> on the item</w:t>
      </w:r>
      <w:r>
        <w:rPr>
          <w:lang w:val="en-US"/>
        </w:rPr>
        <w:t xml:space="preserve"> to go to the job.</w:t>
      </w:r>
    </w:p>
    <w:p w14:paraId="23D19CA2" w14:textId="5BB5354B" w:rsidR="00405DE4" w:rsidRDefault="0069035D" w:rsidP="00733820">
      <w:pPr>
        <w:rPr>
          <w:lang w:val="en-US"/>
        </w:rPr>
      </w:pPr>
      <w:r>
        <w:rPr>
          <w:noProof/>
        </w:rPr>
        <w:drawing>
          <wp:inline distT="0" distB="0" distL="0" distR="0" wp14:anchorId="5C0C41BE" wp14:editId="6C6A94DF">
            <wp:extent cx="2336660" cy="2811439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295" cy="28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DD94" w14:textId="59D137C2" w:rsidR="00107D36" w:rsidRDefault="0069035D" w:rsidP="00733820">
      <w:pPr>
        <w:rPr>
          <w:lang w:val="en-US"/>
        </w:rPr>
      </w:pPr>
      <w:r>
        <w:rPr>
          <w:lang w:val="en-US"/>
        </w:rPr>
        <w:t xml:space="preserve">The Calibration Detail screen is displayed. Note: The </w:t>
      </w:r>
      <w:r w:rsidR="00107D36">
        <w:rPr>
          <w:lang w:val="en-US"/>
        </w:rPr>
        <w:t>j</w:t>
      </w:r>
      <w:r>
        <w:rPr>
          <w:lang w:val="en-US"/>
        </w:rPr>
        <w:t>ob has a Status of ‘</w:t>
      </w:r>
      <w:r w:rsidRPr="0069035D">
        <w:rPr>
          <w:color w:val="FF0000"/>
          <w:lang w:val="en-US"/>
        </w:rPr>
        <w:t>Scheduled</w:t>
      </w:r>
      <w:r w:rsidRPr="0069035D">
        <w:rPr>
          <w:lang w:val="en-US"/>
        </w:rPr>
        <w:t>’</w:t>
      </w:r>
      <w:r w:rsidRPr="0069035D">
        <w:rPr>
          <w:color w:val="FF0000"/>
          <w:lang w:val="en-US"/>
        </w:rPr>
        <w:t xml:space="preserve"> </w:t>
      </w:r>
      <w:r>
        <w:rPr>
          <w:lang w:val="en-US"/>
        </w:rPr>
        <w:t>meaning it’s awaiting completion.</w:t>
      </w:r>
      <w:r w:rsidR="00107D36">
        <w:rPr>
          <w:lang w:val="en-US"/>
        </w:rPr>
        <w:t xml:space="preserve"> Click the pencil icon in the upper right-hand corner. The Update screen is displayed.</w:t>
      </w:r>
    </w:p>
    <w:p w14:paraId="43C31D37" w14:textId="77777777" w:rsidR="00107D36" w:rsidRDefault="00107D36" w:rsidP="00733820">
      <w:pPr>
        <w:rPr>
          <w:lang w:val="en-US"/>
        </w:rPr>
      </w:pPr>
    </w:p>
    <w:p w14:paraId="5F1E1951" w14:textId="47ED9DC8" w:rsidR="0069035D" w:rsidRPr="00733820" w:rsidRDefault="0069035D" w:rsidP="00733820">
      <w:pPr>
        <w:rPr>
          <w:lang w:val="en-US"/>
        </w:rPr>
      </w:pPr>
      <w:r>
        <w:rPr>
          <w:noProof/>
        </w:rPr>
        <w:drawing>
          <wp:inline distT="0" distB="0" distL="0" distR="0" wp14:anchorId="065B79CF" wp14:editId="425D4BF1">
            <wp:extent cx="2680335" cy="400515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238" cy="40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ACFA9" wp14:editId="18FD410D">
            <wp:extent cx="2675890" cy="40047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669" cy="40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DA81" w14:textId="13B74328" w:rsidR="00C67BC8" w:rsidRDefault="00107D36" w:rsidP="00C67BC8">
      <w:pPr>
        <w:rPr>
          <w:lang w:val="en-US"/>
        </w:rPr>
      </w:pPr>
      <w:r>
        <w:rPr>
          <w:lang w:val="en-US"/>
        </w:rPr>
        <w:lastRenderedPageBreak/>
        <w:t xml:space="preserve">The Calibration Date automatically defaults to today’s date. The Calibration Interval value determines what the future Calibration Date will be and is a calculation of the Calibration Date + Calibration Interval. This value is then used when the job is completed and the system </w:t>
      </w:r>
      <w:proofErr w:type="gramStart"/>
      <w:r>
        <w:rPr>
          <w:lang w:val="en-US"/>
        </w:rPr>
        <w:t>creates  a</w:t>
      </w:r>
      <w:proofErr w:type="gramEnd"/>
      <w:r>
        <w:rPr>
          <w:lang w:val="en-US"/>
        </w:rPr>
        <w:t xml:space="preserve"> new job.</w:t>
      </w:r>
    </w:p>
    <w:p w14:paraId="78981DC2" w14:textId="517E968D" w:rsidR="00C41EF8" w:rsidRPr="00C41EF8" w:rsidRDefault="00C41EF8" w:rsidP="00C67BC8">
      <w:pPr>
        <w:rPr>
          <w:u w:val="single"/>
          <w:lang w:val="en-US"/>
        </w:rPr>
      </w:pPr>
      <w:r w:rsidRPr="00C41EF8">
        <w:rPr>
          <w:u w:val="single"/>
          <w:lang w:val="en-US"/>
        </w:rPr>
        <w:t>Note that you must select the date using the Calendar button on any Date control.</w:t>
      </w:r>
    </w:p>
    <w:p w14:paraId="26370810" w14:textId="35078625" w:rsidR="00107D36" w:rsidRDefault="00107D36" w:rsidP="00C67BC8">
      <w:pPr>
        <w:rPr>
          <w:lang w:val="en-US"/>
        </w:rPr>
      </w:pPr>
      <w:r>
        <w:rPr>
          <w:lang w:val="en-US"/>
        </w:rPr>
        <w:t>To finish updating the item, click the tick icon in the upper right-hand corner. The following message is displayed.</w:t>
      </w:r>
    </w:p>
    <w:p w14:paraId="7CB202CB" w14:textId="7F5CD37D" w:rsidR="00107D36" w:rsidRDefault="00107D36" w:rsidP="00C67BC8">
      <w:pPr>
        <w:rPr>
          <w:lang w:val="en-US"/>
        </w:rPr>
      </w:pPr>
      <w:r>
        <w:rPr>
          <w:noProof/>
        </w:rPr>
        <w:drawing>
          <wp:inline distT="0" distB="0" distL="0" distR="0" wp14:anchorId="04A5F609" wp14:editId="72FA174D">
            <wp:extent cx="3540778" cy="113276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046" cy="11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5F9E" w14:textId="1BD9CB1A" w:rsidR="00107D36" w:rsidRDefault="00107D36" w:rsidP="00C67BC8">
      <w:pPr>
        <w:rPr>
          <w:lang w:val="en-US"/>
        </w:rPr>
      </w:pPr>
      <w:r w:rsidRPr="00107D36">
        <w:rPr>
          <w:b/>
          <w:bCs/>
          <w:lang w:val="en-US"/>
        </w:rPr>
        <w:t>WIP</w:t>
      </w:r>
      <w:r>
        <w:rPr>
          <w:lang w:val="en-US"/>
        </w:rPr>
        <w:t xml:space="preserve"> – Marks this job as WIP and prevents the system from automatically creating a new Job in a Scheduled Status. Use this Status if the job is incomplete but being worked on.</w:t>
      </w:r>
    </w:p>
    <w:p w14:paraId="3C16D89C" w14:textId="154E6E2A" w:rsidR="00107D36" w:rsidRDefault="00107D36" w:rsidP="00C67BC8">
      <w:pPr>
        <w:rPr>
          <w:lang w:val="en-US"/>
        </w:rPr>
      </w:pPr>
      <w:r w:rsidRPr="00107D36">
        <w:rPr>
          <w:b/>
          <w:bCs/>
          <w:lang w:val="en-US"/>
        </w:rPr>
        <w:t>Complete</w:t>
      </w:r>
      <w:r>
        <w:rPr>
          <w:lang w:val="en-US"/>
        </w:rPr>
        <w:t xml:space="preserve"> – Marks this job Completed and then creates a subsequent job with the </w:t>
      </w:r>
      <w:r>
        <w:rPr>
          <w:lang w:val="en-US"/>
        </w:rPr>
        <w:t>Calibration Date + Calibration Interval</w:t>
      </w:r>
      <w:r>
        <w:rPr>
          <w:lang w:val="en-US"/>
        </w:rPr>
        <w:t xml:space="preserve"> as the Next Calibration Date.</w:t>
      </w:r>
    </w:p>
    <w:p w14:paraId="31432DAF" w14:textId="793C6225" w:rsidR="00C41EF8" w:rsidRDefault="00C41EF8" w:rsidP="00562C04">
      <w:pPr>
        <w:pStyle w:val="Heading1"/>
        <w:rPr>
          <w:lang w:val="en-US"/>
        </w:rPr>
      </w:pPr>
    </w:p>
    <w:p w14:paraId="1C8E21E6" w14:textId="77777777" w:rsidR="00C41EF8" w:rsidRPr="00C41EF8" w:rsidRDefault="00C41EF8" w:rsidP="00C41EF8">
      <w:pPr>
        <w:rPr>
          <w:lang w:val="en-US"/>
        </w:rPr>
      </w:pPr>
    </w:p>
    <w:p w14:paraId="56E74527" w14:textId="08A15B96" w:rsidR="00562C04" w:rsidRDefault="00562C04" w:rsidP="00562C04">
      <w:pPr>
        <w:pStyle w:val="Heading1"/>
        <w:rPr>
          <w:lang w:val="en-US"/>
        </w:rPr>
      </w:pPr>
      <w:bookmarkStart w:id="3" w:name="_Toc46746805"/>
      <w:r>
        <w:rPr>
          <w:lang w:val="en-US"/>
        </w:rPr>
        <w:t xml:space="preserve">How to </w:t>
      </w:r>
      <w:r>
        <w:rPr>
          <w:lang w:val="en-US"/>
        </w:rPr>
        <w:t>Delete</w:t>
      </w:r>
      <w:r>
        <w:rPr>
          <w:lang w:val="en-US"/>
        </w:rPr>
        <w:t xml:space="preserve"> a Job</w:t>
      </w:r>
      <w:bookmarkEnd w:id="3"/>
    </w:p>
    <w:p w14:paraId="288EC827" w14:textId="77777777" w:rsidR="00C41EF8" w:rsidRPr="00C41EF8" w:rsidRDefault="00C41EF8" w:rsidP="00C41EF8">
      <w:pPr>
        <w:rPr>
          <w:lang w:val="en-US"/>
        </w:rPr>
      </w:pPr>
    </w:p>
    <w:p w14:paraId="49296B99" w14:textId="3B58978B" w:rsidR="00562C04" w:rsidRDefault="00562C04" w:rsidP="00C67BC8">
      <w:pPr>
        <w:rPr>
          <w:lang w:val="en-US"/>
        </w:rPr>
      </w:pPr>
      <w:r>
        <w:rPr>
          <w:lang w:val="en-US"/>
        </w:rPr>
        <w:t xml:space="preserve">Deleting a job is done from the Update screen and can only be done if you are a Calibration editor.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you are a member of the Calibration group.</w:t>
      </w:r>
    </w:p>
    <w:p w14:paraId="50BA898F" w14:textId="6F12D6E4" w:rsidR="00C41EF8" w:rsidRDefault="00C41EF8" w:rsidP="00C67BC8">
      <w:pPr>
        <w:rPr>
          <w:lang w:val="en-US"/>
        </w:rPr>
      </w:pPr>
      <w:r>
        <w:rPr>
          <w:lang w:val="en-US"/>
        </w:rPr>
        <w:t xml:space="preserve">To delete a 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select the trash bin icon in the upper right-hand corner to the left of the pencil icon.</w:t>
      </w:r>
    </w:p>
    <w:p w14:paraId="40CAD9BF" w14:textId="48829256" w:rsidR="00C41EF8" w:rsidRDefault="00C41EF8" w:rsidP="00C67BC8">
      <w:pPr>
        <w:rPr>
          <w:lang w:val="en-US"/>
        </w:rPr>
      </w:pPr>
      <w:r>
        <w:rPr>
          <w:lang w:val="en-US"/>
        </w:rPr>
        <w:t>The following dialog is displayed.</w:t>
      </w:r>
    </w:p>
    <w:p w14:paraId="5434C176" w14:textId="61903DB6" w:rsidR="00C41EF8" w:rsidRDefault="00C41EF8" w:rsidP="00C67BC8">
      <w:pPr>
        <w:rPr>
          <w:lang w:val="en-US"/>
        </w:rPr>
      </w:pPr>
      <w:r>
        <w:rPr>
          <w:noProof/>
        </w:rPr>
        <w:drawing>
          <wp:inline distT="0" distB="0" distL="0" distR="0" wp14:anchorId="759C53E5" wp14:editId="0DC1F881">
            <wp:extent cx="3302758" cy="108330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427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59D2" w14:textId="6A6343A9" w:rsidR="00C41EF8" w:rsidRDefault="00C41EF8" w:rsidP="00C67BC8">
      <w:pPr>
        <w:rPr>
          <w:lang w:val="en-US"/>
        </w:rPr>
      </w:pPr>
      <w:proofErr w:type="gramStart"/>
      <w:r w:rsidRPr="00C41EF8">
        <w:rPr>
          <w:b/>
          <w:bCs/>
          <w:lang w:val="en-US"/>
        </w:rPr>
        <w:t>Yes</w:t>
      </w:r>
      <w:proofErr w:type="gramEnd"/>
      <w:r w:rsidRPr="00C41EF8">
        <w:rPr>
          <w:b/>
          <w:bCs/>
          <w:lang w:val="en-US"/>
        </w:rPr>
        <w:t xml:space="preserve"> to All</w:t>
      </w:r>
      <w:r>
        <w:rPr>
          <w:lang w:val="en-US"/>
        </w:rPr>
        <w:t xml:space="preserve"> – Deletes all calibration jobs with the code defined by the current item.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456F.</w:t>
      </w:r>
    </w:p>
    <w:p w14:paraId="7D27A546" w14:textId="33F77C52" w:rsidR="00C41EF8" w:rsidRPr="00107D36" w:rsidRDefault="00C41EF8" w:rsidP="00C67BC8">
      <w:pPr>
        <w:rPr>
          <w:lang w:val="en-US"/>
        </w:rPr>
      </w:pPr>
      <w:r w:rsidRPr="00C41EF8">
        <w:rPr>
          <w:b/>
          <w:bCs/>
          <w:lang w:val="en-US"/>
        </w:rPr>
        <w:t>No, just this Job</w:t>
      </w:r>
      <w:r>
        <w:rPr>
          <w:lang w:val="en-US"/>
        </w:rPr>
        <w:t xml:space="preserve"> – Performs a deletion of the current item only.</w:t>
      </w:r>
    </w:p>
    <w:p w14:paraId="2219DF95" w14:textId="77777777" w:rsidR="00C41EF8" w:rsidRDefault="00C41EF8" w:rsidP="00733820">
      <w:pPr>
        <w:pStyle w:val="Heading1"/>
        <w:rPr>
          <w:lang w:val="en-US"/>
        </w:rPr>
      </w:pPr>
      <w:bookmarkStart w:id="4" w:name="_Toc46746806"/>
    </w:p>
    <w:p w14:paraId="332DC293" w14:textId="5352948E" w:rsidR="00733820" w:rsidRDefault="00107D36" w:rsidP="00733820">
      <w:pPr>
        <w:pStyle w:val="Heading1"/>
        <w:rPr>
          <w:lang w:val="en-US"/>
        </w:rPr>
      </w:pPr>
      <w:r>
        <w:rPr>
          <w:lang w:val="en-US"/>
        </w:rPr>
        <w:t>How to add a new piece of Equipment</w:t>
      </w:r>
      <w:bookmarkEnd w:id="4"/>
    </w:p>
    <w:p w14:paraId="178C71CD" w14:textId="01F68EC2" w:rsidR="00F174DC" w:rsidRDefault="00F174DC" w:rsidP="00F174DC">
      <w:pPr>
        <w:rPr>
          <w:lang w:val="en-US"/>
        </w:rPr>
      </w:pPr>
    </w:p>
    <w:p w14:paraId="6689A9E9" w14:textId="34210EFD" w:rsidR="00741F8B" w:rsidRDefault="00107D36" w:rsidP="00F174DC">
      <w:pPr>
        <w:rPr>
          <w:lang w:val="en-US"/>
        </w:rPr>
      </w:pPr>
      <w:r>
        <w:rPr>
          <w:lang w:val="en-US"/>
        </w:rPr>
        <w:t>From the Home screen, click the New button. The New Item screen is displayed.</w:t>
      </w:r>
    </w:p>
    <w:p w14:paraId="3E21FF36" w14:textId="1BB99EBC" w:rsidR="00107D36" w:rsidRDefault="00107D36" w:rsidP="00F174DC">
      <w:pPr>
        <w:rPr>
          <w:lang w:val="en-US"/>
        </w:rPr>
      </w:pPr>
      <w:r>
        <w:rPr>
          <w:noProof/>
        </w:rPr>
        <w:drawing>
          <wp:inline distT="0" distB="0" distL="0" distR="0" wp14:anchorId="15C13C77" wp14:editId="4352B9D8">
            <wp:extent cx="1549021" cy="4497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587" cy="4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855" w14:textId="77777777" w:rsidR="00562C04" w:rsidRDefault="00107D36" w:rsidP="00F174DC">
      <w:pPr>
        <w:rPr>
          <w:noProof/>
        </w:rPr>
      </w:pPr>
      <w:r>
        <w:rPr>
          <w:noProof/>
        </w:rPr>
        <w:drawing>
          <wp:inline distT="0" distB="0" distL="0" distR="0" wp14:anchorId="3BD09AC1" wp14:editId="0300EEEE">
            <wp:extent cx="2140448" cy="34938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3703" cy="3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C04">
        <w:rPr>
          <w:noProof/>
        </w:rPr>
        <w:t xml:space="preserve">      </w:t>
      </w:r>
    </w:p>
    <w:p w14:paraId="6E7C0178" w14:textId="77777777" w:rsidR="00562C04" w:rsidRDefault="00562C04" w:rsidP="00F174DC">
      <w:pPr>
        <w:rPr>
          <w:noProof/>
        </w:rPr>
      </w:pPr>
      <w:r>
        <w:rPr>
          <w:noProof/>
        </w:rPr>
        <w:t>When you’ve finished entering the equipment details, click the tick icon in the upper right-hand corner. The following dialog is displayed.</w:t>
      </w:r>
    </w:p>
    <w:p w14:paraId="201EDC82" w14:textId="00E35624" w:rsidR="00107D36" w:rsidRDefault="00562C04" w:rsidP="00F174DC">
      <w:pPr>
        <w:rPr>
          <w:lang w:val="en-US"/>
        </w:rPr>
      </w:pPr>
      <w:r>
        <w:rPr>
          <w:noProof/>
        </w:rPr>
        <w:drawing>
          <wp:inline distT="0" distB="0" distL="0" distR="0" wp14:anchorId="2C6C4C84" wp14:editId="72309021">
            <wp:extent cx="2953789" cy="140571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867" cy="14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C377A6C" w14:textId="23335F38" w:rsidR="00F174DC" w:rsidRDefault="00562C04" w:rsidP="00F174DC">
      <w:pPr>
        <w:rPr>
          <w:lang w:val="en-US"/>
        </w:rPr>
      </w:pPr>
      <w:r w:rsidRPr="00562C04">
        <w:rPr>
          <w:b/>
          <w:bCs/>
          <w:lang w:val="en-US"/>
        </w:rPr>
        <w:t>Scheduled</w:t>
      </w:r>
      <w:r>
        <w:rPr>
          <w:lang w:val="en-US"/>
        </w:rPr>
        <w:t xml:space="preserve"> – Marks this new entry as Scheduled (incomplete) which means it will need to be completed when the Next Calibration date is reached.</w:t>
      </w:r>
    </w:p>
    <w:p w14:paraId="04D8B652" w14:textId="4BB93717" w:rsidR="00562C04" w:rsidRDefault="00562C04" w:rsidP="00F174DC">
      <w:pPr>
        <w:rPr>
          <w:lang w:val="en-US"/>
        </w:rPr>
      </w:pPr>
      <w:r w:rsidRPr="00562C04">
        <w:rPr>
          <w:b/>
          <w:bCs/>
          <w:lang w:val="en-US"/>
        </w:rPr>
        <w:t>Complete</w:t>
      </w:r>
      <w:r>
        <w:rPr>
          <w:lang w:val="en-US"/>
        </w:rPr>
        <w:t xml:space="preserve"> – Marks this new entry as Completed, flagging the system to create a new entry for future calibration. Use this option if you’ve completed the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calibration and are entering the item into the system for the first time.</w:t>
      </w:r>
    </w:p>
    <w:p w14:paraId="58EEC38C" w14:textId="5F4395CE" w:rsidR="001B5E40" w:rsidRDefault="00562C04" w:rsidP="001B5E40">
      <w:pPr>
        <w:pStyle w:val="Heading1"/>
        <w:rPr>
          <w:lang w:val="en-US"/>
        </w:rPr>
      </w:pPr>
      <w:bookmarkStart w:id="5" w:name="_Toc46746807"/>
      <w:r>
        <w:rPr>
          <w:lang w:val="en-US"/>
        </w:rPr>
        <w:lastRenderedPageBreak/>
        <w:t>Views</w:t>
      </w:r>
      <w:bookmarkEnd w:id="5"/>
    </w:p>
    <w:p w14:paraId="7C6F6E92" w14:textId="57914A84" w:rsidR="001B5E40" w:rsidRDefault="001B5E40" w:rsidP="001B5E40">
      <w:pPr>
        <w:rPr>
          <w:lang w:val="en-US"/>
        </w:rPr>
      </w:pPr>
    </w:p>
    <w:p w14:paraId="41F67E25" w14:textId="34657565" w:rsidR="001B5E40" w:rsidRDefault="00562C04" w:rsidP="001B5E40">
      <w:pPr>
        <w:rPr>
          <w:lang w:val="en-US"/>
        </w:rPr>
      </w:pPr>
      <w:r>
        <w:rPr>
          <w:lang w:val="en-US"/>
        </w:rPr>
        <w:t xml:space="preserve">From the Home screen, there are three quick view buttons as shown below. These filter the Calibration database as per the button text,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‘This Week’ will show you jobs due this week.</w:t>
      </w:r>
    </w:p>
    <w:p w14:paraId="33557D88" w14:textId="264717C9" w:rsidR="00562C04" w:rsidRDefault="00562C04" w:rsidP="00562C04">
      <w:pPr>
        <w:rPr>
          <w:lang w:val="en-US"/>
        </w:rPr>
      </w:pPr>
      <w:r>
        <w:rPr>
          <w:noProof/>
        </w:rPr>
        <w:drawing>
          <wp:inline distT="0" distB="0" distL="0" distR="0" wp14:anchorId="2BDEF405" wp14:editId="33D5612D">
            <wp:extent cx="1788492" cy="94169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240" cy="9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C04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DF1F08" wp14:editId="12D700DE">
            <wp:extent cx="1889322" cy="9407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6149" cy="9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62C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A6058" wp14:editId="79841E20">
            <wp:extent cx="1862455" cy="940998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7702" cy="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1FB7" w14:textId="4D8AD22D" w:rsidR="00562C04" w:rsidRDefault="00562C04" w:rsidP="00562C04">
      <w:pPr>
        <w:rPr>
          <w:lang w:val="en-US"/>
        </w:rPr>
      </w:pPr>
      <w:r>
        <w:rPr>
          <w:lang w:val="en-US"/>
        </w:rPr>
        <w:t>Performing a Date Range search</w:t>
      </w:r>
    </w:p>
    <w:p w14:paraId="61ADD419" w14:textId="0E611B38" w:rsidR="00562C04" w:rsidRDefault="00562C04" w:rsidP="00562C04">
      <w:pPr>
        <w:rPr>
          <w:lang w:val="en-US"/>
        </w:rPr>
      </w:pPr>
      <w:r>
        <w:rPr>
          <w:lang w:val="en-US"/>
        </w:rPr>
        <w:t>After clicking any of the above buttons, you can still perform a custom date range search.</w:t>
      </w:r>
    </w:p>
    <w:p w14:paraId="3E5DF163" w14:textId="631F1102" w:rsidR="00562C04" w:rsidRDefault="00562C04" w:rsidP="00562C04">
      <w:pPr>
        <w:rPr>
          <w:lang w:val="en-US"/>
        </w:rPr>
      </w:pPr>
      <w:r>
        <w:rPr>
          <w:lang w:val="en-US"/>
        </w:rPr>
        <w:t xml:space="preserve">The Date control on the left is the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date, the one on the right is the To date.</w:t>
      </w:r>
    </w:p>
    <w:p w14:paraId="39DC579D" w14:textId="5BE1AB0A" w:rsidR="00562C04" w:rsidRDefault="00562C04" w:rsidP="00562C04">
      <w:pPr>
        <w:rPr>
          <w:lang w:val="en-US"/>
        </w:rPr>
      </w:pPr>
      <w:r>
        <w:rPr>
          <w:noProof/>
        </w:rPr>
        <w:drawing>
          <wp:inline distT="0" distB="0" distL="0" distR="0" wp14:anchorId="7B6B73E6" wp14:editId="18E270F7">
            <wp:extent cx="3022572" cy="40260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196" cy="4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86B" w14:textId="35C58D53" w:rsidR="001B5E40" w:rsidRDefault="001B5E40" w:rsidP="001B5E40">
      <w:pPr>
        <w:rPr>
          <w:lang w:val="en-US"/>
        </w:rPr>
      </w:pPr>
    </w:p>
    <w:p w14:paraId="76CB6DA2" w14:textId="0FDAD07B" w:rsidR="001B5E40" w:rsidRDefault="001B5E40" w:rsidP="001B5E40">
      <w:pPr>
        <w:pStyle w:val="Heading1"/>
        <w:rPr>
          <w:lang w:val="en-US"/>
        </w:rPr>
      </w:pPr>
      <w:bookmarkStart w:id="6" w:name="_Toc46746808"/>
      <w:r>
        <w:rPr>
          <w:lang w:val="en-US"/>
        </w:rPr>
        <w:t>Issues/Requests</w:t>
      </w:r>
      <w:bookmarkEnd w:id="6"/>
    </w:p>
    <w:p w14:paraId="587CB2FB" w14:textId="77777777" w:rsidR="001B5E40" w:rsidRPr="001B5E40" w:rsidRDefault="001B5E40" w:rsidP="001B5E40">
      <w:pPr>
        <w:rPr>
          <w:lang w:val="en-US"/>
        </w:rPr>
      </w:pPr>
    </w:p>
    <w:p w14:paraId="4EC9391F" w14:textId="69F4D248" w:rsidR="001B5E40" w:rsidRDefault="001B5E40" w:rsidP="001B5E40">
      <w:pPr>
        <w:rPr>
          <w:lang w:val="en-US"/>
        </w:rPr>
      </w:pPr>
      <w:r>
        <w:rPr>
          <w:lang w:val="en-US"/>
        </w:rPr>
        <w:t xml:space="preserve">If you have any issues, please remember to send them directly through to the </w:t>
      </w:r>
      <w:proofErr w:type="spellStart"/>
      <w:r>
        <w:rPr>
          <w:lang w:val="en-US"/>
        </w:rPr>
        <w:t>Temperzone</w:t>
      </w:r>
      <w:proofErr w:type="spellEnd"/>
      <w:r>
        <w:rPr>
          <w:lang w:val="en-US"/>
        </w:rPr>
        <w:t xml:space="preserve"> IT helpdesk</w:t>
      </w:r>
    </w:p>
    <w:p w14:paraId="7033FF14" w14:textId="577C481A" w:rsidR="001B5E40" w:rsidRPr="001B5E40" w:rsidRDefault="001B5E40" w:rsidP="001B5E40">
      <w:pPr>
        <w:rPr>
          <w:lang w:val="en-US"/>
        </w:rPr>
      </w:pPr>
      <w:r>
        <w:rPr>
          <w:color w:val="000000"/>
        </w:rPr>
        <w:t>Email:</w:t>
      </w:r>
      <w:r>
        <w:rPr>
          <w:color w:val="1F497D"/>
        </w:rPr>
        <w:t xml:space="preserve"> </w:t>
      </w:r>
      <w:hyperlink r:id="rId22" w:history="1">
        <w:r>
          <w:rPr>
            <w:rStyle w:val="Hyperlink"/>
          </w:rPr>
          <w:t>helpdesk@temperzone.com</w:t>
        </w:r>
      </w:hyperlink>
      <w:r>
        <w:rPr>
          <w:color w:val="1F497D"/>
        </w:rPr>
        <w:t xml:space="preserve"> </w:t>
      </w:r>
      <w:r>
        <w:rPr>
          <w:color w:val="000000"/>
        </w:rPr>
        <w:t xml:space="preserve">or Phone extension 888 in NZ or AU </w:t>
      </w:r>
      <w:r>
        <w:rPr>
          <w:color w:val="1F497D"/>
        </w:rPr>
        <w:br/>
      </w:r>
      <w:r>
        <w:rPr>
          <w:color w:val="000000"/>
        </w:rPr>
        <w:t xml:space="preserve">Or visit </w:t>
      </w:r>
      <w:hyperlink r:id="rId23" w:history="1">
        <w:r>
          <w:rPr>
            <w:rStyle w:val="Hyperlink"/>
          </w:rPr>
          <w:t>helpdesk.temperzone.com</w:t>
        </w:r>
      </w:hyperlink>
    </w:p>
    <w:p w14:paraId="33D4BE2B" w14:textId="77777777" w:rsidR="001B5E40" w:rsidRPr="00BA0461" w:rsidRDefault="001B5E40">
      <w:pPr>
        <w:rPr>
          <w:rFonts w:ascii="Arial" w:hAnsi="Arial" w:cs="Arial"/>
          <w:lang w:val="en-US"/>
        </w:rPr>
      </w:pPr>
    </w:p>
    <w:sectPr w:rsidR="001B5E40" w:rsidRPr="00BA0461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D0E36" w14:textId="77777777" w:rsidR="00FC5F8B" w:rsidRDefault="00FC5F8B" w:rsidP="00FF4684">
      <w:pPr>
        <w:spacing w:after="0" w:line="240" w:lineRule="auto"/>
      </w:pPr>
      <w:r>
        <w:separator/>
      </w:r>
    </w:p>
  </w:endnote>
  <w:endnote w:type="continuationSeparator" w:id="0">
    <w:p w14:paraId="125E7463" w14:textId="77777777" w:rsidR="00FC5F8B" w:rsidRDefault="00FC5F8B" w:rsidP="00FF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71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988C0" w14:textId="77777777" w:rsidR="00ED030A" w:rsidRDefault="00ED03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269B" w14:textId="77777777" w:rsidR="00ED030A" w:rsidRDefault="00ED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272F" w14:textId="77777777" w:rsidR="00FC5F8B" w:rsidRDefault="00FC5F8B" w:rsidP="00FF4684">
      <w:pPr>
        <w:spacing w:after="0" w:line="240" w:lineRule="auto"/>
      </w:pPr>
      <w:r>
        <w:separator/>
      </w:r>
    </w:p>
  </w:footnote>
  <w:footnote w:type="continuationSeparator" w:id="0">
    <w:p w14:paraId="32B473BE" w14:textId="77777777" w:rsidR="00FC5F8B" w:rsidRDefault="00FC5F8B" w:rsidP="00FF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58" w:type="dxa"/>
      <w:tblInd w:w="-998" w:type="dxa"/>
      <w:tblLook w:val="04A0" w:firstRow="1" w:lastRow="0" w:firstColumn="1" w:lastColumn="0" w:noHBand="0" w:noVBand="1"/>
    </w:tblPr>
    <w:tblGrid>
      <w:gridCol w:w="5813"/>
      <w:gridCol w:w="2126"/>
      <w:gridCol w:w="3119"/>
    </w:tblGrid>
    <w:tr w:rsidR="00E604F9" w:rsidRPr="0007505B" w14:paraId="46617625" w14:textId="77777777" w:rsidTr="0007505B">
      <w:trPr>
        <w:trHeight w:val="558"/>
      </w:trPr>
      <w:tc>
        <w:tcPr>
          <w:tcW w:w="5813" w:type="dxa"/>
        </w:tcPr>
        <w:p w14:paraId="0F338007" w14:textId="19808FE4" w:rsidR="00E604F9" w:rsidRPr="0007505B" w:rsidRDefault="00E604F9" w:rsidP="00E604F9">
          <w:pPr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Title: </w:t>
          </w:r>
          <w:r w:rsidR="00562C04">
            <w:rPr>
              <w:rFonts w:ascii="Arial" w:hAnsi="Arial" w:cs="Arial"/>
              <w:sz w:val="20"/>
              <w:szCs w:val="20"/>
              <w:lang w:val="en-US"/>
            </w:rPr>
            <w:t>Calibration App</w:t>
          </w:r>
        </w:p>
      </w:tc>
      <w:tc>
        <w:tcPr>
          <w:tcW w:w="2126" w:type="dxa"/>
        </w:tcPr>
        <w:p w14:paraId="45C34543" w14:textId="50F19A1D" w:rsidR="00E604F9" w:rsidRPr="0007505B" w:rsidRDefault="00E604F9" w:rsidP="00E604F9">
          <w:pPr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>Date</w:t>
          </w:r>
          <w:r w:rsidR="000D3648">
            <w:rPr>
              <w:rFonts w:ascii="Arial" w:hAnsi="Arial" w:cs="Arial"/>
              <w:sz w:val="20"/>
              <w:szCs w:val="20"/>
              <w:lang w:val="en-US"/>
            </w:rPr>
            <w:t xml:space="preserve">: </w:t>
          </w:r>
          <w:r w:rsidR="00C67BC8">
            <w:rPr>
              <w:rFonts w:ascii="Arial" w:hAnsi="Arial" w:cs="Arial"/>
              <w:sz w:val="20"/>
              <w:szCs w:val="20"/>
              <w:lang w:val="en-US"/>
            </w:rPr>
            <w:t>15</w:t>
          </w:r>
          <w:r w:rsidR="000D3648">
            <w:rPr>
              <w:rFonts w:ascii="Arial" w:hAnsi="Arial" w:cs="Arial"/>
              <w:sz w:val="20"/>
              <w:szCs w:val="20"/>
              <w:lang w:val="en-US"/>
            </w:rPr>
            <w:t>/</w:t>
          </w:r>
          <w:r w:rsidR="00C67BC8">
            <w:rPr>
              <w:rFonts w:ascii="Arial" w:hAnsi="Arial" w:cs="Arial"/>
              <w:sz w:val="20"/>
              <w:szCs w:val="20"/>
              <w:lang w:val="en-US"/>
            </w:rPr>
            <w:t>04</w:t>
          </w:r>
          <w:r w:rsidR="000D3648">
            <w:rPr>
              <w:rFonts w:ascii="Arial" w:hAnsi="Arial" w:cs="Arial"/>
              <w:sz w:val="20"/>
              <w:szCs w:val="20"/>
              <w:lang w:val="en-US"/>
            </w:rPr>
            <w:t>/20</w:t>
          </w:r>
          <w:r w:rsidR="00C67BC8">
            <w:rPr>
              <w:rFonts w:ascii="Arial" w:hAnsi="Arial" w:cs="Arial"/>
              <w:sz w:val="20"/>
              <w:szCs w:val="20"/>
              <w:lang w:val="en-US"/>
            </w:rPr>
            <w:t>20</w:t>
          </w:r>
        </w:p>
      </w:tc>
      <w:tc>
        <w:tcPr>
          <w:tcW w:w="3119" w:type="dxa"/>
          <w:vMerge w:val="restart"/>
        </w:tcPr>
        <w:p w14:paraId="6F45086F" w14:textId="77777777" w:rsidR="00E604F9" w:rsidRPr="0007505B" w:rsidRDefault="00E604F9" w:rsidP="00E604F9">
          <w:pPr>
            <w:rPr>
              <w:rFonts w:ascii="Arial" w:hAnsi="Arial" w:cs="Arial"/>
              <w:lang w:val="en-US"/>
            </w:rPr>
          </w:pPr>
          <w:r w:rsidRPr="0007505B">
            <w:rPr>
              <w:rFonts w:ascii="Arial" w:hAnsi="Arial" w:cs="Arial"/>
              <w:noProof/>
            </w:rPr>
            <w:drawing>
              <wp:inline distT="0" distB="0" distL="0" distR="0" wp14:anchorId="32EA0D7F" wp14:editId="58148CBD">
                <wp:extent cx="1776731" cy="45339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Z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138" cy="458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604F9" w:rsidRPr="0007505B" w14:paraId="097A33D4" w14:textId="77777777" w:rsidTr="0007505B">
      <w:trPr>
        <w:trHeight w:val="75"/>
      </w:trPr>
      <w:tc>
        <w:tcPr>
          <w:tcW w:w="5813" w:type="dxa"/>
        </w:tcPr>
        <w:p w14:paraId="23FE51F8" w14:textId="23B0CEA0" w:rsidR="00E604F9" w:rsidRPr="0007505B" w:rsidRDefault="00E604F9" w:rsidP="00E604F9">
          <w:pPr>
            <w:tabs>
              <w:tab w:val="center" w:pos="2087"/>
            </w:tabs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Department: </w:t>
          </w:r>
          <w:r w:rsidR="00562C04">
            <w:rPr>
              <w:rFonts w:ascii="Arial" w:hAnsi="Arial" w:cs="Arial"/>
              <w:sz w:val="20"/>
              <w:szCs w:val="20"/>
              <w:lang w:val="en-US"/>
            </w:rPr>
            <w:t>R&amp;D</w:t>
          </w:r>
        </w:p>
      </w:tc>
      <w:tc>
        <w:tcPr>
          <w:tcW w:w="2126" w:type="dxa"/>
        </w:tcPr>
        <w:p w14:paraId="6E9B597A" w14:textId="77777777" w:rsidR="00E604F9" w:rsidRPr="0007505B" w:rsidRDefault="00E604F9" w:rsidP="00E604F9">
          <w:pPr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Version: </w:t>
          </w:r>
        </w:p>
      </w:tc>
      <w:tc>
        <w:tcPr>
          <w:tcW w:w="3119" w:type="dxa"/>
          <w:vMerge/>
        </w:tcPr>
        <w:p w14:paraId="58C49AF9" w14:textId="77777777" w:rsidR="00E604F9" w:rsidRPr="0007505B" w:rsidRDefault="00E604F9" w:rsidP="00E604F9">
          <w:pPr>
            <w:rPr>
              <w:rFonts w:ascii="Arial" w:hAnsi="Arial" w:cs="Arial"/>
              <w:lang w:val="en-US"/>
            </w:rPr>
          </w:pPr>
        </w:p>
      </w:tc>
    </w:tr>
  </w:tbl>
  <w:p w14:paraId="3022F8AD" w14:textId="77777777" w:rsidR="00FF4684" w:rsidRDefault="00FF4684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7A6"/>
    <w:multiLevelType w:val="hybridMultilevel"/>
    <w:tmpl w:val="9A761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14E"/>
    <w:multiLevelType w:val="hybridMultilevel"/>
    <w:tmpl w:val="C510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0173"/>
    <w:multiLevelType w:val="hybridMultilevel"/>
    <w:tmpl w:val="A4E2F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2E6B83"/>
    <w:multiLevelType w:val="hybridMultilevel"/>
    <w:tmpl w:val="B8644C60"/>
    <w:lvl w:ilvl="0" w:tplc="1409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01F17"/>
    <w:multiLevelType w:val="hybridMultilevel"/>
    <w:tmpl w:val="FA264B8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62918"/>
    <w:multiLevelType w:val="hybridMultilevel"/>
    <w:tmpl w:val="8440F4E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854135"/>
    <w:multiLevelType w:val="hybridMultilevel"/>
    <w:tmpl w:val="41EEA7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C17BDA"/>
    <w:multiLevelType w:val="hybridMultilevel"/>
    <w:tmpl w:val="7CDEB8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4B71"/>
    <w:multiLevelType w:val="hybridMultilevel"/>
    <w:tmpl w:val="C93233A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25F39"/>
    <w:multiLevelType w:val="hybridMultilevel"/>
    <w:tmpl w:val="A762FF6E"/>
    <w:lvl w:ilvl="0" w:tplc="14090019">
      <w:start w:val="1"/>
      <w:numFmt w:val="low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50A46"/>
    <w:multiLevelType w:val="hybridMultilevel"/>
    <w:tmpl w:val="B83098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57E05"/>
    <w:multiLevelType w:val="hybridMultilevel"/>
    <w:tmpl w:val="8F8E9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85691C"/>
    <w:multiLevelType w:val="hybridMultilevel"/>
    <w:tmpl w:val="3B92E37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A7F9B"/>
    <w:multiLevelType w:val="hybridMultilevel"/>
    <w:tmpl w:val="7908BCC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6006E5"/>
    <w:multiLevelType w:val="hybridMultilevel"/>
    <w:tmpl w:val="5D1A28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D07680"/>
    <w:multiLevelType w:val="hybridMultilevel"/>
    <w:tmpl w:val="F01E4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19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14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1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1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1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1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474F60A0"/>
    <w:multiLevelType w:val="hybridMultilevel"/>
    <w:tmpl w:val="312E02F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EB1821"/>
    <w:multiLevelType w:val="hybridMultilevel"/>
    <w:tmpl w:val="FB441C46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267F76"/>
    <w:multiLevelType w:val="hybridMultilevel"/>
    <w:tmpl w:val="6FB61E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0334B"/>
    <w:multiLevelType w:val="hybridMultilevel"/>
    <w:tmpl w:val="5E7067F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3F2BC6"/>
    <w:multiLevelType w:val="hybridMultilevel"/>
    <w:tmpl w:val="5762E4D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C507C"/>
    <w:multiLevelType w:val="hybridMultilevel"/>
    <w:tmpl w:val="77DE26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B52F5"/>
    <w:multiLevelType w:val="hybridMultilevel"/>
    <w:tmpl w:val="9BF80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21"/>
  </w:num>
  <w:num w:numId="6">
    <w:abstractNumId w:val="16"/>
  </w:num>
  <w:num w:numId="7">
    <w:abstractNumId w:val="18"/>
  </w:num>
  <w:num w:numId="8">
    <w:abstractNumId w:val="5"/>
  </w:num>
  <w:num w:numId="9">
    <w:abstractNumId w:val="13"/>
  </w:num>
  <w:num w:numId="10">
    <w:abstractNumId w:val="19"/>
  </w:num>
  <w:num w:numId="11">
    <w:abstractNumId w:val="6"/>
  </w:num>
  <w:num w:numId="12">
    <w:abstractNumId w:val="14"/>
  </w:num>
  <w:num w:numId="13">
    <w:abstractNumId w:val="4"/>
  </w:num>
  <w:num w:numId="14">
    <w:abstractNumId w:val="7"/>
  </w:num>
  <w:num w:numId="15">
    <w:abstractNumId w:val="1"/>
  </w:num>
  <w:num w:numId="16">
    <w:abstractNumId w:val="11"/>
  </w:num>
  <w:num w:numId="17">
    <w:abstractNumId w:val="15"/>
  </w:num>
  <w:num w:numId="18">
    <w:abstractNumId w:val="2"/>
  </w:num>
  <w:num w:numId="19">
    <w:abstractNumId w:val="9"/>
  </w:num>
  <w:num w:numId="20">
    <w:abstractNumId w:val="20"/>
  </w:num>
  <w:num w:numId="21">
    <w:abstractNumId w:val="3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WDocumentId" w:val="df2ea494-4007-4cf5-b4bc-fcf84476c2f2"/>
  </w:docVars>
  <w:rsids>
    <w:rsidRoot w:val="00FF4684"/>
    <w:rsid w:val="00004CD6"/>
    <w:rsid w:val="00052DE6"/>
    <w:rsid w:val="0007505B"/>
    <w:rsid w:val="000A22FA"/>
    <w:rsid w:val="000B2AB8"/>
    <w:rsid w:val="000D3648"/>
    <w:rsid w:val="000E469A"/>
    <w:rsid w:val="00107D36"/>
    <w:rsid w:val="001110CC"/>
    <w:rsid w:val="001335CD"/>
    <w:rsid w:val="00160FDB"/>
    <w:rsid w:val="00183E39"/>
    <w:rsid w:val="001B5E40"/>
    <w:rsid w:val="001D3E0D"/>
    <w:rsid w:val="001D4E7D"/>
    <w:rsid w:val="001D7EB1"/>
    <w:rsid w:val="00210CB5"/>
    <w:rsid w:val="002119CB"/>
    <w:rsid w:val="002B68FE"/>
    <w:rsid w:val="002C7981"/>
    <w:rsid w:val="002F3C15"/>
    <w:rsid w:val="003200F7"/>
    <w:rsid w:val="00322CA6"/>
    <w:rsid w:val="003263BA"/>
    <w:rsid w:val="00352714"/>
    <w:rsid w:val="003613DB"/>
    <w:rsid w:val="00370B42"/>
    <w:rsid w:val="00375F3B"/>
    <w:rsid w:val="00381AF5"/>
    <w:rsid w:val="00394D91"/>
    <w:rsid w:val="003C727E"/>
    <w:rsid w:val="003D4A4A"/>
    <w:rsid w:val="003F69CE"/>
    <w:rsid w:val="00405DE4"/>
    <w:rsid w:val="004070AD"/>
    <w:rsid w:val="00425820"/>
    <w:rsid w:val="00427AB9"/>
    <w:rsid w:val="00495034"/>
    <w:rsid w:val="004E7DD1"/>
    <w:rsid w:val="00536D8A"/>
    <w:rsid w:val="00562C04"/>
    <w:rsid w:val="00572597"/>
    <w:rsid w:val="005745C3"/>
    <w:rsid w:val="00580E1D"/>
    <w:rsid w:val="00584243"/>
    <w:rsid w:val="00586E0B"/>
    <w:rsid w:val="005A0FBE"/>
    <w:rsid w:val="005A45BB"/>
    <w:rsid w:val="005C2D76"/>
    <w:rsid w:val="005C3F2F"/>
    <w:rsid w:val="005C58C1"/>
    <w:rsid w:val="005E58EE"/>
    <w:rsid w:val="005F1037"/>
    <w:rsid w:val="005F5049"/>
    <w:rsid w:val="0060063D"/>
    <w:rsid w:val="00605420"/>
    <w:rsid w:val="00623AC5"/>
    <w:rsid w:val="006424D6"/>
    <w:rsid w:val="00667AE5"/>
    <w:rsid w:val="0069035D"/>
    <w:rsid w:val="006906C3"/>
    <w:rsid w:val="006A7B6A"/>
    <w:rsid w:val="006B50B7"/>
    <w:rsid w:val="006C01B8"/>
    <w:rsid w:val="006D2A10"/>
    <w:rsid w:val="006E301A"/>
    <w:rsid w:val="0070208E"/>
    <w:rsid w:val="00704BE1"/>
    <w:rsid w:val="00711AA4"/>
    <w:rsid w:val="00733820"/>
    <w:rsid w:val="00737977"/>
    <w:rsid w:val="00741F8B"/>
    <w:rsid w:val="007460BC"/>
    <w:rsid w:val="007555F0"/>
    <w:rsid w:val="00794364"/>
    <w:rsid w:val="007A3E88"/>
    <w:rsid w:val="007A7A32"/>
    <w:rsid w:val="007B53F2"/>
    <w:rsid w:val="007D118D"/>
    <w:rsid w:val="007F3507"/>
    <w:rsid w:val="00810C14"/>
    <w:rsid w:val="00831609"/>
    <w:rsid w:val="00831CD7"/>
    <w:rsid w:val="00835EF9"/>
    <w:rsid w:val="00860713"/>
    <w:rsid w:val="008A55BF"/>
    <w:rsid w:val="008D5446"/>
    <w:rsid w:val="008E32AB"/>
    <w:rsid w:val="00905E14"/>
    <w:rsid w:val="009073CE"/>
    <w:rsid w:val="0091099A"/>
    <w:rsid w:val="00935BDF"/>
    <w:rsid w:val="0095640F"/>
    <w:rsid w:val="009A5B40"/>
    <w:rsid w:val="009D0B3B"/>
    <w:rsid w:val="009D4B77"/>
    <w:rsid w:val="009E4B90"/>
    <w:rsid w:val="009E6036"/>
    <w:rsid w:val="00A22A83"/>
    <w:rsid w:val="00A4163E"/>
    <w:rsid w:val="00A5064A"/>
    <w:rsid w:val="00A85A4B"/>
    <w:rsid w:val="00A87EDC"/>
    <w:rsid w:val="00AA0C1D"/>
    <w:rsid w:val="00AA2A72"/>
    <w:rsid w:val="00AA57D0"/>
    <w:rsid w:val="00AD1199"/>
    <w:rsid w:val="00AD4179"/>
    <w:rsid w:val="00AD4349"/>
    <w:rsid w:val="00AE6955"/>
    <w:rsid w:val="00B32EE9"/>
    <w:rsid w:val="00BA0461"/>
    <w:rsid w:val="00BB7EF0"/>
    <w:rsid w:val="00BC191F"/>
    <w:rsid w:val="00BC1E33"/>
    <w:rsid w:val="00BC4C3D"/>
    <w:rsid w:val="00BD57F6"/>
    <w:rsid w:val="00BF090B"/>
    <w:rsid w:val="00BF25BA"/>
    <w:rsid w:val="00BF7614"/>
    <w:rsid w:val="00C10D38"/>
    <w:rsid w:val="00C2203C"/>
    <w:rsid w:val="00C40653"/>
    <w:rsid w:val="00C41EF8"/>
    <w:rsid w:val="00C61D96"/>
    <w:rsid w:val="00C6253F"/>
    <w:rsid w:val="00C62579"/>
    <w:rsid w:val="00C67BC8"/>
    <w:rsid w:val="00C940B2"/>
    <w:rsid w:val="00CB5C91"/>
    <w:rsid w:val="00CB75A6"/>
    <w:rsid w:val="00CF4351"/>
    <w:rsid w:val="00D20DB2"/>
    <w:rsid w:val="00D24BE9"/>
    <w:rsid w:val="00D566AC"/>
    <w:rsid w:val="00D5767F"/>
    <w:rsid w:val="00D84E93"/>
    <w:rsid w:val="00D85F4D"/>
    <w:rsid w:val="00DA1F1A"/>
    <w:rsid w:val="00DC6D28"/>
    <w:rsid w:val="00DE538D"/>
    <w:rsid w:val="00E1396D"/>
    <w:rsid w:val="00E2605A"/>
    <w:rsid w:val="00E360FE"/>
    <w:rsid w:val="00E539B4"/>
    <w:rsid w:val="00E604F9"/>
    <w:rsid w:val="00E662DB"/>
    <w:rsid w:val="00E741DC"/>
    <w:rsid w:val="00E948AF"/>
    <w:rsid w:val="00E96B0F"/>
    <w:rsid w:val="00EC4938"/>
    <w:rsid w:val="00ED030A"/>
    <w:rsid w:val="00EE4C2A"/>
    <w:rsid w:val="00EF4DE4"/>
    <w:rsid w:val="00F164F8"/>
    <w:rsid w:val="00F174DC"/>
    <w:rsid w:val="00F41065"/>
    <w:rsid w:val="00F42114"/>
    <w:rsid w:val="00F65E19"/>
    <w:rsid w:val="00F7375F"/>
    <w:rsid w:val="00F765F5"/>
    <w:rsid w:val="00F80A72"/>
    <w:rsid w:val="00F836C3"/>
    <w:rsid w:val="00FA7095"/>
    <w:rsid w:val="00FC2BD2"/>
    <w:rsid w:val="00FC5F8B"/>
    <w:rsid w:val="00FD6BD0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1BF0"/>
  <w15:chartTrackingRefBased/>
  <w15:docId w15:val="{665B89CC-59C7-4500-9AC4-589F6FEC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3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03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84"/>
  </w:style>
  <w:style w:type="paragraph" w:styleId="Footer">
    <w:name w:val="footer"/>
    <w:basedOn w:val="Normal"/>
    <w:link w:val="FooterChar"/>
    <w:uiPriority w:val="99"/>
    <w:unhideWhenUsed/>
    <w:rsid w:val="00FF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84"/>
  </w:style>
  <w:style w:type="table" w:styleId="TableGrid">
    <w:name w:val="Table Grid"/>
    <w:basedOn w:val="TableNormal"/>
    <w:uiPriority w:val="39"/>
    <w:rsid w:val="00E6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xOSTable">
    <w:name w:val="NexOSTable"/>
    <w:basedOn w:val="TableNormal"/>
    <w:rsid w:val="00E60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afterLines="0" w:after="0" w:afterAutospacing="0"/>
      </w:pPr>
      <w:rPr>
        <w:rFonts w:ascii="Times New Roman" w:hAnsi="Times New Roman"/>
        <w:b/>
        <w:sz w:val="20"/>
      </w:rPr>
      <w:tblPr/>
      <w:trPr>
        <w:cantSplit/>
        <w:tblHeader/>
      </w:trPr>
      <w:tcPr>
        <w:shd w:val="clear" w:color="auto" w:fill="D9D9D9"/>
      </w:tcPr>
    </w:tblStylePr>
    <w:tblStylePr w:type="lastRow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1Horz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2Horz">
      <w:pPr>
        <w:wordWrap/>
        <w:spacing w:afterLines="0" w:after="0" w:afterAutospacing="0"/>
      </w:pPr>
      <w:rPr>
        <w:rFonts w:ascii="Times New Roman" w:hAnsi="Times New Roman"/>
        <w:sz w:val="20"/>
      </w:rPr>
    </w:tblStylePr>
    <w:tblStylePr w:type="seCell">
      <w:pPr>
        <w:wordWrap/>
        <w:spacing w:afterLines="0" w:after="240" w:afterAutospacing="0"/>
      </w:pPr>
    </w:tblStylePr>
  </w:style>
  <w:style w:type="paragraph" w:styleId="ListParagraph">
    <w:name w:val="List Paragraph"/>
    <w:basedOn w:val="Normal"/>
    <w:uiPriority w:val="34"/>
    <w:qFormat/>
    <w:rsid w:val="00D2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5A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5034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034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3820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8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38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powerapps.com/play/bc84cb5e-6f4f-411c-b703-abc6e160f587?tenantId=c3d4e9f2-27ad-4c0a-8519-de6ff362633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helpdesk.temperzone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helpdesk@temperzone.com?subject=RE:%20Notification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BCFB-3518-4FA8-825B-2CA3F139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Fastier</dc:creator>
  <cp:keywords/>
  <dc:description/>
  <cp:lastModifiedBy>Lyndsey Boonekamp</cp:lastModifiedBy>
  <cp:revision>2</cp:revision>
  <cp:lastPrinted>2019-07-24T21:47:00Z</cp:lastPrinted>
  <dcterms:created xsi:type="dcterms:W3CDTF">2020-07-27T00:56:00Z</dcterms:created>
  <dcterms:modified xsi:type="dcterms:W3CDTF">2020-07-27T00:56:00Z</dcterms:modified>
</cp:coreProperties>
</file>