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02974" w14:textId="77777777" w:rsidR="00DD2D0E" w:rsidRPr="00DD2D0E" w:rsidRDefault="00DD2D0E" w:rsidP="00DD2D0E">
      <w:pPr>
        <w:pStyle w:val="Title"/>
        <w:jc w:val="both"/>
        <w:rPr>
          <w:sz w:val="44"/>
          <w:szCs w:val="44"/>
        </w:rPr>
      </w:pPr>
      <w:r w:rsidRPr="00DD2D0E">
        <w:rPr>
          <w:sz w:val="44"/>
          <w:szCs w:val="44"/>
        </w:rPr>
        <w:t>N-1 Capacity Screening: Efficient vs. Manual Refactor Comparison</w:t>
      </w:r>
    </w:p>
    <w:p w14:paraId="65728EA8" w14:textId="77777777" w:rsidR="00DD2D0E" w:rsidRPr="00DD2D0E" w:rsidRDefault="00DD2D0E" w:rsidP="00DD2D0E">
      <w:pPr>
        <w:pStyle w:val="Heading1"/>
        <w:jc w:val="both"/>
        <w:rPr>
          <w:sz w:val="32"/>
          <w:szCs w:val="32"/>
        </w:rPr>
      </w:pPr>
      <w:r w:rsidRPr="00DD2D0E">
        <w:rPr>
          <w:sz w:val="32"/>
          <w:szCs w:val="32"/>
        </w:rPr>
        <w:t>Overview</w:t>
      </w:r>
    </w:p>
    <w:p w14:paraId="21084D11" w14:textId="77777777" w:rsidR="00DD2D0E" w:rsidRDefault="00DD2D0E" w:rsidP="00DD2D0E">
      <w:pPr>
        <w:jc w:val="both"/>
        <w:rPr>
          <w:rFonts w:ascii="Aptos" w:hAnsi="Aptos"/>
        </w:rPr>
      </w:pPr>
      <w:r w:rsidRPr="00DD2D0E">
        <w:rPr>
          <w:rFonts w:ascii="Aptos" w:hAnsi="Aptos"/>
        </w:rPr>
        <w:t>This report compares two outputs of the Local N-1 Capacity Screening for substation ABHA4A: the manually refactored workbook and the efficient refactored script output. Both reach the same headline result, but the efficient version differs in several intermediate details.</w:t>
      </w:r>
    </w:p>
    <w:p w14:paraId="6A59874C" w14:textId="77777777" w:rsidR="00DD2D0E" w:rsidRPr="00DD2D0E" w:rsidRDefault="00DD2D0E" w:rsidP="00DD2D0E">
      <w:pPr>
        <w:pStyle w:val="Heading1"/>
        <w:jc w:val="both"/>
        <w:rPr>
          <w:sz w:val="32"/>
          <w:szCs w:val="32"/>
        </w:rPr>
      </w:pPr>
      <w:r w:rsidRPr="00DD2D0E">
        <w:rPr>
          <w:sz w:val="32"/>
          <w:szCs w:val="32"/>
        </w:rPr>
        <w:t>Headline Result (Agrees)</w:t>
      </w:r>
    </w:p>
    <w:p w14:paraId="63A473C0" w14:textId="77777777" w:rsidR="00DD2D0E" w:rsidRDefault="00DD2D0E" w:rsidP="00DD2D0E">
      <w:pPr>
        <w:jc w:val="both"/>
        <w:rPr>
          <w:rFonts w:ascii="Aptos" w:hAnsi="Aptos"/>
        </w:rPr>
      </w:pPr>
      <w:r w:rsidRPr="00DD2D0E">
        <w:rPr>
          <w:rFonts w:ascii="Aptos" w:hAnsi="Aptos"/>
        </w:rPr>
        <w:t>Both versions agree on the headline outcome and the binding row:</w:t>
      </w:r>
    </w:p>
    <w:tbl>
      <w:tblPr>
        <w:tblStyle w:val="GridTable4-Accent1"/>
        <w:tblW w:w="0" w:type="auto"/>
        <w:tblLook w:val="04A0" w:firstRow="1" w:lastRow="0" w:firstColumn="1" w:lastColumn="0" w:noHBand="0" w:noVBand="1"/>
      </w:tblPr>
      <w:tblGrid>
        <w:gridCol w:w="4508"/>
        <w:gridCol w:w="4508"/>
      </w:tblGrid>
      <w:tr w:rsidR="00DD2D0E" w:rsidRPr="00DD2D0E" w14:paraId="2B0BD9F1" w14:textId="77777777" w:rsidTr="00DD2D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CE91909" w14:textId="5830AD1F" w:rsidR="00DD2D0E" w:rsidRPr="00DD2D0E" w:rsidRDefault="00DD2D0E" w:rsidP="00DD2D0E">
            <w:pPr>
              <w:jc w:val="both"/>
              <w:rPr>
                <w:rFonts w:ascii="Aptos" w:hAnsi="Aptos"/>
                <w:color w:val="FFFFFF"/>
              </w:rPr>
            </w:pPr>
            <w:r w:rsidRPr="00DD2D0E">
              <w:rPr>
                <w:rFonts w:ascii="Aptos" w:hAnsi="Aptos"/>
                <w:color w:val="FFFFFF"/>
              </w:rPr>
              <w:t>Metric</w:t>
            </w:r>
          </w:p>
        </w:tc>
        <w:tc>
          <w:tcPr>
            <w:tcW w:w="4508" w:type="dxa"/>
          </w:tcPr>
          <w:p w14:paraId="25723FF1" w14:textId="5E6E667C" w:rsidR="00DD2D0E" w:rsidRPr="00DD2D0E" w:rsidRDefault="00DD2D0E" w:rsidP="00DD2D0E">
            <w:pPr>
              <w:jc w:val="both"/>
              <w:cnfStyle w:val="100000000000" w:firstRow="1" w:lastRow="0" w:firstColumn="0" w:lastColumn="0" w:oddVBand="0" w:evenVBand="0" w:oddHBand="0" w:evenHBand="0" w:firstRowFirstColumn="0" w:firstRowLastColumn="0" w:lastRowFirstColumn="0" w:lastRowLastColumn="0"/>
              <w:rPr>
                <w:rFonts w:ascii="Aptos" w:hAnsi="Aptos"/>
                <w:color w:val="FFFFFF"/>
              </w:rPr>
            </w:pPr>
            <w:r w:rsidRPr="00DD2D0E">
              <w:rPr>
                <w:rFonts w:ascii="Aptos" w:hAnsi="Aptos"/>
                <w:color w:val="FFFFFF"/>
              </w:rPr>
              <w:t>Value (identical in both)</w:t>
            </w:r>
          </w:p>
        </w:tc>
      </w:tr>
      <w:tr w:rsidR="00DD2D0E" w:rsidRPr="00DD2D0E" w14:paraId="0CA8BE57" w14:textId="77777777" w:rsidTr="00DD2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0B4C0C8" w14:textId="4C5E9649" w:rsidR="00DD2D0E" w:rsidRPr="00DD2D0E" w:rsidRDefault="00DD2D0E" w:rsidP="00DD2D0E">
            <w:pPr>
              <w:jc w:val="both"/>
              <w:rPr>
                <w:rFonts w:ascii="Aptos" w:hAnsi="Aptos"/>
              </w:rPr>
            </w:pPr>
            <w:r>
              <w:rPr>
                <w:rFonts w:ascii="Aptos" w:hAnsi="Aptos"/>
              </w:rPr>
              <w:t>Estimated Additional Capacity</w:t>
            </w:r>
          </w:p>
        </w:tc>
        <w:tc>
          <w:tcPr>
            <w:tcW w:w="4508" w:type="dxa"/>
          </w:tcPr>
          <w:p w14:paraId="31545E0C" w14:textId="63B8564B" w:rsidR="00DD2D0E" w:rsidRPr="00DD2D0E" w:rsidRDefault="00DD2D0E" w:rsidP="00DD2D0E">
            <w:pPr>
              <w:jc w:val="both"/>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1701.2 MW</w:t>
            </w:r>
          </w:p>
        </w:tc>
      </w:tr>
      <w:tr w:rsidR="00DD2D0E" w:rsidRPr="00DD2D0E" w14:paraId="641C9943" w14:textId="77777777" w:rsidTr="00DD2D0E">
        <w:tc>
          <w:tcPr>
            <w:cnfStyle w:val="001000000000" w:firstRow="0" w:lastRow="0" w:firstColumn="1" w:lastColumn="0" w:oddVBand="0" w:evenVBand="0" w:oddHBand="0" w:evenHBand="0" w:firstRowFirstColumn="0" w:firstRowLastColumn="0" w:lastRowFirstColumn="0" w:lastRowLastColumn="0"/>
            <w:tcW w:w="4508" w:type="dxa"/>
          </w:tcPr>
          <w:p w14:paraId="409AD5A0" w14:textId="31D36B0A" w:rsidR="00DD2D0E" w:rsidRPr="00DD2D0E" w:rsidRDefault="00DD2D0E" w:rsidP="00DD2D0E">
            <w:pPr>
              <w:jc w:val="both"/>
              <w:rPr>
                <w:rFonts w:ascii="Aptos" w:hAnsi="Aptos"/>
              </w:rPr>
            </w:pPr>
            <w:r>
              <w:rPr>
                <w:rFonts w:ascii="Aptos" w:hAnsi="Aptos"/>
              </w:rPr>
              <w:t>Binding monitored element</w:t>
            </w:r>
          </w:p>
        </w:tc>
        <w:tc>
          <w:tcPr>
            <w:tcW w:w="4508" w:type="dxa"/>
          </w:tcPr>
          <w:p w14:paraId="0F023E4C" w14:textId="16BE38C6" w:rsidR="00DD2D0E" w:rsidRPr="00DD2D0E" w:rsidRDefault="00DD2D0E" w:rsidP="00DD2D0E">
            <w:pPr>
              <w:jc w:val="both"/>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ABHA4A-EXET41 OHL</w:t>
            </w:r>
          </w:p>
        </w:tc>
      </w:tr>
      <w:tr w:rsidR="00DD2D0E" w:rsidRPr="00DD2D0E" w14:paraId="7E6382AF" w14:textId="77777777" w:rsidTr="00DD2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8308D43" w14:textId="1A94CB1D" w:rsidR="00DD2D0E" w:rsidRPr="00DD2D0E" w:rsidRDefault="00DD2D0E" w:rsidP="00DD2D0E">
            <w:pPr>
              <w:jc w:val="both"/>
              <w:rPr>
                <w:rFonts w:ascii="Aptos" w:hAnsi="Aptos"/>
              </w:rPr>
            </w:pPr>
            <w:r>
              <w:rPr>
                <w:rFonts w:ascii="Aptos" w:hAnsi="Aptos"/>
              </w:rPr>
              <w:t>Under N-1 outage of</w:t>
            </w:r>
          </w:p>
        </w:tc>
        <w:tc>
          <w:tcPr>
            <w:tcW w:w="4508" w:type="dxa"/>
          </w:tcPr>
          <w:p w14:paraId="39A808B9" w14:textId="5940E070" w:rsidR="00DD2D0E" w:rsidRPr="00DD2D0E" w:rsidRDefault="00DD2D0E" w:rsidP="00DD2D0E">
            <w:pPr>
              <w:jc w:val="both"/>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ABHA4A-LAGA41 OHL</w:t>
            </w:r>
          </w:p>
        </w:tc>
      </w:tr>
      <w:tr w:rsidR="00DD2D0E" w:rsidRPr="00DD2D0E" w14:paraId="518BF784" w14:textId="77777777" w:rsidTr="00DD2D0E">
        <w:tc>
          <w:tcPr>
            <w:cnfStyle w:val="001000000000" w:firstRow="0" w:lastRow="0" w:firstColumn="1" w:lastColumn="0" w:oddVBand="0" w:evenVBand="0" w:oddHBand="0" w:evenHBand="0" w:firstRowFirstColumn="0" w:firstRowLastColumn="0" w:lastRowFirstColumn="0" w:lastRowLastColumn="0"/>
            <w:tcW w:w="4508" w:type="dxa"/>
          </w:tcPr>
          <w:p w14:paraId="4A997FD7" w14:textId="28EF1EC7" w:rsidR="00DD2D0E" w:rsidRPr="00DD2D0E" w:rsidRDefault="00DD2D0E" w:rsidP="00DD2D0E">
            <w:pPr>
              <w:jc w:val="both"/>
              <w:rPr>
                <w:rFonts w:ascii="Aptos" w:hAnsi="Aptos"/>
              </w:rPr>
            </w:pPr>
            <w:r>
              <w:rPr>
                <w:rFonts w:ascii="Aptos" w:hAnsi="Aptos"/>
              </w:rPr>
              <w:t>Base loading</w:t>
            </w:r>
          </w:p>
        </w:tc>
        <w:tc>
          <w:tcPr>
            <w:tcW w:w="4508" w:type="dxa"/>
          </w:tcPr>
          <w:p w14:paraId="7DCA3624" w14:textId="787C75F5" w:rsidR="00DD2D0E" w:rsidRPr="00DD2D0E" w:rsidRDefault="00DD2D0E" w:rsidP="00DD2D0E">
            <w:pPr>
              <w:jc w:val="both"/>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0.4%</w:t>
            </w:r>
          </w:p>
        </w:tc>
      </w:tr>
      <w:tr w:rsidR="00DD2D0E" w:rsidRPr="00DD2D0E" w14:paraId="3B912FF5" w14:textId="77777777" w:rsidTr="00DD2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1A36749" w14:textId="59C624A6" w:rsidR="00DD2D0E" w:rsidRPr="00DD2D0E" w:rsidRDefault="00DD2D0E" w:rsidP="00DD2D0E">
            <w:pPr>
              <w:jc w:val="both"/>
              <w:rPr>
                <w:rFonts w:ascii="Aptos" w:hAnsi="Aptos"/>
              </w:rPr>
            </w:pPr>
            <w:r>
              <w:rPr>
                <w:rFonts w:ascii="Aptos" w:hAnsi="Aptos"/>
              </w:rPr>
              <w:t>Post-contingency loading</w:t>
            </w:r>
          </w:p>
        </w:tc>
        <w:tc>
          <w:tcPr>
            <w:tcW w:w="4508" w:type="dxa"/>
          </w:tcPr>
          <w:p w14:paraId="74BE174F" w14:textId="2178DCD5" w:rsidR="00DD2D0E" w:rsidRPr="00DD2D0E" w:rsidRDefault="00DD2D0E" w:rsidP="00DD2D0E">
            <w:pPr>
              <w:jc w:val="both"/>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8.13%</w:t>
            </w:r>
          </w:p>
        </w:tc>
      </w:tr>
      <w:tr w:rsidR="00DD2D0E" w:rsidRPr="00DD2D0E" w14:paraId="5346A4E4" w14:textId="77777777" w:rsidTr="00DD2D0E">
        <w:tc>
          <w:tcPr>
            <w:cnfStyle w:val="001000000000" w:firstRow="0" w:lastRow="0" w:firstColumn="1" w:lastColumn="0" w:oddVBand="0" w:evenVBand="0" w:oddHBand="0" w:evenHBand="0" w:firstRowFirstColumn="0" w:firstRowLastColumn="0" w:lastRowFirstColumn="0" w:lastRowLastColumn="0"/>
            <w:tcW w:w="4508" w:type="dxa"/>
          </w:tcPr>
          <w:p w14:paraId="4BE98B91" w14:textId="34BC99C4" w:rsidR="00DD2D0E" w:rsidRPr="00DD2D0E" w:rsidRDefault="00DD2D0E" w:rsidP="00DD2D0E">
            <w:pPr>
              <w:jc w:val="both"/>
              <w:rPr>
                <w:rFonts w:ascii="Aptos" w:hAnsi="Aptos"/>
              </w:rPr>
            </w:pPr>
            <w:r>
              <w:rPr>
                <w:rFonts w:ascii="Aptos" w:hAnsi="Aptos"/>
              </w:rPr>
              <w:t>Headroom (binding row)</w:t>
            </w:r>
          </w:p>
        </w:tc>
        <w:tc>
          <w:tcPr>
            <w:tcW w:w="4508" w:type="dxa"/>
          </w:tcPr>
          <w:p w14:paraId="599C110A" w14:textId="4263CB7F" w:rsidR="00DD2D0E" w:rsidRPr="00DD2D0E" w:rsidRDefault="00DD2D0E" w:rsidP="00DD2D0E">
            <w:pPr>
              <w:jc w:val="both"/>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1701.2 MW</w:t>
            </w:r>
          </w:p>
        </w:tc>
      </w:tr>
    </w:tbl>
    <w:p w14:paraId="00553488" w14:textId="77777777" w:rsidR="00DD2D0E" w:rsidRPr="00DD2D0E" w:rsidRDefault="00DD2D0E" w:rsidP="00DD2D0E">
      <w:pPr>
        <w:pStyle w:val="Heading1"/>
        <w:jc w:val="both"/>
        <w:rPr>
          <w:sz w:val="32"/>
          <w:szCs w:val="32"/>
        </w:rPr>
      </w:pPr>
      <w:r w:rsidRPr="00DD2D0E">
        <w:rPr>
          <w:sz w:val="32"/>
          <w:szCs w:val="32"/>
        </w:rPr>
        <w:t>Differences</w:t>
      </w:r>
    </w:p>
    <w:p w14:paraId="1595222E" w14:textId="77777777" w:rsidR="00DD2D0E" w:rsidRDefault="00DD2D0E" w:rsidP="00DD2D0E">
      <w:pPr>
        <w:pStyle w:val="Heading2"/>
        <w:jc w:val="both"/>
      </w:pPr>
      <w:r>
        <w:t xml:space="preserve">1. </w:t>
      </w:r>
      <w:r w:rsidRPr="00DD2D0E">
        <w:rPr>
          <w:sz w:val="28"/>
          <w:szCs w:val="28"/>
        </w:rPr>
        <w:t>Dropped Columns in the Efficient Version</w:t>
      </w:r>
    </w:p>
    <w:p w14:paraId="7C7FCC91" w14:textId="77777777" w:rsidR="00DD2D0E" w:rsidRDefault="00DD2D0E" w:rsidP="00DD2D0E">
      <w:pPr>
        <w:pStyle w:val="ListBullet"/>
        <w:jc w:val="both"/>
        <w:rPr>
          <w:rFonts w:ascii="Aptos" w:hAnsi="Aptos"/>
        </w:rPr>
      </w:pPr>
      <w:r w:rsidRPr="00DD2D0E">
        <w:rPr>
          <w:rFonts w:ascii="Aptos" w:hAnsi="Aptos"/>
        </w:rPr>
        <w:t>Summary sheet omits “Test Increment (MW)” (value = 50), present as a column in the manual version.</w:t>
      </w:r>
    </w:p>
    <w:p w14:paraId="1A3A818A" w14:textId="77777777" w:rsidR="00DD2D0E" w:rsidRDefault="00DD2D0E" w:rsidP="00DD2D0E">
      <w:pPr>
        <w:pStyle w:val="ListBullet"/>
        <w:jc w:val="both"/>
        <w:rPr>
          <w:rFonts w:ascii="Aptos" w:hAnsi="Aptos"/>
        </w:rPr>
      </w:pPr>
      <w:r w:rsidRPr="00DD2D0E">
        <w:rPr>
          <w:rFonts w:ascii="Aptos" w:hAnsi="Aptos"/>
        </w:rPr>
        <w:t>Detail sheet omits “Loading at +50MW (%)” (manual column H). The efficient output therefore has no record of loading at the tested increment — only base and post-contingency loadings.</w:t>
      </w:r>
    </w:p>
    <w:p w14:paraId="776A55BB" w14:textId="77777777" w:rsidR="00DD2D0E" w:rsidRPr="00DD2D0E" w:rsidRDefault="00DD2D0E" w:rsidP="00DD2D0E">
      <w:pPr>
        <w:pStyle w:val="Heading2"/>
        <w:jc w:val="both"/>
        <w:rPr>
          <w:sz w:val="28"/>
          <w:szCs w:val="28"/>
        </w:rPr>
      </w:pPr>
      <w:r>
        <w:t xml:space="preserve">2. </w:t>
      </w:r>
      <w:r w:rsidRPr="00DD2D0E">
        <w:rPr>
          <w:sz w:val="28"/>
          <w:szCs w:val="28"/>
        </w:rPr>
        <w:t>Sensitivity Sign Flipped</w:t>
      </w:r>
    </w:p>
    <w:p w14:paraId="3A21693E" w14:textId="77777777" w:rsidR="00DD2D0E" w:rsidRDefault="00DD2D0E" w:rsidP="00DD2D0E">
      <w:pPr>
        <w:jc w:val="both"/>
        <w:rPr>
          <w:rFonts w:ascii="Aptos" w:hAnsi="Aptos"/>
        </w:rPr>
      </w:pPr>
      <w:r w:rsidRPr="00DD2D0E">
        <w:rPr>
          <w:rFonts w:ascii="Aptos" w:hAnsi="Aptos"/>
        </w:rPr>
        <w:t>On the rows present in both files, the efficient version reports negative sensitivities where the manual reports positive:</w:t>
      </w:r>
    </w:p>
    <w:tbl>
      <w:tblPr>
        <w:tblStyle w:val="GridTable4-Accent1"/>
        <w:tblW w:w="0" w:type="auto"/>
        <w:tblLook w:val="04A0" w:firstRow="1" w:lastRow="0" w:firstColumn="1" w:lastColumn="0" w:noHBand="0" w:noVBand="1"/>
      </w:tblPr>
      <w:tblGrid>
        <w:gridCol w:w="3005"/>
        <w:gridCol w:w="3005"/>
        <w:gridCol w:w="3006"/>
      </w:tblGrid>
      <w:tr w:rsidR="00DD2D0E" w:rsidRPr="00DD2D0E" w14:paraId="722D9200" w14:textId="77777777" w:rsidTr="00DD2D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24CF6E5" w14:textId="1AFFCA2E" w:rsidR="00DD2D0E" w:rsidRPr="00DD2D0E" w:rsidRDefault="00DD2D0E" w:rsidP="00DD2D0E">
            <w:pPr>
              <w:jc w:val="both"/>
              <w:rPr>
                <w:rFonts w:ascii="Aptos" w:hAnsi="Aptos"/>
                <w:color w:val="FFFFFF"/>
              </w:rPr>
            </w:pPr>
            <w:r w:rsidRPr="00DD2D0E">
              <w:rPr>
                <w:rFonts w:ascii="Aptos" w:hAnsi="Aptos"/>
                <w:color w:val="FFFFFF"/>
              </w:rPr>
              <w:t>Outage to Monitored</w:t>
            </w:r>
          </w:p>
        </w:tc>
        <w:tc>
          <w:tcPr>
            <w:tcW w:w="3005" w:type="dxa"/>
          </w:tcPr>
          <w:p w14:paraId="6DA896E4" w14:textId="61FBF5C4" w:rsidR="00DD2D0E" w:rsidRPr="00DD2D0E" w:rsidRDefault="00DD2D0E" w:rsidP="00DD2D0E">
            <w:pPr>
              <w:jc w:val="both"/>
              <w:cnfStyle w:val="100000000000" w:firstRow="1" w:lastRow="0" w:firstColumn="0" w:lastColumn="0" w:oddVBand="0" w:evenVBand="0" w:oddHBand="0" w:evenHBand="0" w:firstRowFirstColumn="0" w:firstRowLastColumn="0" w:lastRowFirstColumn="0" w:lastRowLastColumn="0"/>
              <w:rPr>
                <w:rFonts w:ascii="Aptos" w:hAnsi="Aptos"/>
                <w:color w:val="FFFFFF"/>
              </w:rPr>
            </w:pPr>
            <w:r w:rsidRPr="00DD2D0E">
              <w:rPr>
                <w:rFonts w:ascii="Aptos" w:hAnsi="Aptos"/>
                <w:color w:val="FFFFFF"/>
              </w:rPr>
              <w:t>Manual</w:t>
            </w:r>
          </w:p>
        </w:tc>
        <w:tc>
          <w:tcPr>
            <w:tcW w:w="3006" w:type="dxa"/>
          </w:tcPr>
          <w:p w14:paraId="77B191A6" w14:textId="1A103CBE" w:rsidR="00DD2D0E" w:rsidRPr="00DD2D0E" w:rsidRDefault="00DD2D0E" w:rsidP="00DD2D0E">
            <w:pPr>
              <w:jc w:val="both"/>
              <w:cnfStyle w:val="100000000000" w:firstRow="1" w:lastRow="0" w:firstColumn="0" w:lastColumn="0" w:oddVBand="0" w:evenVBand="0" w:oddHBand="0" w:evenHBand="0" w:firstRowFirstColumn="0" w:firstRowLastColumn="0" w:lastRowFirstColumn="0" w:lastRowLastColumn="0"/>
              <w:rPr>
                <w:rFonts w:ascii="Aptos" w:hAnsi="Aptos"/>
                <w:color w:val="FFFFFF"/>
              </w:rPr>
            </w:pPr>
            <w:r w:rsidRPr="00DD2D0E">
              <w:rPr>
                <w:rFonts w:ascii="Aptos" w:hAnsi="Aptos"/>
                <w:color w:val="FFFFFF"/>
              </w:rPr>
              <w:t>Efficient</w:t>
            </w:r>
          </w:p>
        </w:tc>
      </w:tr>
      <w:tr w:rsidR="00DD2D0E" w:rsidRPr="00DD2D0E" w14:paraId="4BF95810" w14:textId="77777777" w:rsidTr="00DD2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946FE36" w14:textId="7BF70502" w:rsidR="00DD2D0E" w:rsidRPr="00DD2D0E" w:rsidRDefault="00DD2D0E" w:rsidP="00DD2D0E">
            <w:pPr>
              <w:jc w:val="both"/>
              <w:rPr>
                <w:rFonts w:ascii="Aptos" w:hAnsi="Aptos"/>
              </w:rPr>
            </w:pPr>
            <w:r>
              <w:rPr>
                <w:rFonts w:ascii="Aptos" w:hAnsi="Aptos"/>
              </w:rPr>
              <w:t>EXET41 to LAGA41</w:t>
            </w:r>
          </w:p>
        </w:tc>
        <w:tc>
          <w:tcPr>
            <w:tcW w:w="3005" w:type="dxa"/>
          </w:tcPr>
          <w:p w14:paraId="13935355" w14:textId="4E882293" w:rsidR="00DD2D0E" w:rsidRPr="00DD2D0E" w:rsidRDefault="00DD2D0E" w:rsidP="00DD2D0E">
            <w:pPr>
              <w:jc w:val="both"/>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+0.041271</w:t>
            </w:r>
          </w:p>
        </w:tc>
        <w:tc>
          <w:tcPr>
            <w:tcW w:w="3006" w:type="dxa"/>
          </w:tcPr>
          <w:p w14:paraId="15F0A512" w14:textId="57A33D30" w:rsidR="00DD2D0E" w:rsidRPr="00DD2D0E" w:rsidRDefault="00DD2D0E" w:rsidP="00DD2D0E">
            <w:pPr>
              <w:jc w:val="both"/>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-0.041271</w:t>
            </w:r>
          </w:p>
        </w:tc>
      </w:tr>
      <w:tr w:rsidR="00DD2D0E" w:rsidRPr="00DD2D0E" w14:paraId="1832BC22" w14:textId="77777777" w:rsidTr="00DD2D0E">
        <w:tc>
          <w:tcPr>
            <w:cnfStyle w:val="001000000000" w:firstRow="0" w:lastRow="0" w:firstColumn="1" w:lastColumn="0" w:oddVBand="0" w:evenVBand="0" w:oddHBand="0" w:evenHBand="0" w:firstRowFirstColumn="0" w:firstRowLastColumn="0" w:lastRowFirstColumn="0" w:lastRowLastColumn="0"/>
            <w:tcW w:w="3005" w:type="dxa"/>
          </w:tcPr>
          <w:p w14:paraId="37B44451" w14:textId="2C6F47D6" w:rsidR="00DD2D0E" w:rsidRPr="00DD2D0E" w:rsidRDefault="00DD2D0E" w:rsidP="00DD2D0E">
            <w:pPr>
              <w:jc w:val="both"/>
              <w:rPr>
                <w:rFonts w:ascii="Aptos" w:hAnsi="Aptos"/>
              </w:rPr>
            </w:pPr>
            <w:r>
              <w:rPr>
                <w:rFonts w:ascii="Aptos" w:hAnsi="Aptos"/>
              </w:rPr>
              <w:t>LAGA41 to EXET41</w:t>
            </w:r>
          </w:p>
        </w:tc>
        <w:tc>
          <w:tcPr>
            <w:tcW w:w="3005" w:type="dxa"/>
          </w:tcPr>
          <w:p w14:paraId="19AD9D7D" w14:textId="442397B6" w:rsidR="00DD2D0E" w:rsidRPr="00DD2D0E" w:rsidRDefault="00DD2D0E" w:rsidP="00DD2D0E">
            <w:pPr>
              <w:jc w:val="both"/>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+0.048123</w:t>
            </w:r>
          </w:p>
        </w:tc>
        <w:tc>
          <w:tcPr>
            <w:tcW w:w="3006" w:type="dxa"/>
          </w:tcPr>
          <w:p w14:paraId="347F7185" w14:textId="247FF916" w:rsidR="00DD2D0E" w:rsidRPr="00DD2D0E" w:rsidRDefault="00DD2D0E" w:rsidP="00DD2D0E">
            <w:pPr>
              <w:jc w:val="both"/>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-0.048123</w:t>
            </w:r>
          </w:p>
        </w:tc>
      </w:tr>
      <w:tr w:rsidR="00DD2D0E" w:rsidRPr="00DD2D0E" w14:paraId="28C14EFB" w14:textId="77777777" w:rsidTr="00DD2D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D681C65" w14:textId="5C837DE8" w:rsidR="00DD2D0E" w:rsidRPr="00DD2D0E" w:rsidRDefault="00DD2D0E" w:rsidP="00DD2D0E">
            <w:pPr>
              <w:jc w:val="both"/>
              <w:rPr>
                <w:rFonts w:ascii="Aptos" w:hAnsi="Aptos"/>
              </w:rPr>
            </w:pPr>
            <w:r>
              <w:rPr>
                <w:rFonts w:ascii="Aptos" w:hAnsi="Aptos"/>
              </w:rPr>
              <w:t>Summary (binding)</w:t>
            </w:r>
          </w:p>
        </w:tc>
        <w:tc>
          <w:tcPr>
            <w:tcW w:w="3005" w:type="dxa"/>
          </w:tcPr>
          <w:p w14:paraId="4E1649CC" w14:textId="3B8220F9" w:rsidR="00DD2D0E" w:rsidRPr="00DD2D0E" w:rsidRDefault="00DD2D0E" w:rsidP="00DD2D0E">
            <w:pPr>
              <w:jc w:val="both"/>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+0.048123</w:t>
            </w:r>
          </w:p>
        </w:tc>
        <w:tc>
          <w:tcPr>
            <w:tcW w:w="3006" w:type="dxa"/>
          </w:tcPr>
          <w:p w14:paraId="481A01BB" w14:textId="0A37B552" w:rsidR="00DD2D0E" w:rsidRPr="00DD2D0E" w:rsidRDefault="00DD2D0E" w:rsidP="00DD2D0E">
            <w:pPr>
              <w:jc w:val="both"/>
              <w:cnfStyle w:val="000000100000" w:firstRow="0" w:lastRow="0" w:firstColumn="0" w:lastColumn="0" w:oddVBand="0" w:evenVBand="0" w:oddHBand="1" w:evenHBand="0" w:firstRowFirstColumn="0" w:firstRowLastColumn="0" w:lastRowFirstColumn="0" w:lastRowLastColumn="0"/>
              <w:rPr>
                <w:rFonts w:ascii="Aptos" w:hAnsi="Aptos"/>
              </w:rPr>
            </w:pPr>
            <w:r>
              <w:rPr>
                <w:rFonts w:ascii="Aptos" w:hAnsi="Aptos"/>
              </w:rPr>
              <w:t>-0.048123</w:t>
            </w:r>
          </w:p>
        </w:tc>
      </w:tr>
    </w:tbl>
    <w:p w14:paraId="6AD7C763" w14:textId="4567CC9C" w:rsidR="00DD2D0E" w:rsidRPr="00DD2D0E" w:rsidRDefault="00DD2D0E" w:rsidP="00DD2D0E">
      <w:pPr>
        <w:jc w:val="both"/>
      </w:pPr>
    </w:p>
    <w:p w14:paraId="13820E4B" w14:textId="7F6B037F" w:rsidR="00DD2D0E" w:rsidRPr="00DD2D0E" w:rsidRDefault="00DD2D0E" w:rsidP="00DD2D0E">
      <w:pPr>
        <w:jc w:val="both"/>
        <w:rPr>
          <w:rFonts w:ascii="Aptos" w:hAnsi="Aptos"/>
        </w:rPr>
      </w:pPr>
      <w:r w:rsidRPr="00DD2D0E">
        <w:rPr>
          <w:rFonts w:ascii="Aptos" w:hAnsi="Aptos"/>
        </w:rPr>
        <w:lastRenderedPageBreak/>
        <w:t>Headroom remains positive in both, indicating a sign-convention or bug difference rather than a different result. The intended convention should be confirmed.</w:t>
      </w:r>
    </w:p>
    <w:p w14:paraId="00069FE9" w14:textId="19314C5E" w:rsidR="00DD2D0E" w:rsidRPr="00DD2D0E" w:rsidRDefault="00DD2D0E" w:rsidP="00DD2D0E">
      <w:pPr>
        <w:pStyle w:val="Heading2"/>
        <w:jc w:val="both"/>
      </w:pPr>
      <w:r w:rsidRPr="00DD2D0E">
        <w:t xml:space="preserve">3. </w:t>
      </w:r>
      <w:r w:rsidRPr="00DD2D0E">
        <w:rPr>
          <w:sz w:val="28"/>
          <w:szCs w:val="28"/>
        </w:rPr>
        <w:t>Transformer-Monitored Loadings Zeroed Out</w:t>
      </w:r>
    </w:p>
    <w:p w14:paraId="513E2B28" w14:textId="00AFEB5A" w:rsidR="00DD2D0E" w:rsidRPr="00DD2D0E" w:rsidRDefault="00DD2D0E" w:rsidP="00DD2D0E">
      <w:pPr>
        <w:jc w:val="both"/>
        <w:rPr>
          <w:rFonts w:ascii="Aptos" w:hAnsi="Aptos"/>
        </w:rPr>
      </w:pPr>
      <w:r w:rsidRPr="00DD2D0E">
        <w:rPr>
          <w:rFonts w:ascii="Aptos" w:hAnsi="Aptos"/>
        </w:rPr>
        <w:t>For the ElmTr3 (transformer) monitored rows, the manual version shows 61.47% base and post-contingency loading; the efficient version shows 0. Both still flag these rows as non-constraining, so the binding outcome is unaffected, but the efficient output has lost the actual transformer loading values.</w:t>
      </w:r>
    </w:p>
    <w:p w14:paraId="6F32E6C4" w14:textId="77777777" w:rsidR="00DD2D0E" w:rsidRPr="00DD2D0E" w:rsidRDefault="00DD2D0E" w:rsidP="00DD2D0E">
      <w:pPr>
        <w:pStyle w:val="Heading2"/>
        <w:jc w:val="both"/>
        <w:rPr>
          <w:sz w:val="28"/>
          <w:szCs w:val="28"/>
        </w:rPr>
      </w:pPr>
      <w:r w:rsidRPr="00DD2D0E">
        <w:t>4</w:t>
      </w:r>
      <w:r w:rsidRPr="00DD2D0E">
        <w:rPr>
          <w:sz w:val="28"/>
          <w:szCs w:val="28"/>
        </w:rPr>
        <w:t>. Transformer Outage Skipped Rather Than Evaluated</w:t>
      </w:r>
    </w:p>
    <w:p w14:paraId="27189868" w14:textId="77777777" w:rsidR="00DD2D0E" w:rsidRDefault="00DD2D0E" w:rsidP="00DD2D0E">
      <w:pPr>
        <w:pStyle w:val="ListBullet"/>
        <w:jc w:val="both"/>
        <w:rPr>
          <w:rFonts w:ascii="Aptos" w:hAnsi="Aptos"/>
        </w:rPr>
      </w:pPr>
      <w:r w:rsidRPr="00DD2D0E">
        <w:rPr>
          <w:rFonts w:ascii="Aptos" w:hAnsi="Aptos"/>
        </w:rPr>
        <w:t>Manual evaluates the ABHA11_Tx_1.ElmTr3 outage as two monitored rows (headrooms: non-constraining and 4761.2 MW, both non-binding).</w:t>
      </w:r>
    </w:p>
    <w:p w14:paraId="0826AEBB" w14:textId="77777777" w:rsidR="00DD2D0E" w:rsidRDefault="00DD2D0E" w:rsidP="00DD2D0E">
      <w:pPr>
        <w:pStyle w:val="ListBullet"/>
        <w:jc w:val="both"/>
        <w:rPr>
          <w:rFonts w:ascii="Aptos" w:hAnsi="Aptos"/>
        </w:rPr>
      </w:pPr>
      <w:r w:rsidRPr="00DD2D0E">
        <w:rPr>
          <w:rFonts w:ascii="Aptos" w:hAnsi="Aptos"/>
        </w:rPr>
        <w:t>Efficient collapses this to a single row labelled “Islanding outage — skipped” and never evaluates the monitored circuits. Because those rows were not binding, the final capacity is unchanged, but this is a genuine methodology difference (skip-as-islanding versus evaluate).</w:t>
      </w:r>
    </w:p>
    <w:p w14:paraId="5AC4F8B9" w14:textId="77777777" w:rsidR="00DD2D0E" w:rsidRPr="00DD2D0E" w:rsidRDefault="00DD2D0E" w:rsidP="00DD2D0E">
      <w:pPr>
        <w:pStyle w:val="Heading1"/>
        <w:rPr>
          <w:sz w:val="32"/>
          <w:szCs w:val="32"/>
        </w:rPr>
      </w:pPr>
      <w:r w:rsidRPr="00DD2D0E">
        <w:rPr>
          <w:sz w:val="32"/>
          <w:szCs w:val="32"/>
        </w:rPr>
        <w:t>Runtime</w:t>
      </w:r>
    </w:p>
    <w:p w14:paraId="0AFFF958" w14:textId="77777777" w:rsidR="00DD2D0E" w:rsidRDefault="00DD2D0E" w:rsidP="00DD2D0E">
      <w:pPr>
        <w:jc w:val="both"/>
        <w:rPr>
          <w:rFonts w:ascii="Aptos" w:hAnsi="Aptos"/>
        </w:rPr>
      </w:pPr>
      <w:r w:rsidRPr="00DD2D0E">
        <w:rPr>
          <w:rFonts w:ascii="Aptos" w:hAnsi="Aptos"/>
        </w:rPr>
        <w:t>Both screenings ran on the same reduced network snapshot (1959 buses, 2913 branches, 185 couplers), so the timing difference reflects the screening method rather than the problem size. The efficient package finished in 9.5 s; the manual finite-difference run took 17.0 s — roughly 1.8 times slower, about 7.5 s of additional runtime on this single-substation case.</w:t>
      </w:r>
    </w:p>
    <w:p w14:paraId="18A58205" w14:textId="3C9A6ACC" w:rsidR="00DD2D0E" w:rsidRPr="00DD2D0E" w:rsidRDefault="00DD2D0E" w:rsidP="00DD2D0E">
      <w:pPr>
        <w:jc w:val="both"/>
        <w:rPr>
          <w:rFonts w:ascii="Aptos" w:hAnsi="Aptos"/>
        </w:rPr>
      </w:pPr>
      <w:r w:rsidRPr="00DD2D0E">
        <w:rPr>
          <w:rFonts w:ascii="Aptos" w:hAnsi="Aptos"/>
        </w:rPr>
        <w:t>The gap follows directly from the methodology differences noted above. The manual version uses a finite-difference method, stepping load in 50 MW test increments and re-solving the network at each step, whereas the efficient version derives headroom analytically from the sensitivities. This is the same design choice that causes the efficient output to drop the “Test Increment” and “Loading at +50MW” columns (Difference 1): it never evaluates a discrete +50 MW operating point. The trade-off is speed against the intermediate detail and per-element evaluation lost in Differences 1 through 4. On a single substation the absolute saving is modest, but it would compound substantially across a larger candidate set.</w:t>
      </w:r>
    </w:p>
    <w:p w14:paraId="3A9A8984" w14:textId="559A5A5A" w:rsidR="00DD2D0E" w:rsidRPr="00DD2D0E" w:rsidRDefault="00DD2D0E" w:rsidP="00DD2D0E">
      <w:pPr>
        <w:pStyle w:val="Heading1"/>
        <w:jc w:val="both"/>
        <w:rPr>
          <w:sz w:val="32"/>
          <w:szCs w:val="32"/>
        </w:rPr>
      </w:pPr>
      <w:r w:rsidRPr="00DD2D0E">
        <w:rPr>
          <w:sz w:val="32"/>
          <w:szCs w:val="32"/>
        </w:rPr>
        <w:t>Conclusion</w:t>
      </w:r>
    </w:p>
    <w:p w14:paraId="057FC9B0" w14:textId="772561BE" w:rsidR="00790CBB" w:rsidRPr="00DD2D0E" w:rsidRDefault="00DD2D0E" w:rsidP="00DD2D0E">
      <w:pPr>
        <w:jc w:val="both"/>
        <w:rPr>
          <w:rFonts w:ascii="Aptos" w:hAnsi="Aptos"/>
        </w:rPr>
      </w:pPr>
      <w:r w:rsidRPr="00DD2D0E">
        <w:rPr>
          <w:rFonts w:ascii="Aptos" w:hAnsi="Aptos"/>
        </w:rPr>
        <w:t>The refactor reproduces the final capacity and binding constraint correctly. However, it omits the +50MW test-increment columns, flips the sensitivity sign, zeroes transformer loadings, and skips the transformer outage as islanding. Items 2 through 4 should be checked before relying on the efficient script for other substations, where a skipped or zeroed element could be binding.</w:t>
      </w:r>
    </w:p>
    <w:sectPr w:rsidR="00790CBB" w:rsidRPr="00DD2D0E">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80D7B" w14:textId="77777777" w:rsidR="00B8579D" w:rsidRDefault="00B8579D" w:rsidP="00DD2D0E">
      <w:pPr>
        <w:spacing w:after="0" w:line="240" w:lineRule="auto"/>
      </w:pPr>
      <w:r>
        <w:separator/>
      </w:r>
    </w:p>
  </w:endnote>
  <w:endnote w:type="continuationSeparator" w:id="0">
    <w:p w14:paraId="0FC74699" w14:textId="77777777" w:rsidR="00B8579D" w:rsidRDefault="00B8579D" w:rsidP="00DD2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4A0C" w14:textId="77777777" w:rsidR="00DD2D0E" w:rsidRDefault="00DD2D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3B7FF" w14:textId="77777777" w:rsidR="00DD2D0E" w:rsidRDefault="00DD2D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BF002" w14:textId="77777777" w:rsidR="00DD2D0E" w:rsidRDefault="00DD2D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E1200" w14:textId="77777777" w:rsidR="00B8579D" w:rsidRDefault="00B8579D" w:rsidP="00DD2D0E">
      <w:pPr>
        <w:spacing w:after="0" w:line="240" w:lineRule="auto"/>
      </w:pPr>
      <w:r>
        <w:separator/>
      </w:r>
    </w:p>
  </w:footnote>
  <w:footnote w:type="continuationSeparator" w:id="0">
    <w:p w14:paraId="2F0C2E7D" w14:textId="77777777" w:rsidR="00B8579D" w:rsidRDefault="00B8579D" w:rsidP="00DD2D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AE2CF" w14:textId="77777777" w:rsidR="00DD2D0E" w:rsidRDefault="00DD2D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53119" w14:textId="77777777" w:rsidR="00DD2D0E" w:rsidRDefault="00DD2D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6E281" w14:textId="77777777" w:rsidR="00DD2D0E" w:rsidRDefault="00DD2D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5CFBF0"/>
    <w:lvl w:ilvl="0">
      <w:start w:val="1"/>
      <w:numFmt w:val="bullet"/>
      <w:pStyle w:val="ListBullet"/>
      <w:lvlText w:val=""/>
      <w:lvlJc w:val="left"/>
      <w:pPr>
        <w:tabs>
          <w:tab w:val="num" w:pos="360"/>
        </w:tabs>
        <w:ind w:left="360" w:hanging="360"/>
      </w:pPr>
      <w:rPr>
        <w:rFonts w:ascii="Symbol" w:hAnsi="Symbol" w:hint="default"/>
      </w:rPr>
    </w:lvl>
  </w:abstractNum>
  <w:num w:numId="1" w16cid:durableId="253559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746"/>
    <w:rsid w:val="00696746"/>
    <w:rsid w:val="00790CBB"/>
    <w:rsid w:val="00AE4B0E"/>
    <w:rsid w:val="00B8579D"/>
    <w:rsid w:val="00D31055"/>
    <w:rsid w:val="00DD2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D584C"/>
  <w15:chartTrackingRefBased/>
  <w15:docId w15:val="{DD6A727E-3271-4145-BC3D-5A13CC3A4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7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67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7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7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7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7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7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7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7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7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67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7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7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7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746"/>
    <w:rPr>
      <w:rFonts w:eastAsiaTheme="majorEastAsia" w:cstheme="majorBidi"/>
      <w:color w:val="272727" w:themeColor="text1" w:themeTint="D8"/>
    </w:rPr>
  </w:style>
  <w:style w:type="paragraph" w:styleId="Title">
    <w:name w:val="Title"/>
    <w:basedOn w:val="Normal"/>
    <w:next w:val="Normal"/>
    <w:link w:val="TitleChar"/>
    <w:uiPriority w:val="10"/>
    <w:qFormat/>
    <w:rsid w:val="00696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7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746"/>
    <w:pPr>
      <w:spacing w:before="160"/>
      <w:jc w:val="center"/>
    </w:pPr>
    <w:rPr>
      <w:i/>
      <w:iCs/>
      <w:color w:val="404040" w:themeColor="text1" w:themeTint="BF"/>
    </w:rPr>
  </w:style>
  <w:style w:type="character" w:customStyle="1" w:styleId="QuoteChar">
    <w:name w:val="Quote Char"/>
    <w:basedOn w:val="DefaultParagraphFont"/>
    <w:link w:val="Quote"/>
    <w:uiPriority w:val="29"/>
    <w:rsid w:val="00696746"/>
    <w:rPr>
      <w:i/>
      <w:iCs/>
      <w:color w:val="404040" w:themeColor="text1" w:themeTint="BF"/>
    </w:rPr>
  </w:style>
  <w:style w:type="paragraph" w:styleId="ListParagraph">
    <w:name w:val="List Paragraph"/>
    <w:basedOn w:val="Normal"/>
    <w:uiPriority w:val="34"/>
    <w:qFormat/>
    <w:rsid w:val="00696746"/>
    <w:pPr>
      <w:ind w:left="720"/>
      <w:contextualSpacing/>
    </w:pPr>
  </w:style>
  <w:style w:type="character" w:styleId="IntenseEmphasis">
    <w:name w:val="Intense Emphasis"/>
    <w:basedOn w:val="DefaultParagraphFont"/>
    <w:uiPriority w:val="21"/>
    <w:qFormat/>
    <w:rsid w:val="00696746"/>
    <w:rPr>
      <w:i/>
      <w:iCs/>
      <w:color w:val="0F4761" w:themeColor="accent1" w:themeShade="BF"/>
    </w:rPr>
  </w:style>
  <w:style w:type="paragraph" w:styleId="IntenseQuote">
    <w:name w:val="Intense Quote"/>
    <w:basedOn w:val="Normal"/>
    <w:next w:val="Normal"/>
    <w:link w:val="IntenseQuoteChar"/>
    <w:uiPriority w:val="30"/>
    <w:qFormat/>
    <w:rsid w:val="006967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746"/>
    <w:rPr>
      <w:i/>
      <w:iCs/>
      <w:color w:val="0F4761" w:themeColor="accent1" w:themeShade="BF"/>
    </w:rPr>
  </w:style>
  <w:style w:type="character" w:styleId="IntenseReference">
    <w:name w:val="Intense Reference"/>
    <w:basedOn w:val="DefaultParagraphFont"/>
    <w:uiPriority w:val="32"/>
    <w:qFormat/>
    <w:rsid w:val="00696746"/>
    <w:rPr>
      <w:b/>
      <w:bCs/>
      <w:smallCaps/>
      <w:color w:val="0F4761" w:themeColor="accent1" w:themeShade="BF"/>
      <w:spacing w:val="5"/>
    </w:rPr>
  </w:style>
  <w:style w:type="paragraph" w:styleId="Header">
    <w:name w:val="header"/>
    <w:basedOn w:val="Normal"/>
    <w:link w:val="HeaderChar"/>
    <w:uiPriority w:val="99"/>
    <w:unhideWhenUsed/>
    <w:rsid w:val="00DD2D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2D0E"/>
  </w:style>
  <w:style w:type="paragraph" w:styleId="Footer">
    <w:name w:val="footer"/>
    <w:basedOn w:val="Normal"/>
    <w:link w:val="FooterChar"/>
    <w:uiPriority w:val="99"/>
    <w:unhideWhenUsed/>
    <w:rsid w:val="00DD2D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2D0E"/>
  </w:style>
  <w:style w:type="table" w:styleId="TableGrid">
    <w:name w:val="Table Grid"/>
    <w:basedOn w:val="TableNormal"/>
    <w:uiPriority w:val="39"/>
    <w:rsid w:val="00DD2D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D2D0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ListBullet">
    <w:name w:val="List Bullet"/>
    <w:basedOn w:val="Normal"/>
    <w:uiPriority w:val="99"/>
    <w:unhideWhenUsed/>
    <w:rsid w:val="00DD2D0E"/>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841F2BC-63FF-47E9-9F03-B396EB665BD4}">
  <we:reference id="WA200010453" version="1.0.0.1" store="Omex" storeType="OMEX"/>
  <we:alternateReferences>
    <we:reference id="WA200010453" version="1.0.0.1" store="WA200010453" storeType="OMEX"/>
  </we:alternateReferences>
  <we:properties>
    <we:property name="claude.fileId" value="&quot;c3435565-c195-4a60-b59b-b17dea4637b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8</TotalTime>
  <Pages>2</Pages>
  <Words>531</Words>
  <Characters>3243</Characters>
  <Application>Microsoft Office Word</Application>
  <DocSecurity>0</DocSecurity>
  <Lines>92</Lines>
  <Paragraphs>72</Paragraphs>
  <ScaleCrop>false</ScaleCrop>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Solomon</dc:creator>
  <cp:keywords/>
  <dc:description/>
  <cp:lastModifiedBy>Jesse Solomon</cp:lastModifiedBy>
  <cp:revision>2</cp:revision>
  <cp:lastPrinted>2026-06-19T11:07:00Z</cp:lastPrinted>
  <dcterms:created xsi:type="dcterms:W3CDTF">2026-06-19T11:04:00Z</dcterms:created>
  <dcterms:modified xsi:type="dcterms:W3CDTF">2026-06-19T11:12:00Z</dcterms:modified>
</cp:coreProperties>
</file>