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A1A2E"/>
          <w:sz w:val="44"/>
          <w:szCs w:val="44"/>
        </w:rPr>
        <w:t xml:space="preserve">Warm Language and Debate Performance</w:t>
      </w:r>
    </w:p>
    <w:p>
      <w:pPr>
        <w:spacing w:after="80" w:before="0"/>
      </w:pPr>
      <w:r>
        <w:rPr>
          <w:rFonts w:ascii="Arial" w:cs="Arial" w:eastAsia="Arial" w:hAnsi="Arial"/>
          <w:color w:val="2E4057"/>
          <w:sz w:val="28"/>
          <w:szCs w:val="28"/>
        </w:rPr>
        <w:t xml:space="preserve">A Longitudinal Text Classification Study (1960–2016)</w:t>
      </w:r>
    </w:p>
    <w:p>
      <w:pPr>
        <w:spacing w:after="60" w:before="0"/>
      </w:pPr>
      <w:r>
        <w:rPr>
          <w:rFonts w:ascii="Arial" w:cs="Arial" w:eastAsia="Arial" w:hAnsi="Arial"/>
          <w:color w:val="555555"/>
          <w:sz w:val="22"/>
          <w:szCs w:val="22"/>
        </w:rPr>
        <w:t xml:space="preserve">Jesse M. Dostal, MA  ·  Kimberly A. Neuendorf, PhD</w:t>
      </w:r>
    </w:p>
    <w:p>
      <w:pPr>
        <w:spacing w:after="240" w:before="0"/>
      </w:pPr>
      <w:r>
        <w:rPr>
          <w:rFonts w:ascii="Arial" w:cs="Arial" w:eastAsia="Arial" w:hAnsi="Arial"/>
          <w:color w:val="888888"/>
          <w:sz w:val="22"/>
          <w:szCs w:val="22"/>
        </w:rPr>
        <w:t xml:space="preserve">Cleveland State University  ·  2020</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Skills Demonstrated</w:t>
      </w:r>
    </w:p>
    <w:p>
      <w:pPr>
        <w:spacing w:after="120" w:before="80"/>
        <w:jc w:val="both"/>
      </w:pPr>
      <w:r>
        <w:rPr>
          <w:rFonts w:ascii="Arial" w:cs="Arial" w:eastAsia="Arial" w:hAnsi="Arial"/>
          <w:sz w:val="24"/>
          <w:szCs w:val="24"/>
        </w:rPr>
        <w:t xml:space="preserve">This study was conducted as applied psychometrics research, not as a partisan political analysis. The domain is presidential debate; the discipline is measurement. The following skills are directly transferable to healthcare NLP, federal research analytics, and behavioral data science:</w:t>
      </w:r>
    </w:p>
    <w:p>
      <w:pPr>
        <w:spacing w:after="0" w:before="80"/>
      </w:pPr>
      <w:r>
        <w:t xml:space="preserve"/>
      </w:r>
    </w:p>
    <w:p>
      <w:pPr>
        <w:pStyle w:val="ListParagraph"/>
        <w:numPr>
          <w:ilvl w:val="0"/>
          <w:numId w:val="2"/>
        </w:numPr>
        <w:spacing w:after="60" w:before="60"/>
      </w:pPr>
      <w:r>
        <w:rPr>
          <w:rFonts w:ascii="Arial" w:cs="Arial" w:eastAsia="Arial" w:hAnsi="Arial"/>
          <w:sz w:val="24"/>
          <w:szCs w:val="24"/>
        </w:rPr>
        <w:t xml:space="preserve">Corpus construction from public-record sources across a 50-year span</w:t>
      </w:r>
    </w:p>
    <w:p>
      <w:pPr>
        <w:pStyle w:val="ListParagraph"/>
        <w:numPr>
          <w:ilvl w:val="0"/>
          <w:numId w:val="2"/>
        </w:numPr>
        <w:spacing w:after="60" w:before="60"/>
      </w:pPr>
      <w:r>
        <w:rPr>
          <w:rFonts w:ascii="Arial" w:cs="Arial" w:eastAsia="Arial" w:hAnsi="Arial"/>
          <w:sz w:val="24"/>
          <w:szCs w:val="24"/>
        </w:rPr>
        <w:t xml:space="preserve">Validated instrument application using LIWC2015 (Tausczik &amp; Pennebaker, 2010), supervised by a nationally recognized content analysis methodologist</w:t>
      </w:r>
    </w:p>
    <w:p>
      <w:pPr>
        <w:pStyle w:val="ListParagraph"/>
        <w:numPr>
          <w:ilvl w:val="0"/>
          <w:numId w:val="2"/>
        </w:numPr>
        <w:spacing w:after="60" w:before="60"/>
      </w:pPr>
      <w:r>
        <w:rPr>
          <w:rFonts w:ascii="Arial" w:cs="Arial" w:eastAsia="Arial" w:hAnsi="Arial"/>
          <w:sz w:val="24"/>
          <w:szCs w:val="24"/>
        </w:rPr>
        <w:t xml:space="preserve">Psychometric scale development under statistical power constraints — composite index construction with internal consistency testing</w:t>
      </w:r>
    </w:p>
    <w:p>
      <w:pPr>
        <w:pStyle w:val="ListParagraph"/>
        <w:numPr>
          <w:ilvl w:val="0"/>
          <w:numId w:val="2"/>
        </w:numPr>
        <w:spacing w:after="60" w:before="60"/>
      </w:pPr>
      <w:r>
        <w:rPr>
          <w:rFonts w:ascii="Arial" w:cs="Arial" w:eastAsia="Arial" w:hAnsi="Arial"/>
          <w:sz w:val="24"/>
          <w:szCs w:val="24"/>
        </w:rPr>
        <w:t xml:space="preserve">Model selection for small-N classification — Firth Logistic Regression with exact parameter and odds ratio estimates</w:t>
      </w:r>
    </w:p>
    <w:p>
      <w:pPr>
        <w:pStyle w:val="ListParagraph"/>
        <w:numPr>
          <w:ilvl w:val="0"/>
          <w:numId w:val="2"/>
        </w:numPr>
        <w:spacing w:after="60" w:before="60"/>
      </w:pPr>
      <w:r>
        <w:rPr>
          <w:rFonts w:ascii="Arial" w:cs="Arial" w:eastAsia="Arial" w:hAnsi="Arial"/>
          <w:sz w:val="24"/>
          <w:szCs w:val="24"/>
        </w:rPr>
        <w:t xml:space="preserve">Counter-intuitive finding interpretation — situating unexpected results within existing literature without overstating or dismissing them</w:t>
      </w:r>
    </w:p>
    <w:p>
      <w:pPr>
        <w:spacing w:after="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The Finding</w:t>
      </w:r>
    </w:p>
    <w:p>
      <w:pPr>
        <w:spacing w:after="120" w:before="80"/>
        <w:jc w:val="both"/>
      </w:pPr>
      <w:r>
        <w:rPr>
          <w:rFonts w:ascii="Arial" w:cs="Arial" w:eastAsia="Arial" w:hAnsi="Arial"/>
          <w:sz w:val="24"/>
          <w:szCs w:val="24"/>
        </w:rPr>
        <w:t xml:space="preserve">Warm, inclusive language hurt Democratic presidential candidates in general election debate.</w:t>
      </w:r>
    </w:p>
    <w:p>
      <w:pPr>
        <w:spacing w:after="120" w:before="80"/>
        <w:jc w:val="both"/>
      </w:pPr>
      <w:r>
        <w:rPr>
          <w:rFonts w:ascii="Arial" w:cs="Arial" w:eastAsia="Arial" w:hAnsi="Arial"/>
          <w:sz w:val="24"/>
          <w:szCs w:val="24"/>
        </w:rPr>
        <w:t xml:space="preserve">Not marginally. A one standard deviation increase on the Warmth Scale decreased the odds of landing in the high-performance vote group by 24.7%. The effect was statistically significant (p = 0.0054) and consistent across every debate cycle from Kennedy through Obama — a 50-year census of all available presidential debate transcripts.</w:t>
      </w:r>
    </w:p>
    <w:p>
      <w:pPr>
        <w:spacing w:after="120" w:before="80"/>
        <w:jc w:val="both"/>
      </w:pPr>
      <w:r>
        <w:rPr>
          <w:rFonts w:ascii="Arial" w:cs="Arial" w:eastAsia="Arial" w:hAnsi="Arial"/>
          <w:sz w:val="24"/>
          <w:szCs w:val="24"/>
        </w:rPr>
        <w:t xml:space="preserve">The established literature says warmth works. Voters respond to perceived caring; goodwill predicts electability (Teven, 2008). Several studies associate Democratic candidates specifically with higher positive affect (Choma, 2009; Stone, 1986). This study tested that assumption within-party, in a general election debate context, and found the opposite.</w:t>
      </w:r>
    </w:p>
    <w:p>
      <w:pPr>
        <w:spacing w:after="120" w:before="80"/>
        <w:jc w:val="both"/>
      </w:pPr>
      <w:r>
        <w:rPr>
          <w:rFonts w:ascii="Arial" w:cs="Arial" w:eastAsia="Arial" w:hAnsi="Arial"/>
          <w:sz w:val="24"/>
          <w:szCs w:val="24"/>
        </w:rPr>
        <w:t xml:space="preserve">That is the finding. It is counterintuitive, it is statistically robust for its sample size, and it does not resolve cleanly into a single explanation — which is what an honest finding looks like.</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Background and Research Context</w:t>
      </w:r>
    </w:p>
    <w:p>
      <w:pPr>
        <w:spacing w:after="120" w:before="80"/>
        <w:jc w:val="both"/>
      </w:pPr>
      <w:r>
        <w:rPr>
          <w:rFonts w:ascii="Arial" w:cs="Arial" w:eastAsia="Arial" w:hAnsi="Arial"/>
          <w:sz w:val="24"/>
          <w:szCs w:val="24"/>
        </w:rPr>
        <w:t xml:space="preserve">The existing literature on warmth and electability is largely derived from between-party comparisons and general population survey studies. Teven (2008) found that perceived goodwill and caring strongly predict speaker favorability. Stone (1986) and Choma (2009) identified positive affect as a characteristic more common among liberal political figures.</w:t>
      </w:r>
    </w:p>
    <w:p>
      <w:pPr>
        <w:spacing w:after="120" w:before="80"/>
        <w:jc w:val="both"/>
      </w:pPr>
      <w:r>
        <w:rPr>
          <w:rFonts w:ascii="Arial" w:cs="Arial" w:eastAsia="Arial" w:hAnsi="Arial"/>
          <w:sz w:val="24"/>
          <w:szCs w:val="24"/>
        </w:rPr>
        <w:t xml:space="preserve">However, studies examining emotional tone in actual political speech have produced inconsistent results. Kangas (2014) analyzed debate transcripts from the 2008 election cycle and found significant but inconsistent differences in emotional language across candidates — with no clear party-level pattern. Neiman et al. (2016) similarly failed to find reliable differences between Democratic and Republican politicians in televised news appearances.</w:t>
      </w:r>
    </w:p>
    <w:p>
      <w:pPr>
        <w:spacing w:after="120" w:before="80"/>
        <w:jc w:val="both"/>
      </w:pPr>
      <w:r>
        <w:rPr>
          <w:rFonts w:ascii="Arial" w:cs="Arial" w:eastAsia="Arial" w:hAnsi="Arial"/>
          <w:sz w:val="24"/>
          <w:szCs w:val="24"/>
        </w:rPr>
        <w:t xml:space="preserve">The inconsistency in the literature suggested a possible explanation: that variability within the Democratic Party, rather than between parties, was obscuring the signal. This study tested that hypothesis directly by measuring warm language effects within a single party across time.</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Method</w:t>
      </w:r>
    </w:p>
    <w:p>
      <w:pPr>
        <w:pStyle w:val="Heading2"/>
        <w:spacing w:after="120" w:before="280"/>
      </w:pPr>
      <w:r>
        <w:rPr>
          <w:rFonts w:ascii="Arial" w:cs="Arial" w:eastAsia="Arial" w:hAnsi="Arial"/>
          <w:b/>
          <w:bCs/>
          <w:color w:val="2E4057"/>
          <w:sz w:val="26"/>
          <w:szCs w:val="26"/>
        </w:rPr>
        <w:t xml:space="preserve">Data Source and Corpus Construction</w:t>
      </w:r>
    </w:p>
    <w:p>
      <w:pPr>
        <w:spacing w:after="120" w:before="80"/>
        <w:jc w:val="both"/>
      </w:pPr>
      <w:r>
        <w:rPr>
          <w:rFonts w:ascii="Arial" w:cs="Arial" w:eastAsia="Arial" w:hAnsi="Arial"/>
          <w:sz w:val="24"/>
          <w:szCs w:val="24"/>
        </w:rPr>
        <w:t xml:space="preserve">All U.S. presidential debate transcripts from 1960 through 2016 were collected from the American Presidency Project (Peters &amp; Woolley, n.d.). Years without debates (1964, 1968) were excluded. Debate transcripts for each candidate were pooled by election cycle — all debates for a given candidate in a given year were combined into a single text document. This produced 12 candidate-year documents representing a complete census of available debate speech for the period.</w:t>
      </w:r>
    </w:p>
    <w:p>
      <w:pPr>
        <w:spacing w:after="120" w:before="80"/>
        <w:jc w:val="both"/>
      </w:pPr>
      <w:r>
        <w:rPr>
          <w:rFonts w:ascii="Arial" w:cs="Arial" w:eastAsia="Arial" w:hAnsi="Arial"/>
          <w:sz w:val="24"/>
          <w:szCs w:val="24"/>
        </w:rPr>
        <w:t xml:space="preserve">Debate speech was selected over other text sources — stump speeches, party platforms, press releases — because spontaneous word choice in debate conditions is more reflective of a candidate’s authentic linguistic style. Pre-scripted sources introduce systematic bias toward prepared messaging (Neiman et al., 2016; McKinney &amp; Warner, 2013).</w:t>
      </w:r>
    </w:p>
    <w:p>
      <w:pPr>
        <w:pStyle w:val="Heading2"/>
        <w:spacing w:after="120" w:before="280"/>
      </w:pPr>
      <w:r>
        <w:rPr>
          <w:rFonts w:ascii="Arial" w:cs="Arial" w:eastAsia="Arial" w:hAnsi="Arial"/>
          <w:b/>
          <w:bCs/>
          <w:color w:val="2E4057"/>
          <w:sz w:val="26"/>
          <w:szCs w:val="26"/>
        </w:rPr>
        <w:t xml:space="preserve">Warmth Scale Construction</w:t>
      </w:r>
    </w:p>
    <w:p>
      <w:pPr>
        <w:spacing w:after="120" w:before="80"/>
        <w:jc w:val="both"/>
      </w:pPr>
      <w:r>
        <w:rPr>
          <w:rFonts w:ascii="Arial" w:cs="Arial" w:eastAsia="Arial" w:hAnsi="Arial"/>
          <w:sz w:val="24"/>
          <w:szCs w:val="24"/>
        </w:rPr>
        <w:t xml:space="preserve">Text analysis was performed using LIWC2015 with the 2001 dictionary (Tausczik &amp; Pennebaker, 2010). Two linguistic categories were extracted: Positive Emotion word percentage and Inclusion word percentage.</w:t>
      </w:r>
    </w:p>
    <w:p>
      <w:pPr>
        <w:spacing w:after="120" w:before="80"/>
        <w:jc w:val="both"/>
      </w:pPr>
      <w:r>
        <w:rPr>
          <w:rFonts w:ascii="Arial" w:cs="Arial" w:eastAsia="Arial" w:hAnsi="Arial"/>
          <w:sz w:val="24"/>
          <w:szCs w:val="24"/>
        </w:rPr>
        <w:t xml:space="preserve">Initial analysis indicated that sample size (N = 12) was insufficient to support Positive Emotion and Inclusion as independent predictors in a regression model. Rather than proceed with underpowered independent variables, a composite Warmth Scale was constructed by standardizing and summing the two measures. Internal consistency was tested before inclusion.</w:t>
      </w:r>
    </w:p>
    <w:p>
      <w:pPr>
        <w:spacing w:after="120" w:before="80"/>
        <w:jc w:val="both"/>
      </w:pPr>
      <w:r>
        <w:rPr>
          <w:rFonts w:ascii="Arial" w:cs="Arial" w:eastAsia="Arial" w:hAnsi="Arial"/>
          <w:sz w:val="24"/>
          <w:szCs w:val="24"/>
        </w:rPr>
        <w:t xml:space="preserve">The Warmth Scale demonstrated acceptable reliability (Cronbach’s α = 0.70) and the component measures correlated significantly (r = 0.636, p = 0.026), supporting their combination as a single latent construct. This approach is consistent with standard scale development practice when item-level power constraints preclude independent analysis.</w:t>
      </w:r>
    </w:p>
    <w:p>
      <w:pPr>
        <w:pStyle w:val="Heading2"/>
        <w:spacing w:after="120" w:before="280"/>
      </w:pPr>
      <w:r>
        <w:rPr>
          <w:rFonts w:ascii="Arial" w:cs="Arial" w:eastAsia="Arial" w:hAnsi="Arial"/>
          <w:b/>
          <w:bCs/>
          <w:color w:val="2E4057"/>
          <w:sz w:val="26"/>
          <w:szCs w:val="26"/>
        </w:rPr>
        <w:t xml:space="preserve">Outcome Variable and Classification</w:t>
      </w:r>
    </w:p>
    <w:p>
      <w:pPr>
        <w:spacing w:after="120" w:before="80"/>
        <w:jc w:val="both"/>
      </w:pPr>
      <w:r>
        <w:rPr>
          <w:rFonts w:ascii="Arial" w:cs="Arial" w:eastAsia="Arial" w:hAnsi="Arial"/>
          <w:sz w:val="24"/>
          <w:szCs w:val="24"/>
        </w:rPr>
        <w:t xml:space="preserve">Votes received were operationalized as the number of votes cast for a candidate divided by the total voting-age population for that election year, controlling for variation in eligible voter population across the 50-year study period. Scores were standardized via z-transform within election year to control for year-level effects.</w:t>
      </w:r>
    </w:p>
    <w:p>
      <w:pPr>
        <w:spacing w:after="120" w:before="80"/>
        <w:jc w:val="both"/>
      </w:pPr>
      <w:r>
        <w:rPr>
          <w:rFonts w:ascii="Arial" w:cs="Arial" w:eastAsia="Arial" w:hAnsi="Arial"/>
          <w:sz w:val="24"/>
          <w:szCs w:val="24"/>
        </w:rPr>
        <w:t xml:space="preserve">Candidates were classified into two performance groups: High Performance (at or above mean standardized votes) and Low Performance (below mean). This binary outcome was appropriate given the sample size and the classification objective.</w:t>
      </w:r>
    </w:p>
    <w:p>
      <w:pPr>
        <w:pStyle w:val="Heading2"/>
        <w:spacing w:after="120" w:before="280"/>
      </w:pPr>
      <w:r>
        <w:rPr>
          <w:rFonts w:ascii="Arial" w:cs="Arial" w:eastAsia="Arial" w:hAnsi="Arial"/>
          <w:b/>
          <w:bCs/>
          <w:color w:val="2E4057"/>
          <w:sz w:val="26"/>
          <w:szCs w:val="26"/>
        </w:rPr>
        <w:t xml:space="preserve">Analytic Model</w:t>
      </w:r>
    </w:p>
    <w:p>
      <w:pPr>
        <w:spacing w:after="120" w:before="80"/>
        <w:jc w:val="both"/>
      </w:pPr>
      <w:r>
        <w:rPr>
          <w:rFonts w:ascii="Arial" w:cs="Arial" w:eastAsia="Arial" w:hAnsi="Arial"/>
          <w:sz w:val="24"/>
          <w:szCs w:val="24"/>
        </w:rPr>
        <w:t xml:space="preserve">A Firth Bivariate Logistic Regression was used with exact parameter estimates and exact odds ratio estimation. Firth’s penalized likelihood approach was selected specifically to address the small-sample bias inherent in standard maximum likelihood logistic regression — a methodological requirement given N = 12, not a post-hoc adjustment.</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Results</w:t>
      </w:r>
    </w:p>
    <w:p>
      <w:pPr>
        <w:pStyle w:val="Heading2"/>
        <w:spacing w:after="120" w:before="280"/>
      </w:pPr>
      <w:r>
        <w:rPr>
          <w:rFonts w:ascii="Arial" w:cs="Arial" w:eastAsia="Arial" w:hAnsi="Arial"/>
          <w:b/>
          <w:bCs/>
          <w:color w:val="2E4057"/>
          <w:sz w:val="26"/>
          <w:szCs w:val="26"/>
        </w:rPr>
        <w:t xml:space="preserve">Descriptive Statistics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20"/>
            </w:tcMar>
          </w:tcPr>
          <w:p>
            <w:r>
              <w:rPr>
                <w:rFonts w:ascii="Arial" w:cs="Arial" w:eastAsia="Arial" w:hAnsi="Arial"/>
                <w:b/>
                <w:bCs/>
                <w:color w:val="FFFFFF"/>
                <w:sz w:val="22"/>
                <w:szCs w:val="22"/>
              </w:rPr>
              <w:t xml:space="preserve">Measure</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60"/>
            </w:tcMar>
          </w:tcPr>
          <w:p>
            <w:r>
              <w:rPr>
                <w:rFonts w:ascii="Arial" w:cs="Arial" w:eastAsia="Arial" w:hAnsi="Arial"/>
                <w:b/>
                <w:bCs/>
                <w:color w:val="FFFFFF"/>
                <w:sz w:val="22"/>
                <w:szCs w:val="22"/>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Median Positive Emotion words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60"/>
            </w:tcMar>
          </w:tcPr>
          <w:p>
            <w:r>
              <w:rPr>
                <w:rFonts w:ascii="Arial" w:cs="Arial" w:eastAsia="Arial" w:hAnsi="Arial"/>
                <w:b/>
                <w:bCs/>
                <w:sz w:val="22"/>
                <w:szCs w:val="22"/>
              </w:rPr>
              <w:t xml:space="preserve">2.6% of words per candidate-year</w:t>
            </w:r>
          </w:p>
        </w:tc>
      </w:tr>
      <w:tr>
        <w:tc>
          <w:tcPr>
            <w:tcW w:type="dxa" w:w="5400"/>
            <w:tcBorders>
              <w:top w:val="single" w:color="CCCCCC" w:sz="1"/>
              <w:left w:val="single" w:color="CCCCCC" w:sz="1"/>
              <w:bottom w:val="single" w:color="CCCCCC" w:sz="1"/>
              <w:right w:val="single" w:color="CCCCCC" w:sz="1"/>
            </w:tcBorders>
            <w:shd w:fill="F2F5F9" w:val="clear"/>
            <w:tcMar>
              <w:top w:type="dxa" w:w="80"/>
              <w:left w:type="dxa" w:w="160"/>
              <w:bottom w:type="dxa" w:w="80"/>
              <w:right w:type="dxa" w:w="120"/>
            </w:tcMar>
          </w:tcPr>
          <w:p>
            <w:r>
              <w:rPr>
                <w:rFonts w:ascii="Arial" w:cs="Arial" w:eastAsia="Arial" w:hAnsi="Arial"/>
                <w:sz w:val="22"/>
                <w:szCs w:val="22"/>
              </w:rPr>
              <w:t xml:space="preserve">Median Inclusive language words</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60"/>
            </w:tcMar>
          </w:tcPr>
          <w:p>
            <w:r>
              <w:rPr>
                <w:rFonts w:ascii="Arial" w:cs="Arial" w:eastAsia="Arial" w:hAnsi="Arial"/>
                <w:b/>
                <w:bCs/>
                <w:sz w:val="22"/>
                <w:szCs w:val="22"/>
              </w:rPr>
              <w:t xml:space="preserve">7.0% of words per candidate-year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Warmth Scale reliability (Cronbach’s α)</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60"/>
            </w:tcMar>
          </w:tcPr>
          <w:p>
            <w:r>
              <w:rPr>
                <w:rFonts w:ascii="Arial" w:cs="Arial" w:eastAsia="Arial" w:hAnsi="Arial"/>
                <w:b/>
                <w:bCs/>
                <w:sz w:val="22"/>
                <w:szCs w:val="22"/>
              </w:rPr>
              <w:t xml:space="preserve">0.704</w:t>
            </w:r>
          </w:p>
        </w:tc>
      </w:tr>
      <w:tr>
        <w:tc>
          <w:tcPr>
            <w:tcW w:type="dxa" w:w="5400"/>
            <w:tcBorders>
              <w:top w:val="single" w:color="CCCCCC" w:sz="1"/>
              <w:left w:val="single" w:color="CCCCCC" w:sz="1"/>
              <w:bottom w:val="single" w:color="CCCCCC" w:sz="1"/>
              <w:right w:val="single" w:color="CCCCCC" w:sz="1"/>
            </w:tcBorders>
            <w:shd w:fill="F2F5F9" w:val="clear"/>
            <w:tcMar>
              <w:top w:type="dxa" w:w="80"/>
              <w:left w:type="dxa" w:w="160"/>
              <w:bottom w:type="dxa" w:w="80"/>
              <w:right w:type="dxa" w:w="120"/>
            </w:tcMar>
          </w:tcPr>
          <w:p>
            <w:r>
              <w:rPr>
                <w:rFonts w:ascii="Arial" w:cs="Arial" w:eastAsia="Arial" w:hAnsi="Arial"/>
                <w:sz w:val="22"/>
                <w:szCs w:val="22"/>
              </w:rPr>
              <w:t xml:space="preserve">Component correlation</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60"/>
            </w:tcMar>
          </w:tcPr>
          <w:p>
            <w:r>
              <w:rPr>
                <w:rFonts w:ascii="Arial" w:cs="Arial" w:eastAsia="Arial" w:hAnsi="Arial"/>
                <w:b/>
                <w:bCs/>
                <w:sz w:val="22"/>
                <w:szCs w:val="22"/>
              </w:rPr>
              <w:t xml:space="preserve">r = 0.636 (p = 0.026)</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Voter turnout range (1960–2012)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60"/>
            </w:tcMar>
          </w:tcPr>
          <w:p>
            <w:r>
              <w:rPr>
                <w:rFonts w:ascii="Arial" w:cs="Arial" w:eastAsia="Arial" w:hAnsi="Arial"/>
                <w:b/>
                <w:bCs/>
                <w:sz w:val="22"/>
                <w:szCs w:val="22"/>
              </w:rPr>
              <w:t xml:space="preserve">49–63% of eligible voters</w:t>
            </w:r>
          </w:p>
        </w:tc>
      </w:tr>
    </w:tbl>
    <w:p>
      <w:pPr>
        <w:spacing w:after="0" w:before="160"/>
      </w:pPr>
      <w:r>
        <w:t xml:space="preserve"/>
      </w:r>
    </w:p>
    <w:p>
      <w:pPr>
        <w:pStyle w:val="Heading2"/>
        <w:spacing w:after="120" w:before="280"/>
      </w:pPr>
      <w:r>
        <w:rPr>
          <w:rFonts w:ascii="Arial" w:cs="Arial" w:eastAsia="Arial" w:hAnsi="Arial"/>
          <w:b/>
          <w:bCs/>
          <w:color w:val="2E4057"/>
          <w:sz w:val="26"/>
          <w:szCs w:val="26"/>
        </w:rPr>
        <w:t xml:space="preserve">Model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20"/>
            </w:tcMar>
          </w:tcPr>
          <w:p>
            <w:r>
              <w:rPr>
                <w:rFonts w:ascii="Arial" w:cs="Arial" w:eastAsia="Arial" w:hAnsi="Arial"/>
                <w:b/>
                <w:bCs/>
                <w:color w:val="FFFFFF"/>
                <w:sz w:val="22"/>
                <w:szCs w:val="22"/>
              </w:rPr>
              <w:t xml:space="preserve">Statistic</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60"/>
            </w:tcMar>
          </w:tcPr>
          <w:p>
            <w:r>
              <w:rPr>
                <w:rFonts w:ascii="Arial" w:cs="Arial" w:eastAsia="Arial" w:hAnsi="Arial"/>
                <w:b/>
                <w:bCs/>
                <w:color w:val="FFFFFF"/>
                <w:sz w:val="22"/>
                <w:szCs w:val="22"/>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χ² Likelihood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60"/>
            </w:tcMar>
          </w:tcPr>
          <w:p>
            <w:r>
              <w:rPr>
                <w:rFonts w:ascii="Arial" w:cs="Arial" w:eastAsia="Arial" w:hAnsi="Arial"/>
                <w:b/>
                <w:bCs/>
                <w:sz w:val="22"/>
                <w:szCs w:val="22"/>
              </w:rPr>
              <w:t xml:space="preserve">5.41 (p = 0.020)</w:t>
            </w:r>
          </w:p>
        </w:tc>
      </w:tr>
      <w:tr>
        <w:tc>
          <w:tcPr>
            <w:tcW w:type="dxa" w:w="5400"/>
            <w:tcBorders>
              <w:top w:val="single" w:color="CCCCCC" w:sz="1"/>
              <w:left w:val="single" w:color="CCCCCC" w:sz="1"/>
              <w:bottom w:val="single" w:color="CCCCCC" w:sz="1"/>
              <w:right w:val="single" w:color="CCCCCC" w:sz="1"/>
            </w:tcBorders>
            <w:shd w:fill="F2F5F9" w:val="clear"/>
            <w:tcMar>
              <w:top w:type="dxa" w:w="80"/>
              <w:left w:type="dxa" w:w="160"/>
              <w:bottom w:type="dxa" w:w="80"/>
              <w:right w:type="dxa" w:w="120"/>
            </w:tcMar>
          </w:tcPr>
          <w:p>
            <w:r>
              <w:rPr>
                <w:rFonts w:ascii="Arial" w:cs="Arial" w:eastAsia="Arial" w:hAnsi="Arial"/>
                <w:sz w:val="22"/>
                <w:szCs w:val="22"/>
              </w:rPr>
              <w:t xml:space="preserve">Adjusted Pseudo R²</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60"/>
            </w:tcMar>
          </w:tcPr>
          <w:p>
            <w:r>
              <w:rPr>
                <w:rFonts w:ascii="Arial" w:cs="Arial" w:eastAsia="Arial" w:hAnsi="Arial"/>
                <w:b/>
                <w:bCs/>
                <w:sz w:val="22"/>
                <w:szCs w:val="22"/>
              </w:rPr>
              <w:t xml:space="preserve">0.363</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Exact Odds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60"/>
            </w:tcMar>
          </w:tcPr>
          <w:p>
            <w:r>
              <w:rPr>
                <w:rFonts w:ascii="Arial" w:cs="Arial" w:eastAsia="Arial" w:hAnsi="Arial"/>
                <w:b/>
                <w:bCs/>
                <w:sz w:val="22"/>
                <w:szCs w:val="22"/>
              </w:rPr>
              <w:t xml:space="preserve">0.221</w:t>
            </w:r>
          </w:p>
        </w:tc>
      </w:tr>
      <w:tr>
        <w:tc>
          <w:tcPr>
            <w:tcW w:type="dxa" w:w="5400"/>
            <w:tcBorders>
              <w:top w:val="single" w:color="CCCCCC" w:sz="1"/>
              <w:left w:val="single" w:color="CCCCCC" w:sz="1"/>
              <w:bottom w:val="single" w:color="CCCCCC" w:sz="1"/>
              <w:right w:val="single" w:color="CCCCCC" w:sz="1"/>
            </w:tcBorders>
            <w:shd w:fill="F2F5F9" w:val="clear"/>
            <w:tcMar>
              <w:top w:type="dxa" w:w="80"/>
              <w:left w:type="dxa" w:w="160"/>
              <w:bottom w:type="dxa" w:w="80"/>
              <w:right w:type="dxa" w:w="120"/>
            </w:tcMar>
          </w:tcPr>
          <w:p>
            <w:r>
              <w:rPr>
                <w:rFonts w:ascii="Arial" w:cs="Arial" w:eastAsia="Arial" w:hAnsi="Arial"/>
                <w:sz w:val="22"/>
                <w:szCs w:val="22"/>
              </w:rPr>
              <w:t xml:space="preserve">Odds Ratio 95% CI</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60"/>
            </w:tcMar>
          </w:tcPr>
          <w:p>
            <w:r>
              <w:rPr>
                <w:rFonts w:ascii="Arial" w:cs="Arial" w:eastAsia="Arial" w:hAnsi="Arial"/>
                <w:b/>
                <w:bCs/>
                <w:sz w:val="22"/>
                <w:szCs w:val="22"/>
              </w:rPr>
              <w:t xml:space="preserve">[0.024, 0.784]</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Exact p-value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60"/>
            </w:tcMar>
          </w:tcPr>
          <w:p>
            <w:r>
              <w:rPr>
                <w:rFonts w:ascii="Arial" w:cs="Arial" w:eastAsia="Arial" w:hAnsi="Arial"/>
                <w:b/>
                <w:bCs/>
                <w:sz w:val="22"/>
                <w:szCs w:val="22"/>
              </w:rPr>
              <w:t xml:space="preserve">0.0054</w:t>
            </w:r>
          </w:p>
        </w:tc>
      </w:tr>
      <w:tr>
        <w:tc>
          <w:tcPr>
            <w:tcW w:type="dxa" w:w="5400"/>
            <w:tcBorders>
              <w:top w:val="single" w:color="CCCCCC" w:sz="1"/>
              <w:left w:val="single" w:color="CCCCCC" w:sz="1"/>
              <w:bottom w:val="single" w:color="CCCCCC" w:sz="1"/>
              <w:right w:val="single" w:color="CCCCCC" w:sz="1"/>
            </w:tcBorders>
            <w:shd w:fill="F2F5F9" w:val="clear"/>
            <w:tcMar>
              <w:top w:type="dxa" w:w="80"/>
              <w:left w:type="dxa" w:w="160"/>
              <w:bottom w:type="dxa" w:w="80"/>
              <w:right w:type="dxa" w:w="120"/>
            </w:tcMar>
          </w:tcPr>
          <w:p>
            <w:r>
              <w:rPr>
                <w:rFonts w:ascii="Arial" w:cs="Arial" w:eastAsia="Arial" w:hAnsi="Arial"/>
                <w:sz w:val="22"/>
                <w:szCs w:val="22"/>
              </w:rPr>
              <w:t xml:space="preserve">Effect: 1 SD increase in Warmth</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60"/>
            </w:tcMar>
          </w:tcPr>
          <w:p>
            <w:r>
              <w:rPr>
                <w:rFonts w:ascii="Arial" w:cs="Arial" w:eastAsia="Arial" w:hAnsi="Arial"/>
                <w:b/>
                <w:bCs/>
                <w:sz w:val="22"/>
                <w:szCs w:val="22"/>
              </w:rPr>
              <w:t xml:space="preserve">24.7% lower odds of high performance</w:t>
            </w:r>
          </w:p>
        </w:tc>
      </w:tr>
    </w:tbl>
    <w:p>
      <w:pPr>
        <w:spacing w:after="0" w:before="160"/>
      </w:pPr>
      <w:r>
        <w:t xml:space="preserve"/>
      </w:r>
    </w:p>
    <w:p>
      <w:pPr>
        <w:spacing w:after="120" w:before="80"/>
        <w:jc w:val="both"/>
      </w:pPr>
      <w:r>
        <w:rPr>
          <w:rFonts w:ascii="Arial" w:cs="Arial" w:eastAsia="Arial" w:hAnsi="Arial"/>
          <w:sz w:val="24"/>
          <w:szCs w:val="24"/>
        </w:rPr>
        <w:t xml:space="preserve">In plain terms: candidates who used more warm, inclusive language in debate were less likely to land in the high-vote group. The effect was not marginal. An increase of approximately 8 percentage points in inclusive language, or 3 percentage points in positive emotion language, was associated with nearly a 25% reduction in the odds of strong electoral performance.</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Interpretation</w:t>
      </w:r>
    </w:p>
    <w:p>
      <w:pPr>
        <w:spacing w:after="120" w:before="80"/>
        <w:jc w:val="both"/>
      </w:pPr>
      <w:r>
        <w:rPr>
          <w:rFonts w:ascii="Arial" w:cs="Arial" w:eastAsia="Arial" w:hAnsi="Arial"/>
          <w:sz w:val="24"/>
          <w:szCs w:val="24"/>
        </w:rPr>
        <w:t xml:space="preserve">Two explanations are consistent with the data, and they are not mutually exclusive.</w:t>
      </w:r>
    </w:p>
    <w:p>
      <w:pPr>
        <w:spacing w:after="120" w:before="80"/>
        <w:jc w:val="both"/>
      </w:pPr>
      <w:r>
        <w:rPr>
          <w:rFonts w:ascii="Arial" w:cs="Arial" w:eastAsia="Arial" w:hAnsi="Arial"/>
          <w:b/>
          <w:bCs/>
          <w:sz w:val="24"/>
          <w:szCs w:val="24"/>
        </w:rPr>
        <w:t xml:space="preserve">Threshold effect.</w:t>
      </w:r>
      <w:r>
        <w:rPr>
          <w:rFonts w:ascii="Arial" w:cs="Arial" w:eastAsia="Arial" w:hAnsi="Arial"/>
          <w:sz w:val="24"/>
          <w:szCs w:val="24"/>
        </w:rPr>
        <w:t xml:space="preserve">  Warmth may function as a positive signal at moderate levels and a negative signal past a threshold. What reads as genuine caring at lower levels may read as performance — rehearsed inclusion rather than authentic engagement — at higher levels. General election debate audiences are broad and politically heterogeneous, but they are still watching for authenticity. High warmth may reliably cross the line into what audiences perceive as inauthenticity regardless of ideological orientation.</w:t>
      </w:r>
    </w:p>
    <w:p>
      <w:pPr>
        <w:spacing w:after="120" w:before="80"/>
        <w:jc w:val="both"/>
      </w:pPr>
      <w:r>
        <w:rPr>
          <w:rFonts w:ascii="Arial" w:cs="Arial" w:eastAsia="Arial" w:hAnsi="Arial"/>
          <w:b/>
          <w:bCs/>
          <w:sz w:val="24"/>
          <w:szCs w:val="24"/>
        </w:rPr>
        <w:t xml:space="preserve">Reverse causation.</w:t>
      </w:r>
      <w:r>
        <w:rPr>
          <w:rFonts w:ascii="Arial" w:cs="Arial" w:eastAsia="Arial" w:hAnsi="Arial"/>
          <w:sz w:val="24"/>
          <w:szCs w:val="24"/>
        </w:rPr>
        <w:t xml:space="preserve">  Candidates who are losing may speak more warmly. Desperation and inclusion can be linguistically indistinguishable in a LIWC-coded transcript. If trailing candidates increase their use of positive and inclusive language as a strategic response to poor polling, the observed correlation may reflect the effect of vote share on language rather than the reverse.</w:t>
      </w:r>
    </w:p>
    <w:p>
      <w:pPr>
        <w:spacing w:after="120" w:before="80"/>
        <w:jc w:val="both"/>
      </w:pPr>
      <w:r>
        <w:rPr>
          <w:rFonts w:ascii="Arial" w:cs="Arial" w:eastAsia="Arial" w:hAnsi="Arial"/>
          <w:sz w:val="24"/>
          <w:szCs w:val="24"/>
        </w:rPr>
        <w:t xml:space="preserve">The data does not adjudicate between these. Both may be simultaneously true. That is not a methodological flaw — it is the nature of a correlational finding with a small census. The appropriate response is not to force a conclusion but to identify what additional analysis or data would distinguish between them.</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Limitations and Open Questions</w:t>
      </w:r>
    </w:p>
    <w:p>
      <w:pPr>
        <w:spacing w:after="120" w:before="80"/>
        <w:jc w:val="both"/>
      </w:pPr>
      <w:r>
        <w:rPr>
          <w:rFonts w:ascii="Arial" w:cs="Arial" w:eastAsia="Arial" w:hAnsi="Arial"/>
          <w:sz w:val="24"/>
          <w:szCs w:val="24"/>
        </w:rPr>
        <w:t xml:space="preserve">The primary constraint of this study is sample size. N = 12 candidate-year documents is a complete census of available general election presidential debate transcripts for the period — there are no additional cases to collect. Firth regression and exact tests were used specifically to address the inferential risks of small-N classification, but the confidence intervals on the odds ratio are wide (0.024 to 0.784), and replication in other debate contexts would strengthen the finding considerably.</w:t>
      </w:r>
    </w:p>
    <w:p>
      <w:pPr>
        <w:spacing w:after="120" w:before="80"/>
        <w:jc w:val="both"/>
      </w:pPr>
      <w:r>
        <w:rPr>
          <w:rFonts w:ascii="Arial" w:cs="Arial" w:eastAsia="Arial" w:hAnsi="Arial"/>
          <w:sz w:val="24"/>
          <w:szCs w:val="24"/>
        </w:rPr>
        <w:t xml:space="preserve">The study does not control for incumbency status, relative polling position, or the linguistic profile of the Republican candidate in the same debate. Each of these represents a potentially confounding variable. In particular, whether the warmth penalty varies by a candidate’s position in the race — front-runner versus challenger — is an open and testable question. The corpus supports this analysis; it has not yet been run.</w:t>
      </w:r>
    </w:p>
    <w:p>
      <w:pPr>
        <w:spacing w:after="120" w:before="80"/>
        <w:jc w:val="both"/>
      </w:pPr>
      <w:r>
        <w:rPr>
          <w:rFonts w:ascii="Arial" w:cs="Arial" w:eastAsia="Arial" w:hAnsi="Arial"/>
          <w:sz w:val="24"/>
          <w:szCs w:val="24"/>
        </w:rPr>
        <w:t xml:space="preserve">A related open question is whether the effect size has changed across cycles. The present analysis treats the 50-year corpus as a single pool. If the penalty for high warmth has been increasing over time — consistent with growing audience skepticism toward political performance — that trend would be visible in the data and would substantially change the interpretation.</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Co-Authorship and Citation</w:t>
      </w:r>
    </w:p>
    <w:p>
      <w:pPr>
        <w:spacing w:after="120" w:before="80"/>
        <w:jc w:val="both"/>
      </w:pPr>
      <w:r>
        <w:rPr>
          <w:rFonts w:ascii="Arial" w:cs="Arial" w:eastAsia="Arial" w:hAnsi="Arial"/>
          <w:sz w:val="24"/>
          <w:szCs w:val="24"/>
        </w:rPr>
        <w:t xml:space="preserve">This study was conducted under the supervision of Dr. Kimberly A. Neuendorf, PhD, Professor of Communication at Cleveland State University. Dr. Neuendorf is the author of The Content Analysis Guidebook (Sage, 2002; 2nd ed. 2017), the field’s primary methodological reference for quantitative text analysis. Her supervision of the LIWC coding protocol and logistic regression design is reflected in the co-authorship.</w:t>
      </w:r>
    </w:p>
    <w:p>
      <w:pPr>
        <w:spacing w:after="120" w:before="120"/>
        <w:ind w:left="720" w:hanging="720"/>
      </w:pPr>
      <w:r>
        <w:rPr>
          <w:rFonts w:ascii="Arial" w:cs="Arial" w:eastAsia="Arial" w:hAnsi="Arial"/>
          <w:i w:val="false"/>
          <w:iCs w:val="false"/>
          <w:sz w:val="22"/>
          <w:szCs w:val="22"/>
        </w:rPr>
        <w:t xml:space="preserve">Dostal, J. M., &amp; Neuendorf, K. A. (2020, March). </w:t>
      </w:r>
      <w:r>
        <w:rPr>
          <w:rFonts w:ascii="Arial" w:cs="Arial" w:eastAsia="Arial" w:hAnsi="Arial"/>
          <w:i/>
          <w:iCs/>
          <w:sz w:val="22"/>
          <w:szCs w:val="22"/>
        </w:rPr>
        <w:t xml:space="preserve">The surprising role of warm language amongst Democratic presidential candidates</w:t>
      </w:r>
      <w:r>
        <w:rPr>
          <w:rFonts w:ascii="Arial" w:cs="Arial" w:eastAsia="Arial" w:hAnsi="Arial"/>
          <w:sz w:val="22"/>
          <w:szCs w:val="22"/>
        </w:rPr>
        <w:t xml:space="preserve"> [Conference poster]. Cleveland State University, Cleveland, OH.</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32"/>
          <w:szCs w:val="32"/>
        </w:rPr>
        <w:t xml:space="preserve">References</w:t>
      </w:r>
    </w:p>
    <w:p>
      <w:pPr>
        <w:spacing w:after="80" w:before="80"/>
        <w:ind w:left="720" w:hanging="720"/>
      </w:pPr>
      <w:r>
        <w:rPr>
          <w:rFonts w:ascii="Arial" w:cs="Arial" w:eastAsia="Arial" w:hAnsi="Arial"/>
          <w:color w:val="333333"/>
          <w:sz w:val="20"/>
          <w:szCs w:val="20"/>
        </w:rPr>
        <w:t xml:space="preserve">Choma, B., Busseri, M., &amp; Sadava, S. (2009). Liberal and conservative political ideologies: Different routes to happiness? Journal of Research in Personality, 43(3), 502–505.</w:t>
      </w:r>
    </w:p>
    <w:p>
      <w:pPr>
        <w:spacing w:after="80" w:before="80"/>
        <w:ind w:left="720" w:hanging="720"/>
      </w:pPr>
      <w:r>
        <w:rPr>
          <w:rFonts w:ascii="Arial" w:cs="Arial" w:eastAsia="Arial" w:hAnsi="Arial"/>
          <w:color w:val="333333"/>
          <w:sz w:val="20"/>
          <w:szCs w:val="20"/>
        </w:rPr>
        <w:t xml:space="preserve">Kangas, S. (2014). What can software tell us about political candidates? A critical analysis of a computerized method for political discourse. Journal of Language and Politics, 13(1).</w:t>
      </w:r>
    </w:p>
    <w:p>
      <w:pPr>
        <w:spacing w:after="80" w:before="80"/>
        <w:ind w:left="720" w:hanging="720"/>
      </w:pPr>
      <w:r>
        <w:rPr>
          <w:rFonts w:ascii="Arial" w:cs="Arial" w:eastAsia="Arial" w:hAnsi="Arial"/>
          <w:color w:val="333333"/>
          <w:sz w:val="20"/>
          <w:szCs w:val="20"/>
        </w:rPr>
        <w:t xml:space="preserve">McDonald, M. (2018, September 5). 2016 November general election turnout rates. United States Elections Project.</w:t>
      </w:r>
    </w:p>
    <w:p>
      <w:pPr>
        <w:spacing w:after="80" w:before="80"/>
        <w:ind w:left="720" w:hanging="720"/>
      </w:pPr>
      <w:r>
        <w:rPr>
          <w:rFonts w:ascii="Arial" w:cs="Arial" w:eastAsia="Arial" w:hAnsi="Arial"/>
          <w:color w:val="333333"/>
          <w:sz w:val="20"/>
          <w:szCs w:val="20"/>
        </w:rPr>
        <w:t xml:space="preserve">McKinney, M., &amp; Warner, B. (2013). Do presidential debates matter? Examining a decade of campaign debate effects. Argumentation and Advocacy, 49(4), 238–258.</w:t>
      </w:r>
    </w:p>
    <w:p>
      <w:pPr>
        <w:spacing w:after="80" w:before="80"/>
        <w:ind w:left="720" w:hanging="720"/>
      </w:pPr>
      <w:r>
        <w:rPr>
          <w:rFonts w:ascii="Arial" w:cs="Arial" w:eastAsia="Arial" w:hAnsi="Arial"/>
          <w:color w:val="333333"/>
          <w:sz w:val="20"/>
          <w:szCs w:val="20"/>
        </w:rPr>
        <w:t xml:space="preserve">Neiman, J., Gonzalez, F., Wilkinson, K., Smith, K., &amp; Hibbing, J. (2016). Speaking different languages or reading from the same script? Word usage of Democratic and Republican politicians. Political Communication, 33(2), 346–349.</w:t>
      </w:r>
    </w:p>
    <w:p>
      <w:pPr>
        <w:spacing w:after="80" w:before="80"/>
        <w:ind w:left="720" w:hanging="720"/>
      </w:pPr>
      <w:r>
        <w:rPr>
          <w:rFonts w:ascii="Arial" w:cs="Arial" w:eastAsia="Arial" w:hAnsi="Arial"/>
          <w:color w:val="333333"/>
          <w:sz w:val="20"/>
          <w:szCs w:val="20"/>
        </w:rPr>
        <w:t xml:space="preserve">Peters, G., &amp; Woolley, J. (n.d.). Presidential debates. The American Presidency Project. https://www.presidency.ucsb.edu/debates.php</w:t>
      </w:r>
    </w:p>
    <w:p>
      <w:pPr>
        <w:spacing w:after="80" w:before="80"/>
        <w:ind w:left="720" w:hanging="720"/>
      </w:pPr>
      <w:r>
        <w:rPr>
          <w:rFonts w:ascii="Arial" w:cs="Arial" w:eastAsia="Arial" w:hAnsi="Arial"/>
          <w:color w:val="333333"/>
          <w:sz w:val="20"/>
          <w:szCs w:val="20"/>
        </w:rPr>
        <w:t xml:space="preserve">Stone, W. (1986). Personality and ideology: Empirical support for Tomkins polarity theory. Political Psychology, 7(4), 689–708.</w:t>
      </w:r>
    </w:p>
    <w:p>
      <w:pPr>
        <w:spacing w:after="80" w:before="80"/>
        <w:ind w:left="720" w:hanging="720"/>
      </w:pPr>
      <w:r>
        <w:rPr>
          <w:rFonts w:ascii="Arial" w:cs="Arial" w:eastAsia="Arial" w:hAnsi="Arial"/>
          <w:color w:val="333333"/>
          <w:sz w:val="20"/>
          <w:szCs w:val="20"/>
        </w:rPr>
        <w:t xml:space="preserve">Strömbäck, J., &amp; Kiousis, S. (2014). Strategic political communication in election campaigns. In Political Public Relations (pp. 109–128).</w:t>
      </w:r>
    </w:p>
    <w:p>
      <w:pPr>
        <w:spacing w:after="80" w:before="80"/>
        <w:ind w:left="720" w:hanging="720"/>
      </w:pPr>
      <w:r>
        <w:rPr>
          <w:rFonts w:ascii="Arial" w:cs="Arial" w:eastAsia="Arial" w:hAnsi="Arial"/>
          <w:color w:val="333333"/>
          <w:sz w:val="20"/>
          <w:szCs w:val="20"/>
        </w:rPr>
        <w:t xml:space="preserve">Tausczik, Y., &amp; Pennebaker, J. (2010). The psychological meaning of words: LIWC and computerized text analysis methods. Journal of Language and Social Psychology, 29(1), 24–54.</w:t>
      </w:r>
    </w:p>
    <w:p>
      <w:pPr>
        <w:spacing w:after="80" w:before="80"/>
        <w:ind w:left="720" w:hanging="720"/>
      </w:pPr>
      <w:r>
        <w:rPr>
          <w:rFonts w:ascii="Arial" w:cs="Arial" w:eastAsia="Arial" w:hAnsi="Arial"/>
          <w:color w:val="333333"/>
          <w:sz w:val="20"/>
          <w:szCs w:val="20"/>
        </w:rPr>
        <w:t xml:space="preserve">Teven, J. (2008). An examination of perceived credibility of the 2008 presidential candidates: Relationships with believability, likeability, and deceptiveness. Human Communication, 11(4), 383–400.</w:t>
      </w:r>
    </w:p>
    <w:p>
      <w:pPr>
        <w:spacing w:after="80" w:before="80"/>
        <w:ind w:left="720" w:hanging="720"/>
      </w:pPr>
      <w:r>
        <w:rPr>
          <w:rFonts w:ascii="Arial" w:cs="Arial" w:eastAsia="Arial" w:hAnsi="Arial"/>
          <w:color w:val="333333"/>
          <w:sz w:val="20"/>
          <w:szCs w:val="20"/>
        </w:rPr>
        <w:t xml:space="preserve">U.S. Electoral College. (n.d.). Historical election results: 1789–2016 presidential elections. National Archives. https://www.archives.gov/federal-register/electoral-college/votes/index.html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pPr>
    <w:r>
      <w:rPr>
        <w:rFonts w:ascii="Arial" w:cs="Arial" w:eastAsia="Arial" w:hAnsi="Arial"/>
        <w:color w:val="888888"/>
        <w:sz w:val="18"/>
        <w:szCs w:val="18"/>
      </w:rPr>
      <w:t xml:space="preserve">Dostal &amp; Neuendorf (2020)  —  Warm Language and Debate Performance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2026-03-29T23:15:51.704Z</dcterms:created>
  <dcterms:modified xsi:type="dcterms:W3CDTF">2026-03-29T23:15:51.704Z</dcterms:modified>
</cp:coreProperties>
</file>

<file path=docProps/custom.xml><?xml version="1.0" encoding="utf-8"?>
<Properties xmlns="http://schemas.openxmlformats.org/officeDocument/2006/custom-properties" xmlns:vt="http://schemas.openxmlformats.org/officeDocument/2006/docPropsVTypes"/>
</file>