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b/>
          <w:sz w:val="20"/>
          <w:szCs w:val="20"/>
          <w:u w:val="single"/>
        </w:rPr>
      </w:pPr>
      <w:r>
        <w:rPr>
          <w:rFonts w:ascii="CMSSBX10" w:eastAsia="CMSSBX10" w:hAnsi="CMSSBX10" w:cs="CMSSBX10"/>
          <w:b/>
          <w:sz w:val="29"/>
          <w:szCs w:val="29"/>
          <w:u w:val="single"/>
        </w:rPr>
        <w:t>Pre-Approved Actions (PAA)</w:t>
      </w:r>
    </w:p>
    <w:p w14:paraId="00000002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00000003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b/>
          <w:sz w:val="20"/>
          <w:szCs w:val="20"/>
        </w:rPr>
      </w:pPr>
      <w:r>
        <w:rPr>
          <w:rFonts w:ascii="Old Standard TT" w:eastAsia="Old Standard TT" w:hAnsi="Old Standard TT" w:cs="Old Standard TT"/>
          <w:b/>
          <w:sz w:val="20"/>
          <w:szCs w:val="20"/>
        </w:rPr>
        <w:t>Purpose</w:t>
      </w:r>
    </w:p>
    <w:p w14:paraId="00000004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00000005" w14:textId="1F90A498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 xml:space="preserve">Before beginning a mission, the </w:t>
      </w:r>
      <w:r w:rsidR="00836806">
        <w:rPr>
          <w:rFonts w:ascii="Old Standard TT" w:eastAsia="Old Standard TT" w:hAnsi="Old Standard TT" w:cs="Old Standard TT"/>
          <w:sz w:val="20"/>
          <w:szCs w:val="20"/>
        </w:rPr>
        <w:t>TEAM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 should discuss pre-approved actions, such was blocking ports</w:t>
      </w:r>
    </w:p>
    <w:p w14:paraId="00000006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 xml:space="preserve">and services or conducting scanning </w:t>
      </w:r>
      <w:proofErr w:type="spellStart"/>
      <w:r>
        <w:rPr>
          <w:rFonts w:ascii="Old Standard TT" w:eastAsia="Old Standard TT" w:hAnsi="Old Standard TT" w:cs="Old Standard TT"/>
          <w:sz w:val="20"/>
          <w:szCs w:val="20"/>
        </w:rPr>
        <w:t>etc</w:t>
      </w:r>
      <w:proofErr w:type="spellEnd"/>
      <w:r>
        <w:rPr>
          <w:rFonts w:ascii="Old Standard TT" w:eastAsia="Old Standard TT" w:hAnsi="Old Standard TT" w:cs="Old Standard TT"/>
          <w:sz w:val="20"/>
          <w:szCs w:val="20"/>
        </w:rPr>
        <w:t xml:space="preserve"> with the Mission and Network owners in order to understand</w:t>
      </w:r>
    </w:p>
    <w:p w14:paraId="00000007" w14:textId="259C9756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 xml:space="preserve">the on-network boundaries. The PAA should specify which actions the </w:t>
      </w:r>
      <w:r w:rsidR="00836806">
        <w:rPr>
          <w:rFonts w:ascii="Old Standard TT" w:eastAsia="Old Standard TT" w:hAnsi="Old Standard TT" w:cs="Old Standard TT"/>
          <w:sz w:val="20"/>
          <w:szCs w:val="20"/>
        </w:rPr>
        <w:t>TEAM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 is able to make and what</w:t>
      </w:r>
    </w:p>
    <w:p w14:paraId="00000008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approval or reporting is required.</w:t>
      </w:r>
    </w:p>
    <w:p w14:paraId="00000009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0000000A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b/>
          <w:sz w:val="20"/>
          <w:szCs w:val="20"/>
        </w:rPr>
      </w:pPr>
      <w:r>
        <w:rPr>
          <w:rFonts w:ascii="Old Standard TT" w:eastAsia="Old Standard TT" w:hAnsi="Old Standard TT" w:cs="Old Standard TT"/>
          <w:b/>
          <w:sz w:val="20"/>
          <w:szCs w:val="20"/>
        </w:rPr>
        <w:t xml:space="preserve">Pre-Approved Actions </w:t>
      </w:r>
    </w:p>
    <w:p w14:paraId="0000000B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b/>
          <w:sz w:val="20"/>
          <w:szCs w:val="20"/>
        </w:rPr>
      </w:pPr>
    </w:p>
    <w:p w14:paraId="0000000C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In order to defend identified critical resources, the following Pre-Approved Actions are authorized by</w:t>
      </w:r>
    </w:p>
    <w:p w14:paraId="0000000D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the Mission Owner (MO):</w:t>
      </w:r>
    </w:p>
    <w:p w14:paraId="0000000E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0000000F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Identify</w:t>
      </w:r>
    </w:p>
    <w:p w14:paraId="00000010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Enumerated network and established a configuration management baseline</w:t>
      </w:r>
    </w:p>
    <w:p w14:paraId="00000011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Threat assessment, OPE to operators</w:t>
      </w:r>
    </w:p>
    <w:p w14:paraId="00000012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Identified CVEs for systems</w:t>
      </w:r>
    </w:p>
    <w:p w14:paraId="00000013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Updated network maps and documentation</w:t>
      </w:r>
    </w:p>
    <w:p w14:paraId="00000014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Implement team-provided network defense tools and sensors (</w:t>
      </w:r>
      <w:proofErr w:type="spellStart"/>
      <w:r>
        <w:rPr>
          <w:rFonts w:ascii="Old Standard TT" w:eastAsia="Old Standard TT" w:hAnsi="Old Standard TT" w:cs="Old Standard TT"/>
          <w:sz w:val="20"/>
          <w:szCs w:val="20"/>
        </w:rPr>
        <w:t>SecOnion</w:t>
      </w:r>
      <w:proofErr w:type="spellEnd"/>
      <w:r>
        <w:rPr>
          <w:rFonts w:ascii="Old Standard TT" w:eastAsia="Old Standard TT" w:hAnsi="Old Standard TT" w:cs="Old Standard TT"/>
          <w:sz w:val="20"/>
          <w:szCs w:val="20"/>
        </w:rPr>
        <w:t>/</w:t>
      </w:r>
      <w:proofErr w:type="spellStart"/>
      <w:r>
        <w:rPr>
          <w:rFonts w:ascii="Old Standard TT" w:eastAsia="Old Standard TT" w:hAnsi="Old Standard TT" w:cs="Old Standard TT"/>
          <w:sz w:val="20"/>
          <w:szCs w:val="20"/>
        </w:rPr>
        <w:t>Wazuh</w:t>
      </w:r>
      <w:proofErr w:type="spellEnd"/>
      <w:r>
        <w:rPr>
          <w:rFonts w:ascii="Old Standard TT" w:eastAsia="Old Standard TT" w:hAnsi="Old Standard TT" w:cs="Old Standard TT"/>
          <w:sz w:val="20"/>
          <w:szCs w:val="20"/>
        </w:rPr>
        <w:t>/Wireshark/</w:t>
      </w:r>
      <w:proofErr w:type="spellStart"/>
      <w:r>
        <w:rPr>
          <w:rFonts w:ascii="Old Standard TT" w:eastAsia="Old Standard TT" w:hAnsi="Old Standard TT" w:cs="Old Standard TT"/>
          <w:sz w:val="20"/>
          <w:szCs w:val="20"/>
        </w:rPr>
        <w:t>etc</w:t>
      </w:r>
      <w:proofErr w:type="spellEnd"/>
      <w:r>
        <w:rPr>
          <w:rFonts w:ascii="Old Standard TT" w:eastAsia="Old Standard TT" w:hAnsi="Old Standard TT" w:cs="Old Standard TT"/>
          <w:sz w:val="20"/>
          <w:szCs w:val="20"/>
        </w:rPr>
        <w:t>)</w:t>
      </w:r>
    </w:p>
    <w:p w14:paraId="00000015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Conduct baseline scanning of all non-ICS enclaves (incl: devices &amp; traffic flows)</w:t>
      </w:r>
      <w:r>
        <w:rPr>
          <w:rFonts w:ascii="Old Standard TT" w:eastAsia="Old Standard TT" w:hAnsi="Old Standard TT" w:cs="Old Standard TT"/>
          <w:sz w:val="20"/>
          <w:szCs w:val="20"/>
        </w:rPr>
        <w:br/>
        <w:t>Block unnecessary ports &amp; services not required for device to perform its intended function</w:t>
      </w:r>
    </w:p>
    <w:p w14:paraId="00000016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Perform risk assessment</w:t>
      </w:r>
    </w:p>
    <w:p w14:paraId="00000017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Protect</w:t>
      </w:r>
    </w:p>
    <w:p w14:paraId="00000018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Ensure placement of sensors</w:t>
      </w:r>
    </w:p>
    <w:p w14:paraId="00000019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Monitoring logs and aggregation</w:t>
      </w:r>
    </w:p>
    <w:p w14:paraId="0000001A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Improved security posture of systems based on risk/threat assessment</w:t>
      </w:r>
    </w:p>
    <w:p w14:paraId="0000001B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Prioritized hardening approach to x high-risk CVEs per STIG, SP 800-53</w:t>
      </w:r>
    </w:p>
    <w:p w14:paraId="0000001C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Detect</w:t>
      </w:r>
    </w:p>
    <w:p w14:paraId="0000001D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Detected and captured artifacts</w:t>
      </w:r>
    </w:p>
    <w:p w14:paraId="0000001E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Quick network forensics to confirm suspicious traffic</w:t>
      </w:r>
    </w:p>
    <w:p w14:paraId="0000001F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 xml:space="preserve">Monitor team hands-off events to Pursuit team for </w:t>
      </w:r>
      <w:proofErr w:type="gramStart"/>
      <w:r>
        <w:rPr>
          <w:rFonts w:ascii="Old Standard TT" w:eastAsia="Old Standard TT" w:hAnsi="Old Standard TT" w:cs="Old Standard TT"/>
          <w:sz w:val="20"/>
          <w:szCs w:val="20"/>
        </w:rPr>
        <w:t>deep-dives</w:t>
      </w:r>
      <w:proofErr w:type="gramEnd"/>
    </w:p>
    <w:p w14:paraId="00000020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Report of events</w:t>
      </w:r>
    </w:p>
    <w:p w14:paraId="00000021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Respond</w:t>
      </w:r>
    </w:p>
    <w:p w14:paraId="00000022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Focused Incident handling and change control</w:t>
      </w:r>
    </w:p>
    <w:p w14:paraId="00000023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Conduct forensics</w:t>
      </w:r>
    </w:p>
    <w:p w14:paraId="00000024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Maintain monitoring</w:t>
      </w:r>
    </w:p>
    <w:p w14:paraId="00000025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Change requests for Protect recommendations</w:t>
      </w:r>
    </w:p>
    <w:p w14:paraId="00000026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Also react to new CVE, CERT reports and INTSUM</w:t>
      </w:r>
    </w:p>
    <w:p w14:paraId="00000027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Recover</w:t>
      </w:r>
    </w:p>
    <w:p w14:paraId="00000028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Document (Roll up) change management</w:t>
      </w:r>
    </w:p>
    <w:p w14:paraId="00000029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Provide threat analysis</w:t>
      </w:r>
    </w:p>
    <w:p w14:paraId="0000002A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Provide recommendations for additional follow-on security measures</w:t>
      </w:r>
    </w:p>
    <w:p w14:paraId="0000002B" w14:textId="43EE485B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Report to Mission Owner, Intel Sharing and Higher Authority</w:t>
      </w:r>
    </w:p>
    <w:p w14:paraId="275A9204" w14:textId="58A07DD1" w:rsidR="00241DE6" w:rsidRDefault="00241DE6" w:rsidP="00241DE6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20079704" w14:textId="5E3930FE" w:rsidR="00241DE6" w:rsidRDefault="00241DE6" w:rsidP="00241DE6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74B8DBC8" w14:textId="231D06CB" w:rsidR="00241DE6" w:rsidRDefault="00241DE6" w:rsidP="00241DE6">
      <w:pPr>
        <w:spacing w:line="240" w:lineRule="auto"/>
        <w:ind w:left="4320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Printed Business Owner name</w:t>
      </w:r>
    </w:p>
    <w:p w14:paraId="780D24AE" w14:textId="2B4511E9" w:rsidR="00241DE6" w:rsidRDefault="00241DE6" w:rsidP="00241DE6">
      <w:pPr>
        <w:spacing w:line="240" w:lineRule="auto"/>
        <w:ind w:left="4320"/>
        <w:rPr>
          <w:rFonts w:ascii="Old Standard TT" w:eastAsia="Old Standard TT" w:hAnsi="Old Standard TT" w:cs="Old Standard TT"/>
          <w:sz w:val="20"/>
          <w:szCs w:val="20"/>
        </w:rPr>
      </w:pPr>
    </w:p>
    <w:p w14:paraId="3DEFA28B" w14:textId="77777777" w:rsidR="00721C08" w:rsidRDefault="00721C08" w:rsidP="00241DE6">
      <w:pPr>
        <w:spacing w:line="240" w:lineRule="auto"/>
        <w:ind w:left="4320"/>
        <w:rPr>
          <w:rFonts w:ascii="Old Standard TT" w:eastAsia="Old Standard TT" w:hAnsi="Old Standard TT" w:cs="Old Standard TT"/>
          <w:sz w:val="20"/>
          <w:szCs w:val="20"/>
        </w:rPr>
      </w:pPr>
    </w:p>
    <w:p w14:paraId="13CCE44D" w14:textId="0FC2C441" w:rsidR="00241DE6" w:rsidRDefault="00241DE6" w:rsidP="00241DE6">
      <w:pPr>
        <w:spacing w:line="240" w:lineRule="auto"/>
        <w:ind w:left="4320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Signature________________________________</w:t>
      </w:r>
    </w:p>
    <w:p w14:paraId="0000002C" w14:textId="77777777" w:rsidR="00120282" w:rsidRDefault="00120282">
      <w:pPr>
        <w:rPr>
          <w:rFonts w:ascii="Old Standard TT" w:eastAsia="Old Standard TT" w:hAnsi="Old Standard TT" w:cs="Old Standard TT"/>
          <w:sz w:val="20"/>
          <w:szCs w:val="20"/>
        </w:rPr>
      </w:pPr>
    </w:p>
    <w:sectPr w:rsidR="001202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Standard TT">
    <w:altName w:val="Calibri"/>
    <w:panose1 w:val="020B0604020202020204"/>
    <w:charset w:val="00"/>
    <w:family w:val="auto"/>
    <w:pitch w:val="default"/>
  </w:font>
  <w:font w:name="CMSSBX10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F5780"/>
    <w:multiLevelType w:val="multilevel"/>
    <w:tmpl w:val="2EF4B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82"/>
    <w:rsid w:val="00120282"/>
    <w:rsid w:val="00241DE6"/>
    <w:rsid w:val="00721C08"/>
    <w:rsid w:val="0083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C1F3"/>
  <w15:docId w15:val="{590088F1-E088-4A12-BA53-17BF233D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Canada, Jonathon CPT CAGOV CPT</cp:lastModifiedBy>
  <cp:revision>4</cp:revision>
  <dcterms:created xsi:type="dcterms:W3CDTF">2020-08-22T18:01:00Z</dcterms:created>
  <dcterms:modified xsi:type="dcterms:W3CDTF">2021-04-10T20:23:00Z</dcterms:modified>
</cp:coreProperties>
</file>