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0"/>
          <w:szCs w:val="20"/>
          <w:u w:val="single"/>
          <w:rtl w:val="0"/>
        </w:rPr>
        <w:t xml:space="preserve">Prioritized Defended Assets List (PDAL)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list represents the services, in order of criticality, that are critical to the successful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Integrity &amp; Availability of Domain Management resources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and integrity of enclave administration devices that allow collaboration between users at various enterprise locations is the primary priority.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 assessment analysis has determined with high confidence that failure to maintain authorized access and data integrity will lead to loss of internal communications ability and ultimately, mission failure.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 components associated with the network include domain controllers, exchange servers and network infrastructure devices.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Personally Identifiable Information data repositories.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Integrity and confidentiality of PII systems and associated data are the secondary priority.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 assessment analysis has determined with high confidence that exploitation of these systems and data will degrade combatant force readiness and constrain further combat actions.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 components associated with PII include databases and web servers.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External Web Servers.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and integrity of External Web Servers and their associated data is the tertiary priority.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 assessment analysis has determined with medium confidence that failure to provide certain data externally may degrade adjacent unit missions.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 components include external facing standard and non-standard data-providing services.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