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360"/>
            <w:shd w:val="clear" w:color="auto" w:fill="0D1B2A"/>
          </w:tcPr>
          <w:p>
            <w:pPr>
              <w:spacing w:before="480"/>
              <w:jc w:val="center"/>
            </w:pPr>
            <w:r>
              <w:rPr>
                <w:b/>
                <w:i w:val="0"/>
                <w:color w:val="D4A017"/>
                <w:sz w:val="20"/>
              </w:rPr>
              <w:t>PROFESSIONAL SERVICES PORTFOLIO</w:t>
            </w:r>
          </w:p>
          <w:p>
            <w:pPr>
              <w:jc w:val="center"/>
            </w:pPr>
            <w:r>
              <w:rPr>
                <w:b/>
                <w:i w:val="0"/>
                <w:color w:val="FFFFFF"/>
                <w:sz w:val="36"/>
              </w:rPr>
              <w:t>Website &amp; Social Media Management Proposal</w:t>
            </w:r>
          </w:p>
          <w:p>
            <w:pPr>
              <w:jc w:val="center"/>
            </w:pPr>
            <w:r>
              <w:rPr>
                <w:b w:val="0"/>
                <w:i w:val="0"/>
                <w:color w:val="AABBCC"/>
                <w:sz w:val="20"/>
              </w:rPr>
              <w:t>Portfolio Under Consideration  |  Monthly Retainer  |  June 2026</w:t>
            </w:r>
          </w:p>
          <w:p>
            <w:pPr>
              <w:spacing w:after="400"/>
              <w:jc w:val="center"/>
            </w:pPr>
            <w:r>
              <w:rPr>
                <w:b w:val="0"/>
                <w:i w:val="0"/>
                <w:color w:val="AABBCC"/>
                <w:sz w:val="20"/>
              </w:rPr>
              <w:t>7 Client Companies  ·  3 Core Services per Client  ·  Monthly Billing Cycle</w:t>
            </w:r>
          </w:p>
        </w:tc>
      </w:tr>
    </w:tbl>
    <w:p/>
    <w:p>
      <w:r>
        <w:rPr>
          <w:b/>
          <w:i w:val="0"/>
          <w:color w:val="0D1B2A"/>
          <w:sz w:val="24"/>
        </w:rPr>
        <w:t>Services Included in Each Monthly Retainer</w:t>
      </w:r>
    </w:p>
    <w:p>
      <w:pPr>
        <w:pStyle w:val="ListBullet"/>
      </w:pPr>
      <w:r>
        <w:rPr>
          <w:b/>
          <w:i w:val="0"/>
          <w:color w:val="1F6FEB"/>
          <w:sz w:val="20"/>
        </w:rPr>
        <w:t xml:space="preserve">Website Management &amp; Maintenance:  </w:t>
      </w:r>
      <w:r>
        <w:rPr>
          <w:b w:val="0"/>
          <w:i w:val="0"/>
          <w:sz w:val="20"/>
        </w:rPr>
        <w:t>Hosting oversight, updates, uptime monitoring, security patches.</w:t>
      </w:r>
    </w:p>
    <w:p>
      <w:pPr>
        <w:pStyle w:val="ListBullet"/>
      </w:pPr>
      <w:r>
        <w:rPr>
          <w:b/>
          <w:i w:val="0"/>
          <w:color w:val="1F6FEB"/>
          <w:sz w:val="20"/>
        </w:rPr>
        <w:t xml:space="preserve">Social Media Management:  </w:t>
      </w:r>
      <w:r>
        <w:rPr>
          <w:b w:val="0"/>
          <w:i w:val="0"/>
          <w:sz w:val="20"/>
        </w:rPr>
        <w:t>Content creation, daily posting, community engagement, analytics &amp; reporting.</w:t>
      </w:r>
    </w:p>
    <w:p>
      <w:pPr>
        <w:pStyle w:val="ListBullet"/>
      </w:pPr>
      <w:r>
        <w:rPr>
          <w:b/>
          <w:i w:val="0"/>
          <w:color w:val="1F6FEB"/>
          <w:sz w:val="20"/>
        </w:rPr>
        <w:t xml:space="preserve">Website Development &amp; Design:  </w:t>
      </w:r>
      <w:r>
        <w:rPr>
          <w:b w:val="0"/>
          <w:i w:val="0"/>
          <w:sz w:val="20"/>
        </w:rPr>
        <w:t>New features, landing pages, UI improvements, performance optimisation.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873"/>
            <w:shd w:val="clear" w:color="auto" w:fill="0D1B2A"/>
            <w:vAlign w:val="center"/>
          </w:tcPr>
          <w:p>
            <w:pPr>
              <w:spacing w:before="160" w:after="160"/>
            </w:pPr>
            <w:r>
              <w:rPr>
                <w:b/>
                <w:i w:val="0"/>
                <w:color w:val="FFFFFF"/>
                <w:sz w:val="24"/>
              </w:rPr>
              <w:t>01.  myPence Company Limited</w:t>
            </w:r>
            <w:r>
              <w:t xml:space="preserve">  </w:t>
            </w:r>
            <w:r>
              <w:rPr>
                <w:b w:val="0"/>
                <w:i/>
                <w:color w:val="AABBCC"/>
                <w:sz w:val="18"/>
              </w:rPr>
              <w:t>Financial Services / Fintech</w:t>
            </w:r>
          </w:p>
        </w:tc>
        <w:tc>
          <w:tcPr>
            <w:tcW w:type="dxa" w:w="4873"/>
            <w:shd w:val="clear" w:color="auto" w:fill="0D1B2A"/>
            <w:vAlign w:val="center"/>
          </w:tcPr>
          <w:p>
            <w:pPr>
              <w:spacing w:before="160" w:after="160"/>
              <w:jc w:val="right"/>
            </w:pPr>
            <w:r>
              <w:rPr>
                <w:b/>
                <w:i w:val="0"/>
                <w:color w:val="D4A017"/>
                <w:sz w:val="24"/>
              </w:rPr>
              <w:t>GHS 4,500 / mo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5184"/>
        <w:gridCol w:w="1296"/>
      </w:tblGrid>
      <w:tr>
        <w:tc>
          <w:tcPr>
            <w:tcW w:type="dxa" w:w="3249"/>
            <w:shd w:val="clear" w:color="auto" w:fill="E8F0FE"/>
          </w:tcPr>
          <w:p>
            <w:pPr>
              <w:spacing w:before="100" w:after="100"/>
            </w:pPr>
            <w:r>
              <w:rPr>
                <w:b/>
                <w:i w:val="0"/>
                <w:color w:val="1F6FEB"/>
                <w:sz w:val="16"/>
              </w:rPr>
              <w:t>SERVICE</w:t>
            </w:r>
          </w:p>
        </w:tc>
        <w:tc>
          <w:tcPr>
            <w:tcW w:type="dxa" w:w="3249"/>
            <w:shd w:val="clear" w:color="auto" w:fill="E8F0FE"/>
          </w:tcPr>
          <w:p>
            <w:pPr>
              <w:spacing w:before="100" w:after="100"/>
            </w:pPr>
            <w:r>
              <w:rPr>
                <w:b/>
                <w:i w:val="0"/>
                <w:color w:val="1F6FEB"/>
                <w:sz w:val="16"/>
              </w:rPr>
              <w:t>SCOPE / DELIVERABLES</w:t>
            </w:r>
          </w:p>
        </w:tc>
        <w:tc>
          <w:tcPr>
            <w:tcW w:type="dxa" w:w="3249"/>
            <w:shd w:val="clear" w:color="auto" w:fill="E8F0FE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16"/>
              </w:rPr>
              <w:t>MONTHLY FEE</w:t>
            </w:r>
          </w:p>
        </w:tc>
      </w:tr>
      <w:tr>
        <w:tc>
          <w:tcPr>
            <w:tcW w:type="dxa" w:w="2880"/>
          </w:tcPr>
          <w:p>
            <w:pPr>
              <w:spacing w:before="100" w:after="100"/>
            </w:pPr>
            <w:r>
              <w:rPr>
                <w:b/>
                <w:i w:val="0"/>
                <w:color w:val="0D1B2A"/>
                <w:sz w:val="20"/>
              </w:rPr>
              <w:t>Website Management</w:t>
            </w:r>
          </w:p>
        </w:tc>
        <w:tc>
          <w:tcPr>
            <w:tcW w:type="dxa" w:w="5184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Hosting oversight, updates, uptime monitoring, security patches.</w:t>
            </w:r>
          </w:p>
        </w:tc>
        <w:tc>
          <w:tcPr>
            <w:tcW w:type="dxa" w:w="1296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20"/>
              </w:rPr>
              <w:t>GHS 1,200</w:t>
            </w:r>
          </w:p>
        </w:tc>
      </w:tr>
      <w:tr>
        <w:tc>
          <w:tcPr>
            <w:tcW w:type="dxa" w:w="2880"/>
          </w:tcPr>
          <w:p>
            <w:pPr>
              <w:spacing w:before="100" w:after="100"/>
            </w:pPr>
            <w:r>
              <w:rPr>
                <w:b/>
                <w:i w:val="0"/>
                <w:color w:val="0D1B2A"/>
                <w:sz w:val="20"/>
              </w:rPr>
              <w:t>Social Media Mgmt</w:t>
            </w:r>
          </w:p>
        </w:tc>
        <w:tc>
          <w:tcPr>
            <w:tcW w:type="dxa" w:w="5184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Facebook, Instagram, X (Twitter), LinkedIn — daily posts, engagement, analytics.</w:t>
            </w:r>
          </w:p>
        </w:tc>
        <w:tc>
          <w:tcPr>
            <w:tcW w:type="dxa" w:w="1296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20"/>
              </w:rPr>
              <w:t>GHS 1,500</w:t>
            </w:r>
          </w:p>
        </w:tc>
      </w:tr>
      <w:tr>
        <w:tc>
          <w:tcPr>
            <w:tcW w:type="dxa" w:w="2880"/>
          </w:tcPr>
          <w:p>
            <w:pPr>
              <w:spacing w:before="100" w:after="100"/>
            </w:pPr>
            <w:r>
              <w:rPr>
                <w:b/>
                <w:i w:val="0"/>
                <w:color w:val="0D1B2A"/>
                <w:sz w:val="20"/>
              </w:rPr>
              <w:t>Website Development</w:t>
            </w:r>
          </w:p>
        </w:tc>
        <w:tc>
          <w:tcPr>
            <w:tcW w:type="dxa" w:w="5184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New features, landing pages, UI improvements, performance optimisation.</w:t>
            </w:r>
          </w:p>
        </w:tc>
        <w:tc>
          <w:tcPr>
            <w:tcW w:type="dxa" w:w="1296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20"/>
              </w:rPr>
              <w:t>GHS 1,800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873"/>
            <w:shd w:val="clear" w:color="auto" w:fill="F4F7FB"/>
          </w:tcPr>
          <w:p>
            <w:pPr>
              <w:spacing w:before="80" w:after="120"/>
            </w:pPr>
            <w:r>
              <w:rPr>
                <w:b w:val="0"/>
                <w:i/>
                <w:color w:val="6B7280"/>
                <w:sz w:val="16"/>
              </w:rPr>
              <w:t>Billing: 1st of each month  ·  Fintech rate applied</w:t>
            </w:r>
          </w:p>
        </w:tc>
        <w:tc>
          <w:tcPr>
            <w:tcW w:type="dxa" w:w="4873"/>
            <w:shd w:val="clear" w:color="auto" w:fill="F4F7FB"/>
          </w:tcPr>
          <w:p>
            <w:pPr>
              <w:spacing w:before="80" w:after="120"/>
              <w:jc w:val="right"/>
            </w:pPr>
            <w:r>
              <w:rPr>
                <w:b/>
                <w:i w:val="0"/>
                <w:color w:val="0D1B2A"/>
                <w:sz w:val="18"/>
              </w:rPr>
              <w:t>Total: GHS 4,500 / month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873"/>
            <w:shd w:val="clear" w:color="auto" w:fill="0D1B2A"/>
            <w:vAlign w:val="center"/>
          </w:tcPr>
          <w:p>
            <w:pPr>
              <w:spacing w:before="160" w:after="160"/>
            </w:pPr>
            <w:r>
              <w:rPr>
                <w:b/>
                <w:i w:val="0"/>
                <w:color w:val="FFFFFF"/>
                <w:sz w:val="24"/>
              </w:rPr>
              <w:t>02.  Community Liberation</w:t>
            </w:r>
            <w:r>
              <w:t xml:space="preserve">  </w:t>
            </w:r>
            <w:r>
              <w:rPr>
                <w:b w:val="0"/>
                <w:i/>
                <w:color w:val="AABBCC"/>
                <w:sz w:val="18"/>
              </w:rPr>
              <w:t>Non-Profit / Community Organisation</w:t>
            </w:r>
          </w:p>
        </w:tc>
        <w:tc>
          <w:tcPr>
            <w:tcW w:type="dxa" w:w="4873"/>
            <w:shd w:val="clear" w:color="auto" w:fill="0D1B2A"/>
            <w:vAlign w:val="center"/>
          </w:tcPr>
          <w:p>
            <w:pPr>
              <w:spacing w:before="160" w:after="160"/>
              <w:jc w:val="right"/>
            </w:pPr>
            <w:r>
              <w:rPr>
                <w:b/>
                <w:i w:val="0"/>
                <w:color w:val="D4A017"/>
                <w:sz w:val="24"/>
              </w:rPr>
              <w:t>GHS 3,200 / mo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5184"/>
        <w:gridCol w:w="1296"/>
      </w:tblGrid>
      <w:tr>
        <w:tc>
          <w:tcPr>
            <w:tcW w:type="dxa" w:w="3249"/>
            <w:shd w:val="clear" w:color="auto" w:fill="E8F0FE"/>
          </w:tcPr>
          <w:p>
            <w:pPr>
              <w:spacing w:before="100" w:after="100"/>
            </w:pPr>
            <w:r>
              <w:rPr>
                <w:b/>
                <w:i w:val="0"/>
                <w:color w:val="1F6FEB"/>
                <w:sz w:val="16"/>
              </w:rPr>
              <w:t>SERVICE</w:t>
            </w:r>
          </w:p>
        </w:tc>
        <w:tc>
          <w:tcPr>
            <w:tcW w:type="dxa" w:w="3249"/>
            <w:shd w:val="clear" w:color="auto" w:fill="E8F0FE"/>
          </w:tcPr>
          <w:p>
            <w:pPr>
              <w:spacing w:before="100" w:after="100"/>
            </w:pPr>
            <w:r>
              <w:rPr>
                <w:b/>
                <w:i w:val="0"/>
                <w:color w:val="1F6FEB"/>
                <w:sz w:val="16"/>
              </w:rPr>
              <w:t>SCOPE / DELIVERABLES</w:t>
            </w:r>
          </w:p>
        </w:tc>
        <w:tc>
          <w:tcPr>
            <w:tcW w:type="dxa" w:w="3249"/>
            <w:shd w:val="clear" w:color="auto" w:fill="E8F0FE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16"/>
              </w:rPr>
              <w:t>MONTHLY FEE</w:t>
            </w:r>
          </w:p>
        </w:tc>
      </w:tr>
      <w:tr>
        <w:tc>
          <w:tcPr>
            <w:tcW w:type="dxa" w:w="2880"/>
          </w:tcPr>
          <w:p>
            <w:pPr>
              <w:spacing w:before="100" w:after="100"/>
            </w:pPr>
            <w:r>
              <w:rPr>
                <w:b/>
                <w:i w:val="0"/>
                <w:color w:val="0D1B2A"/>
                <w:sz w:val="20"/>
              </w:rPr>
              <w:t>Website Management</w:t>
            </w:r>
          </w:p>
        </w:tc>
        <w:tc>
          <w:tcPr>
            <w:tcW w:type="dxa" w:w="5184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Content updates, plugin maintenance, backups, uptime monitoring.</w:t>
            </w:r>
          </w:p>
        </w:tc>
        <w:tc>
          <w:tcPr>
            <w:tcW w:type="dxa" w:w="1296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20"/>
              </w:rPr>
              <w:t>GHS 900</w:t>
            </w:r>
          </w:p>
        </w:tc>
      </w:tr>
      <w:tr>
        <w:tc>
          <w:tcPr>
            <w:tcW w:type="dxa" w:w="2880"/>
          </w:tcPr>
          <w:p>
            <w:pPr>
              <w:spacing w:before="100" w:after="100"/>
            </w:pPr>
            <w:r>
              <w:rPr>
                <w:b/>
                <w:i w:val="0"/>
                <w:color w:val="0D1B2A"/>
                <w:sz w:val="20"/>
              </w:rPr>
              <w:t>Social Media Mgmt</w:t>
            </w:r>
          </w:p>
        </w:tc>
        <w:tc>
          <w:tcPr>
            <w:tcW w:type="dxa" w:w="5184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Facebook, Instagram, WhatsApp Channel — community engagement, event promotion.</w:t>
            </w:r>
          </w:p>
        </w:tc>
        <w:tc>
          <w:tcPr>
            <w:tcW w:type="dxa" w:w="1296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20"/>
              </w:rPr>
              <w:t>GHS 1,100</w:t>
            </w:r>
          </w:p>
        </w:tc>
      </w:tr>
      <w:tr>
        <w:tc>
          <w:tcPr>
            <w:tcW w:type="dxa" w:w="2880"/>
          </w:tcPr>
          <w:p>
            <w:pPr>
              <w:spacing w:before="100" w:after="100"/>
            </w:pPr>
            <w:r>
              <w:rPr>
                <w:b/>
                <w:i w:val="0"/>
                <w:color w:val="0D1B2A"/>
                <w:sz w:val="20"/>
              </w:rPr>
              <w:t>Website Development</w:t>
            </w:r>
          </w:p>
        </w:tc>
        <w:tc>
          <w:tcPr>
            <w:tcW w:type="dxa" w:w="5184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Campaign pages, donation integration, volunteer portal enhancements.</w:t>
            </w:r>
          </w:p>
        </w:tc>
        <w:tc>
          <w:tcPr>
            <w:tcW w:type="dxa" w:w="1296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20"/>
              </w:rPr>
              <w:t>GHS 1,200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873"/>
            <w:shd w:val="clear" w:color="auto" w:fill="F4F7FB"/>
          </w:tcPr>
          <w:p>
            <w:pPr>
              <w:spacing w:before="80" w:after="120"/>
            </w:pPr>
            <w:r>
              <w:rPr>
                <w:b w:val="0"/>
                <w:i/>
                <w:color w:val="6B7280"/>
                <w:sz w:val="16"/>
              </w:rPr>
              <w:t>Billing: 1st of each month  ·  Non-profit rate applied</w:t>
            </w:r>
          </w:p>
        </w:tc>
        <w:tc>
          <w:tcPr>
            <w:tcW w:type="dxa" w:w="4873"/>
            <w:shd w:val="clear" w:color="auto" w:fill="F4F7FB"/>
          </w:tcPr>
          <w:p>
            <w:pPr>
              <w:spacing w:before="80" w:after="120"/>
              <w:jc w:val="right"/>
            </w:pPr>
            <w:r>
              <w:rPr>
                <w:b/>
                <w:i w:val="0"/>
                <w:color w:val="0D1B2A"/>
                <w:sz w:val="18"/>
              </w:rPr>
              <w:t>Total: GHS 3,200 / month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873"/>
            <w:shd w:val="clear" w:color="auto" w:fill="0D1B2A"/>
            <w:vAlign w:val="center"/>
          </w:tcPr>
          <w:p>
            <w:pPr>
              <w:spacing w:before="160" w:after="160"/>
            </w:pPr>
            <w:r>
              <w:rPr>
                <w:b/>
                <w:i w:val="0"/>
                <w:color w:val="FFFFFF"/>
                <w:sz w:val="24"/>
              </w:rPr>
              <w:t>03.  International Liberation Ministry</w:t>
            </w:r>
            <w:r>
              <w:t xml:space="preserve">  </w:t>
            </w:r>
            <w:r>
              <w:rPr>
                <w:b w:val="0"/>
                <w:i/>
                <w:color w:val="AABBCC"/>
                <w:sz w:val="18"/>
              </w:rPr>
              <w:t>Religious / Faith Organisation</w:t>
            </w:r>
          </w:p>
        </w:tc>
        <w:tc>
          <w:tcPr>
            <w:tcW w:type="dxa" w:w="4873"/>
            <w:shd w:val="clear" w:color="auto" w:fill="0D1B2A"/>
            <w:vAlign w:val="center"/>
          </w:tcPr>
          <w:p>
            <w:pPr>
              <w:spacing w:before="160" w:after="160"/>
              <w:jc w:val="right"/>
            </w:pPr>
            <w:r>
              <w:rPr>
                <w:b/>
                <w:i w:val="0"/>
                <w:color w:val="D4A017"/>
                <w:sz w:val="24"/>
              </w:rPr>
              <w:t>GHS 3,500 / mo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5184"/>
        <w:gridCol w:w="1296"/>
      </w:tblGrid>
      <w:tr>
        <w:tc>
          <w:tcPr>
            <w:tcW w:type="dxa" w:w="3249"/>
            <w:shd w:val="clear" w:color="auto" w:fill="E8F0FE"/>
          </w:tcPr>
          <w:p>
            <w:pPr>
              <w:spacing w:before="100" w:after="100"/>
            </w:pPr>
            <w:r>
              <w:rPr>
                <w:b/>
                <w:i w:val="0"/>
                <w:color w:val="1F6FEB"/>
                <w:sz w:val="16"/>
              </w:rPr>
              <w:t>SERVICE</w:t>
            </w:r>
          </w:p>
        </w:tc>
        <w:tc>
          <w:tcPr>
            <w:tcW w:type="dxa" w:w="3249"/>
            <w:shd w:val="clear" w:color="auto" w:fill="E8F0FE"/>
          </w:tcPr>
          <w:p>
            <w:pPr>
              <w:spacing w:before="100" w:after="100"/>
            </w:pPr>
            <w:r>
              <w:rPr>
                <w:b/>
                <w:i w:val="0"/>
                <w:color w:val="1F6FEB"/>
                <w:sz w:val="16"/>
              </w:rPr>
              <w:t>SCOPE / DELIVERABLES</w:t>
            </w:r>
          </w:p>
        </w:tc>
        <w:tc>
          <w:tcPr>
            <w:tcW w:type="dxa" w:w="3249"/>
            <w:shd w:val="clear" w:color="auto" w:fill="E8F0FE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16"/>
              </w:rPr>
              <w:t>MONTHLY FEE</w:t>
            </w:r>
          </w:p>
        </w:tc>
      </w:tr>
      <w:tr>
        <w:tc>
          <w:tcPr>
            <w:tcW w:type="dxa" w:w="2880"/>
          </w:tcPr>
          <w:p>
            <w:pPr>
              <w:spacing w:before="100" w:after="100"/>
            </w:pPr>
            <w:r>
              <w:rPr>
                <w:b/>
                <w:i w:val="0"/>
                <w:color w:val="0D1B2A"/>
                <w:sz w:val="20"/>
              </w:rPr>
              <w:t>Website Management</w:t>
            </w:r>
          </w:p>
        </w:tc>
        <w:tc>
          <w:tcPr>
            <w:tcW w:type="dxa" w:w="5184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Sermon uploads, event calendar, streaming integrations, maintenance.</w:t>
            </w:r>
          </w:p>
        </w:tc>
        <w:tc>
          <w:tcPr>
            <w:tcW w:type="dxa" w:w="1296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20"/>
              </w:rPr>
              <w:t>GHS 1,000</w:t>
            </w:r>
          </w:p>
        </w:tc>
      </w:tr>
      <w:tr>
        <w:tc>
          <w:tcPr>
            <w:tcW w:type="dxa" w:w="2880"/>
          </w:tcPr>
          <w:p>
            <w:pPr>
              <w:spacing w:before="100" w:after="100"/>
            </w:pPr>
            <w:r>
              <w:rPr>
                <w:b/>
                <w:i w:val="0"/>
                <w:color w:val="0D1B2A"/>
                <w:sz w:val="20"/>
              </w:rPr>
              <w:t>Social Media Mgmt</w:t>
            </w:r>
          </w:p>
        </w:tc>
        <w:tc>
          <w:tcPr>
            <w:tcW w:type="dxa" w:w="5184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Facebook, YouTube, Instagram, TikTok — devotionals, event coverage, live-stream support.</w:t>
            </w:r>
          </w:p>
        </w:tc>
        <w:tc>
          <w:tcPr>
            <w:tcW w:type="dxa" w:w="1296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20"/>
              </w:rPr>
              <w:t>GHS 1,300</w:t>
            </w:r>
          </w:p>
        </w:tc>
      </w:tr>
      <w:tr>
        <w:tc>
          <w:tcPr>
            <w:tcW w:type="dxa" w:w="2880"/>
          </w:tcPr>
          <w:p>
            <w:pPr>
              <w:spacing w:before="100" w:after="100"/>
            </w:pPr>
            <w:r>
              <w:rPr>
                <w:b/>
                <w:i w:val="0"/>
                <w:color w:val="0D1B2A"/>
                <w:sz w:val="20"/>
              </w:rPr>
              <w:t>Website Development</w:t>
            </w:r>
          </w:p>
        </w:tc>
        <w:tc>
          <w:tcPr>
            <w:tcW w:type="dxa" w:w="5184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Online giving portal, member area, media library, multilingual support.</w:t>
            </w:r>
          </w:p>
        </w:tc>
        <w:tc>
          <w:tcPr>
            <w:tcW w:type="dxa" w:w="1296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20"/>
              </w:rPr>
              <w:t>GHS 1,200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873"/>
            <w:shd w:val="clear" w:color="auto" w:fill="F4F7FB"/>
          </w:tcPr>
          <w:p>
            <w:pPr>
              <w:spacing w:before="80" w:after="120"/>
            </w:pPr>
            <w:r>
              <w:rPr>
                <w:b w:val="0"/>
                <w:i/>
                <w:color w:val="6B7280"/>
                <w:sz w:val="16"/>
              </w:rPr>
              <w:t>Billing: 1st of each month  ·  Faith-org rate applied</w:t>
            </w:r>
          </w:p>
        </w:tc>
        <w:tc>
          <w:tcPr>
            <w:tcW w:type="dxa" w:w="4873"/>
            <w:shd w:val="clear" w:color="auto" w:fill="F4F7FB"/>
          </w:tcPr>
          <w:p>
            <w:pPr>
              <w:spacing w:before="80" w:after="120"/>
              <w:jc w:val="right"/>
            </w:pPr>
            <w:r>
              <w:rPr>
                <w:b/>
                <w:i w:val="0"/>
                <w:color w:val="0D1B2A"/>
                <w:sz w:val="18"/>
              </w:rPr>
              <w:t>Total: GHS 3,500 / month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873"/>
            <w:shd w:val="clear" w:color="auto" w:fill="0D1B2A"/>
            <w:vAlign w:val="center"/>
          </w:tcPr>
          <w:p>
            <w:pPr>
              <w:spacing w:before="160" w:after="160"/>
            </w:pPr>
            <w:r>
              <w:rPr>
                <w:b/>
                <w:i w:val="0"/>
                <w:color w:val="FFFFFF"/>
                <w:sz w:val="24"/>
              </w:rPr>
              <w:t>04.  BrooksRemit</w:t>
            </w:r>
            <w:r>
              <w:t xml:space="preserve">  </w:t>
            </w:r>
            <w:r>
              <w:rPr>
                <w:b w:val="0"/>
                <w:i/>
                <w:color w:val="AABBCC"/>
                <w:sz w:val="18"/>
              </w:rPr>
              <w:t>Fintech / International Remittance</w:t>
            </w:r>
          </w:p>
        </w:tc>
        <w:tc>
          <w:tcPr>
            <w:tcW w:type="dxa" w:w="4873"/>
            <w:shd w:val="clear" w:color="auto" w:fill="0D1B2A"/>
            <w:vAlign w:val="center"/>
          </w:tcPr>
          <w:p>
            <w:pPr>
              <w:spacing w:before="160" w:after="160"/>
              <w:jc w:val="right"/>
            </w:pPr>
            <w:r>
              <w:rPr>
                <w:b/>
                <w:i w:val="0"/>
                <w:color w:val="D4A017"/>
                <w:sz w:val="24"/>
              </w:rPr>
              <w:t>GHS 5,200 / mo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5184"/>
        <w:gridCol w:w="1296"/>
      </w:tblGrid>
      <w:tr>
        <w:tc>
          <w:tcPr>
            <w:tcW w:type="dxa" w:w="3249"/>
            <w:shd w:val="clear" w:color="auto" w:fill="E8F0FE"/>
          </w:tcPr>
          <w:p>
            <w:pPr>
              <w:spacing w:before="100" w:after="100"/>
            </w:pPr>
            <w:r>
              <w:rPr>
                <w:b/>
                <w:i w:val="0"/>
                <w:color w:val="1F6FEB"/>
                <w:sz w:val="16"/>
              </w:rPr>
              <w:t>SERVICE</w:t>
            </w:r>
          </w:p>
        </w:tc>
        <w:tc>
          <w:tcPr>
            <w:tcW w:type="dxa" w:w="3249"/>
            <w:shd w:val="clear" w:color="auto" w:fill="E8F0FE"/>
          </w:tcPr>
          <w:p>
            <w:pPr>
              <w:spacing w:before="100" w:after="100"/>
            </w:pPr>
            <w:r>
              <w:rPr>
                <w:b/>
                <w:i w:val="0"/>
                <w:color w:val="1F6FEB"/>
                <w:sz w:val="16"/>
              </w:rPr>
              <w:t>SCOPE / DELIVERABLES</w:t>
            </w:r>
          </w:p>
        </w:tc>
        <w:tc>
          <w:tcPr>
            <w:tcW w:type="dxa" w:w="3249"/>
            <w:shd w:val="clear" w:color="auto" w:fill="E8F0FE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16"/>
              </w:rPr>
              <w:t>MONTHLY FEE</w:t>
            </w:r>
          </w:p>
        </w:tc>
      </w:tr>
      <w:tr>
        <w:tc>
          <w:tcPr>
            <w:tcW w:type="dxa" w:w="2880"/>
          </w:tcPr>
          <w:p>
            <w:pPr>
              <w:spacing w:before="100" w:after="100"/>
            </w:pPr>
            <w:r>
              <w:rPr>
                <w:b/>
                <w:i w:val="0"/>
                <w:color w:val="0D1B2A"/>
                <w:sz w:val="20"/>
              </w:rPr>
              <w:t>Website Management</w:t>
            </w:r>
          </w:p>
        </w:tc>
        <w:tc>
          <w:tcPr>
            <w:tcW w:type="dxa" w:w="5184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High-availability monitoring, SSL management, compliance updates, API uptime checks.</w:t>
            </w:r>
          </w:p>
        </w:tc>
        <w:tc>
          <w:tcPr>
            <w:tcW w:type="dxa" w:w="1296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20"/>
              </w:rPr>
              <w:t>GHS 1,500</w:t>
            </w:r>
          </w:p>
        </w:tc>
      </w:tr>
      <w:tr>
        <w:tc>
          <w:tcPr>
            <w:tcW w:type="dxa" w:w="2880"/>
          </w:tcPr>
          <w:p>
            <w:pPr>
              <w:spacing w:before="100" w:after="100"/>
            </w:pPr>
            <w:r>
              <w:rPr>
                <w:b/>
                <w:i w:val="0"/>
                <w:color w:val="0D1B2A"/>
                <w:sz w:val="20"/>
              </w:rPr>
              <w:t>Social Media Mgmt</w:t>
            </w:r>
          </w:p>
        </w:tc>
        <w:tc>
          <w:tcPr>
            <w:tcW w:type="dxa" w:w="5184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Facebook, Instagram, X, LinkedIn — exchange rate posts, promos, customer support replies.</w:t>
            </w:r>
          </w:p>
        </w:tc>
        <w:tc>
          <w:tcPr>
            <w:tcW w:type="dxa" w:w="1296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20"/>
              </w:rPr>
              <w:t>GHS 1,700</w:t>
            </w:r>
          </w:p>
        </w:tc>
      </w:tr>
      <w:tr>
        <w:tc>
          <w:tcPr>
            <w:tcW w:type="dxa" w:w="2880"/>
          </w:tcPr>
          <w:p>
            <w:pPr>
              <w:spacing w:before="100" w:after="100"/>
            </w:pPr>
            <w:r>
              <w:rPr>
                <w:b/>
                <w:i w:val="0"/>
                <w:color w:val="0D1B2A"/>
                <w:sz w:val="20"/>
              </w:rPr>
              <w:t>Website Development</w:t>
            </w:r>
          </w:p>
        </w:tc>
        <w:tc>
          <w:tcPr>
            <w:tcW w:type="dxa" w:w="5184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Transfer flow improvements, dashboard UX, partner integrations, mobile optimisation.</w:t>
            </w:r>
          </w:p>
        </w:tc>
        <w:tc>
          <w:tcPr>
            <w:tcW w:type="dxa" w:w="1296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20"/>
              </w:rPr>
              <w:t>GHS 2,000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873"/>
            <w:shd w:val="clear" w:color="auto" w:fill="F4F7FB"/>
          </w:tcPr>
          <w:p>
            <w:pPr>
              <w:spacing w:before="80" w:after="120"/>
            </w:pPr>
            <w:r>
              <w:rPr>
                <w:b w:val="0"/>
                <w:i/>
                <w:color w:val="6B7280"/>
                <w:sz w:val="16"/>
              </w:rPr>
              <w:t>Billing: 1st of each month  ·  Fintech premium rate</w:t>
            </w:r>
          </w:p>
        </w:tc>
        <w:tc>
          <w:tcPr>
            <w:tcW w:type="dxa" w:w="4873"/>
            <w:shd w:val="clear" w:color="auto" w:fill="F4F7FB"/>
          </w:tcPr>
          <w:p>
            <w:pPr>
              <w:spacing w:before="80" w:after="120"/>
              <w:jc w:val="right"/>
            </w:pPr>
            <w:r>
              <w:rPr>
                <w:b/>
                <w:i w:val="0"/>
                <w:color w:val="0D1B2A"/>
                <w:sz w:val="18"/>
              </w:rPr>
              <w:t>Total: GHS 5,200 / month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873"/>
            <w:shd w:val="clear" w:color="auto" w:fill="0D1B2A"/>
            <w:vAlign w:val="center"/>
          </w:tcPr>
          <w:p>
            <w:pPr>
              <w:spacing w:before="160" w:after="160"/>
            </w:pPr>
            <w:r>
              <w:rPr>
                <w:b/>
                <w:i w:val="0"/>
                <w:color w:val="FFFFFF"/>
                <w:sz w:val="24"/>
              </w:rPr>
              <w:t>05.  OraclePence</w:t>
            </w:r>
            <w:r>
              <w:t xml:space="preserve">  </w:t>
            </w:r>
            <w:r>
              <w:rPr>
                <w:b w:val="0"/>
                <w:i/>
                <w:color w:val="AABBCC"/>
                <w:sz w:val="18"/>
              </w:rPr>
              <w:t>Financial Technology / Investment</w:t>
            </w:r>
          </w:p>
        </w:tc>
        <w:tc>
          <w:tcPr>
            <w:tcW w:type="dxa" w:w="4873"/>
            <w:shd w:val="clear" w:color="auto" w:fill="0D1B2A"/>
            <w:vAlign w:val="center"/>
          </w:tcPr>
          <w:p>
            <w:pPr>
              <w:spacing w:before="160" w:after="160"/>
              <w:jc w:val="right"/>
            </w:pPr>
            <w:r>
              <w:rPr>
                <w:b/>
                <w:i w:val="0"/>
                <w:color w:val="D4A017"/>
                <w:sz w:val="24"/>
              </w:rPr>
              <w:t>GHS 4,800 / mo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5184"/>
        <w:gridCol w:w="1296"/>
      </w:tblGrid>
      <w:tr>
        <w:tc>
          <w:tcPr>
            <w:tcW w:type="dxa" w:w="3249"/>
            <w:shd w:val="clear" w:color="auto" w:fill="E8F0FE"/>
          </w:tcPr>
          <w:p>
            <w:pPr>
              <w:spacing w:before="100" w:after="100"/>
            </w:pPr>
            <w:r>
              <w:rPr>
                <w:b/>
                <w:i w:val="0"/>
                <w:color w:val="1F6FEB"/>
                <w:sz w:val="16"/>
              </w:rPr>
              <w:t>SERVICE</w:t>
            </w:r>
          </w:p>
        </w:tc>
        <w:tc>
          <w:tcPr>
            <w:tcW w:type="dxa" w:w="3249"/>
            <w:shd w:val="clear" w:color="auto" w:fill="E8F0FE"/>
          </w:tcPr>
          <w:p>
            <w:pPr>
              <w:spacing w:before="100" w:after="100"/>
            </w:pPr>
            <w:r>
              <w:rPr>
                <w:b/>
                <w:i w:val="0"/>
                <w:color w:val="1F6FEB"/>
                <w:sz w:val="16"/>
              </w:rPr>
              <w:t>SCOPE / DELIVERABLES</w:t>
            </w:r>
          </w:p>
        </w:tc>
        <w:tc>
          <w:tcPr>
            <w:tcW w:type="dxa" w:w="3249"/>
            <w:shd w:val="clear" w:color="auto" w:fill="E8F0FE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16"/>
              </w:rPr>
              <w:t>MONTHLY FEE</w:t>
            </w:r>
          </w:p>
        </w:tc>
      </w:tr>
      <w:tr>
        <w:tc>
          <w:tcPr>
            <w:tcW w:type="dxa" w:w="2880"/>
          </w:tcPr>
          <w:p>
            <w:pPr>
              <w:spacing w:before="100" w:after="100"/>
            </w:pPr>
            <w:r>
              <w:rPr>
                <w:b/>
                <w:i w:val="0"/>
                <w:color w:val="0D1B2A"/>
                <w:sz w:val="20"/>
              </w:rPr>
              <w:t>Website Management</w:t>
            </w:r>
          </w:p>
        </w:tc>
        <w:tc>
          <w:tcPr>
            <w:tcW w:type="dxa" w:w="5184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Security audits, update deployments, data integrity checks, uptime SLA.</w:t>
            </w:r>
          </w:p>
        </w:tc>
        <w:tc>
          <w:tcPr>
            <w:tcW w:type="dxa" w:w="1296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20"/>
              </w:rPr>
              <w:t>GHS 1,400</w:t>
            </w:r>
          </w:p>
        </w:tc>
      </w:tr>
      <w:tr>
        <w:tc>
          <w:tcPr>
            <w:tcW w:type="dxa" w:w="2880"/>
          </w:tcPr>
          <w:p>
            <w:pPr>
              <w:spacing w:before="100" w:after="100"/>
            </w:pPr>
            <w:r>
              <w:rPr>
                <w:b/>
                <w:i w:val="0"/>
                <w:color w:val="0D1B2A"/>
                <w:sz w:val="20"/>
              </w:rPr>
              <w:t>Social Media Mgmt</w:t>
            </w:r>
          </w:p>
        </w:tc>
        <w:tc>
          <w:tcPr>
            <w:tcW w:type="dxa" w:w="5184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LinkedIn, Facebook, X — thought leadership content, investment insights, brand visibility.</w:t>
            </w:r>
          </w:p>
        </w:tc>
        <w:tc>
          <w:tcPr>
            <w:tcW w:type="dxa" w:w="1296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20"/>
              </w:rPr>
              <w:t>GHS 1,600</w:t>
            </w:r>
          </w:p>
        </w:tc>
      </w:tr>
      <w:tr>
        <w:tc>
          <w:tcPr>
            <w:tcW w:type="dxa" w:w="2880"/>
          </w:tcPr>
          <w:p>
            <w:pPr>
              <w:spacing w:before="100" w:after="100"/>
            </w:pPr>
            <w:r>
              <w:rPr>
                <w:b/>
                <w:i w:val="0"/>
                <w:color w:val="0D1B2A"/>
                <w:sz w:val="20"/>
              </w:rPr>
              <w:t>Website Development</w:t>
            </w:r>
          </w:p>
        </w:tc>
        <w:tc>
          <w:tcPr>
            <w:tcW w:type="dxa" w:w="5184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Portfolio tracker UI, investor dashboard, analytics integration, new product pages.</w:t>
            </w:r>
          </w:p>
        </w:tc>
        <w:tc>
          <w:tcPr>
            <w:tcW w:type="dxa" w:w="1296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20"/>
              </w:rPr>
              <w:t>GHS 1,800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873"/>
            <w:shd w:val="clear" w:color="auto" w:fill="F4F7FB"/>
          </w:tcPr>
          <w:p>
            <w:pPr>
              <w:spacing w:before="80" w:after="120"/>
            </w:pPr>
            <w:r>
              <w:rPr>
                <w:b w:val="0"/>
                <w:i/>
                <w:color w:val="6B7280"/>
                <w:sz w:val="16"/>
              </w:rPr>
              <w:t>Billing: 1st of each month  ·  Fintech premium rate</w:t>
            </w:r>
          </w:p>
        </w:tc>
        <w:tc>
          <w:tcPr>
            <w:tcW w:type="dxa" w:w="4873"/>
            <w:shd w:val="clear" w:color="auto" w:fill="F4F7FB"/>
          </w:tcPr>
          <w:p>
            <w:pPr>
              <w:spacing w:before="80" w:after="120"/>
              <w:jc w:val="right"/>
            </w:pPr>
            <w:r>
              <w:rPr>
                <w:b/>
                <w:i w:val="0"/>
                <w:color w:val="0D1B2A"/>
                <w:sz w:val="18"/>
              </w:rPr>
              <w:t>Total: GHS 4,800 / month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873"/>
            <w:shd w:val="clear" w:color="auto" w:fill="0D1B2A"/>
            <w:vAlign w:val="center"/>
          </w:tcPr>
          <w:p>
            <w:pPr>
              <w:spacing w:before="160" w:after="160"/>
            </w:pPr>
            <w:r>
              <w:rPr>
                <w:b/>
                <w:i w:val="0"/>
                <w:color w:val="FFFFFF"/>
                <w:sz w:val="24"/>
              </w:rPr>
              <w:t>06.  Eugene Coal Kwame Gbedemah</w:t>
            </w:r>
            <w:r>
              <w:t xml:space="preserve">  </w:t>
            </w:r>
            <w:r>
              <w:rPr>
                <w:b w:val="0"/>
                <w:i/>
                <w:color w:val="AABBCC"/>
                <w:sz w:val="18"/>
              </w:rPr>
              <w:t>Personal Brand / Public Figure</w:t>
            </w:r>
          </w:p>
        </w:tc>
        <w:tc>
          <w:tcPr>
            <w:tcW w:type="dxa" w:w="4873"/>
            <w:shd w:val="clear" w:color="auto" w:fill="0D1B2A"/>
            <w:vAlign w:val="center"/>
          </w:tcPr>
          <w:p>
            <w:pPr>
              <w:spacing w:before="160" w:after="160"/>
              <w:jc w:val="right"/>
            </w:pPr>
            <w:r>
              <w:rPr>
                <w:b/>
                <w:i w:val="0"/>
                <w:color w:val="D4A017"/>
                <w:sz w:val="24"/>
              </w:rPr>
              <w:t>GHS 3,000 / mo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5184"/>
        <w:gridCol w:w="1296"/>
      </w:tblGrid>
      <w:tr>
        <w:tc>
          <w:tcPr>
            <w:tcW w:type="dxa" w:w="3249"/>
            <w:shd w:val="clear" w:color="auto" w:fill="E8F0FE"/>
          </w:tcPr>
          <w:p>
            <w:pPr>
              <w:spacing w:before="100" w:after="100"/>
            </w:pPr>
            <w:r>
              <w:rPr>
                <w:b/>
                <w:i w:val="0"/>
                <w:color w:val="1F6FEB"/>
                <w:sz w:val="16"/>
              </w:rPr>
              <w:t>SERVICE</w:t>
            </w:r>
          </w:p>
        </w:tc>
        <w:tc>
          <w:tcPr>
            <w:tcW w:type="dxa" w:w="3249"/>
            <w:shd w:val="clear" w:color="auto" w:fill="E8F0FE"/>
          </w:tcPr>
          <w:p>
            <w:pPr>
              <w:spacing w:before="100" w:after="100"/>
            </w:pPr>
            <w:r>
              <w:rPr>
                <w:b/>
                <w:i w:val="0"/>
                <w:color w:val="1F6FEB"/>
                <w:sz w:val="16"/>
              </w:rPr>
              <w:t>SCOPE / DELIVERABLES</w:t>
            </w:r>
          </w:p>
        </w:tc>
        <w:tc>
          <w:tcPr>
            <w:tcW w:type="dxa" w:w="3249"/>
            <w:shd w:val="clear" w:color="auto" w:fill="E8F0FE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16"/>
              </w:rPr>
              <w:t>MONTHLY FEE</w:t>
            </w:r>
          </w:p>
        </w:tc>
      </w:tr>
      <w:tr>
        <w:tc>
          <w:tcPr>
            <w:tcW w:type="dxa" w:w="2880"/>
          </w:tcPr>
          <w:p>
            <w:pPr>
              <w:spacing w:before="100" w:after="100"/>
            </w:pPr>
            <w:r>
              <w:rPr>
                <w:b/>
                <w:i w:val="0"/>
                <w:color w:val="0D1B2A"/>
                <w:sz w:val="20"/>
              </w:rPr>
              <w:t>Website Management</w:t>
            </w:r>
          </w:p>
        </w:tc>
        <w:tc>
          <w:tcPr>
            <w:tcW w:type="dxa" w:w="5184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Bio updates, blog publishing, media gallery, performance maintenance.</w:t>
            </w:r>
          </w:p>
        </w:tc>
        <w:tc>
          <w:tcPr>
            <w:tcW w:type="dxa" w:w="1296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20"/>
              </w:rPr>
              <w:t>GHS 800</w:t>
            </w:r>
          </w:p>
        </w:tc>
      </w:tr>
      <w:tr>
        <w:tc>
          <w:tcPr>
            <w:tcW w:type="dxa" w:w="2880"/>
          </w:tcPr>
          <w:p>
            <w:pPr>
              <w:spacing w:before="100" w:after="100"/>
            </w:pPr>
            <w:r>
              <w:rPr>
                <w:b/>
                <w:i w:val="0"/>
                <w:color w:val="0D1B2A"/>
                <w:sz w:val="20"/>
              </w:rPr>
              <w:t>Social Media Mgmt</w:t>
            </w:r>
          </w:p>
        </w:tc>
        <w:tc>
          <w:tcPr>
            <w:tcW w:type="dxa" w:w="5184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Facebook, Instagram, X, LinkedIn — personal brand content, PR posts, engagement management.</w:t>
            </w:r>
          </w:p>
        </w:tc>
        <w:tc>
          <w:tcPr>
            <w:tcW w:type="dxa" w:w="1296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20"/>
              </w:rPr>
              <w:t>GHS 1,200</w:t>
            </w:r>
          </w:p>
        </w:tc>
      </w:tr>
      <w:tr>
        <w:tc>
          <w:tcPr>
            <w:tcW w:type="dxa" w:w="2880"/>
          </w:tcPr>
          <w:p>
            <w:pPr>
              <w:spacing w:before="100" w:after="100"/>
            </w:pPr>
            <w:r>
              <w:rPr>
                <w:b/>
                <w:i w:val="0"/>
                <w:color w:val="0D1B2A"/>
                <w:sz w:val="20"/>
              </w:rPr>
              <w:t>Website Development</w:t>
            </w:r>
          </w:p>
        </w:tc>
        <w:tc>
          <w:tcPr>
            <w:tcW w:type="dxa" w:w="5184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Personal website build-out, press kit page, booking/contact form, blog setup.</w:t>
            </w:r>
          </w:p>
        </w:tc>
        <w:tc>
          <w:tcPr>
            <w:tcW w:type="dxa" w:w="1296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20"/>
              </w:rPr>
              <w:t>GHS 1,000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873"/>
            <w:shd w:val="clear" w:color="auto" w:fill="F4F7FB"/>
          </w:tcPr>
          <w:p>
            <w:pPr>
              <w:spacing w:before="80" w:after="120"/>
            </w:pPr>
            <w:r>
              <w:rPr>
                <w:b w:val="0"/>
                <w:i/>
                <w:color w:val="6B7280"/>
                <w:sz w:val="16"/>
              </w:rPr>
              <w:t>Billing: 1st of each month  ·  Personal brand rate</w:t>
            </w:r>
          </w:p>
        </w:tc>
        <w:tc>
          <w:tcPr>
            <w:tcW w:type="dxa" w:w="4873"/>
            <w:shd w:val="clear" w:color="auto" w:fill="F4F7FB"/>
          </w:tcPr>
          <w:p>
            <w:pPr>
              <w:spacing w:before="80" w:after="120"/>
              <w:jc w:val="right"/>
            </w:pPr>
            <w:r>
              <w:rPr>
                <w:b/>
                <w:i w:val="0"/>
                <w:color w:val="0D1B2A"/>
                <w:sz w:val="18"/>
              </w:rPr>
              <w:t>Total: GHS 3,000 / month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873"/>
            <w:shd w:val="clear" w:color="auto" w:fill="0D1B2A"/>
            <w:vAlign w:val="center"/>
          </w:tcPr>
          <w:p>
            <w:pPr>
              <w:spacing w:before="160" w:after="160"/>
            </w:pPr>
            <w:r>
              <w:rPr>
                <w:b/>
                <w:i w:val="0"/>
                <w:color w:val="FFFFFF"/>
                <w:sz w:val="24"/>
              </w:rPr>
              <w:t>07.  Tamabuild Company Limited</w:t>
            </w:r>
            <w:r>
              <w:t xml:space="preserve">  </w:t>
            </w:r>
            <w:r>
              <w:rPr>
                <w:b w:val="0"/>
                <w:i/>
                <w:color w:val="AABBCC"/>
                <w:sz w:val="18"/>
              </w:rPr>
              <w:t>Construction / Real Estate</w:t>
            </w:r>
          </w:p>
        </w:tc>
        <w:tc>
          <w:tcPr>
            <w:tcW w:type="dxa" w:w="4873"/>
            <w:shd w:val="clear" w:color="auto" w:fill="0D1B2A"/>
            <w:vAlign w:val="center"/>
          </w:tcPr>
          <w:p>
            <w:pPr>
              <w:spacing w:before="160" w:after="160"/>
              <w:jc w:val="right"/>
            </w:pPr>
            <w:r>
              <w:rPr>
                <w:b/>
                <w:i w:val="0"/>
                <w:color w:val="D4A017"/>
                <w:sz w:val="24"/>
              </w:rPr>
              <w:t>GHS 4,000 / mo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5184"/>
        <w:gridCol w:w="1296"/>
      </w:tblGrid>
      <w:tr>
        <w:tc>
          <w:tcPr>
            <w:tcW w:type="dxa" w:w="3249"/>
            <w:shd w:val="clear" w:color="auto" w:fill="E8F0FE"/>
          </w:tcPr>
          <w:p>
            <w:pPr>
              <w:spacing w:before="100" w:after="100"/>
            </w:pPr>
            <w:r>
              <w:rPr>
                <w:b/>
                <w:i w:val="0"/>
                <w:color w:val="1F6FEB"/>
                <w:sz w:val="16"/>
              </w:rPr>
              <w:t>SERVICE</w:t>
            </w:r>
          </w:p>
        </w:tc>
        <w:tc>
          <w:tcPr>
            <w:tcW w:type="dxa" w:w="3249"/>
            <w:shd w:val="clear" w:color="auto" w:fill="E8F0FE"/>
          </w:tcPr>
          <w:p>
            <w:pPr>
              <w:spacing w:before="100" w:after="100"/>
            </w:pPr>
            <w:r>
              <w:rPr>
                <w:b/>
                <w:i w:val="0"/>
                <w:color w:val="1F6FEB"/>
                <w:sz w:val="16"/>
              </w:rPr>
              <w:t>SCOPE / DELIVERABLES</w:t>
            </w:r>
          </w:p>
        </w:tc>
        <w:tc>
          <w:tcPr>
            <w:tcW w:type="dxa" w:w="3249"/>
            <w:shd w:val="clear" w:color="auto" w:fill="E8F0FE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16"/>
              </w:rPr>
              <w:t>MONTHLY FEE</w:t>
            </w:r>
          </w:p>
        </w:tc>
      </w:tr>
      <w:tr>
        <w:tc>
          <w:tcPr>
            <w:tcW w:type="dxa" w:w="2880"/>
          </w:tcPr>
          <w:p>
            <w:pPr>
              <w:spacing w:before="100" w:after="100"/>
            </w:pPr>
            <w:r>
              <w:rPr>
                <w:b/>
                <w:i w:val="0"/>
                <w:color w:val="0D1B2A"/>
                <w:sz w:val="20"/>
              </w:rPr>
              <w:t>Website Management</w:t>
            </w:r>
          </w:p>
        </w:tc>
        <w:tc>
          <w:tcPr>
            <w:tcW w:type="dxa" w:w="5184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Project portfolio updates, property listings, image galleries, maintenance.</w:t>
            </w:r>
          </w:p>
        </w:tc>
        <w:tc>
          <w:tcPr>
            <w:tcW w:type="dxa" w:w="1296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20"/>
              </w:rPr>
              <w:t>GHS 1,100</w:t>
            </w:r>
          </w:p>
        </w:tc>
      </w:tr>
      <w:tr>
        <w:tc>
          <w:tcPr>
            <w:tcW w:type="dxa" w:w="2880"/>
          </w:tcPr>
          <w:p>
            <w:pPr>
              <w:spacing w:before="100" w:after="100"/>
            </w:pPr>
            <w:r>
              <w:rPr>
                <w:b/>
                <w:i w:val="0"/>
                <w:color w:val="0D1B2A"/>
                <w:sz w:val="20"/>
              </w:rPr>
              <w:t>Social Media Mgmt</w:t>
            </w:r>
          </w:p>
        </w:tc>
        <w:tc>
          <w:tcPr>
            <w:tcW w:type="dxa" w:w="5184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Facebook, Instagram, LinkedIn — project showcases, client testimonials, brand content.</w:t>
            </w:r>
          </w:p>
        </w:tc>
        <w:tc>
          <w:tcPr>
            <w:tcW w:type="dxa" w:w="1296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20"/>
              </w:rPr>
              <w:t>GHS 1,300</w:t>
            </w:r>
          </w:p>
        </w:tc>
      </w:tr>
      <w:tr>
        <w:tc>
          <w:tcPr>
            <w:tcW w:type="dxa" w:w="2880"/>
          </w:tcPr>
          <w:p>
            <w:pPr>
              <w:spacing w:before="100" w:after="100"/>
            </w:pPr>
            <w:r>
              <w:rPr>
                <w:b/>
                <w:i w:val="0"/>
                <w:color w:val="0D1B2A"/>
                <w:sz w:val="20"/>
              </w:rPr>
              <w:t>Website Development</w:t>
            </w:r>
          </w:p>
        </w:tc>
        <w:tc>
          <w:tcPr>
            <w:tcW w:type="dxa" w:w="5184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Property listings module, quote request form, interactive project maps, mobile build.</w:t>
            </w:r>
          </w:p>
        </w:tc>
        <w:tc>
          <w:tcPr>
            <w:tcW w:type="dxa" w:w="1296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1F6FEB"/>
                <w:sz w:val="20"/>
              </w:rPr>
              <w:t>GHS 1,600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873"/>
            <w:shd w:val="clear" w:color="auto" w:fill="F4F7FB"/>
          </w:tcPr>
          <w:p>
            <w:pPr>
              <w:spacing w:before="80" w:after="120"/>
            </w:pPr>
            <w:r>
              <w:rPr>
                <w:b w:val="0"/>
                <w:i/>
                <w:color w:val="6B7280"/>
                <w:sz w:val="16"/>
              </w:rPr>
              <w:t>Billing: 1st of each month  ·  SME commercial rate</w:t>
            </w:r>
          </w:p>
        </w:tc>
        <w:tc>
          <w:tcPr>
            <w:tcW w:type="dxa" w:w="4873"/>
            <w:shd w:val="clear" w:color="auto" w:fill="F4F7FB"/>
          </w:tcPr>
          <w:p>
            <w:pPr>
              <w:spacing w:before="80" w:after="120"/>
              <w:jc w:val="right"/>
            </w:pPr>
            <w:r>
              <w:rPr>
                <w:b/>
                <w:i w:val="0"/>
                <w:color w:val="0D1B2A"/>
                <w:sz w:val="18"/>
              </w:rPr>
              <w:t>Total: GHS 4,000 / month</w:t>
            </w:r>
          </w:p>
        </w:tc>
      </w:tr>
    </w:tbl>
    <w:p/>
    <w:p/>
    <w:p>
      <w:r>
        <w:rPr>
          <w:b/>
          <w:i w:val="0"/>
          <w:color w:val="0D1B2A"/>
          <w:sz w:val="26"/>
        </w:rPr>
        <w:t>CONSOLIDATED MONTHLY RETAINER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3312"/>
        <w:gridCol w:w="1584"/>
        <w:gridCol w:w="1728"/>
        <w:gridCol w:w="1728"/>
        <w:gridCol w:w="1584"/>
      </w:tblGrid>
      <w:tr>
        <w:tc>
          <w:tcPr>
            <w:tcW w:type="dxa" w:w="1624"/>
            <w:shd w:val="clear" w:color="auto" w:fill="0D1B2A"/>
          </w:tcPr>
          <w:p>
            <w:pPr>
              <w:spacing w:before="120" w:after="120"/>
            </w:pPr>
            <w:r>
              <w:rPr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1624"/>
            <w:shd w:val="clear" w:color="auto" w:fill="0D1B2A"/>
          </w:tcPr>
          <w:p>
            <w:pPr>
              <w:spacing w:before="120" w:after="120"/>
            </w:pPr>
            <w:r>
              <w:rPr>
                <w:b/>
                <w:i w:val="0"/>
                <w:color w:val="FFFFFF"/>
                <w:sz w:val="16"/>
              </w:rPr>
              <w:t>Company</w:t>
            </w:r>
          </w:p>
        </w:tc>
        <w:tc>
          <w:tcPr>
            <w:tcW w:type="dxa" w:w="1624"/>
            <w:shd w:val="clear" w:color="auto" w:fill="0D1B2A"/>
          </w:tcPr>
          <w:p>
            <w:pPr>
              <w:spacing w:before="120" w:after="120"/>
              <w:jc w:val="right"/>
            </w:pPr>
            <w:r>
              <w:rPr>
                <w:b/>
                <w:i w:val="0"/>
                <w:color w:val="FFFFFF"/>
                <w:sz w:val="16"/>
              </w:rPr>
              <w:t>Web Mgmt</w:t>
            </w:r>
          </w:p>
        </w:tc>
        <w:tc>
          <w:tcPr>
            <w:tcW w:type="dxa" w:w="1624"/>
            <w:shd w:val="clear" w:color="auto" w:fill="0D1B2A"/>
          </w:tcPr>
          <w:p>
            <w:pPr>
              <w:spacing w:before="120" w:after="120"/>
              <w:jc w:val="right"/>
            </w:pPr>
            <w:r>
              <w:rPr>
                <w:b/>
                <w:i w:val="0"/>
                <w:color w:val="FFFFFF"/>
                <w:sz w:val="16"/>
              </w:rPr>
              <w:t>Social Media</w:t>
            </w:r>
          </w:p>
        </w:tc>
        <w:tc>
          <w:tcPr>
            <w:tcW w:type="dxa" w:w="1624"/>
            <w:shd w:val="clear" w:color="auto" w:fill="0D1B2A"/>
          </w:tcPr>
          <w:p>
            <w:pPr>
              <w:spacing w:before="120" w:after="120"/>
              <w:jc w:val="right"/>
            </w:pPr>
            <w:r>
              <w:rPr>
                <w:b/>
                <w:i w:val="0"/>
                <w:color w:val="FFFFFF"/>
                <w:sz w:val="16"/>
              </w:rPr>
              <w:t>Development</w:t>
            </w:r>
          </w:p>
        </w:tc>
        <w:tc>
          <w:tcPr>
            <w:tcW w:type="dxa" w:w="1624"/>
            <w:shd w:val="clear" w:color="auto" w:fill="0D1B2A"/>
          </w:tcPr>
          <w:p>
            <w:pPr>
              <w:spacing w:before="120" w:after="120"/>
              <w:jc w:val="right"/>
            </w:pPr>
            <w:r>
              <w:rPr>
                <w:b/>
                <w:i w:val="0"/>
                <w:color w:val="FFFFFF"/>
                <w:sz w:val="16"/>
              </w:rPr>
              <w:t>Monthly Total</w:t>
            </w:r>
          </w:p>
        </w:tc>
      </w:tr>
      <w:tr>
        <w:tc>
          <w:tcPr>
            <w:tcW w:type="dxa" w:w="576"/>
            <w:shd w:val="clear" w:color="auto" w:fill="F4F7FB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01</w:t>
            </w:r>
          </w:p>
        </w:tc>
        <w:tc>
          <w:tcPr>
            <w:tcW w:type="dxa" w:w="3312"/>
            <w:shd w:val="clear" w:color="auto" w:fill="F4F7FB"/>
          </w:tcPr>
          <w:p>
            <w:pPr>
              <w:spacing w:before="100" w:after="100"/>
            </w:pPr>
            <w:r>
              <w:rPr>
                <w:b w:val="0"/>
                <w:i w:val="0"/>
                <w:sz w:val="18"/>
              </w:rPr>
              <w:t>myPence Company Limited</w:t>
            </w:r>
          </w:p>
        </w:tc>
        <w:tc>
          <w:tcPr>
            <w:tcW w:type="dxa" w:w="1584"/>
            <w:shd w:val="clear" w:color="auto" w:fill="F4F7FB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6B7280"/>
                <w:sz w:val="18"/>
              </w:rPr>
              <w:t>GHS 1,200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6B7280"/>
                <w:sz w:val="18"/>
              </w:rPr>
              <w:t>GHS 1,500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6B7280"/>
                <w:sz w:val="18"/>
              </w:rPr>
              <w:t>GHS 1,800</w:t>
            </w:r>
          </w:p>
        </w:tc>
        <w:tc>
          <w:tcPr>
            <w:tcW w:type="dxa" w:w="1584"/>
            <w:shd w:val="clear" w:color="auto" w:fill="F4F7FB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0D1B2A"/>
                <w:sz w:val="18"/>
              </w:rPr>
              <w:t>GHS 4,500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02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100" w:after="100"/>
            </w:pPr>
            <w:r>
              <w:rPr>
                <w:b w:val="0"/>
                <w:i w:val="0"/>
                <w:sz w:val="18"/>
              </w:rPr>
              <w:t>Community Liberation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6B7280"/>
                <w:sz w:val="18"/>
              </w:rPr>
              <w:t>GHS 900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6B7280"/>
                <w:sz w:val="18"/>
              </w:rPr>
              <w:t>GHS 1,100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6B7280"/>
                <w:sz w:val="18"/>
              </w:rPr>
              <w:t>GHS 1,200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0D1B2A"/>
                <w:sz w:val="18"/>
              </w:rPr>
              <w:t>GHS 3,200</w:t>
            </w:r>
          </w:p>
        </w:tc>
      </w:tr>
      <w:tr>
        <w:tc>
          <w:tcPr>
            <w:tcW w:type="dxa" w:w="576"/>
            <w:shd w:val="clear" w:color="auto" w:fill="F4F7FB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03</w:t>
            </w:r>
          </w:p>
        </w:tc>
        <w:tc>
          <w:tcPr>
            <w:tcW w:type="dxa" w:w="3312"/>
            <w:shd w:val="clear" w:color="auto" w:fill="F4F7FB"/>
          </w:tcPr>
          <w:p>
            <w:pPr>
              <w:spacing w:before="100" w:after="100"/>
            </w:pPr>
            <w:r>
              <w:rPr>
                <w:b w:val="0"/>
                <w:i w:val="0"/>
                <w:sz w:val="18"/>
              </w:rPr>
              <w:t>International Liberation Ministry</w:t>
            </w:r>
          </w:p>
        </w:tc>
        <w:tc>
          <w:tcPr>
            <w:tcW w:type="dxa" w:w="1584"/>
            <w:shd w:val="clear" w:color="auto" w:fill="F4F7FB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6B7280"/>
                <w:sz w:val="18"/>
              </w:rPr>
              <w:t>GHS 1,000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6B7280"/>
                <w:sz w:val="18"/>
              </w:rPr>
              <w:t>GHS 1,300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6B7280"/>
                <w:sz w:val="18"/>
              </w:rPr>
              <w:t>GHS 1,200</w:t>
            </w:r>
          </w:p>
        </w:tc>
        <w:tc>
          <w:tcPr>
            <w:tcW w:type="dxa" w:w="1584"/>
            <w:shd w:val="clear" w:color="auto" w:fill="F4F7FB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0D1B2A"/>
                <w:sz w:val="18"/>
              </w:rPr>
              <w:t>GHS 3,500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04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100" w:after="100"/>
            </w:pPr>
            <w:r>
              <w:rPr>
                <w:b w:val="0"/>
                <w:i w:val="0"/>
                <w:sz w:val="18"/>
              </w:rPr>
              <w:t>BrooksRemit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6B7280"/>
                <w:sz w:val="18"/>
              </w:rPr>
              <w:t>GHS 1,500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6B7280"/>
                <w:sz w:val="18"/>
              </w:rPr>
              <w:t>GHS 1,700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6B7280"/>
                <w:sz w:val="18"/>
              </w:rPr>
              <w:t>GHS 2,000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0D1B2A"/>
                <w:sz w:val="18"/>
              </w:rPr>
              <w:t>GHS 5,200</w:t>
            </w:r>
          </w:p>
        </w:tc>
      </w:tr>
      <w:tr>
        <w:tc>
          <w:tcPr>
            <w:tcW w:type="dxa" w:w="576"/>
            <w:shd w:val="clear" w:color="auto" w:fill="F4F7FB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05</w:t>
            </w:r>
          </w:p>
        </w:tc>
        <w:tc>
          <w:tcPr>
            <w:tcW w:type="dxa" w:w="3312"/>
            <w:shd w:val="clear" w:color="auto" w:fill="F4F7FB"/>
          </w:tcPr>
          <w:p>
            <w:pPr>
              <w:spacing w:before="100" w:after="100"/>
            </w:pPr>
            <w:r>
              <w:rPr>
                <w:b w:val="0"/>
                <w:i w:val="0"/>
                <w:sz w:val="18"/>
              </w:rPr>
              <w:t>OraclePence</w:t>
            </w:r>
          </w:p>
        </w:tc>
        <w:tc>
          <w:tcPr>
            <w:tcW w:type="dxa" w:w="1584"/>
            <w:shd w:val="clear" w:color="auto" w:fill="F4F7FB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6B7280"/>
                <w:sz w:val="18"/>
              </w:rPr>
              <w:t>GHS 1,400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6B7280"/>
                <w:sz w:val="18"/>
              </w:rPr>
              <w:t>GHS 1,600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6B7280"/>
                <w:sz w:val="18"/>
              </w:rPr>
              <w:t>GHS 1,800</w:t>
            </w:r>
          </w:p>
        </w:tc>
        <w:tc>
          <w:tcPr>
            <w:tcW w:type="dxa" w:w="1584"/>
            <w:shd w:val="clear" w:color="auto" w:fill="F4F7FB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0D1B2A"/>
                <w:sz w:val="18"/>
              </w:rPr>
              <w:t>GHS 4,800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06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100" w:after="100"/>
            </w:pPr>
            <w:r>
              <w:rPr>
                <w:b w:val="0"/>
                <w:i w:val="0"/>
                <w:sz w:val="18"/>
              </w:rPr>
              <w:t>Eugene Coal Kwame Gbedemah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6B7280"/>
                <w:sz w:val="18"/>
              </w:rPr>
              <w:t>GHS 800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6B7280"/>
                <w:sz w:val="18"/>
              </w:rPr>
              <w:t>GHS 1,200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6B7280"/>
                <w:sz w:val="18"/>
              </w:rPr>
              <w:t>GHS 1,000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0D1B2A"/>
                <w:sz w:val="18"/>
              </w:rPr>
              <w:t>GHS 3,000</w:t>
            </w:r>
          </w:p>
        </w:tc>
      </w:tr>
      <w:tr>
        <w:tc>
          <w:tcPr>
            <w:tcW w:type="dxa" w:w="576"/>
            <w:shd w:val="clear" w:color="auto" w:fill="F4F7FB"/>
          </w:tcPr>
          <w:p>
            <w:pPr>
              <w:spacing w:before="100" w:after="100"/>
            </w:pPr>
            <w:r>
              <w:rPr>
                <w:b w:val="0"/>
                <w:i w:val="0"/>
                <w:color w:val="6B7280"/>
                <w:sz w:val="18"/>
              </w:rPr>
              <w:t>07</w:t>
            </w:r>
          </w:p>
        </w:tc>
        <w:tc>
          <w:tcPr>
            <w:tcW w:type="dxa" w:w="3312"/>
            <w:shd w:val="clear" w:color="auto" w:fill="F4F7FB"/>
          </w:tcPr>
          <w:p>
            <w:pPr>
              <w:spacing w:before="100" w:after="100"/>
            </w:pPr>
            <w:r>
              <w:rPr>
                <w:b w:val="0"/>
                <w:i w:val="0"/>
                <w:sz w:val="18"/>
              </w:rPr>
              <w:t>Tamabuild Company Limited</w:t>
            </w:r>
          </w:p>
        </w:tc>
        <w:tc>
          <w:tcPr>
            <w:tcW w:type="dxa" w:w="1584"/>
            <w:shd w:val="clear" w:color="auto" w:fill="F4F7FB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6B7280"/>
                <w:sz w:val="18"/>
              </w:rPr>
              <w:t>GHS 1,100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6B7280"/>
                <w:sz w:val="18"/>
              </w:rPr>
              <w:t>GHS 1,300</w:t>
            </w:r>
          </w:p>
        </w:tc>
        <w:tc>
          <w:tcPr>
            <w:tcW w:type="dxa" w:w="1728"/>
            <w:shd w:val="clear" w:color="auto" w:fill="F4F7FB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6B7280"/>
                <w:sz w:val="18"/>
              </w:rPr>
              <w:t>GHS 1,600</w:t>
            </w:r>
          </w:p>
        </w:tc>
        <w:tc>
          <w:tcPr>
            <w:tcW w:type="dxa" w:w="1584"/>
            <w:shd w:val="clear" w:color="auto" w:fill="F4F7FB"/>
          </w:tcPr>
          <w:p>
            <w:pPr>
              <w:spacing w:before="100" w:after="100"/>
              <w:jc w:val="right"/>
            </w:pPr>
            <w:r>
              <w:rPr>
                <w:b/>
                <w:i w:val="0"/>
                <w:color w:val="0D1B2A"/>
                <w:sz w:val="18"/>
              </w:rPr>
              <w:t>GHS 4,000</w:t>
            </w:r>
          </w:p>
        </w:tc>
      </w:tr>
      <w:tr>
        <w:tc>
          <w:tcPr>
            <w:tcW w:type="dxa" w:w="576"/>
            <w:shd w:val="clear" w:color="auto" w:fill="0D1B2A"/>
          </w:tcPr>
          <w:p>
            <w:pPr>
              <w:spacing w:before="160" w:after="160"/>
            </w:pPr>
            <w:r>
              <w:rPr>
                <w:b/>
                <w:i w:val="0"/>
                <w:color w:val="FFFFFF"/>
                <w:sz w:val="18"/>
              </w:rPr>
              <w:t>TOTALS</w:t>
            </w:r>
          </w:p>
        </w:tc>
        <w:tc>
          <w:tcPr>
            <w:tcW w:type="dxa" w:w="3312"/>
            <w:shd w:val="clear" w:color="auto" w:fill="0D1B2A"/>
          </w:tcPr>
          <w:p>
            <w:pPr>
              <w:spacing w:before="160" w:after="160"/>
            </w:pPr>
            <w:r>
              <w:rPr>
                <w:b/>
                <w:i w:val="0"/>
                <w:color w:val="FFFFFF"/>
                <w:sz w:val="18"/>
              </w:rPr>
              <w:t>TOTAL MONTHLY PORTFOLIO</w:t>
            </w:r>
          </w:p>
        </w:tc>
        <w:tc>
          <w:tcPr>
            <w:tcW w:type="dxa" w:w="1584"/>
            <w:shd w:val="clear" w:color="auto" w:fill="0D1B2A"/>
          </w:tcPr>
          <w:p>
            <w:pPr>
              <w:spacing w:before="160" w:after="160"/>
              <w:jc w:val="right"/>
            </w:pPr>
            <w:r>
              <w:rPr>
                <w:b/>
                <w:i w:val="0"/>
                <w:color w:val="FFFFFF"/>
                <w:sz w:val="18"/>
              </w:rPr>
              <w:t>GHS 7,900</w:t>
            </w:r>
          </w:p>
        </w:tc>
        <w:tc>
          <w:tcPr>
            <w:tcW w:type="dxa" w:w="1728"/>
            <w:shd w:val="clear" w:color="auto" w:fill="0D1B2A"/>
          </w:tcPr>
          <w:p>
            <w:pPr>
              <w:spacing w:before="160" w:after="160"/>
              <w:jc w:val="right"/>
            </w:pPr>
            <w:r>
              <w:rPr>
                <w:b/>
                <w:i w:val="0"/>
                <w:color w:val="FFFFFF"/>
                <w:sz w:val="18"/>
              </w:rPr>
              <w:t>GHS 9,700</w:t>
            </w:r>
          </w:p>
        </w:tc>
        <w:tc>
          <w:tcPr>
            <w:tcW w:type="dxa" w:w="1728"/>
            <w:shd w:val="clear" w:color="auto" w:fill="0D1B2A"/>
          </w:tcPr>
          <w:p>
            <w:pPr>
              <w:spacing w:before="160" w:after="160"/>
              <w:jc w:val="right"/>
            </w:pPr>
            <w:r>
              <w:rPr>
                <w:b/>
                <w:i w:val="0"/>
                <w:color w:val="FFFFFF"/>
                <w:sz w:val="18"/>
              </w:rPr>
              <w:t>GHS 10,600</w:t>
            </w:r>
          </w:p>
        </w:tc>
        <w:tc>
          <w:tcPr>
            <w:tcW w:type="dxa" w:w="1584"/>
            <w:shd w:val="clear" w:color="auto" w:fill="0D1B2A"/>
          </w:tcPr>
          <w:p>
            <w:pPr>
              <w:spacing w:before="160" w:after="160"/>
              <w:jc w:val="right"/>
            </w:pPr>
            <w:r>
              <w:rPr>
                <w:b/>
                <w:i w:val="0"/>
                <w:color w:val="D4A017"/>
                <w:sz w:val="24"/>
              </w:rPr>
              <w:t>GHS 28,200</w:t>
            </w:r>
          </w:p>
        </w:tc>
      </w:tr>
    </w:tbl>
    <w:p/>
    <w:p/>
    <w:p>
      <w:r>
        <w:rPr>
          <w:b/>
          <w:i w:val="0"/>
          <w:color w:val="0D1B2A"/>
          <w:sz w:val="26"/>
        </w:rPr>
        <w:t>TERMS &amp; CONDITIONS</w:t>
      </w:r>
    </w:p>
    <w:p>
      <w:pPr>
        <w:pStyle w:val="ListBullet"/>
      </w:pPr>
      <w:r>
        <w:rPr>
          <w:b/>
          <w:i w:val="0"/>
          <w:color w:val="0D1B2A"/>
          <w:sz w:val="20"/>
        </w:rPr>
        <w:t xml:space="preserve">Payment Terms:  </w:t>
      </w:r>
      <w:r>
        <w:rPr>
          <w:b w:val="0"/>
          <w:i w:val="0"/>
          <w:sz w:val="20"/>
        </w:rPr>
        <w:t>All invoices are due on the 1st of each month. A 5-day grace period applies before a late fee of 5% is charged. Payment accepted via bank transfer or mobile money.</w:t>
      </w:r>
    </w:p>
    <w:p>
      <w:pPr>
        <w:pStyle w:val="ListBullet"/>
      </w:pPr>
      <w:r>
        <w:rPr>
          <w:b/>
          <w:i w:val="0"/>
          <w:color w:val="0D1B2A"/>
          <w:sz w:val="20"/>
        </w:rPr>
        <w:t xml:space="preserve">Contract Duration:  </w:t>
      </w:r>
      <w:r>
        <w:rPr>
          <w:b w:val="0"/>
          <w:i w:val="0"/>
          <w:sz w:val="20"/>
        </w:rPr>
        <w:t>Minimum engagement of 3 months. Thereafter, rolling monthly. 30-day written notice required for cancellation by either party.</w:t>
      </w:r>
    </w:p>
    <w:p>
      <w:pPr>
        <w:pStyle w:val="ListBullet"/>
      </w:pPr>
      <w:r>
        <w:rPr>
          <w:b/>
          <w:i w:val="0"/>
          <w:color w:val="0D1B2A"/>
          <w:sz w:val="20"/>
        </w:rPr>
        <w:t xml:space="preserve">Revision Requests:  </w:t>
      </w:r>
      <w:r>
        <w:rPr>
          <w:b w:val="0"/>
          <w:i w:val="0"/>
          <w:sz w:val="20"/>
        </w:rPr>
        <w:t>Each client is entitled to up to 5 change requests per month under the retainer. Additional requests are billed at an agreed hourly rate.</w:t>
      </w:r>
    </w:p>
    <w:p>
      <w:pPr>
        <w:pStyle w:val="ListBullet"/>
      </w:pPr>
      <w:r>
        <w:rPr>
          <w:b/>
          <w:i w:val="0"/>
          <w:color w:val="0D1B2A"/>
          <w:sz w:val="20"/>
        </w:rPr>
        <w:t xml:space="preserve">Monthly Reporting:  </w:t>
      </w:r>
      <w:r>
        <w:rPr>
          <w:b w:val="0"/>
          <w:i w:val="0"/>
          <w:sz w:val="20"/>
        </w:rPr>
        <w:t>Performance reports delivered by the 5th of the following month, covering website analytics, social media metrics, and development updates.</w:t>
      </w:r>
    </w:p>
    <w:p>
      <w:pPr>
        <w:pStyle w:val="ListBullet"/>
      </w:pPr>
      <w:r>
        <w:rPr>
          <w:b/>
          <w:i w:val="0"/>
          <w:color w:val="0D1B2A"/>
          <w:sz w:val="20"/>
        </w:rPr>
        <w:t xml:space="preserve">Intellectual Property:  </w:t>
      </w:r>
      <w:r>
        <w:rPr>
          <w:b w:val="0"/>
          <w:i w:val="0"/>
          <w:sz w:val="20"/>
        </w:rPr>
        <w:t>All developed assets remain the property of the respective client upon full payment of the monthly retainer for that period.</w:t>
      </w:r>
    </w:p>
    <w:p>
      <w:pPr>
        <w:pStyle w:val="ListBullet"/>
      </w:pPr>
      <w:r>
        <w:rPr>
          <w:b/>
          <w:i w:val="0"/>
          <w:color w:val="0D1B2A"/>
          <w:sz w:val="20"/>
        </w:rPr>
        <w:t xml:space="preserve">Annual Rate Review:  </w:t>
      </w:r>
      <w:r>
        <w:rPr>
          <w:b w:val="0"/>
          <w:i w:val="0"/>
          <w:sz w:val="20"/>
        </w:rPr>
        <w:t>Rates are subject to a maximum 10% annual review with 30-day advance notice. No mid-contract increases without prior written agreement.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D1B2A"/>
          </w:tcPr>
          <w:p>
            <w:pPr>
              <w:spacing w:before="240"/>
              <w:jc w:val="center"/>
            </w:pPr>
            <w:r>
              <w:rPr>
                <w:b/>
                <w:i w:val="0"/>
                <w:color w:val="FFFFFF"/>
                <w:sz w:val="20"/>
              </w:rPr>
              <w:t>Portfolio Under Consideration — Digital Services Retainer Proposal</w:t>
            </w:r>
          </w:p>
          <w:p>
            <w:pPr>
              <w:spacing w:after="240"/>
              <w:jc w:val="center"/>
            </w:pPr>
            <w:r>
              <w:rPr>
                <w:b w:val="0"/>
                <w:i w:val="0"/>
                <w:color w:val="AABBCC"/>
                <w:sz w:val="16"/>
              </w:rPr>
              <w:t>Prepared June 2026  ·  Rates quoted in Ghana Cedis (GHS)  ·  All fees exclusive of applicable taxes</w:t>
              <w:br/>
              <w:t>This document is confidential and intended solely for the named prospective clients.</w:t>
            </w:r>
          </w:p>
        </w:tc>
      </w:tr>
    </w:tbl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