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Nami Grant Radar Quick Start</w:t>
      </w:r>
    </w:p>
    <w:p>
      <w:r>
        <w:t>Revision date: 2026-09-12. Application version: 1.0.1.</w:t>
      </w:r>
    </w:p>
    <w:p>
      <w:r>
        <w:t>Use Grant Radar to decide what deserves verification and attention before a lead enters grant management. It does not establish eligibility, submit applications, or confirm awards.</w:t>
      </w:r>
    </w:p>
    <w:p>
      <w:pPr>
        <w:ind w:left="461" w:hanging="403"/>
      </w:pPr>
      <w:r>
        <w:t>1.  Complete or skip first-time onboarding. Reopen it from Help.</w:t>
      </w:r>
      <w:r>
        <w:br/>
      </w:r>
    </w:p>
    <w:p>
      <w:pPr>
        <w:ind w:left="461" w:hanging="403"/>
      </w:pPr>
      <w:r>
        <w:t>2.  Start with Home. Check approaching deadlines, verification gaps, promising signals, and Search health.</w:t>
      </w:r>
      <w:r>
        <w:br/>
      </w:r>
    </w:p>
    <w:p>
      <w:pPr>
        <w:ind w:left="461" w:hanging="403"/>
      </w:pPr>
      <w:r>
        <w:t>3.  Open an opportunity. Confirm whether it is a REAL PUBLIC LEAD or FICTIONAL SAMPLE.</w:t>
      </w:r>
      <w:r>
        <w:br/>
      </w:r>
    </w:p>
    <w:p>
      <w:pPr>
        <w:ind w:left="461" w:hanging="403"/>
      </w:pPr>
      <w:r>
        <w:t>4.  Open the official source. Treat CURRENT as a check date, not proof of eligibility.</w:t>
      </w:r>
      <w:r>
        <w:br/>
      </w:r>
    </w:p>
    <w:p>
      <w:pPr>
        <w:ind w:left="461" w:hanging="403"/>
      </w:pPr>
      <w:r>
        <w:t>5.  Review why it may fit, unanswered questions, and disqualifiers. Confirm the deadline and time zone.</w:t>
      </w:r>
      <w:r>
        <w:br/>
      </w:r>
    </w:p>
    <w:p>
      <w:pPr>
        <w:ind w:left="461" w:hanging="403"/>
      </w:pPr>
      <w:r>
        <w:t>6.  Edit the record to assign an owner, status, notes, and next action. Changes stay in this browser.</w:t>
      </w:r>
      <w:r>
        <w:br/>
      </w:r>
    </w:p>
    <w:p>
      <w:pPr>
        <w:ind w:left="461" w:hanging="403"/>
      </w:pPr>
      <w:r>
        <w:t>7.  Use Record source check after reviewing the funder page. Changed deadline and funding fields are flagged without overwriting staff notes.</w:t>
      </w:r>
      <w:r>
        <w:br/>
      </w:r>
    </w:p>
    <w:p>
      <w:pPr>
        <w:ind w:left="461" w:hanging="403"/>
      </w:pPr>
      <w:r>
        <w:t>8.  Use Search profile for browser-local research preferences. They are not organization facts or permissions.</w:t>
      </w:r>
      <w:r>
        <w:br/>
      </w:r>
    </w:p>
    <w:p>
      <w:pPr>
        <w:ind w:left="461" w:hanging="403"/>
      </w:pPr>
      <w:r>
        <w:t>9.  From Exports, choose public leads or fictional samples separately and download schema-version-2 JSON and manually import it into the Grant Dashboard. A lead remains an opportunity, not an award.</w:t>
      </w:r>
      <w:r>
        <w:br/>
      </w:r>
    </w:p>
    <w:p>
      <w:pPr>
        <w:ind w:left="461" w:hanging="403"/>
      </w:pPr>
      <w:r>
        <w:t>10.  Weekly automation is not running and requires agency configuration.</w:t>
      </w:r>
      <w:r>
        <w:br/>
      </w:r>
    </w:p>
    <w:p>
      <w:r>
        <w:t>Safety: the initial Site is owner-private, but browser-local storage is not an agency database, permission system, or backup. Do not enter confidential or production information.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96E"/>
        <w:sz w:val="16"/>
      </w:rPr>
      <w:t>Nami Grant Radar · 2026-09-12 · Version 1.0.1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9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59" w:lineRule="auto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Nami Grant Radar Quick Start</dc:title>
  <dc:subject>Nami Grant Radar evaluation prototype documentation</dc:subject>
  <dc:creator>Nami Dashboard Suite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