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1" w:name="nami-grant-workspace-quick-start"/>
      <w:pPr>
        <w:pStyle w:val="Title"/>
      </w:pPr>
      <w:r>
        <w:t>Nami Grant Workspace Quick Start</w:t>
      </w:r>
      <w:bookmarkEnd w:id="1"/>
    </w:p>
    <w:p>
      <w:pPr/>
      <w:r>
        <w:rPr>
          <w:b w:val="0"/>
        </w:rPr>
        <w:t>Associate Director guide · 2026-09-11 · onboarding-v1</w:t>
      </w:r>
    </w:p>
    <w:p>
      <w:pPr/>
      <w:r>
        <w:rPr>
          <w:b w:val="0"/>
        </w:rPr>
        <w:t>This public prototype is for synthetic evaluation only. Neither workspace is an access boundary. No agency accounts are connected.</w:t>
      </w:r>
    </w:p>
    <w:p>
      <w:pPr/>
      <w:r>
        <w:rPr>
          <w:b w:val="0"/>
        </w:rPr>
        <w:t xml:space="preserve">1. </w:t>
      </w:r>
      <w:r>
        <w:rPr>
          <w:b/>
        </w:rPr>
        <w:t>Orient yourself.</w:t>
      </w:r>
      <w:r>
        <w:rPr>
          <w:b w:val="0"/>
        </w:rPr>
        <w:t xml:space="preserve"> Complete or skip the first-visit orientation. Help → Reopen onboarding brings it back. Start guided demo tours fictional scenarios separately.</w:t>
      </w:r>
    </w:p>
    <w:p>
      <w:pPr/>
      <w:r>
        <w:rPr>
          <w:b w:val="0"/>
        </w:rPr>
        <w:t xml:space="preserve">2. </w:t>
      </w:r>
      <w:r>
        <w:rPr>
          <w:b/>
        </w:rPr>
        <w:t>Choose Sample workspace.</w:t>
      </w:r>
      <w:r>
        <w:rPr>
          <w:b w:val="0"/>
        </w:rPr>
        <w:t xml:space="preserve"> Use Records at the top. Orientation never resets data. If samples are empty, Load sample portfolio; reset only after exporting changes and confirming.</w:t>
      </w:r>
    </w:p>
    <w:p>
      <w:pPr/>
      <w:r>
        <w:rPr>
          <w:b w:val="0"/>
        </w:rPr>
        <w:t xml:space="preserve">3. </w:t>
      </w:r>
      <w:r>
        <w:rPr>
          <w:b/>
        </w:rPr>
        <w:t>Review Needs Attention.</w:t>
      </w:r>
      <w:r>
        <w:rPr>
          <w:b w:val="0"/>
        </w:rPr>
        <w:t xml:space="preserve"> Choose Overview. Open queue rows to inspect owners, deadlines and reasons. A blank queue does not prove compliance or complete award coverage.</w:t>
      </w:r>
    </w:p>
    <w:p>
      <w:pPr/>
      <w:r>
        <w:rPr>
          <w:b w:val="0"/>
        </w:rPr>
        <w:t xml:space="preserve">4. </w:t>
      </w:r>
      <w:r>
        <w:rPr>
          <w:b/>
        </w:rPr>
        <w:t>Inspect a grant.</w:t>
      </w:r>
      <w:r>
        <w:rPr>
          <w:b w:val="0"/>
        </w:rPr>
        <w:t xml:space="preserve"> Choose Grants and search titles, owners or notes. Open a grant to see its requirements, tasks and issues. Edit record saves changes; Status → Archived retains the record.</w:t>
      </w:r>
    </w:p>
    <w:p>
      <w:pPr/>
      <w:r>
        <w:rPr>
          <w:b w:val="0"/>
        </w:rPr>
        <w:t xml:space="preserve">5. </w:t>
      </w:r>
      <w:r>
        <w:rPr>
          <w:b/>
        </w:rPr>
        <w:t>Follow prerequisites.</w:t>
      </w:r>
      <w:r>
        <w:rPr>
          <w:b w:val="0"/>
        </w:rPr>
        <w:t xml:space="preserve"> Open Government monthly expenditure report and its Depends on task. Complete the prerequisite first, then review the requirement separately. Dates do not shift automatically.</w:t>
      </w:r>
    </w:p>
    <w:p>
      <w:pPr/>
      <w:r>
        <w:rPr>
          <w:b w:val="0"/>
        </w:rPr>
        <w:t xml:space="preserve">6. </w:t>
      </w:r>
      <w:r>
        <w:rPr>
          <w:b/>
        </w:rPr>
        <w:t>Verify evidence.</w:t>
      </w:r>
      <w:r>
        <w:rPr>
          <w:b w:val="0"/>
        </w:rPr>
        <w:t xml:space="preserve"> A requirement needs a Source / evidence URL before completion. A link is not proof. Source verified on is a manual assertion; more than 30 days old is STALE, absent is UNKNOWN.</w:t>
      </w:r>
    </w:p>
    <w:p>
      <w:pPr/>
      <w:r>
        <w:rPr>
          <w:b w:val="0"/>
        </w:rPr>
        <w:t xml:space="preserve">7. </w:t>
      </w:r>
      <w:r>
        <w:rPr>
          <w:b/>
        </w:rPr>
        <w:t>Separate finance and issues.</w:t>
      </w:r>
      <w:r>
        <w:rPr>
          <w:b w:val="0"/>
        </w:rPr>
        <w:t xml:space="preserve"> Finances shows manual totals and snapshot dates, not reconciled accounting. Issues records severity and escalation owner; escalation sends no notification.</w:t>
      </w:r>
    </w:p>
    <w:p>
      <w:pPr/>
      <w:r>
        <w:rPr>
          <w:b w:val="0"/>
        </w:rPr>
        <w:t xml:space="preserve">8. </w:t>
      </w:r>
      <w:r>
        <w:rPr>
          <w:b/>
        </w:rPr>
        <w:t>Review leads.</w:t>
      </w:r>
      <w:r>
        <w:rPr>
          <w:b w:val="0"/>
        </w:rPr>
        <w:t xml:space="preserve"> Grant Radar → open a lead → Promote to pending award creates an unconfirmed Pending grant, not awarded funding.</w:t>
      </w:r>
    </w:p>
    <w:p>
      <w:pPr/>
      <w:r>
        <w:rPr>
          <w:b w:val="0"/>
        </w:rPr>
        <w:t xml:space="preserve">9. </w:t>
      </w:r>
      <w:r>
        <w:rPr>
          <w:b/>
        </w:rPr>
        <w:t>Preserve changes.</w:t>
      </w:r>
      <w:r>
        <w:rPr>
          <w:b w:val="0"/>
        </w:rPr>
        <w:t xml:space="preserve"> Settings → Export records saves selected-workspace JSON. Choose JSON imports 1–100 records additively; it rejects duplicates and cannot restore or overwrite a workspace.</w:t>
      </w:r>
    </w:p>
    <w:p>
      <w:pPr/>
      <w:r>
        <w:rPr>
          <w:b w:val="0"/>
        </w:rPr>
      </w:r>
      <w:r>
        <w:rPr>
          <w:b/>
        </w:rPr>
        <w:t>Help and next steps</w:t>
      </w:r>
      <w:r>
        <w:rPr>
          <w:b w:val="0"/>
        </w:rPr>
      </w:r>
    </w:p>
    <w:p>
      <w:pPr/>
      <w:r>
        <w:rPr>
          <w:b w:val="0"/>
        </w:rPr>
        <w:t>Help provides the full online manual and Word/PDF downloads. Settings lists future integrations marked Requires agency configuration. Use HANDOFF.md for agency adoption, security, source verification and recovery requirements. All practice edits must remain synthetic.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Nami Grant Workspace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Nami Grant Workspace Quick Start</dc:title>
  <dc:subject/>
  <dc:creator>Nami Grant Workspace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