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nami-grant-workspace-user-manual"/>
      <w:pPr>
        <w:pStyle w:val="Title"/>
      </w:pPr>
      <w:r>
        <w:t>Nami Grant Workspace User Manual</w:t>
      </w:r>
      <w:bookmarkEnd w:id="1"/>
    </w:p>
    <w:p>
      <w:pPr/>
      <w:r>
        <w:rPr>
          <w:b w:val="0"/>
        </w:rPr>
        <w:t>Revision date: 2026-09-11. Application documentation release: onboarding-v1, based on source 8ea3311. The commit containing this manual identifies the complete release. This guide covers the grant dashboard, not the separate financial dashboard.</w:t>
      </w:r>
    </w:p>
    <w:p>
      <w:pPr/>
      <w:r>
        <w:rPr>
          <w:b w:val="0"/>
        </w:rPr>
        <w:t>The Associate Director and grant-management staff can use this prototype to explore how to answer: What needs my attention now, and is everything else being tracked? The Executive Director can review summaries and escalated issues. Use fictional records during evaluation. The Site is public and has no agency role enforcement. Completing onboarding does not authorize confidential or production use.</w:t>
      </w:r>
    </w:p>
    <w:p>
      <w:bookmarkStart w:id="2" w:name="contents"/>
      <w:pPr>
        <w:pStyle w:val="Heading1"/>
      </w:pPr>
      <w:r>
        <w:t>Contents</w:t>
      </w:r>
      <w:bookmarkEnd w:id="2"/>
    </w:p>
    <w:p>
      <w:pPr>
        <w:spacing w:after="40"/>
      </w:pPr>
      <w:hyperlink w:anchor="start-with-orientation">
        <w:r>
          <w:t>Start with orientation</w:t>
        </w:r>
      </w:hyperlink>
    </w:p>
    <w:p>
      <w:pPr>
        <w:spacing w:after="40"/>
      </w:pPr>
      <w:hyperlink w:anchor="workspaces-and-access">
        <w:r>
          <w:t>Workspaces and access</w:t>
        </w:r>
      </w:hyperlink>
    </w:p>
    <w:p>
      <w:pPr>
        <w:spacing w:after="40"/>
      </w:pPr>
      <w:hyperlink w:anchor="needs-attention">
        <w:r>
          <w:t>Needs Attention</w:t>
        </w:r>
      </w:hyperlink>
    </w:p>
    <w:p>
      <w:pPr>
        <w:spacing w:after="40"/>
      </w:pPr>
      <w:hyperlink w:anchor="find-and-manage-grants">
        <w:r>
          <w:t>Find and manage grants</w:t>
        </w:r>
      </w:hyperlink>
    </w:p>
    <w:p>
      <w:pPr>
        <w:spacing w:after="40"/>
      </w:pPr>
      <w:hyperlink w:anchor="requirements-and-tasks">
        <w:r>
          <w:t>Requirements and tasks</w:t>
        </w:r>
      </w:hyperlink>
    </w:p>
    <w:p>
      <w:pPr>
        <w:spacing w:after="40"/>
      </w:pPr>
      <w:hyperlink w:anchor="owners-deadlines-and-dependencies">
        <w:r>
          <w:t>Owners deadlines and dependencies</w:t>
        </w:r>
      </w:hyperlink>
    </w:p>
    <w:p>
      <w:pPr>
        <w:spacing w:after="40"/>
      </w:pPr>
      <w:hyperlink w:anchor="evidence-and-confidence">
        <w:r>
          <w:t>Evidence and confidence</w:t>
        </w:r>
      </w:hyperlink>
    </w:p>
    <w:p>
      <w:pPr>
        <w:spacing w:after="40"/>
      </w:pPr>
      <w:hyperlink w:anchor="financial-snapshots">
        <w:r>
          <w:t>Financial snapshots</w:t>
        </w:r>
      </w:hyperlink>
    </w:p>
    <w:p>
      <w:pPr>
        <w:spacing w:after="40"/>
      </w:pPr>
      <w:hyperlink w:anchor="issues-and-escalation">
        <w:r>
          <w:t>Issues and escalation</w:t>
        </w:r>
      </w:hyperlink>
    </w:p>
    <w:p>
      <w:pPr>
        <w:spacing w:after="40"/>
      </w:pPr>
      <w:hyperlink w:anchor="grant-radar">
        <w:r>
          <w:t>Grant Radar</w:t>
        </w:r>
      </w:hyperlink>
    </w:p>
    <w:p>
      <w:pPr>
        <w:spacing w:after="40"/>
      </w:pPr>
      <w:hyperlink w:anchor="activity-history">
        <w:r>
          <w:t>Activity history</w:t>
        </w:r>
      </w:hyperlink>
    </w:p>
    <w:p>
      <w:pPr>
        <w:spacing w:after="40"/>
      </w:pPr>
      <w:hyperlink w:anchor="import-records">
        <w:r>
          <w:t>Import records</w:t>
        </w:r>
      </w:hyperlink>
    </w:p>
    <w:p>
      <w:pPr>
        <w:spacing w:after="40"/>
      </w:pPr>
      <w:hyperlink w:anchor="export-and-reset">
        <w:r>
          <w:t>Export and reset</w:t>
        </w:r>
      </w:hyperlink>
    </w:p>
    <w:p>
      <w:pPr>
        <w:spacing w:after="40"/>
      </w:pPr>
      <w:hyperlink w:anchor="preferences-and-integrations">
        <w:r>
          <w:t>Preferences and integrations</w:t>
        </w:r>
      </w:hyperlink>
    </w:p>
    <w:p>
      <w:pPr>
        <w:spacing w:after="40"/>
      </w:pPr>
      <w:hyperlink w:anchor="troubleshooting">
        <w:r>
          <w:t>Troubleshooting</w:t>
        </w:r>
      </w:hyperlink>
    </w:p>
    <w:p>
      <w:pPr>
        <w:spacing w:after="40"/>
      </w:pPr>
      <w:hyperlink w:anchor="worked-sample-examples">
        <w:r>
          <w:t>Worked sample examples</w:t>
        </w:r>
      </w:hyperlink>
    </w:p>
    <w:p>
      <w:pPr>
        <w:spacing w:after="40"/>
      </w:pPr>
      <w:hyperlink w:anchor="first-week-checklist">
        <w:r>
          <w:t>First week checklist</w:t>
        </w:r>
      </w:hyperlink>
    </w:p>
    <w:p>
      <w:pPr>
        <w:spacing w:after="40"/>
      </w:pPr>
      <w:hyperlink w:anchor="administrator-adoption-checklist">
        <w:r>
          <w:t>Administrator adoption checklist</w:t>
        </w:r>
      </w:hyperlink>
    </w:p>
    <w:p>
      <w:pPr>
        <w:spacing w:after="40"/>
      </w:pPr>
      <w:hyperlink w:anchor="glossary">
        <w:r>
          <w:t>Glossary</w:t>
        </w:r>
      </w:hyperlink>
    </w:p>
    <w:p>
      <w:bookmarkStart w:id="3" w:name="start-with-orientation"/>
      <w:pPr>
        <w:pStyle w:val="Heading1"/>
      </w:pPr>
      <w:r>
        <w:t>Start with orientation</w:t>
      </w:r>
      <w:bookmarkEnd w:id="3"/>
    </w:p>
    <w:p>
      <w:pPr/>
      <w:r>
        <w:rPr>
          <w:b w:val="0"/>
        </w:rPr>
        <w:t>On the first visit in a browser, an orientation panel appears above the workspace. Use Continue and Back to move through its seven short steps. Skip onboarding dismisses it. Finish and return to Needs Attention completes it. Both choices prevent automatic repetition in that browser.</w:t>
      </w:r>
    </w:p>
    <w:p>
      <w:pPr/>
      <w:r>
        <w:rPr>
          <w:b w:val="0"/>
        </w:rPr>
        <w:t>Choose Explore the sample workspace to continue with fictional records. Review agency setup opens Settings for information only; it does not connect accounts or approve real data. The orientation explains records, trust indicators and available settings, then offers Open sample government grant for a read-only practice action. Open Government monthly expenditure report within that grant, inspect Owner and Source or evidence, and open its Depends on record in the Next step panel. If the original sample is absent, inspect another sample or deliberately reset samples after exporting changes.</w:t>
      </w:r>
    </w:p>
    <w:p>
      <w:pPr/>
      <w:r>
        <w:rPr>
          <w:b w:val="0"/>
        </w:rPr>
        <w:t>Use Help → Reopen onboarding any time. Help also offers Start guided demo, the online manual, Word and PDF downloads, and a quick-start guide. The nine-step guided demo changes the displayed section and provides fictional scenarios; its Previous, Next step, Finish tour and Close tour controls are independent of onboarding. It does not automatically complete work or reset data.</w:t>
      </w:r>
    </w:p>
    <w:p>
      <w:pPr/>
      <w:r>
        <w:rPr>
          <w:b w:val="0"/>
        </w:rPr>
        <w:t>The Site stores onboarding status and date in browser local storage under nami-grants-onboarding-v1. This is not a signed-in user profile and may be shared by people using the same browser profile. Clearing Site storage, private browsing or another browser can show orientation again. If storage is unavailable, the panel explains that it may return. Record data is stored separately in the dashboard database.</w:t>
      </w:r>
    </w:p>
    <w:p>
      <w:pPr/>
      <w:r>
        <w:rPr>
          <w:b w:val="0"/>
        </w:rPr>
        <w:t>Keyboard users can Tab through controls and press Enter or Space on buttons. Each orientation step places focus on its heading. Edit forms contain keyboard focus; Escape closes a form when it is not saving. Cancel discards unsaved form changes. On narrow screens, scroll to the orientation action buttons or navigation as needed.</w:t>
      </w:r>
    </w:p>
    <w:p>
      <w:bookmarkStart w:id="4" w:name="workspaces-and-access"/>
      <w:pPr>
        <w:pStyle w:val="Heading1"/>
      </w:pPr>
      <w:r>
        <w:t>Workspaces and access</w:t>
      </w:r>
      <w:bookmarkEnd w:id="4"/>
    </w:p>
    <w:p>
      <w:pPr/>
      <w:r>
        <w:rPr>
          <w:b w:val="0"/>
        </w:rPr>
        <w:t>Use Records at the top of the page to select Sample workspace or Agency workspace. New forms and imports use the selected workspace. Record detail forms identify Sample record or Agency record. Check that label before saving practice edits.</w:t>
      </w:r>
    </w:p>
    <w:p>
      <w:pPr/>
      <w:r>
        <w:rPr>
          <w:b w:val="0"/>
        </w:rPr>
        <w:t>The two record sets are separate in storage, but they are not separate permission boundaries. The records API returns both sets, and Activity shows actions from both. There is no app-enforced Associate Director or Executive Director role, authenticated ownership, or per-workspace authorization. The current Site audience is public. Anyone able to access the application may interact with its shared prototype records. Do not enter client, participant, confidential, or production information in either workspace.</w:t>
      </w:r>
    </w:p>
    <w:p>
      <w:pPr/>
      <w:r>
        <w:rPr>
          <w:b w:val="0"/>
        </w:rPr>
        <w:t>The Agency workspace is staging for a future deployment after administrative and security preparation. It can be evaluated with synthetic records now. Do not connect the prototype creator's personal accounts. Agency adoption requires the checklist later in this guide.</w:t>
      </w:r>
    </w:p>
    <w:p>
      <w:bookmarkStart w:id="5" w:name="needs-attention"/>
      <w:pPr>
        <w:pStyle w:val="Heading1"/>
      </w:pPr>
      <w:r>
        <w:t>Needs Attention</w:t>
      </w:r>
      <w:bookmarkEnd w:id="5"/>
    </w:p>
    <w:p>
      <w:pPr/>
      <w:r>
        <w:rPr>
          <w:b w:val="0"/>
        </w:rPr>
        <w:t>Choose Overview to return to Needs Attention. Open any row in Attention queue to inspect details and the written reasons for its priority. The queue considers the selected workspace only. It includes issues, deadlines, missing owners, missing evidence, dependencies and uncertain information.</w:t>
      </w:r>
    </w:p>
    <w:p>
      <w:pPr/>
      <w:r>
        <w:rPr>
          <w:b w:val="0"/>
        </w:rPr>
        <w:t>Priority combines flags rather than sorting solely by due date: critical issues receive a strong priority increase; overdue work, overspending and escalations add high weight; UNKNOWN information, blocked work and waiting dependencies add medium weight; other flags add smaller weight. Multiple flags accumulate. Ties sort by due date, with missing dates first. This ordering supports review; it is not a clinical, financial or compliance risk score.</w:t>
      </w:r>
    </w:p>
    <w:p>
      <w:pPr/>
      <w:r>
        <w:rPr>
          <w:b w:val="0"/>
        </w:rPr>
        <w:t>Due within 14 days includes today. Complete, Resolved, Closed, Archived and Declined records are excluded from attention reasons. That means a blank queue does not establish complete coverage or compliance. A closed record may still have stale supporting information. Review award terms and records outside the queue too.</w:t>
      </w:r>
    </w:p>
    <w:p>
      <w:pPr/>
      <w:r>
        <w:rPr>
          <w:b w:val="0"/>
        </w:rPr>
        <w:t>Active awards counts only Active grants. Recorded expenses includes all grants in the selected workspace, including archived grants. Evidence missing counts requirements without a source except Archived ones. These tiles use different populations; they should not be treated as a reconciled financial statement or a single health score. The Needs attention tile opens Deadlines; use Attention queue to inspect all types of flagged records.</w:t>
      </w:r>
    </w:p>
    <w:p>
      <w:bookmarkStart w:id="6" w:name="find-and-manage-grants"/>
      <w:pPr>
        <w:pStyle w:val="Heading1"/>
      </w:pPr>
      <w:r>
        <w:t>Find and manage grants</w:t>
      </w:r>
      <w:bookmarkEnd w:id="6"/>
    </w:p>
    <w:p>
      <w:pPr/>
      <w:r>
        <w:rPr>
          <w:b w:val="0"/>
        </w:rPr>
        <w:t>1. Choose Grants in the navigation.</w:t>
      </w:r>
    </w:p>
    <w:p>
      <w:pPr/>
      <w:r>
        <w:rPr>
          <w:b w:val="0"/>
        </w:rPr>
        <w:t>2. Use Search titles, owners, notes to narrow the list. Search applies to the current list and workspace; it does not search evidence documents or all fields.</w:t>
      </w:r>
    </w:p>
    <w:p>
      <w:pPr/>
      <w:r>
        <w:rPr>
          <w:b w:val="0"/>
        </w:rPr>
        <w:t>3. Select a grant row to open Record details and its Requirements, tasks &amp; issues panel.</w:t>
      </w:r>
    </w:p>
    <w:p>
      <w:pPr/>
      <w:r>
        <w:rPr>
          <w:b w:val="0"/>
        </w:rPr>
        <w:t>4. Choose Edit record, change the relevant fields and Save record. A rejected save keeps the form open with an explanation.</w:t>
      </w:r>
    </w:p>
    <w:p>
      <w:pPr/>
      <w:r>
        <w:rPr>
          <w:b w:val="0"/>
        </w:rPr>
        <w:t>To create a grant, choose Add grant. Enter a Title, Owner, Due date and Status; grants default to Active, so explicitly choose Pending for unconfirmed funding. Enter Award amount and Recorded expenses only as synthetic/manual totals. Add source, notes, verification date and snapshot date when appropriate. Save record persists to the shared database.</w:t>
      </w:r>
    </w:p>
    <w:p>
      <w:pPr/>
      <w:r>
        <w:rPr>
          <w:b w:val="0"/>
        </w:rPr>
        <w:t>To archive a grant, open it → Edit record → Status → Archived → Save record. Archiving retains the record; it is not deletion and does not automatically archive its requirements or tasks. Archived records still appear in lists and some totals. Use search to locate them; there is no separate archive browser or bulk archive action.</w:t>
      </w:r>
    </w:p>
    <w:p>
      <w:pPr/>
      <w:r>
        <w:rPr>
          <w:b w:val="0"/>
        </w:rPr>
        <w:t>The Back to button returns to the current section, not necessarily the previously opened parent record. Navigation buttons clear the selected detail and search. Selecting a new workspace clears the detail but can retain an existing search, so clear search if expected rows are missing.</w:t>
      </w:r>
    </w:p>
    <w:p>
      <w:bookmarkStart w:id="7" w:name="requirements-and-tasks"/>
      <w:pPr>
        <w:pStyle w:val="Heading1"/>
      </w:pPr>
      <w:r>
        <w:t>Requirements and tasks</w:t>
      </w:r>
      <w:bookmarkEnd w:id="7"/>
    </w:p>
    <w:p>
      <w:pPr/>
      <w:r>
        <w:rPr>
          <w:b w:val="0"/>
        </w:rPr>
        <w:t>A requirement is a commitment imposed by an award, such as a report. A task is staff work needed to fulfill it, such as collecting totals. They are separate records with independent status.</w:t>
      </w:r>
    </w:p>
    <w:p>
      <w:pPr/>
      <w:r>
        <w:rPr>
          <w:b w:val="0"/>
        </w:rPr>
        <w:t>Open a grant, then Add requirement or Add task in its linked-record panel. This preselects the linked grant. Alternatively, use Compliance → Add requirement or Tasks → Add task and choose Linked grant yourself. Deadlines displays both types, while Compliance displays requirements only.</w:t>
      </w:r>
    </w:p>
    <w:p>
      <w:pPr/>
      <w:r>
        <w:rPr>
          <w:b w:val="0"/>
        </w:rPr>
        <w:t>Statuses are Open, In progress, Blocked, Complete and Archived. Mark complete is available in a non-complete task or requirement detail. Requirements need a Source / evidence URL before completion; tasks do not. Both must have a completed prerequisite if Depends on is set. Saving Complete in the edit form uses the same validation.</w:t>
      </w:r>
    </w:p>
    <w:p>
      <w:pPr/>
      <w:r>
        <w:rPr>
          <w:b w:val="0"/>
        </w:rPr>
        <w:t>Completing a task never changes its dependent requirement automatically. Review the requirement separately. Archived work is not a completed prerequisite. The application does not verify whether a human actually performed the recorded work.</w:t>
      </w:r>
    </w:p>
    <w:p>
      <w:bookmarkStart w:id="8" w:name="owners-deadlines-and-dependencies"/>
      <w:pPr>
        <w:pStyle w:val="Heading1"/>
      </w:pPr>
      <w:r>
        <w:t>Owners deadlines and dependencies</w:t>
      </w:r>
      <w:bookmarkEnd w:id="8"/>
    </w:p>
    <w:p>
      <w:pPr/>
      <w:r>
        <w:rPr>
          <w:b w:val="0"/>
        </w:rPr>
        <w:t>Use Edit record → Owner to enter an assignment label, and Due date for a calendar date. Labels do not grant access, validate staff identity or notify anyone. Put submission time, funder time zone and special instructions in Notes / requirements. Deadlines use the UTC calendar day; there is no business-day calendar or automatic timezone conversion.</w:t>
      </w:r>
    </w:p>
    <w:p>
      <w:pPr/>
      <w:r>
        <w:rPr>
          <w:b w:val="0"/>
        </w:rPr>
        <w:t>For a task or requirement, select one prerequisite using Depends on. The selector lists tasks and requirements in the same workspace; it is not restricted to the same grant. Verify you chose the intended record. Inspect the prerequisite by opening its row in the Next step panel.</w:t>
      </w:r>
    </w:p>
    <w:p>
      <w:pPr/>
      <w:r>
        <w:rPr>
          <w:b w:val="0"/>
        </w:rPr>
        <w:t>The application rejects self-dependencies, cycles, missing or cross-workspace prerequisites, and a prerequisite due after the dependent deadline when both dates are present. It also checks changes to a prerequisite's deadline against its dependents. Missing dates do not establish a valid sequence; they still require manual review.</w:t>
      </w:r>
    </w:p>
    <w:p>
      <w:pPr/>
      <w:r>
        <w:rPr>
          <w:b w:val="0"/>
        </w:rPr>
        <w:t>Complete the prerequisite before its dependent. To reopen a prerequisite of a completed record, first reopen that completed dependent. Dates do not propagate automatically when one date changes. Multiple prerequisites and advanced project scheduling are future features.</w:t>
      </w:r>
    </w:p>
    <w:p>
      <w:bookmarkStart w:id="9" w:name="evidence-and-confidence"/>
      <w:pPr>
        <w:pStyle w:val="Heading1"/>
      </w:pPr>
      <w:r>
        <w:t>Evidence and confidence</w:t>
      </w:r>
      <w:bookmarkEnd w:id="9"/>
    </w:p>
    <w:p>
      <w:pPr/>
      <w:r>
        <w:rPr>
          <w:b w:val="0"/>
        </w:rPr>
        <w:t>Open a record → Edit record → Source / evidence URL. Use an HTTP or HTTPS link. Save, then use Open source / evidence in Record details to open it in another tab. There is one source/evidence field per record; additional context can go in notes. The dashboard does not upload documents, check link permissions, read file contents or independently establish evidence sufficiency.</w:t>
      </w:r>
    </w:p>
    <w:p>
      <w:pPr/>
      <w:r>
        <w:rPr>
          <w:b w:val="0"/>
        </w:rPr>
        <w:t>Source verified on is a manual assertion. Record it only after reviewing the intended source. UNKNOWN means no verification date; STALE means that date is more than 30 days old. A recent verification date does not itself prove the source exists or supports the requirement. If you replace a source, reassess its verification date yourself.</w:t>
      </w:r>
    </w:p>
    <w:p>
      <w:pPr/>
      <w:r>
        <w:rPr>
          <w:b w:val="0"/>
        </w:rPr>
        <w:t>Evidence missing means a requirement has no linked source. UNKNOWN deadline means no due date is recorded. UNKNOWN dependency indicates a missing referenced prerequisite. If loading fails, Workspace status UNKNOWN replaces the summary rather than presenting misleading zero counts.</w:t>
      </w:r>
    </w:p>
    <w:p>
      <w:bookmarkStart w:id="10" w:name="financial-snapshots"/>
      <w:pPr>
        <w:pStyle w:val="Heading1"/>
      </w:pPr>
      <w:r>
        <w:t>Financial snapshots</w:t>
      </w:r>
      <w:bookmarkEnd w:id="10"/>
    </w:p>
    <w:p>
      <w:pPr/>
      <w:r>
        <w:rPr>
          <w:b w:val="0"/>
        </w:rPr>
        <w:t>Choose Finances. Each grant shows Award, Expenses, Remaining, Financial freshness and an As of date. Remaining is award amount minus recorded expenses; a negative balance remains visible. These are manual cumulative totals, not transactions, reconciled balances, restricted-fund rules or approval to spend.</w:t>
      </w:r>
    </w:p>
    <w:p>
      <w:pPr/>
      <w:r>
        <w:rPr>
          <w:b w:val="0"/>
        </w:rPr>
        <w:t>Open a grant → Edit record to change Award amount, Recorded expenses and Financial snapshot as of. No date means UNKNOWN; more than 30 days old means STALE. Editing unrelated fields does not refresh financial freshness. Dates cannot be in the future. Amounts must be nonnegative numbers no greater than one billion dollars.</w:t>
      </w:r>
    </w:p>
    <w:p>
      <w:pPr/>
      <w:r>
        <w:rPr>
          <w:b w:val="0"/>
        </w:rPr>
        <w:t>Export summary downloads a grant-array financial summary. It is not the same envelope as Settings → Export records and is not directly accepted by the record importer. Use the Settings export for transferable record data. Compliance and financial indicators remain separate.</w:t>
      </w:r>
    </w:p>
    <w:p>
      <w:bookmarkStart w:id="11" w:name="issues-and-escalation"/>
      <w:pPr>
        <w:pStyle w:val="Heading1"/>
      </w:pPr>
      <w:r>
        <w:t>Issues and escalation</w:t>
      </w:r>
      <w:bookmarkEnd w:id="11"/>
    </w:p>
    <w:p>
      <w:pPr/>
      <w:r>
        <w:rPr>
          <w:b w:val="0"/>
        </w:rPr>
        <w:t>Choose Issues → Add issue, or add an issue from a grant. Enter the problem in Title and Notes / requirements, select Linked grant, assign Owner and Due date, then choose Severity: Low, Medium, High or Critical.</w:t>
      </w:r>
    </w:p>
    <w:p>
      <w:pPr/>
      <w:r>
        <w:rPr>
          <w:b w:val="0"/>
        </w:rPr>
        <w:t>Issue statuses are Open, Escalated, Resolved and Archived. Escalated requires an Escalation owner. This records who should review the problem and affects attention ordering. It does not send email, Teams messages, calendar events or any other notification. Staff must contact the reviewer through their normal process. The Executive Director has the same technical app capabilities as other visitors; no read-only leadership role is enforced.</w:t>
      </w:r>
    </w:p>
    <w:p>
      <w:pPr/>
      <w:r>
        <w:rPr>
          <w:b w:val="0"/>
        </w:rPr>
        <w:t>Set Resolved after the decision or action is complete and record the rationale in notes. Activity will show an action summary, not a verified approval signature.</w:t>
      </w:r>
    </w:p>
    <w:p>
      <w:bookmarkStart w:id="12" w:name="grant-radar"/>
      <w:pPr>
        <w:pStyle w:val="Heading1"/>
      </w:pPr>
      <w:r>
        <w:t>Grant Radar</w:t>
      </w:r>
      <w:bookmarkEnd w:id="12"/>
    </w:p>
    <w:p>
      <w:pPr/>
      <w:r>
        <w:rPr>
          <w:b w:val="0"/>
        </w:rPr>
        <w:t>Choose Grant Radar to review opportunity leads. Use Add opportunity for manual entry or Download import template for a JSON example. Opportunity statuses are New, Reviewing, Applying, Declined and Archived. Requested amount is not an award.</w:t>
      </w:r>
    </w:p>
    <w:p>
      <w:pPr/>
      <w:r>
        <w:rPr>
          <w:b w:val="0"/>
        </w:rPr>
        <w:t>Open a lead and select Promote to pending award. This creates a separate grant with Pending status, zero recorded expenses, no financial snapshot date, and a note identifying its originating lead. It does not confirm eligibility, apply for funding, send anything, or mark the original lead as awarded. Inspect the new record under Grants. Change it to Active only after actual award verification in an approved future environment.</w:t>
      </w:r>
    </w:p>
    <w:p>
      <w:pPr/>
      <w:r>
        <w:rPr>
          <w:b w:val="0"/>
        </w:rPr>
        <w:t>Repeat promotion of the same lead is rejected while the identifying note remains. Do not remove the Radar lead ID note: current duplicate protection relies on it rather than an immutable relationship. Weekly searches, automated ingestion and monitoring require future agency configuration.</w:t>
      </w:r>
    </w:p>
    <w:p>
      <w:bookmarkStart w:id="13" w:name="activity-history"/>
      <w:pPr>
        <w:pStyle w:val="Heading1"/>
      </w:pPr>
      <w:r>
        <w:t>Activity history</w:t>
      </w:r>
      <w:bookmarkEnd w:id="13"/>
    </w:p>
    <w:p>
      <w:pPr/>
      <w:r>
        <w:rPr>
          <w:b w:val="0"/>
        </w:rPr>
        <w:t>Choose Activity for the latest 100 action summaries from both workspaces. Updates list changed field names, but not previous and new values. Entries have timestamps and record/workspace labels; no authenticated actor or approval identity is recorded.</w:t>
      </w:r>
    </w:p>
    <w:p>
      <w:pPr/>
      <w:r>
        <w:rPr>
          <w:b w:val="0"/>
        </w:rPr>
        <w:t>This is a shared operational history, not an immutable regulatory audit trail. Export records excludes activity. Sample reset retains activity, so old sample actions may remain after new scenarios are loaded.</w:t>
      </w:r>
    </w:p>
    <w:p>
      <w:bookmarkStart w:id="14" w:name="import-records"/>
      <w:pPr>
        <w:pStyle w:val="Heading1"/>
      </w:pPr>
      <w:r>
        <w:t>Import records</w:t>
      </w:r>
      <w:bookmarkEnd w:id="14"/>
    </w:p>
    <w:p>
      <w:pPr/>
      <w:r>
        <w:rPr>
          <w:b w:val="0"/>
        </w:rPr>
        <w:t>Only JSON files are accepted by the interface. CSV, Excel, Word and direct Microsoft imports are not implemented. The supporting workbook is a planning artifact, not a file the import control can read.</w:t>
      </w:r>
    </w:p>
    <w:p>
      <w:pPr/>
      <w:r>
        <w:rPr>
          <w:b w:val="0"/>
        </w:rPr>
        <w:t>1. Choose the intended workspace; use Sample workspace during evaluation.</w:t>
      </w:r>
    </w:p>
    <w:p>
      <w:pPr/>
      <w:r>
        <w:rPr>
          <w:b w:val="0"/>
        </w:rPr>
        <w:t>2. In Grant Radar, choose Download import template, or obtain a Settings record export.</w:t>
      </w:r>
    </w:p>
    <w:p>
      <w:pPr/>
      <w:r>
        <w:rPr>
          <w:b w:val="0"/>
        </w:rPr>
        <w:t>3. Edit a copy using the contract in INTEGRATION.md. Keep related records together when practical.</w:t>
      </w:r>
    </w:p>
    <w:p>
      <w:pPr/>
      <w:r>
        <w:rPr>
          <w:b w:val="0"/>
        </w:rPr>
        <w:t>4. Open Settings → Choose JSON and select the file. Selection starts import immediately; there is no preview or approval screen.</w:t>
      </w:r>
    </w:p>
    <w:p>
      <w:pPr/>
      <w:r>
        <w:rPr>
          <w:b w:val="0"/>
        </w:rPr>
        <w:t>5. Read the saved notification or error. Review imported records in their corresponding sections.</w:t>
      </w:r>
    </w:p>
    <w:p>
      <w:pPr/>
      <w:r>
        <w:rPr>
          <w:b w:val="0"/>
        </w:rPr>
        <w:t>The current template/export declares schemaVersion 2. The API accepts numeric version 1, version 2, or an omitted version for legacy files; unsupported values are rejected. Both accepted version numbers use the current validator, not separate kind restrictions. Supported kinds are opportunity, grant, requirement, task and issue. A top-level records array must contain 1–100 records. The request body limit is 2,000,000 characters. An empty workspace export is valid JSON but cannot be imported because it contains zero records.</w:t>
      </w:r>
    </w:p>
    <w:p>
      <w:pPr/>
      <w:r>
        <w:rPr>
          <w:b w:val="0"/>
        </w:rPr>
        <w:t>Every record requires a supported kind, nonblank title, valid kind-specific status, and numeric amount and spent (use zero when not relevant). Other string fields can be omitted or empty. The import workspace overwrites demo. Imported IDs and updated timestamps are replaced. Import-local grant and dependsOn references are remapped; existing destination IDs may also be referenced. Those links must resolve in the selected workspace. Source URLs, date values, field lengths, completion gates and deadline order are checked before saving.</w:t>
      </w:r>
    </w:p>
    <w:p>
      <w:pPr/>
      <w:r>
        <w:rPr>
          <w:b w:val="0"/>
        </w:rPr>
        <w:t>Duplicate import IDs reject the batch. A duplicate kind plus case-insensitive trimmed title plus exact source URL, either within the batch or already in that workspace, rejects the entire batch. No merge or overwrite occurs. Correct the file or edit the existing record; do not rename records just to evade duplicate checks. Validation failures cause no partial import. Database writes and the activity entry are batched atomically.</w:t>
      </w:r>
    </w:p>
    <w:p>
      <w:pPr/>
      <w:r>
        <w:rPr>
          <w:b w:val="0"/>
        </w:rPr>
        <w:t>For batches larger than 100, split carefully. Import-generated IDs differ from input IDs; later batches must use the resulting destination IDs for earlier records. The download template is a single opportunity example, not a full template for every record kind. INTEGRATION.md contains the complete field contract and statuses.</w:t>
      </w:r>
    </w:p>
    <w:p>
      <w:bookmarkStart w:id="15" w:name="export-and-reset"/>
      <w:pPr>
        <w:pStyle w:val="Heading1"/>
      </w:pPr>
      <w:r>
        <w:t>Export and reset</w:t>
      </w:r>
      <w:bookmarkEnd w:id="15"/>
    </w:p>
    <w:p>
      <w:pPr/>
      <w:r>
        <w:rPr>
          <w:b w:val="0"/>
        </w:rPr>
        <w:t>Settings → Export records downloads all records in the selected workspace in a version 2 JSON envelope. Save a copy before significant sample changes. The file excludes activity, onboarding state and browser selections. It is a record export, not a complete database backup.</w:t>
      </w:r>
    </w:p>
    <w:p>
      <w:pPr/>
      <w:r>
        <w:rPr>
          <w:b w:val="0"/>
        </w:rPr>
        <w:t>Import is additive. Importing that export into the same populated workspace usually fails duplicate checks. It cannot roll back edits, remove later records, preserve IDs, or restore activity. Full restoration requires a separate administrator-managed database recovery process, not an in-app button.</w:t>
      </w:r>
    </w:p>
    <w:p>
      <w:pPr/>
      <w:r>
        <w:rPr>
          <w:b w:val="0"/>
        </w:rPr>
        <w:t>Settings → Reset demo data displays an explicit confirmation. Cancel leaves samples unchanged. Confirm replaces all sample records with five fictional award scenarios whose dates are relative to the reset day. It discards everyone's changes in the shared sample workspace, even if you selected Agency workspace before invoking reset. Agency records are preserved, and activity is retained. Export sample changes first if they matter. Onboarding never invokes reset.</w:t>
      </w:r>
    </w:p>
    <w:p>
      <w:pPr/>
      <w:r>
        <w:rPr>
          <w:b w:val="0"/>
        </w:rPr>
        <w:t>If Sample workspace is empty, Load sample portfolio adds the fictional scenarios. It refuses to seed when sample records already exist.</w:t>
      </w:r>
    </w:p>
    <w:p>
      <w:bookmarkStart w:id="16" w:name="preferences-and-integrations"/>
      <w:pPr>
        <w:pStyle w:val="Heading1"/>
      </w:pPr>
      <w:r>
        <w:t>Preferences and integrations</w:t>
      </w:r>
      <w:bookmarkEnd w:id="16"/>
    </w:p>
    <w:p>
      <w:pPr/>
      <w:r>
        <w:rPr>
          <w:b w:val="0"/>
        </w:rPr>
        <w:t>There are currently no saved color themes, layout choices, pin/hide controls, custom labels or permission-role preferences in this grant app. Workspace selection, navigation and search are page-session state and reset on reload. Only onboarding skipped/completed status persists locally. Record edits persist in the shared database.</w:t>
      </w:r>
    </w:p>
    <w:p>
      <w:pPr/>
      <w:r>
        <w:rPr>
          <w:b w:val="0"/>
        </w:rPr>
        <w:t>Settings lists future Entra ID / SSO, SharePoint / OneDrive, Outlook / Calendar / Teams, Excel / Power Automate, accounting, Grant Radar and aggregate outcome integrations. All require agency configuration and are not connected. No unattended searches, reminders, automatic evidence verification or accounting actions run. This list is a handoff, not an integration wizard.</w:t>
      </w:r>
    </w:p>
    <w:p>
      <w:bookmarkStart w:id="17" w:name="troubleshooting"/>
      <w:pPr>
        <w:pStyle w:val="Heading1"/>
      </w:pPr>
      <w:r>
        <w:t>Troubleshooting</w:t>
      </w:r>
      <w:bookmarkEnd w:id="17"/>
    </w:p>
    <w:p>
      <w:pPr/>
      <w:r>
        <w:rPr>
          <w:b w:val="0"/>
        </w:rPr>
      </w:r>
      <w:r>
        <w:rPr>
          <w:b/>
        </w:rPr>
        <w:t>Failed load:</w:t>
      </w:r>
      <w:r>
        <w:rPr>
          <w:b w:val="0"/>
        </w:rPr>
        <w:t xml:space="preserve"> Read Workspace status UNKNOWN and use Retry loading. Do not interpret missing counts as no work. If it persists, report the time and error to the administrator. The database or its binding may be unavailable.</w:t>
      </w:r>
    </w:p>
    <w:p>
      <w:pPr/>
      <w:r>
        <w:rPr>
          <w:b w:val="0"/>
        </w:rPr>
      </w:r>
      <w:r>
        <w:rPr>
          <w:b/>
        </w:rPr>
        <w:t>Rejected save:</w:t>
      </w:r>
      <w:r>
        <w:rPr>
          <w:b w:val="0"/>
        </w:rPr>
        <w:t xml:space="preserve"> Read the error inside the open form. Check required title, allowed status, nonnegative amounts, real calendar dates, HTTP(S) source links, completed prerequisites and escalation owner. Correct the field and Save record. Your form remains available on a rejected save.</w:t>
      </w:r>
    </w:p>
    <w:p>
      <w:pPr/>
      <w:r>
        <w:rPr>
          <w:b w:val="0"/>
        </w:rPr>
      </w:r>
      <w:r>
        <w:rPr>
          <w:b/>
        </w:rPr>
        <w:t>Conflicting edit:</w:t>
      </w:r>
      <w:r>
        <w:rPr>
          <w:b w:val="0"/>
        </w:rPr>
        <w:t xml:space="preserve"> The message says the record changed or no longer exists. Copy unsaved notes somewhere safe, close the form, choose Retry loading, reopen the current record, compare changes and reapply only the intended edits. Do not repeatedly submit an old form. Per-record version checks exist; cross-record simultaneous dependency edits still need production hardening.</w:t>
      </w:r>
    </w:p>
    <w:p>
      <w:pPr/>
      <w:r>
        <w:rPr>
          <w:b w:val="0"/>
        </w:rPr>
      </w:r>
      <w:r>
        <w:rPr>
          <w:b/>
        </w:rPr>
        <w:t>Import failure:</w:t>
      </w:r>
      <w:r>
        <w:rPr>
          <w:b w:val="0"/>
        </w:rPr>
        <w:t xml:space="preserve"> Confirm a JSON object containing records, numeric schemaVersion 1 or 2, 1–100 records and all required numeric fields. Check duplicate titles/source combinations, IDs, links and dates. A financial Export summary array is not a record-import envelope. Correct and select the file again.</w:t>
      </w:r>
    </w:p>
    <w:p>
      <w:pPr/>
      <w:r>
        <w:rPr>
          <w:b w:val="0"/>
        </w:rPr>
      </w:r>
      <w:r>
        <w:rPr>
          <w:b/>
        </w:rPr>
        <w:t>Missing record or information:</w:t>
      </w:r>
      <w:r>
        <w:rPr>
          <w:b w:val="0"/>
        </w:rPr>
        <w:t xml:space="preserve"> Check the workspace, current section and search text. Archived records remain in lists but disappear from attention flags. Inspect the owner, deadline, source and verification dates; missing values are not proof the underlying work is unnecessary.</w:t>
      </w:r>
    </w:p>
    <w:p>
      <w:pPr/>
      <w:r>
        <w:rPr>
          <w:b w:val="0"/>
        </w:rPr>
      </w:r>
      <w:r>
        <w:rPr>
          <w:b/>
        </w:rPr>
        <w:t>Evidence link fails:</w:t>
      </w:r>
      <w:r>
        <w:rPr>
          <w:b w:val="0"/>
        </w:rPr>
        <w:t xml:space="preserve"> Check the URL and source system permissions outside the dashboard. A link can exist while its destination is inaccessible. Do not set verified status based only on its presence.</w:t>
      </w:r>
    </w:p>
    <w:p>
      <w:pPr/>
      <w:r>
        <w:rPr>
          <w:b w:val="0"/>
        </w:rPr>
      </w:r>
      <w:r>
        <w:rPr>
          <w:b/>
        </w:rPr>
        <w:t>Onboarding appears again:</w:t>
      </w:r>
      <w:r>
        <w:rPr>
          <w:b w:val="0"/>
        </w:rPr>
        <w:t xml:space="preserve"> Browser site data may have been cleared or blocked, or you may be using a different browser/profile. Skip or finish again. Reopen it through Help whenever needed.</w:t>
      </w:r>
    </w:p>
    <w:p>
      <w:pPr/>
      <w:r>
        <w:rPr>
          <w:b w:val="0"/>
        </w:rPr>
      </w:r>
      <w:r>
        <w:rPr>
          <w:b/>
        </w:rPr>
        <w:t>Download fails:</w:t>
      </w:r>
      <w:r>
        <w:rPr>
          <w:b w:val="0"/>
        </w:rPr>
        <w:t xml:space="preserve"> Check browser download restrictions and reopen Help. The online manual and quick start remain readable without downloading. If a network error occurred during a save, reload and inspect the record/activity before retrying because the server may have saved it before the response was lost.</w:t>
      </w:r>
    </w:p>
    <w:p>
      <w:bookmarkStart w:id="18" w:name="worked-sample-examples"/>
      <w:pPr>
        <w:pStyle w:val="Heading1"/>
      </w:pPr>
      <w:r>
        <w:t>Worked sample examples</w:t>
      </w:r>
      <w:bookmarkEnd w:id="18"/>
    </w:p>
    <w:p>
      <w:bookmarkStart w:id="19" w:name="a-report-blocked-by-staff-work"/>
      <w:pPr>
        <w:pStyle w:val="Heading2"/>
      </w:pPr>
      <w:r>
        <w:t>A report blocked by staff work</w:t>
      </w:r>
      <w:bookmarkEnd w:id="19"/>
    </w:p>
    <w:p>
      <w:pPr/>
      <w:r>
        <w:rPr>
          <w:b w:val="0"/>
        </w:rPr>
        <w:t>In Sample workspace, open Grants → Government demonstration award — aggregate outreach → Government monthly expenditure report. It depends on Finance staff: deliver aggregate expense schedule, due four days before the sample reset date. The report is due four days after that date. Inspect the prerequisite row and owner.</w:t>
      </w:r>
    </w:p>
    <w:p>
      <w:pPr/>
      <w:r>
        <w:rPr>
          <w:b w:val="0"/>
        </w:rPr>
        <w:t>For a practice edit, add https://example.org/synthetic-report as the report's evidence URL. Attempt Mark complete while the prerequisite is incomplete; completion is rejected. Open the prerequisite and Mark complete. Return to the report and complete it separately. These edits affect synthetic shared records only. The illustrative URL is not verified evidence.</w:t>
      </w:r>
    </w:p>
    <w:p>
      <w:bookmarkStart w:id="20" w:name="a-requirement-missing-evidence"/>
      <w:pPr>
        <w:pStyle w:val="Heading2"/>
      </w:pPr>
      <w:r>
        <w:t>A requirement missing evidence</w:t>
      </w:r>
      <w:bookmarkEnd w:id="20"/>
    </w:p>
    <w:p>
      <w:pPr/>
      <w:r>
        <w:rPr>
          <w:b w:val="0"/>
        </w:rPr>
        <w:t>Open Compliance → Quarterly progress report. Its source is initially blank. Find Source or evidence and Owner. Mark complete is rejected without a URL. Use Edit record to add a synthetic link for practice. In future approved use, personally review the actual document before entering Source verified on; a URL alone does not establish adequacy.</w:t>
      </w:r>
    </w:p>
    <w:p>
      <w:bookmarkStart w:id="21" w:name="stale-financial-information"/>
      <w:pPr>
        <w:pStyle w:val="Heading2"/>
      </w:pPr>
      <w:r>
        <w:t>Stale financial information</w:t>
      </w:r>
      <w:bookmarkEnd w:id="21"/>
    </w:p>
    <w:p>
      <w:pPr/>
      <w:r>
        <w:rPr>
          <w:b w:val="0"/>
        </w:rPr>
        <w:t>Open Finances → Government demonstration award — aggregate outreach. Its synthetic snapshot is 45 days old at reset, so it shows STALE. The sample has an award of $160,000 and expenses of $92,000. The $68,000 remainder is arithmetic, not spending authorization. Edit the snapshot date only when there is a basis for a new snapshot; changing notes does not make finance current.</w:t>
      </w:r>
    </w:p>
    <w:p>
      <w:bookmarkStart w:id="22" w:name="an-issue-for-leadership-review"/>
      <w:pPr>
        <w:pStyle w:val="Heading2"/>
      </w:pPr>
      <w:r>
        <w:t>An issue for leadership review</w:t>
      </w:r>
      <w:bookmarkEnd w:id="22"/>
    </w:p>
    <w:p>
      <w:pPr/>
      <w:r>
        <w:rPr>
          <w:b w:val="0"/>
        </w:rPr>
        <w:t>Open Issues → Overspend requires leadership review. The sample is Critical and Escalated, with Associate director as escalation owner. Its linked troubled award records $22,500 of expenses against $20,000 awarded. Review who should decide next and document that decision. If practice uses Executive director as the escalation owner, it remains a text label and sends no message.</w:t>
      </w:r>
    </w:p>
    <w:p>
      <w:bookmarkStart w:id="23" w:name="an-opportunity-remains-unconfirmed"/>
      <w:pPr>
        <w:pStyle w:val="Heading2"/>
      </w:pPr>
      <w:r>
        <w:t>An opportunity remains unconfirmed</w:t>
      </w:r>
      <w:bookmarkEnd w:id="23"/>
    </w:p>
    <w:p>
      <w:pPr/>
      <w:r>
        <w:rPr>
          <w:b w:val="0"/>
        </w:rPr>
        <w:t>Open Grant Radar → Community wellbeing funding lead → Promote to pending award. Under Grants, find the new Pending grant. It is excluded from the Active awards count. Funding has not been awarded by this action. The original lead remains available; repeating promotion is rejected while its provenance note exists.</w:t>
      </w:r>
    </w:p>
    <w:p>
      <w:bookmarkStart w:id="24" w:name="first-week-checklist"/>
      <w:pPr>
        <w:pStyle w:val="Heading1"/>
      </w:pPr>
      <w:r>
        <w:t>First week checklist</w:t>
      </w:r>
      <w:bookmarkEnd w:id="24"/>
    </w:p>
    <w:p>
      <w:pPr>
        <w:pStyle w:val="ListBullet"/>
      </w:pPr>
      <w:r>
        <w:rPr>
          <w:b w:val="0"/>
        </w:rPr>
        <w:t>Day 1: Complete orientation and the guided demo. Confirm Sample workspace and learn Help and the manual.</w:t>
      </w:r>
    </w:p>
    <w:p>
      <w:pPr>
        <w:pStyle w:val="ListBullet"/>
      </w:pPr>
      <w:r>
        <w:rPr>
          <w:b w:val="0"/>
        </w:rPr>
        <w:t>Day 2: Inspect each sample grant, its owner, deadlines and linked commitments. Note missing information.</w:t>
      </w:r>
    </w:p>
    <w:p>
      <w:pPr>
        <w:pStyle w:val="ListBullet"/>
      </w:pPr>
      <w:r>
        <w:rPr>
          <w:b w:val="0"/>
        </w:rPr>
        <w:t>Day 3: Practice the blocked-report example. Explain why task completion and requirement completion differ.</w:t>
      </w:r>
    </w:p>
    <w:p>
      <w:pPr>
        <w:pStyle w:val="ListBullet"/>
      </w:pPr>
      <w:r>
        <w:rPr>
          <w:b w:val="0"/>
        </w:rPr>
        <w:t>Day 4: Review evidence confidence, financial freshness and the escalated issue separately. Identify who would verify each source in an agency deployment.</w:t>
      </w:r>
    </w:p>
    <w:p>
      <w:pPr>
        <w:pStyle w:val="ListBullet"/>
      </w:pPr>
      <w:r>
        <w:rPr>
          <w:b w:val="0"/>
        </w:rPr>
        <w:t>Day 5: Export samples, inspect the JSON contract and practice an additive import with a new synthetic lead. Give leadership a list of workflow gaps and adoption requirements.</w:t>
      </w:r>
    </w:p>
    <w:p>
      <w:bookmarkStart w:id="25" w:name="administrator-adoption-checklist"/>
      <w:pPr>
        <w:pStyle w:val="Heading1"/>
      </w:pPr>
      <w:r>
        <w:t>Administrator adoption checklist</w:t>
      </w:r>
      <w:bookmarkEnd w:id="25"/>
    </w:p>
    <w:p>
      <w:pPr>
        <w:pStyle w:val="ListBullet"/>
      </w:pPr>
      <w:r>
        <w:rPr>
          <w:b w:val="0"/>
        </w:rPr>
        <w:t>Keep evaluation data synthetic. Confirm Site audience with the owner; the current public setting is preserved. Do not treat onboarding or workspace labels as protection.</w:t>
      </w:r>
    </w:p>
    <w:p>
      <w:pPr>
        <w:pStyle w:val="ListBullet"/>
      </w:pPr>
      <w:r>
        <w:rPr>
          <w:b w:val="0"/>
        </w:rPr>
        <w:t>Establish agency ownership, approved deployment, authentication, server-side authorization, least-privilege roles and access reviews before production data. Review direct API access as well as the interface.</w:t>
      </w:r>
    </w:p>
    <w:p>
      <w:pPr>
        <w:pStyle w:val="ListBullet"/>
      </w:pPr>
      <w:r>
        <w:rPr>
          <w:b w:val="0"/>
        </w:rPr>
        <w:t>Approve the data inventory, retention, confidentiality rules and verified award terms. Exclude participant/client-level records from this prototype scope.</w:t>
      </w:r>
    </w:p>
    <w:p>
      <w:pPr>
        <w:pStyle w:val="ListBullet"/>
      </w:pPr>
      <w:r>
        <w:rPr>
          <w:b w:val="0"/>
        </w:rPr>
        <w:t>Configure agency-managed source systems and test permissions, mapping, source timestamps and reconciliation. Do not use the creator's personal accounts.</w:t>
      </w:r>
    </w:p>
    <w:p>
      <w:pPr>
        <w:pStyle w:val="ListBullet"/>
      </w:pPr>
      <w:r>
        <w:rPr>
          <w:b w:val="0"/>
        </w:rPr>
        <w:t>Define owners, escalation contacts, deadline timezones and notification delivery processes. Test receipt, retries, deduplication and failure monitoring before calling an integration connected.</w:t>
      </w:r>
    </w:p>
    <w:p>
      <w:pPr>
        <w:pStyle w:val="ListBullet"/>
      </w:pPr>
      <w:r>
        <w:rPr>
          <w:b w:val="0"/>
        </w:rPr>
        <w:t>Harden simultaneous dependent-record writes, request limits, abuse controls, authenticated audit attribution and recovery. Test database backups and full restoration separately from JSON exports.</w:t>
      </w:r>
    </w:p>
    <w:p>
      <w:pPr>
        <w:pStyle w:val="ListBullet"/>
      </w:pPr>
      <w:r>
        <w:rPr>
          <w:b w:val="0"/>
        </w:rPr>
        <w:t>Validate imports in a safe staging deployment. Confirm every record relationship and duplicate policy, and reconcile source totals before approval.</w:t>
      </w:r>
    </w:p>
    <w:p>
      <w:pPr>
        <w:pStyle w:val="ListBullet"/>
      </w:pPr>
      <w:r>
        <w:rPr>
          <w:b w:val="0"/>
        </w:rPr>
        <w:t>Run acceptance testing with Associate Director and Executive Director users. Record remaining gaps and assign release responsibility.</w:t>
      </w:r>
    </w:p>
    <w:p>
      <w:pPr>
        <w:pStyle w:val="ListBullet"/>
      </w:pPr>
      <w:r>
        <w:rPr>
          <w:b w:val="0"/>
        </w:rPr>
        <w:t>Maintain USER_MANUAL.md as the manual source; regenerate HTML and Word, render the Word to PDF, visually review every page and publish the matching downloads with the app. Update the revision date and release identifier together.</w:t>
      </w:r>
    </w:p>
    <w:p>
      <w:bookmarkStart w:id="26" w:name="glossary"/>
      <w:pPr>
        <w:pStyle w:val="Heading1"/>
      </w:pPr>
      <w:r>
        <w:t>Glossary</w:t>
      </w:r>
      <w:bookmarkEnd w:id="26"/>
    </w:p>
    <w:p>
      <w:pPr>
        <w:pStyle w:val="ListBullet"/>
      </w:pPr>
      <w:r>
        <w:rPr>
          <w:b w:val="0"/>
        </w:rPr>
        <w:t>Grant: An award record; Pending indicates unconfirmed funding.</w:t>
      </w:r>
    </w:p>
    <w:p>
      <w:pPr>
        <w:pStyle w:val="ListBullet"/>
      </w:pPr>
      <w:r>
        <w:rPr>
          <w:b w:val="0"/>
        </w:rPr>
        <w:t>Requirement: A commitment that must be satisfied under an award.</w:t>
      </w:r>
    </w:p>
    <w:p>
      <w:pPr>
        <w:pStyle w:val="ListBullet"/>
      </w:pPr>
      <w:r>
        <w:rPr>
          <w:b w:val="0"/>
        </w:rPr>
        <w:t>Task: Staff work that can support a requirement.</w:t>
      </w:r>
    </w:p>
    <w:p>
      <w:pPr>
        <w:pStyle w:val="ListBullet"/>
      </w:pPr>
      <w:r>
        <w:rPr>
          <w:b w:val="0"/>
        </w:rPr>
        <w:t>Dependency: The one prerequisite selected for a task or requirement.</w:t>
      </w:r>
    </w:p>
    <w:p>
      <w:pPr>
        <w:pStyle w:val="ListBullet"/>
      </w:pPr>
      <w:r>
        <w:rPr>
          <w:b w:val="0"/>
        </w:rPr>
        <w:t>Evidence link: A URL to a supporting source; the link is not independent verification.</w:t>
      </w:r>
    </w:p>
    <w:p>
      <w:pPr>
        <w:pStyle w:val="ListBullet"/>
      </w:pPr>
      <w:r>
        <w:rPr>
          <w:b w:val="0"/>
        </w:rPr>
        <w:t>Owner: An assignment label with no authorization effect.</w:t>
      </w:r>
    </w:p>
    <w:p>
      <w:pPr>
        <w:pStyle w:val="ListBullet"/>
      </w:pPr>
      <w:r>
        <w:rPr>
          <w:b w:val="0"/>
        </w:rPr>
        <w:t>Issue: A problem recorded for follow-up or decision.</w:t>
      </w:r>
    </w:p>
    <w:p>
      <w:pPr>
        <w:pStyle w:val="ListBullet"/>
      </w:pPr>
      <w:r>
        <w:rPr>
          <w:b w:val="0"/>
        </w:rPr>
        <w:t>Escalation owner: A named reviewer for an escalated issue; no automatic delivery occurs.</w:t>
      </w:r>
    </w:p>
    <w:p>
      <w:pPr>
        <w:pStyle w:val="ListBullet"/>
      </w:pPr>
      <w:r>
        <w:rPr>
          <w:b w:val="0"/>
        </w:rPr>
        <w:t>Opportunity lead: A potential funding source requiring review, not an award.</w:t>
      </w:r>
    </w:p>
    <w:p>
      <w:pPr>
        <w:pStyle w:val="ListBullet"/>
      </w:pPr>
      <w:r>
        <w:rPr>
          <w:b w:val="0"/>
        </w:rPr>
        <w:t>UNKNOWN: Required information or its verification is not recorded.</w:t>
      </w:r>
    </w:p>
    <w:p>
      <w:pPr>
        <w:pStyle w:val="ListBullet"/>
      </w:pPr>
      <w:r>
        <w:rPr>
          <w:b w:val="0"/>
        </w:rPr>
        <w:t>STALE: A verification or snapshot date is more than 30 days old.</w:t>
      </w:r>
    </w:p>
    <w:p>
      <w:pPr>
        <w:pStyle w:val="ListBullet"/>
      </w:pPr>
      <w:r>
        <w:rPr>
          <w:b w:val="0"/>
        </w:rPr>
        <w:t>Additive import: Adds validated records without replacing existing ones.</w:t>
      </w:r>
    </w:p>
    <w:p>
      <w:pPr>
        <w:pStyle w:val="ListBullet"/>
      </w:pPr>
      <w:r>
        <w:rPr>
          <w:b w:val="0"/>
        </w:rPr>
        <w:t>Agency setup: Future administrative preparation for an approved deployment.</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Nami Grant Workspace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Grant Workspace User Manual</dc:title>
  <dc:subject/>
  <dc:creator>Nami Grant Workspace</dc:creator>
  <cp:keywords/>
  <dc:description>generated by python-docx</dc:description>
  <cp:lastModifiedBy/>
  <cp:revision>1</cp:revision>
  <dcterms:created xsi:type="dcterms:W3CDTF">2013-12-23T23:15:00Z</dcterms:created>
  <dcterms:modified xsi:type="dcterms:W3CDTF">2013-12-23T23:15:00Z</dcterms:modified>
  <cp:category/>
</cp:coreProperties>
</file>