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LACMA Art + Technology Lab</w:t>
      </w:r>
    </w:p>
    <w:p>
      <w:pPr>
        <w:jc w:val="center"/>
      </w:pPr>
      <w:r>
        <w:rPr>
          <w:b/>
          <w:sz w:val="32"/>
        </w:rPr>
        <w:t>2026 Grant Application</w:t>
      </w:r>
    </w:p>
    <w:p>
      <w:pPr>
        <w:spacing w:after="360"/>
        <w:jc w:val="center"/>
      </w:pPr>
      <w:r>
        <w:rPr>
          <w:b/>
        </w:rPr>
        <w:t xml:space="preserve">Applicants: </w:t>
      </w:r>
      <w:r>
        <w:rPr>
          <w:b w:val="0"/>
        </w:rPr>
        <w:t>Jesse Kauppila  &amp;  Kameron Decker Harris</w:t>
      </w:r>
      <w:r>
        <w:rPr>
          <w:b/>
        </w:rPr>
        <w:br/>
        <w:t xml:space="preserve">Project: </w:t>
      </w:r>
      <w:r>
        <w:rPr>
          <w:b w:val="0"/>
        </w:rPr>
        <w:t>Sunrise / Sunset</w:t>
      </w:r>
      <w:r>
        <w:rPr>
          <w:b/>
        </w:rPr>
        <w:br/>
        <w:t xml:space="preserve">Project Website: </w:t>
      </w:r>
      <w:r>
        <w:rPr>
          <w:b w:val="0"/>
        </w:rPr>
        <w:t>sunrisesunset.studio</w:t>
      </w:r>
      <w:r>
        <w:rPr>
          <w:b/>
        </w:rPr>
        <w:br/>
        <w:t xml:space="preserve">Project Repository: </w:t>
      </w:r>
      <w:r>
        <w:rPr>
          <w:b w:val="0"/>
        </w:rPr>
        <w:t>github.com/jessekauppila/the-sunset-webcam-map</w:t>
      </w:r>
      <w:r>
        <w:rPr>
          <w:b/>
        </w:rPr>
        <w:br/>
        <w:t xml:space="preserve">Application Deadline: </w:t>
      </w:r>
      <w:r>
        <w:rPr>
          <w:b w:val="0"/>
        </w:rPr>
        <w:t>April 22, 2026, 11:59 PM PST</w:t>
      </w:r>
      <w:r>
        <w:rPr>
          <w:b/>
        </w:rPr>
        <w:br/>
        <w:br/>
        <w:t xml:space="preserve">Jesse Kauppila: </w:t>
      </w:r>
      <w:r>
        <w:rPr>
          <w:b w:val="0"/>
        </w:rPr>
        <w:t>jessekauppila.art  ·  github.com/jessekauppila</w:t>
      </w:r>
      <w:r>
        <w:rPr>
          <w:b/>
        </w:rPr>
        <w:br/>
        <w:t xml:space="preserve">Kameron Decker Harris: </w:t>
      </w:r>
      <w:r>
        <w:rPr>
          <w:b w:val="0"/>
        </w:rPr>
        <w:t>glomerul.us/research.html  ·  Western Washington University</w:t>
      </w:r>
    </w:p>
    <w:p>
      <w:pPr>
        <w:pStyle w:val="Heading1"/>
      </w:pPr>
      <w:r>
        <w:rPr>
          <w:rFonts w:ascii="Calibri" w:hAnsi="Calibri"/>
        </w:rPr>
        <w:t>1. Name of Your Project</w:t>
      </w:r>
    </w:p>
    <w:p>
      <w:r>
        <w:rPr>
          <w:b w:val="0"/>
          <w:i w:val="0"/>
        </w:rPr>
        <w:t>Sunrise / Sunset: A Real-Time Live Stream of Sunrises and Sunsets as They Travel Around the World.</w:t>
      </w:r>
    </w:p>
    <w:p>
      <w:pPr>
        <w:pStyle w:val="Heading1"/>
      </w:pPr>
      <w:r>
        <w:rPr>
          <w:rFonts w:ascii="Calibri" w:hAnsi="Calibri"/>
        </w:rPr>
        <w:t>2. Three Words</w:t>
      </w:r>
    </w:p>
    <w:p>
      <w:r>
        <w:rPr>
          <w:b/>
          <w:i w:val="0"/>
        </w:rPr>
        <w:t>Sunrise. Sunset. Forever.</w:t>
      </w:r>
    </w:p>
    <w:p>
      <w:pPr>
        <w:pStyle w:val="Heading1"/>
      </w:pPr>
      <w:r>
        <w:rPr>
          <w:rFonts w:ascii="Calibri" w:hAnsi="Calibri"/>
        </w:rPr>
        <w:t>3. One-Sentence Description</w:t>
      </w:r>
    </w:p>
    <w:p>
      <w:r>
        <w:rPr>
          <w:b w:val="0"/>
          <w:i w:val="0"/>
        </w:rPr>
        <w:t>A perpetual stream of real, current sunrises and sunsets — pulled from existing webcam APIs and supplemented by custom edge-computing cameras, archived and ranked by a neural network learning to see beauty.</w:t>
      </w:r>
    </w:p>
    <w:p>
      <w:pPr>
        <w:pStyle w:val="Heading1"/>
      </w:pPr>
      <w:r>
        <w:rPr>
          <w:rFonts w:ascii="Calibri" w:hAnsi="Calibri"/>
        </w:rPr>
        <w:t>4. Full Description of the Proposed Project</w:t>
      </w:r>
    </w:p>
    <w:p>
      <w:r>
        <w:rPr>
          <w:b w:val="0"/>
          <w:i w:val="0"/>
        </w:rPr>
        <w:t>In a cultural moment defined by AI-generated imagery and AI-waged warfare, we have become increasingly divorced from the beauty that already exists in the real world around us. This project inverts that relationship: it uses AI to find real sunrises and sunsets happening right now, somewhere on Earth.</w:t>
      </w:r>
    </w:p>
    <w:p>
      <w:r>
        <w:rPr>
          <w:b w:val="0"/>
          <w:i w:val="0"/>
        </w:rPr>
        <w:t>Sunrise / Sunset operates across four layers: a network of webcams, a web application, a neural-network model, and a gallery installation. Together, they locate webcams currently showing good sunrises and sunsets, archive them, and display them.</w:t>
      </w:r>
    </w:p>
    <w:p>
      <w:r>
        <w:rPr>
          <w:b w:val="0"/>
          <w:i w:val="0"/>
        </w:rPr>
        <w:t>The work is inspired by Christian Marclay’s The Clock and Janet Cardiff’s Forty-Part Motet — sublime wholes composed of many simultaneous parts. I hope to touch something beyond any single sunrise or sunset — the idea, corny as it sounds, that there is always beauty somewhere in the world.</w:t>
      </w:r>
    </w:p>
    <w:p>
      <w:r>
        <w:rPr>
          <w:b w:val="0"/>
          <w:i w:val="0"/>
        </w:rPr>
        <w:t>The web application queries webcam APIs and uses astronomical calculations (subsolar-point geometry) to locate cameras near the terminator — where day turns into night. It is the hub for the rest of the project: browsing webcams, rating them, and navigating the archive.</w:t>
      </w:r>
    </w:p>
    <w:p>
      <w:r>
        <w:rPr>
          <w:b w:val="0"/>
          <w:i w:val="0"/>
        </w:rPr>
        <w:t>I am also building small, custom edge-computing cameras from Raspberry Pi Zeros that provide better sunrise and sunset coverage than commercial APIs. They can be tuned remotely, streaming only when a sunset worth capturing is developing. In a second life, they could be offered as a Kickstarter object — funding the project while distributing its sensor network to participants.</w:t>
      </w:r>
    </w:p>
    <w:p>
      <w:r>
        <w:rPr>
          <w:b w:val="0"/>
          <w:i w:val="0"/>
        </w:rPr>
        <w:t>The machine-perception layer, led by Kameron, trains models on a continuous 0.0–1.0 aesthetic scale, encoding judgment about light, atmosphere, and landscape into a neural network. The pipeline combines my own ratings with assessments from vision-language models and Creative Commons sunset photography from the web. The AI’s scores shape the installation: higher-rated tiles render larger in the mosaic, so machine aesthetic judgment becomes visible as form.</w:t>
      </w:r>
    </w:p>
    <w:p>
      <w:r>
        <w:rPr>
          <w:b w:val="0"/>
          <w:i w:val="0"/>
        </w:rPr>
        <w:t>The current installation is a diptych displaying live sunrise and sunset mosaics. I’m working toward a ring of inward-facing monitors showing every current sunrise and sunset along the terminator — positioning the viewer at the center of the planet’s day/night boundary.</w:t>
      </w:r>
    </w:p>
    <w:p>
      <w:r>
        <w:rPr>
          <w:b w:val="0"/>
          <w:i w:val="0"/>
        </w:rPr>
        <w:t>With LACMA’s support, we propose to expand this work in four directions:</w:t>
      </w:r>
    </w:p>
    <w:p>
      <w:pPr>
        <w:pStyle w:val="ListBullet"/>
      </w:pPr>
      <w:r>
        <w:t>Scale the installation into the full ring.</w:t>
      </w:r>
    </w:p>
    <w:p>
      <w:pPr>
        <w:pStyle w:val="ListBullet"/>
      </w:pPr>
      <w:r>
        <w:t>Expand the sensor network through partnerships with commercial, educational, and open-source webcam providers — and by deploying bespoke edge cameras.</w:t>
      </w:r>
    </w:p>
    <w:p>
      <w:pPr>
        <w:pStyle w:val="ListBullet"/>
      </w:pPr>
      <w:r>
        <w:t>Deepen the machine-learning pipeline toward real-time, image-based inference.</w:t>
      </w:r>
    </w:p>
    <w:p>
      <w:pPr>
        <w:pStyle w:val="ListBullet"/>
      </w:pPr>
      <w:r>
        <w:t>Build a public rating app — a “dating app for sunsets” — where anyone online rates them alongside the AI, making visible the many kinds of beauty in sunsets and the human–machine perception gap.</w:t>
      </w:r>
    </w:p>
    <w:p>
      <w:r>
        <w:rPr>
          <w:b w:val="0"/>
          <w:i w:val="0"/>
        </w:rPr>
        <w:t>The project sits at the intersection of landscape art, network culture, found photography and video, and AI. It connects to LACMA’s 1967 Art and Technology legacy of light and perception at planetary scale.</w:t>
      </w:r>
    </w:p>
    <w:p>
      <w:r>
        <w:rPr>
          <w:b w:val="0"/>
          <w:i w:val="0"/>
        </w:rPr>
        <w:t>I also think it would be wonderful to stand at the center of a ring of sunrises and sunsets — feeling the turning of the world, sunsets changing quickly at the equator and slowly at the poles. Who doesn’t love a sunset?</w:t>
      </w:r>
    </w:p>
    <w:p>
      <w:pPr>
        <w:pStyle w:val="Heading1"/>
      </w:pPr>
      <w:r>
        <w:rPr>
          <w:rFonts w:ascii="Calibri" w:hAnsi="Calibri"/>
        </w:rPr>
        <w:t>5. Bio</w:t>
      </w:r>
    </w:p>
    <w:p>
      <w:r>
        <w:rPr>
          <w:b w:val="0"/>
          <w:i w:val="0"/>
        </w:rPr>
        <w:t>Jesse Kauppila is an artist and engineer based in Bellingham, WA. During an MFA at Carnegie Mellon University, I learned to program robotic arms for an art project, and I used that skill to begin a new career path — one that led to fabricating work for Anish Kapoor and Charles Ray, then to aerospace at Joby Aviation (the electric air-taxi company), and, more recently, to building AI data centers for big tech.</w:t>
      </w:r>
    </w:p>
    <w:p>
      <w:r>
        <w:rPr>
          <w:b w:val="0"/>
          <w:i w:val="0"/>
        </w:rPr>
        <w:t>I am now returning to my art practice, applying what I have learned in the tech world to projects like this one. Financial security has given me the room to clarify my values and focus on making work I genuinely believe in. For this project I am collaborating with Kameron Decker Harris, a computational scientist at Western Washington University, who leads the machine-learning architecture.</w:t>
      </w:r>
    </w:p>
    <w:p>
      <w:r>
        <w:rPr>
          <w:b w:val="0"/>
          <w:i w:val="0"/>
        </w:rPr>
        <w:t>Outside of studio and professional work, I ski, climb, bike, and run in the mountains of the Pacific Northwest. My relationship with nature informs my interest in using technology to cultivate a deeper connection to the world we all live in.</w:t>
      </w:r>
    </w:p>
    <w:p>
      <w:r>
        <w:rPr>
          <w:b w:val="0"/>
          <w:i w:val="0"/>
        </w:rPr>
        <w:t>Kameron Decker Harris is a computational scientist and applied mathematician at Western Washington University whose research focuses on networked dynamical systems — both biological and artificial neural networks. His work sits at the intersection of machine learning, dynamical systems, graph theory, and statistical inference. Prior collaborations with the Allen Institute for Brain Science advanced whole-brain connectivity inference from viral-tracing experiments, and he has published on sparsity-driven learning in biologically-inspired random-feature networks (including work showing V1-like tuning properties improving image recognition). For Sunrise / Sunset, Kameron leads the machine-learning architecture and training strategy, and collaborates on interpreting the human–machine aesthetic gap that the project makes explicit.</w:t>
      </w:r>
    </w:p>
    <w:p>
      <w:pPr>
        <w:pStyle w:val="Heading1"/>
      </w:pPr>
      <w:r>
        <w:rPr>
          <w:rFonts w:ascii="Calibri" w:hAnsi="Calibri"/>
        </w:rPr>
        <w:t>6. Artistic or Creative Merit</w:t>
      </w:r>
    </w:p>
    <w:p>
      <w:r>
        <w:rPr>
          <w:b w:val="0"/>
          <w:i w:val="0"/>
        </w:rPr>
        <w:t>Sunrise / Sunset points machine perception at actual sunrises and sunsets currently happening on Earth — not at machine-generated imaginings of them. It amplifies a universally shared aesthetic experience by combining dozens of simultaneous real views — drawn from public webcams and custom cameras of our own — into a single planetary portrait, curated by an AI trained to recognize which sunsets to highlight. The work proposes that the most interesting artistic use of AI may not be generation but attention: directing machine vision toward the sublime that already exists, continuously, in the real world.</w:t>
      </w:r>
    </w:p>
    <w:p>
      <w:pPr>
        <w:pStyle w:val="Heading1"/>
      </w:pPr>
      <w:r>
        <w:rPr>
          <w:rFonts w:ascii="Calibri" w:hAnsi="Calibri"/>
        </w:rPr>
        <w:t>7. Dialogue Between Technology and Culture</w:t>
      </w:r>
    </w:p>
    <w:p>
      <w:r>
        <w:rPr>
          <w:b w:val="0"/>
          <w:i w:val="0"/>
        </w:rPr>
        <w:t>We are in a cultural moment defined by AI-generated imagery and AI that wages war. These algorithms strip the world of its beauty, texture, and context. This project seeks to invert that relationship. Instead of asking a machine to imagine a sunset, it asks a machine to recognize the real ones happening right now, somewhere on Earth. It proposes that the most interesting artistic use of machine perception may not be generation but attention — directing the machine’s gaze toward the sublime that already exists, continuously, in the literal world. A tool for noticing rather than inventing.</w:t>
      </w:r>
    </w:p>
    <w:p>
      <w:pPr>
        <w:pStyle w:val="Heading1"/>
      </w:pPr>
      <w:r>
        <w:rPr>
          <w:rFonts w:ascii="Calibri" w:hAnsi="Calibri"/>
        </w:rPr>
        <w:t>8. Public Engagement Plan</w:t>
      </w:r>
    </w:p>
    <w:p>
      <w:r>
        <w:rPr>
          <w:b w:val="0"/>
          <w:i w:val="0"/>
        </w:rPr>
        <w:t>The web application is live (moving to sunrisesunset.studio), offering global access to the terminator map and mosaics. The installation is portable and gallery-ready. Five public touchpoints:</w:t>
      </w:r>
    </w:p>
    <w:p>
      <w:pPr>
        <w:pStyle w:val="ListBullet"/>
      </w:pPr>
      <w:r>
        <w:t>The live web app and a rating site — a “dating app for sunsets” — where anyone online rates sunsets alongside the AI, feeding the model in real time.</w:t>
      </w:r>
    </w:p>
    <w:p>
      <w:pPr>
        <w:pStyle w:val="ListBullet"/>
      </w:pPr>
      <w:r>
        <w:t>An early two-screen exhibit at Canopy Art &amp; Iron (Bow, WA).</w:t>
      </w:r>
    </w:p>
    <w:p>
      <w:pPr>
        <w:pStyle w:val="ListBullet"/>
      </w:pPr>
      <w:r>
        <w:t>A mid-term demo at the 2027 LACMA Biennial Symposium.</w:t>
      </w:r>
    </w:p>
    <w:p>
      <w:pPr>
        <w:pStyle w:val="ListBullet"/>
      </w:pPr>
      <w:r>
        <w:t>An open-source release of the ML pipeline, model, and archive.</w:t>
      </w:r>
    </w:p>
    <w:p>
      <w:pPr>
        <w:pStyle w:val="ListBullet"/>
      </w:pPr>
      <w:r>
        <w:t>A Kickstarter campaign for the custom edge cameras — funding plus distributed participation.</w:t>
      </w:r>
    </w:p>
    <w:p>
      <w:pPr>
        <w:pStyle w:val="Heading1"/>
      </w:pPr>
      <w:r>
        <w:rPr>
          <w:rFonts w:ascii="Calibri" w:hAnsi="Calibri"/>
        </w:rPr>
        <w:t>9. Other Funding Sources and In-Kind Support</w:t>
      </w:r>
    </w:p>
    <w:p>
      <w:r>
        <w:rPr>
          <w:b w:val="0"/>
          <w:i w:val="0"/>
        </w:rPr>
        <w:t>To date, Jesse and Kameron have jointly self-funded this project at approximately $1,500 — covering web hosting, installation and display hardware, early webcam prototyping, and AI/software subscriptions and API tokens.</w:t>
      </w:r>
    </w:p>
    <w:p>
      <w:r>
        <w:rPr>
          <w:b/>
          <w:i w:val="0"/>
        </w:rPr>
        <w:t>Potential partnerships to pursue during the grant period:</w:t>
      </w:r>
    </w:p>
    <w:p>
      <w:pPr>
        <w:pStyle w:val="ListBullet"/>
      </w:pPr>
      <w:r>
        <w:t>Windy.com — commercial webcam API access; a partnership or sponsored data-access agreement is a stronger fit for this project than a paid subscription, and we would pursue one during the grant period.</w:t>
      </w:r>
    </w:p>
    <w:p>
      <w:pPr>
        <w:pStyle w:val="ListBullet"/>
      </w:pPr>
      <w:r>
        <w:t>Other webcam networks and providers — potential partnerships with EarthCam, Skyline Webcams, AlpineWebcams, university and national-park live-feed programs, and open-source webcam projects, to expand the sensor network beyond any single commercial API.</w:t>
      </w:r>
    </w:p>
    <w:p>
      <w:pPr>
        <w:pStyle w:val="ListBullet"/>
      </w:pPr>
      <w:r>
        <w:t>Snap Inc. and Anthropic (LACMA Lab partner companies) — the project’s use of LLM vision and real-time geospatial media overlaps with their technical interests; mentorship or in-kind API access are natural collaboration paths.</w:t>
      </w:r>
    </w:p>
    <w:p>
      <w:r>
        <w:rPr>
          <w:b/>
          <w:i w:val="0"/>
        </w:rPr>
        <w:t>Potential follow-up funding:</w:t>
      </w:r>
    </w:p>
    <w:p>
      <w:pPr>
        <w:pStyle w:val="ListBullet"/>
      </w:pPr>
      <w:r>
        <w:t>A Kickstarter campaign for the custom edge-computing cameras — simultaneously funding continued development and distributing the sensor network into the hands of backers.</w:t>
      </w:r>
    </w:p>
    <w:p>
      <w:pPr>
        <w:pStyle w:val="ListBullet"/>
      </w:pPr>
      <w:r>
        <w:t>Possible retail sales of the cameras through LACMA’s gift shop or similar cultural-institution channels.</w:t>
      </w:r>
    </w:p>
    <w:p>
      <w:r>
        <w:rPr>
          <w:b w:val="0"/>
          <w:i w:val="0"/>
        </w:rPr>
        <w:t>No other funding is currently committed.</w:t>
      </w:r>
    </w:p>
    <w:p>
      <w:pPr>
        <w:pStyle w:val="Heading1"/>
      </w:pPr>
      <w:r>
        <w:rPr>
          <w:rFonts w:ascii="Calibri" w:hAnsi="Calibri"/>
        </w:rPr>
        <w:t>10. Total Amount Requested</w:t>
      </w:r>
    </w:p>
    <w:p>
      <w:r>
        <w:rPr>
          <w:b/>
          <w:i w:val="0"/>
        </w:rPr>
        <w:t>$50,000</w:t>
      </w:r>
    </w:p>
    <w:p>
      <w:pPr>
        <w:pStyle w:val="Heading1"/>
      </w:pPr>
      <w:r>
        <w:rPr>
          <w:rFonts w:ascii="Calibri" w:hAnsi="Calibri"/>
        </w:rPr>
        <w:t>11. Detailed Project Budget</w:t>
      </w:r>
    </w:p>
    <w:tbl>
      <w:tblPr>
        <w:tblW w:type="auto" w:w="0"/>
        <w:tblLayout w:type="fixed"/>
        <w:tblLook w:firstColumn="1" w:firstRow="1" w:lastColumn="0" w:lastRow="0" w:noHBand="0" w:noVBand="1" w:val="04A0"/>
      </w:tblPr>
      <w:tblGrid>
        <w:gridCol w:w="3120"/>
        <w:gridCol w:w="3120"/>
        <w:gridCol w:w="3120"/>
      </w:tblGrid>
      <w:tr>
        <w:tc>
          <w:tcPr>
            <w:tcW w:type="dxa" w:w="2592"/>
            <w:shd w:val="clear" w:color="auto" w:fill="E8E8E8"/>
            <w:tcBorders>
              <w:top w:val="single" w:sz="4" w:color="BFBFBF"/>
              <w:left w:val="single" w:sz="4" w:color="BFBFBF"/>
              <w:bottom w:val="single" w:sz="4" w:color="BFBFBF"/>
              <w:right w:val="single" w:sz="4" w:color="BFBFBF"/>
            </w:tcBorders>
          </w:tcPr>
          <w:p>
            <w:r/>
            <w:r>
              <w:rPr>
                <w:b/>
              </w:rPr>
              <w:t>Category</w:t>
            </w:r>
          </w:p>
        </w:tc>
        <w:tc>
          <w:tcPr>
            <w:tcW w:type="dxa" w:w="6048"/>
            <w:shd w:val="clear" w:color="auto" w:fill="E8E8E8"/>
            <w:tcBorders>
              <w:top w:val="single" w:sz="4" w:color="BFBFBF"/>
              <w:left w:val="single" w:sz="4" w:color="BFBFBF"/>
              <w:bottom w:val="single" w:sz="4" w:color="BFBFBF"/>
              <w:right w:val="single" w:sz="4" w:color="BFBFBF"/>
            </w:tcBorders>
          </w:tcPr>
          <w:p>
            <w:r/>
            <w:r>
              <w:rPr>
                <w:b/>
              </w:rPr>
              <w:t>Item</w:t>
            </w:r>
          </w:p>
        </w:tc>
        <w:tc>
          <w:tcPr>
            <w:tcW w:type="dxa" w:w="1152"/>
            <w:shd w:val="clear" w:color="auto" w:fill="E8E8E8"/>
            <w:tcBorders>
              <w:top w:val="single" w:sz="4" w:color="BFBFBF"/>
              <w:left w:val="single" w:sz="4" w:color="BFBFBF"/>
              <w:bottom w:val="single" w:sz="4" w:color="BFBFBF"/>
              <w:right w:val="single" w:sz="4" w:color="BFBFBF"/>
            </w:tcBorders>
          </w:tcPr>
          <w:p>
            <w:r/>
            <w:r>
              <w:rPr>
                <w:b/>
              </w:rPr>
              <w:t>Cost</w:t>
            </w:r>
          </w:p>
        </w:tc>
      </w:tr>
      <w:tr>
        <w:tc>
          <w:tcPr>
            <w:tcW w:type="dxa" w:w="2592"/>
            <w:tcBorders>
              <w:top w:val="single" w:sz="4" w:color="BFBFBF"/>
              <w:left w:val="single" w:sz="4" w:color="BFBFBF"/>
              <w:bottom w:val="single" w:sz="4" w:color="BFBFBF"/>
              <w:right w:val="single" w:sz="4" w:color="BFBFBF"/>
            </w:tcBorders>
            <w:vAlign w:val="top"/>
          </w:tcPr>
          <w:p>
            <w:pPr>
              <w:spacing w:after="40"/>
            </w:pPr>
            <w:r>
              <w:t>Principal Fees</w:t>
            </w:r>
          </w:p>
        </w:tc>
        <w:tc>
          <w:tcPr>
            <w:tcW w:type="dxa" w:w="6048"/>
            <w:tcBorders>
              <w:top w:val="single" w:sz="4" w:color="BFBFBF"/>
              <w:left w:val="single" w:sz="4" w:color="BFBFBF"/>
              <w:bottom w:val="single" w:sz="4" w:color="BFBFBF"/>
              <w:right w:val="single" w:sz="4" w:color="BFBFBF"/>
            </w:tcBorders>
            <w:vAlign w:val="top"/>
          </w:tcPr>
          <w:p>
            <w:pPr>
              <w:spacing w:after="40"/>
            </w:pPr>
            <w:r>
              <w:t>Jesse Kauppila — artist time: research, development, installation, documentation (24 months)</w:t>
            </w:r>
          </w:p>
        </w:tc>
        <w:tc>
          <w:tcPr>
            <w:tcW w:type="dxa" w:w="1152"/>
            <w:tcBorders>
              <w:top w:val="single" w:sz="4" w:color="BFBFBF"/>
              <w:left w:val="single" w:sz="4" w:color="BFBFBF"/>
              <w:bottom w:val="single" w:sz="4" w:color="BFBFBF"/>
              <w:right w:val="single" w:sz="4" w:color="BFBFBF"/>
            </w:tcBorders>
            <w:vAlign w:val="top"/>
          </w:tcPr>
          <w:p>
            <w:pPr>
              <w:spacing w:after="40"/>
            </w:pPr>
            <w:r>
              <w:t>$17,000</w:t>
            </w:r>
          </w:p>
        </w:tc>
      </w:tr>
      <w:tr>
        <w:tc>
          <w:tcPr>
            <w:tcW w:type="dxa" w:w="2592"/>
            <w:tcBorders>
              <w:top w:val="single" w:sz="4" w:color="BFBFBF"/>
              <w:left w:val="single" w:sz="4" w:color="BFBFBF"/>
              <w:bottom w:val="single" w:sz="4" w:color="BFBFBF"/>
              <w:right w:val="single" w:sz="4" w:color="BFBFBF"/>
            </w:tcBorders>
            <w:vAlign w:val="top"/>
          </w:tcPr>
          <w:p>
            <w:pPr>
              <w:spacing w:after="40"/>
            </w:pPr>
            <w:r>
              <w:t>Custom Webcam Prototyping (North America pilot — reference model for future global rollout)</w:t>
            </w:r>
          </w:p>
        </w:tc>
        <w:tc>
          <w:tcPr>
            <w:tcW w:type="dxa" w:w="6048"/>
            <w:tcBorders>
              <w:top w:val="single" w:sz="4" w:color="BFBFBF"/>
              <w:left w:val="single" w:sz="4" w:color="BFBFBF"/>
              <w:bottom w:val="single" w:sz="4" w:color="BFBFBF"/>
              <w:right w:val="single" w:sz="4" w:color="BFBFBF"/>
            </w:tcBorders>
            <w:vAlign w:val="top"/>
          </w:tcPr>
          <w:p>
            <w:pPr>
              <w:spacing w:after="40"/>
            </w:pPr>
            <w:r>
              <w:t>30 × Raspberry Pi Zero 2 W units (~$25 ea)</w:t>
            </w:r>
          </w:p>
        </w:tc>
        <w:tc>
          <w:tcPr>
            <w:tcW w:type="dxa" w:w="1152"/>
            <w:tcBorders>
              <w:top w:val="single" w:sz="4" w:color="BFBFBF"/>
              <w:left w:val="single" w:sz="4" w:color="BFBFBF"/>
              <w:bottom w:val="single" w:sz="4" w:color="BFBFBF"/>
              <w:right w:val="single" w:sz="4" w:color="BFBFBF"/>
            </w:tcBorders>
            <w:vAlign w:val="top"/>
          </w:tcPr>
          <w:p>
            <w:pPr>
              <w:spacing w:after="40"/>
            </w:pPr>
            <w:r>
              <w:t>$750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30 × Camera modules (wide-angle + standard) (~$20 ea)</w:t>
            </w:r>
          </w:p>
        </w:tc>
        <w:tc>
          <w:tcPr>
            <w:tcW w:type="dxa" w:w="1152"/>
            <w:tcBorders>
              <w:top w:val="single" w:sz="4" w:color="BFBFBF"/>
              <w:left w:val="single" w:sz="4" w:color="BFBFBF"/>
              <w:bottom w:val="single" w:sz="4" w:color="BFBFBF"/>
              <w:right w:val="single" w:sz="4" w:color="BFBFBF"/>
            </w:tcBorders>
            <w:vAlign w:val="top"/>
          </w:tcPr>
          <w:p>
            <w:pPr>
              <w:spacing w:after="40"/>
            </w:pPr>
            <w:r>
              <w:t>$600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30 × MicroSD cards, high-endurance 16–32 GB (~$12 ea)</w:t>
            </w:r>
          </w:p>
        </w:tc>
        <w:tc>
          <w:tcPr>
            <w:tcW w:type="dxa" w:w="1152"/>
            <w:tcBorders>
              <w:top w:val="single" w:sz="4" w:color="BFBFBF"/>
              <w:left w:val="single" w:sz="4" w:color="BFBFBF"/>
              <w:bottom w:val="single" w:sz="4" w:color="BFBFBF"/>
              <w:right w:val="single" w:sz="4" w:color="BFBFBF"/>
            </w:tcBorders>
            <w:vAlign w:val="top"/>
          </w:tcPr>
          <w:p>
            <w:pPr>
              <w:spacing w:after="40"/>
            </w:pPr>
            <w:r>
              <w:t>$360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30 × Power supplies and cables (~$10 ea)</w:t>
            </w:r>
          </w:p>
        </w:tc>
        <w:tc>
          <w:tcPr>
            <w:tcW w:type="dxa" w:w="1152"/>
            <w:tcBorders>
              <w:top w:val="single" w:sz="4" w:color="BFBFBF"/>
              <w:left w:val="single" w:sz="4" w:color="BFBFBF"/>
              <w:bottom w:val="single" w:sz="4" w:color="BFBFBF"/>
              <w:right w:val="single" w:sz="4" w:color="BFBFBF"/>
            </w:tcBorders>
            <w:vAlign w:val="top"/>
          </w:tcPr>
          <w:p>
            <w:pPr>
              <w:spacing w:after="40"/>
            </w:pPr>
            <w:r>
              <w:t>$300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30 × Weatherproof enclosures (~$15 ea)</w:t>
            </w:r>
          </w:p>
        </w:tc>
        <w:tc>
          <w:tcPr>
            <w:tcW w:type="dxa" w:w="1152"/>
            <w:tcBorders>
              <w:top w:val="single" w:sz="4" w:color="BFBFBF"/>
              <w:left w:val="single" w:sz="4" w:color="BFBFBF"/>
              <w:bottom w:val="single" w:sz="4" w:color="BFBFBF"/>
              <w:right w:val="single" w:sz="4" w:color="BFBFBF"/>
            </w:tcBorders>
            <w:vAlign w:val="top"/>
          </w:tcPr>
          <w:p>
            <w:pPr>
              <w:spacing w:after="40"/>
            </w:pPr>
            <w:r>
              <w:t>$450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Custom PCB design + small-run fabrication (Kickstarter-ready)</w:t>
            </w:r>
          </w:p>
        </w:tc>
        <w:tc>
          <w:tcPr>
            <w:tcW w:type="dxa" w:w="1152"/>
            <w:tcBorders>
              <w:top w:val="single" w:sz="4" w:color="BFBFBF"/>
              <w:left w:val="single" w:sz="4" w:color="BFBFBF"/>
              <w:bottom w:val="single" w:sz="4" w:color="BFBFBF"/>
              <w:right w:val="single" w:sz="4" w:color="BFBFBF"/>
            </w:tcBorders>
            <w:vAlign w:val="top"/>
          </w:tcPr>
          <w:p>
            <w:pPr>
              <w:spacing w:after="40"/>
            </w:pPr>
            <w:r>
              <w:t>$1,500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Enclosure design, 3D printing, prototyping iterations</w:t>
            </w:r>
          </w:p>
        </w:tc>
        <w:tc>
          <w:tcPr>
            <w:tcW w:type="dxa" w:w="1152"/>
            <w:tcBorders>
              <w:top w:val="single" w:sz="4" w:color="BFBFBF"/>
              <w:left w:val="single" w:sz="4" w:color="BFBFBF"/>
              <w:bottom w:val="single" w:sz="4" w:color="BFBFBF"/>
              <w:right w:val="single" w:sz="4" w:color="BFBFBF"/>
            </w:tcBorders>
            <w:vAlign w:val="top"/>
          </w:tcPr>
          <w:p>
            <w:pPr>
              <w:spacing w:after="40"/>
            </w:pPr>
            <w:r>
              <w:t>$1,000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Cellular / LTE modems for remote-deployment units (5–10 units)</w:t>
            </w:r>
          </w:p>
        </w:tc>
        <w:tc>
          <w:tcPr>
            <w:tcW w:type="dxa" w:w="1152"/>
            <w:tcBorders>
              <w:top w:val="single" w:sz="4" w:color="BFBFBF"/>
              <w:left w:val="single" w:sz="4" w:color="BFBFBF"/>
              <w:bottom w:val="single" w:sz="4" w:color="BFBFBF"/>
              <w:right w:val="single" w:sz="4" w:color="BFBFBF"/>
            </w:tcBorders>
            <w:vAlign w:val="top"/>
          </w:tcPr>
          <w:p>
            <w:pPr>
              <w:spacing w:after="40"/>
            </w:pPr>
            <w:r>
              <w:t>$500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Shipping to North American deployment partners, tools, spare parts</w:t>
            </w:r>
          </w:p>
        </w:tc>
        <w:tc>
          <w:tcPr>
            <w:tcW w:type="dxa" w:w="1152"/>
            <w:tcBorders>
              <w:top w:val="single" w:sz="4" w:color="BFBFBF"/>
              <w:left w:val="single" w:sz="4" w:color="BFBFBF"/>
              <w:bottom w:val="single" w:sz="4" w:color="BFBFBF"/>
              <w:right w:val="single" w:sz="4" w:color="BFBFBF"/>
            </w:tcBorders>
            <w:vAlign w:val="top"/>
          </w:tcPr>
          <w:p>
            <w:pPr>
              <w:spacing w:after="40"/>
            </w:pPr>
            <w:r>
              <w:t>$540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Webcam subtotal (30 units for NA pilot)</w:t>
            </w:r>
          </w:p>
        </w:tc>
        <w:tc>
          <w:tcPr>
            <w:tcW w:type="dxa" w:w="1152"/>
            <w:tcBorders>
              <w:top w:val="single" w:sz="4" w:color="BFBFBF"/>
              <w:left w:val="single" w:sz="4" w:color="BFBFBF"/>
              <w:bottom w:val="single" w:sz="4" w:color="BFBFBF"/>
              <w:right w:val="single" w:sz="4" w:color="BFBFBF"/>
            </w:tcBorders>
            <w:vAlign w:val="top"/>
          </w:tcPr>
          <w:p>
            <w:pPr>
              <w:spacing w:after="40"/>
            </w:pPr>
            <w:r>
              <w:t>$6,000</w:t>
            </w:r>
          </w:p>
        </w:tc>
      </w:tr>
      <w:tr>
        <w:tc>
          <w:tcPr>
            <w:tcW w:type="dxa" w:w="2592"/>
            <w:tcBorders>
              <w:top w:val="single" w:sz="4" w:color="BFBFBF"/>
              <w:left w:val="single" w:sz="4" w:color="BFBFBF"/>
              <w:bottom w:val="single" w:sz="4" w:color="BFBFBF"/>
              <w:right w:val="single" w:sz="4" w:color="BFBFBF"/>
            </w:tcBorders>
            <w:vAlign w:val="top"/>
          </w:tcPr>
          <w:p>
            <w:pPr>
              <w:spacing w:after="40"/>
            </w:pPr>
            <w:r>
              <w:t>Installation Hardware</w:t>
            </w:r>
          </w:p>
        </w:tc>
        <w:tc>
          <w:tcPr>
            <w:tcW w:type="dxa" w:w="6048"/>
            <w:tcBorders>
              <w:top w:val="single" w:sz="4" w:color="BFBFBF"/>
              <w:left w:val="single" w:sz="4" w:color="BFBFBF"/>
              <w:bottom w:val="single" w:sz="4" w:color="BFBFBF"/>
              <w:right w:val="single" w:sz="4" w:color="BFBFBF"/>
            </w:tcBorders>
            <w:vAlign w:val="top"/>
          </w:tcPr>
          <w:p>
            <w:pPr>
              <w:spacing w:after="40"/>
            </w:pPr>
            <w:r>
              <w:t>4–6 additional 27" portrait monitors for ring installation</w:t>
            </w:r>
          </w:p>
        </w:tc>
        <w:tc>
          <w:tcPr>
            <w:tcW w:type="dxa" w:w="1152"/>
            <w:tcBorders>
              <w:top w:val="single" w:sz="4" w:color="BFBFBF"/>
              <w:left w:val="single" w:sz="4" w:color="BFBFBF"/>
              <w:bottom w:val="single" w:sz="4" w:color="BFBFBF"/>
              <w:right w:val="single" w:sz="4" w:color="BFBFBF"/>
            </w:tcBorders>
            <w:vAlign w:val="top"/>
          </w:tcPr>
          <w:p>
            <w:pPr>
              <w:spacing w:after="40"/>
            </w:pPr>
            <w:r>
              <w:t>$2,700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Additional Raspberry Pi 4B units, cases, SD cards, HDMI cables</w:t>
            </w:r>
          </w:p>
        </w:tc>
        <w:tc>
          <w:tcPr>
            <w:tcW w:type="dxa" w:w="1152"/>
            <w:tcBorders>
              <w:top w:val="single" w:sz="4" w:color="BFBFBF"/>
              <w:left w:val="single" w:sz="4" w:color="BFBFBF"/>
              <w:bottom w:val="single" w:sz="4" w:color="BFBFBF"/>
              <w:right w:val="single" w:sz="4" w:color="BFBFBF"/>
            </w:tcBorders>
            <w:vAlign w:val="top"/>
          </w:tcPr>
          <w:p>
            <w:pPr>
              <w:spacing w:after="40"/>
            </w:pPr>
            <w:r>
              <w:t>$800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Dedicated GPU workstation or equivalent cloud GPU credits (ML training)</w:t>
            </w:r>
          </w:p>
        </w:tc>
        <w:tc>
          <w:tcPr>
            <w:tcW w:type="dxa" w:w="1152"/>
            <w:tcBorders>
              <w:top w:val="single" w:sz="4" w:color="BFBFBF"/>
              <w:left w:val="single" w:sz="4" w:color="BFBFBF"/>
              <w:bottom w:val="single" w:sz="4" w:color="BFBFBF"/>
              <w:right w:val="single" w:sz="4" w:color="BFBFBF"/>
            </w:tcBorders>
            <w:vAlign w:val="top"/>
          </w:tcPr>
          <w:p>
            <w:pPr>
              <w:spacing w:after="40"/>
            </w:pPr>
            <w:r>
              <w:t>$2,500</w:t>
            </w:r>
          </w:p>
        </w:tc>
      </w:tr>
      <w:tr>
        <w:tc>
          <w:tcPr>
            <w:tcW w:type="dxa" w:w="2592"/>
            <w:tcBorders>
              <w:top w:val="single" w:sz="4" w:color="BFBFBF"/>
              <w:left w:val="single" w:sz="4" w:color="BFBFBF"/>
              <w:bottom w:val="single" w:sz="4" w:color="BFBFBF"/>
              <w:right w:val="single" w:sz="4" w:color="BFBFBF"/>
            </w:tcBorders>
            <w:vAlign w:val="top"/>
          </w:tcPr>
          <w:p>
            <w:pPr>
              <w:spacing w:after="40"/>
            </w:pPr>
            <w:r>
              <w:t>Software &amp; Services</w:t>
            </w:r>
          </w:p>
        </w:tc>
        <w:tc>
          <w:tcPr>
            <w:tcW w:type="dxa" w:w="6048"/>
            <w:tcBorders>
              <w:top w:val="single" w:sz="4" w:color="BFBFBF"/>
              <w:left w:val="single" w:sz="4" w:color="BFBFBF"/>
              <w:bottom w:val="single" w:sz="4" w:color="BFBFBF"/>
              <w:right w:val="single" w:sz="4" w:color="BFBFBF"/>
            </w:tcBorders>
            <w:vAlign w:val="top"/>
          </w:tcPr>
          <w:p>
            <w:pPr>
              <w:spacing w:after="40"/>
            </w:pPr>
            <w:r>
              <w:t>Anthropic Claude subscription ($100/mo × 24 months)</w:t>
            </w:r>
          </w:p>
        </w:tc>
        <w:tc>
          <w:tcPr>
            <w:tcW w:type="dxa" w:w="1152"/>
            <w:tcBorders>
              <w:top w:val="single" w:sz="4" w:color="BFBFBF"/>
              <w:left w:val="single" w:sz="4" w:color="BFBFBF"/>
              <w:bottom w:val="single" w:sz="4" w:color="BFBFBF"/>
              <w:right w:val="single" w:sz="4" w:color="BFBFBF"/>
            </w:tcBorders>
            <w:vAlign w:val="top"/>
          </w:tcPr>
          <w:p>
            <w:pPr>
              <w:spacing w:after="40"/>
            </w:pPr>
            <w:r>
              <w:t>$2,400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Vercel Pro ($20/mo × 24 months)</w:t>
            </w:r>
          </w:p>
        </w:tc>
        <w:tc>
          <w:tcPr>
            <w:tcW w:type="dxa" w:w="1152"/>
            <w:tcBorders>
              <w:top w:val="single" w:sz="4" w:color="BFBFBF"/>
              <w:left w:val="single" w:sz="4" w:color="BFBFBF"/>
              <w:bottom w:val="single" w:sz="4" w:color="BFBFBF"/>
              <w:right w:val="single" w:sz="4" w:color="BFBFBF"/>
            </w:tcBorders>
            <w:vAlign w:val="top"/>
          </w:tcPr>
          <w:p>
            <w:pPr>
              <w:spacing w:after="40"/>
            </w:pPr>
            <w:r>
              <w:t>$480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Cursor Pro ($20/mo × 24 months)</w:t>
            </w:r>
          </w:p>
        </w:tc>
        <w:tc>
          <w:tcPr>
            <w:tcW w:type="dxa" w:w="1152"/>
            <w:tcBorders>
              <w:top w:val="single" w:sz="4" w:color="BFBFBF"/>
              <w:left w:val="single" w:sz="4" w:color="BFBFBF"/>
              <w:bottom w:val="single" w:sz="4" w:color="BFBFBF"/>
              <w:right w:val="single" w:sz="4" w:color="BFBFBF"/>
            </w:tcBorders>
            <w:vAlign w:val="top"/>
          </w:tcPr>
          <w:p>
            <w:pPr>
              <w:spacing w:after="40"/>
            </w:pPr>
            <w:r>
              <w:t>$480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Neon Postgres (24 months, estimated)</w:t>
            </w:r>
          </w:p>
        </w:tc>
        <w:tc>
          <w:tcPr>
            <w:tcW w:type="dxa" w:w="1152"/>
            <w:tcBorders>
              <w:top w:val="single" w:sz="4" w:color="BFBFBF"/>
              <w:left w:val="single" w:sz="4" w:color="BFBFBF"/>
              <w:bottom w:val="single" w:sz="4" w:color="BFBFBF"/>
              <w:right w:val="single" w:sz="4" w:color="BFBFBF"/>
            </w:tcBorders>
            <w:vAlign w:val="top"/>
          </w:tcPr>
          <w:p>
            <w:pPr>
              <w:spacing w:after="40"/>
            </w:pPr>
            <w:r>
              <w:t>$600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Mapbox GL JS — free tier covers expected usage (50,000 monthly map loads); overage, if any, from contingency</w:t>
            </w:r>
          </w:p>
        </w:tc>
        <w:tc>
          <w:tcPr>
            <w:tcW w:type="dxa" w:w="1152"/>
            <w:tcBorders>
              <w:top w:val="single" w:sz="4" w:color="BFBFBF"/>
              <w:left w:val="single" w:sz="4" w:color="BFBFBF"/>
              <w:bottom w:val="single" w:sz="4" w:color="BFBFBF"/>
              <w:right w:val="single" w:sz="4" w:color="BFBFBF"/>
            </w:tcBorders>
            <w:vAlign w:val="top"/>
          </w:tcPr>
          <w:p>
            <w:pPr>
              <w:spacing w:after="40"/>
            </w:pPr>
            <w:r>
              <w:t>$0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OpenAI + Google Gemini vision API calls (LLM labeling pipeline)</w:t>
            </w:r>
          </w:p>
        </w:tc>
        <w:tc>
          <w:tcPr>
            <w:tcW w:type="dxa" w:w="1152"/>
            <w:tcBorders>
              <w:top w:val="single" w:sz="4" w:color="BFBFBF"/>
              <w:left w:val="single" w:sz="4" w:color="BFBFBF"/>
              <w:bottom w:val="single" w:sz="4" w:color="BFBFBF"/>
              <w:right w:val="single" w:sz="4" w:color="BFBFBF"/>
            </w:tcBorders>
            <w:vAlign w:val="top"/>
          </w:tcPr>
          <w:p>
            <w:pPr>
              <w:spacing w:after="40"/>
            </w:pPr>
            <w:r>
              <w:t>$1,000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Domain registration + SSL (sunrisesunset.studio, 2 years)</w:t>
            </w:r>
          </w:p>
        </w:tc>
        <w:tc>
          <w:tcPr>
            <w:tcW w:type="dxa" w:w="1152"/>
            <w:tcBorders>
              <w:top w:val="single" w:sz="4" w:color="BFBFBF"/>
              <w:left w:val="single" w:sz="4" w:color="BFBFBF"/>
              <w:bottom w:val="single" w:sz="4" w:color="BFBFBF"/>
              <w:right w:val="single" w:sz="4" w:color="BFBFBF"/>
            </w:tcBorders>
            <w:vAlign w:val="top"/>
          </w:tcPr>
          <w:p>
            <w:pPr>
              <w:spacing w:after="40"/>
            </w:pPr>
            <w:r>
              <w:t>$100</w:t>
            </w:r>
          </w:p>
        </w:tc>
      </w:tr>
      <w:tr>
        <w:tc>
          <w:tcPr>
            <w:tcW w:type="dxa" w:w="2592"/>
            <w:tcBorders>
              <w:top w:val="single" w:sz="4" w:color="BFBFBF"/>
              <w:left w:val="single" w:sz="4" w:color="BFBFBF"/>
              <w:bottom w:val="single" w:sz="4" w:color="BFBFBF"/>
              <w:right w:val="single" w:sz="4" w:color="BFBFBF"/>
            </w:tcBorders>
            <w:vAlign w:val="top"/>
          </w:tcPr>
          <w:p>
            <w:pPr>
              <w:spacing w:after="40"/>
            </w:pPr>
            <w:r>
              <w:t>Installation Materials</w:t>
            </w:r>
          </w:p>
        </w:tc>
        <w:tc>
          <w:tcPr>
            <w:tcW w:type="dxa" w:w="6048"/>
            <w:tcBorders>
              <w:top w:val="single" w:sz="4" w:color="BFBFBF"/>
              <w:left w:val="single" w:sz="4" w:color="BFBFBF"/>
              <w:bottom w:val="single" w:sz="4" w:color="BFBFBF"/>
              <w:right w:val="single" w:sz="4" w:color="BFBFBF"/>
            </w:tcBorders>
            <w:vAlign w:val="top"/>
          </w:tcPr>
          <w:p>
            <w:pPr>
              <w:spacing w:after="40"/>
            </w:pPr>
            <w:r>
              <w:t>Monitor stands / mounts for portrait and ring configuration</w:t>
            </w:r>
          </w:p>
        </w:tc>
        <w:tc>
          <w:tcPr>
            <w:tcW w:type="dxa" w:w="1152"/>
            <w:tcBorders>
              <w:top w:val="single" w:sz="4" w:color="BFBFBF"/>
              <w:left w:val="single" w:sz="4" w:color="BFBFBF"/>
              <w:bottom w:val="single" w:sz="4" w:color="BFBFBF"/>
              <w:right w:val="single" w:sz="4" w:color="BFBFBF"/>
            </w:tcBorders>
            <w:vAlign w:val="top"/>
          </w:tcPr>
          <w:p>
            <w:pPr>
              <w:spacing w:after="40"/>
            </w:pPr>
            <w:r>
              <w:t>$1,500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Wiring, cable management, power distribution for multi-screen array</w:t>
            </w:r>
          </w:p>
        </w:tc>
        <w:tc>
          <w:tcPr>
            <w:tcW w:type="dxa" w:w="1152"/>
            <w:tcBorders>
              <w:top w:val="single" w:sz="4" w:color="BFBFBF"/>
              <w:left w:val="single" w:sz="4" w:color="BFBFBF"/>
              <w:bottom w:val="single" w:sz="4" w:color="BFBFBF"/>
              <w:right w:val="single" w:sz="4" w:color="BFBFBF"/>
            </w:tcBorders>
            <w:vAlign w:val="top"/>
          </w:tcPr>
          <w:p>
            <w:pPr>
              <w:spacing w:after="40"/>
            </w:pPr>
            <w:r>
              <w:t>$500</w:t>
            </w:r>
          </w:p>
        </w:tc>
      </w:tr>
      <w:tr>
        <w:tc>
          <w:tcPr>
            <w:tcW w:type="dxa" w:w="2592"/>
            <w:tcBorders>
              <w:top w:val="single" w:sz="4" w:color="BFBFBF"/>
              <w:left w:val="single" w:sz="4" w:color="BFBFBF"/>
              <w:bottom w:val="single" w:sz="4" w:color="BFBFBF"/>
              <w:right w:val="single" w:sz="4" w:color="BFBFBF"/>
            </w:tcBorders>
            <w:vAlign w:val="top"/>
          </w:tcPr>
          <w:p>
            <w:pPr>
              <w:spacing w:after="40"/>
            </w:pPr>
            <w:r>
              <w:t>Travel (Bellingham, WA → Los Angeles — staying in LA for each event)</w:t>
            </w:r>
          </w:p>
        </w:tc>
        <w:tc>
          <w:tcPr>
            <w:tcW w:type="dxa" w:w="6048"/>
            <w:tcBorders>
              <w:top w:val="single" w:sz="4" w:color="BFBFBF"/>
              <w:left w:val="single" w:sz="4" w:color="BFBFBF"/>
              <w:bottom w:val="single" w:sz="4" w:color="BFBFBF"/>
              <w:right w:val="single" w:sz="4" w:color="BFBFBF"/>
            </w:tcBorders>
            <w:vAlign w:val="top"/>
          </w:tcPr>
          <w:p>
            <w:pPr>
              <w:spacing w:after="40"/>
            </w:pPr>
            <w:r>
              <w:t>2027 Biennial Symposium trip — airfare (BLI/SEA ↔ LAX), 6 nights LA lodging, ground transport, meals, hardware shipping</w:t>
            </w:r>
          </w:p>
        </w:tc>
        <w:tc>
          <w:tcPr>
            <w:tcW w:type="dxa" w:w="1152"/>
            <w:tcBorders>
              <w:top w:val="single" w:sz="4" w:color="BFBFBF"/>
              <w:left w:val="single" w:sz="4" w:color="BFBFBF"/>
              <w:bottom w:val="single" w:sz="4" w:color="BFBFBF"/>
              <w:right w:val="single" w:sz="4" w:color="BFBFBF"/>
            </w:tcBorders>
            <w:vAlign w:val="top"/>
          </w:tcPr>
          <w:p>
            <w:pPr>
              <w:spacing w:after="40"/>
            </w:pPr>
            <w:r>
              <w:t>$2,700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2028 Biennial Demo Day trip — airfare, 8 nights LA lodging, ground transport, meals, ring-installation hardware shipping</w:t>
            </w:r>
          </w:p>
        </w:tc>
        <w:tc>
          <w:tcPr>
            <w:tcW w:type="dxa" w:w="1152"/>
            <w:tcBorders>
              <w:top w:val="single" w:sz="4" w:color="BFBFBF"/>
              <w:left w:val="single" w:sz="4" w:color="BFBFBF"/>
              <w:bottom w:val="single" w:sz="4" w:color="BFBFBF"/>
              <w:right w:val="single" w:sz="4" w:color="BFBFBF"/>
            </w:tcBorders>
            <w:vAlign w:val="top"/>
          </w:tcPr>
          <w:p>
            <w:pPr>
              <w:spacing w:after="40"/>
            </w:pPr>
            <w:r>
              <w:t>$3,400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Canopy Art &amp; Iron exhibit (Bow, WA — local drive from Bellingham) — fuel, supplies, install day</w:t>
            </w:r>
          </w:p>
        </w:tc>
        <w:tc>
          <w:tcPr>
            <w:tcW w:type="dxa" w:w="1152"/>
            <w:tcBorders>
              <w:top w:val="single" w:sz="4" w:color="BFBFBF"/>
              <w:left w:val="single" w:sz="4" w:color="BFBFBF"/>
              <w:bottom w:val="single" w:sz="4" w:color="BFBFBF"/>
              <w:right w:val="single" w:sz="4" w:color="BFBFBF"/>
            </w:tcBorders>
            <w:vAlign w:val="top"/>
          </w:tcPr>
          <w:p>
            <w:pPr>
              <w:spacing w:after="40"/>
            </w:pPr>
            <w:r>
              <w:t>$300</w:t>
            </w:r>
          </w:p>
        </w:tc>
      </w:tr>
      <w:tr>
        <w:tc>
          <w:tcPr>
            <w:tcW w:type="dxa" w:w="2592"/>
            <w:tcBorders>
              <w:top w:val="single" w:sz="4" w:color="BFBFBF"/>
              <w:left w:val="single" w:sz="4" w:color="BFBFBF"/>
              <w:bottom w:val="single" w:sz="4" w:color="BFBFBF"/>
              <w:right w:val="single" w:sz="4" w:color="BFBFBF"/>
            </w:tcBorders>
            <w:vAlign w:val="top"/>
          </w:tcPr>
          <w:p>
            <w:pPr>
              <w:spacing w:after="40"/>
            </w:pPr>
            <w:r>
              <w:t>Co-applicant + Collaborator Fees</w:t>
            </w:r>
          </w:p>
        </w:tc>
        <w:tc>
          <w:tcPr>
            <w:tcW w:type="dxa" w:w="6048"/>
            <w:tcBorders>
              <w:top w:val="single" w:sz="4" w:color="BFBFBF"/>
              <w:left w:val="single" w:sz="4" w:color="BFBFBF"/>
              <w:bottom w:val="single" w:sz="4" w:color="BFBFBF"/>
              <w:right w:val="single" w:sz="4" w:color="BFBFBF"/>
            </w:tcBorders>
            <w:vAlign w:val="top"/>
          </w:tcPr>
          <w:p>
            <w:pPr>
              <w:spacing w:after="40"/>
            </w:pPr>
            <w:r>
              <w:t>Kameron Decker Harris — co-lead compensation: ML architecture, training strategy, model evaluation (24 months)</w:t>
            </w:r>
          </w:p>
        </w:tc>
        <w:tc>
          <w:tcPr>
            <w:tcW w:type="dxa" w:w="1152"/>
            <w:tcBorders>
              <w:top w:val="single" w:sz="4" w:color="BFBFBF"/>
              <w:left w:val="single" w:sz="4" w:color="BFBFBF"/>
              <w:bottom w:val="single" w:sz="4" w:color="BFBFBF"/>
              <w:right w:val="single" w:sz="4" w:color="BFBFBF"/>
            </w:tcBorders>
            <w:vAlign w:val="top"/>
          </w:tcPr>
          <w:p>
            <w:pPr>
              <w:spacing w:after="40"/>
            </w:pPr>
            <w:r>
              <w:t>$2,000</w:t>
            </w:r>
          </w:p>
        </w:tc>
      </w:tr>
      <w:tr>
        <w:tc>
          <w:tcPr>
            <w:tcW w:type="dxa" w:w="2592"/>
            <w:tcBorders>
              <w:top w:val="single" w:sz="4" w:color="BFBFBF"/>
              <w:left w:val="single" w:sz="4" w:color="BFBFBF"/>
              <w:bottom w:val="single" w:sz="4" w:color="BFBFBF"/>
              <w:right w:val="single" w:sz="4" w:color="BFBFBF"/>
            </w:tcBorders>
            <w:vAlign w:val="top"/>
          </w:tcPr>
          <w:p>
            <w:pPr>
              <w:spacing w:after="40"/>
            </w:pPr>
            <w:r/>
          </w:p>
        </w:tc>
        <w:tc>
          <w:tcPr>
            <w:tcW w:type="dxa" w:w="6048"/>
            <w:tcBorders>
              <w:top w:val="single" w:sz="4" w:color="BFBFBF"/>
              <w:left w:val="single" w:sz="4" w:color="BFBFBF"/>
              <w:bottom w:val="single" w:sz="4" w:color="BFBFBF"/>
              <w:right w:val="single" w:sz="4" w:color="BFBFBF"/>
            </w:tcBorders>
            <w:vAlign w:val="top"/>
          </w:tcPr>
          <w:p>
            <w:pPr>
              <w:spacing w:after="40"/>
            </w:pPr>
            <w:r>
              <w:t>Installation / fabrication assistance</w:t>
            </w:r>
          </w:p>
        </w:tc>
        <w:tc>
          <w:tcPr>
            <w:tcW w:type="dxa" w:w="1152"/>
            <w:tcBorders>
              <w:top w:val="single" w:sz="4" w:color="BFBFBF"/>
              <w:left w:val="single" w:sz="4" w:color="BFBFBF"/>
              <w:bottom w:val="single" w:sz="4" w:color="BFBFBF"/>
              <w:right w:val="single" w:sz="4" w:color="BFBFBF"/>
            </w:tcBorders>
            <w:vAlign w:val="top"/>
          </w:tcPr>
          <w:p>
            <w:pPr>
              <w:spacing w:after="40"/>
            </w:pPr>
            <w:r>
              <w:t>$2,000</w:t>
            </w:r>
          </w:p>
        </w:tc>
      </w:tr>
      <w:tr>
        <w:tc>
          <w:tcPr>
            <w:tcW w:type="dxa" w:w="2592"/>
            <w:tcBorders>
              <w:top w:val="single" w:sz="4" w:color="BFBFBF"/>
              <w:left w:val="single" w:sz="4" w:color="BFBFBF"/>
              <w:bottom w:val="single" w:sz="4" w:color="BFBFBF"/>
              <w:right w:val="single" w:sz="4" w:color="BFBFBF"/>
            </w:tcBorders>
            <w:vAlign w:val="top"/>
          </w:tcPr>
          <w:p>
            <w:pPr>
              <w:spacing w:after="40"/>
            </w:pPr>
            <w:r>
              <w:t>Documentation</w:t>
            </w:r>
          </w:p>
        </w:tc>
        <w:tc>
          <w:tcPr>
            <w:tcW w:type="dxa" w:w="6048"/>
            <w:tcBorders>
              <w:top w:val="single" w:sz="4" w:color="BFBFBF"/>
              <w:left w:val="single" w:sz="4" w:color="BFBFBF"/>
              <w:bottom w:val="single" w:sz="4" w:color="BFBFBF"/>
              <w:right w:val="single" w:sz="4" w:color="BFBFBF"/>
            </w:tcBorders>
            <w:vAlign w:val="top"/>
          </w:tcPr>
          <w:p>
            <w:pPr>
              <w:spacing w:after="40"/>
            </w:pPr>
            <w:r>
              <w:t>Video + photo documentation of installation and process</w:t>
            </w:r>
          </w:p>
        </w:tc>
        <w:tc>
          <w:tcPr>
            <w:tcW w:type="dxa" w:w="1152"/>
            <w:tcBorders>
              <w:top w:val="single" w:sz="4" w:color="BFBFBF"/>
              <w:left w:val="single" w:sz="4" w:color="BFBFBF"/>
              <w:bottom w:val="single" w:sz="4" w:color="BFBFBF"/>
              <w:right w:val="single" w:sz="4" w:color="BFBFBF"/>
            </w:tcBorders>
            <w:vAlign w:val="top"/>
          </w:tcPr>
          <w:p>
            <w:pPr>
              <w:spacing w:after="40"/>
            </w:pPr>
            <w:r>
              <w:t>$1,500</w:t>
            </w:r>
          </w:p>
        </w:tc>
      </w:tr>
      <w:tr>
        <w:tc>
          <w:tcPr>
            <w:tcW w:type="dxa" w:w="2592"/>
            <w:tcBorders>
              <w:top w:val="single" w:sz="4" w:color="BFBFBF"/>
              <w:left w:val="single" w:sz="4" w:color="BFBFBF"/>
              <w:bottom w:val="single" w:sz="4" w:color="BFBFBF"/>
              <w:right w:val="single" w:sz="4" w:color="BFBFBF"/>
            </w:tcBorders>
            <w:vAlign w:val="top"/>
          </w:tcPr>
          <w:p>
            <w:pPr>
              <w:spacing w:after="40"/>
            </w:pPr>
            <w:r>
              <w:t>Contingency</w:t>
            </w:r>
          </w:p>
        </w:tc>
        <w:tc>
          <w:tcPr>
            <w:tcW w:type="dxa" w:w="6048"/>
            <w:tcBorders>
              <w:top w:val="single" w:sz="4" w:color="BFBFBF"/>
              <w:left w:val="single" w:sz="4" w:color="BFBFBF"/>
              <w:bottom w:val="single" w:sz="4" w:color="BFBFBF"/>
              <w:right w:val="single" w:sz="4" w:color="BFBFBF"/>
            </w:tcBorders>
            <w:vAlign w:val="top"/>
          </w:tcPr>
          <w:p>
            <w:pPr>
              <w:spacing w:after="40"/>
            </w:pPr>
            <w:r>
              <w:t>Unforeseen costs, replacement hardware, API overages (incl. any Mapbox / Firebase overages), shipping corrections</w:t>
            </w:r>
          </w:p>
        </w:tc>
        <w:tc>
          <w:tcPr>
            <w:tcW w:type="dxa" w:w="1152"/>
            <w:tcBorders>
              <w:top w:val="single" w:sz="4" w:color="BFBFBF"/>
              <w:left w:val="single" w:sz="4" w:color="BFBFBF"/>
              <w:bottom w:val="single" w:sz="4" w:color="BFBFBF"/>
              <w:right w:val="single" w:sz="4" w:color="BFBFBF"/>
            </w:tcBorders>
            <w:vAlign w:val="top"/>
          </w:tcPr>
          <w:p>
            <w:pPr>
              <w:spacing w:after="40"/>
            </w:pPr>
            <w:r>
              <w:t>$2,040</w:t>
            </w:r>
          </w:p>
        </w:tc>
      </w:tr>
      <w:tr>
        <w:tc>
          <w:tcPr>
            <w:tcW w:type="dxa" w:w="2592"/>
            <w:tcBorders>
              <w:top w:val="single" w:sz="4" w:color="BFBFBF"/>
              <w:left w:val="single" w:sz="4" w:color="BFBFBF"/>
              <w:bottom w:val="single" w:sz="4" w:color="BFBFBF"/>
              <w:right w:val="single" w:sz="4" w:color="BFBFBF"/>
            </w:tcBorders>
            <w:vAlign w:val="top"/>
          </w:tcPr>
          <w:p>
            <w:pPr>
              <w:spacing w:after="40"/>
            </w:pPr>
            <w:r>
              <w:t>TOTAL</w:t>
            </w:r>
          </w:p>
        </w:tc>
        <w:tc>
          <w:tcPr>
            <w:tcW w:type="dxa" w:w="6048"/>
            <w:tcBorders>
              <w:top w:val="single" w:sz="4" w:color="BFBFBF"/>
              <w:left w:val="single" w:sz="4" w:color="BFBFBF"/>
              <w:bottom w:val="single" w:sz="4" w:color="BFBFBF"/>
              <w:right w:val="single" w:sz="4" w:color="BFBFBF"/>
            </w:tcBorders>
            <w:vAlign w:val="top"/>
          </w:tcPr>
          <w:p>
            <w:pPr>
              <w:spacing w:after="40"/>
            </w:pPr>
            <w:r/>
          </w:p>
        </w:tc>
        <w:tc>
          <w:tcPr>
            <w:tcW w:type="dxa" w:w="1152"/>
            <w:tcBorders>
              <w:top w:val="single" w:sz="4" w:color="BFBFBF"/>
              <w:left w:val="single" w:sz="4" w:color="BFBFBF"/>
              <w:bottom w:val="single" w:sz="4" w:color="BFBFBF"/>
              <w:right w:val="single" w:sz="4" w:color="BFBFBF"/>
            </w:tcBorders>
            <w:vAlign w:val="top"/>
          </w:tcPr>
          <w:p>
            <w:pPr>
              <w:spacing w:after="40"/>
            </w:pPr>
            <w:r>
              <w:t>$50,000</w:t>
            </w:r>
          </w:p>
        </w:tc>
      </w:tr>
    </w:tbl>
    <w:p>
      <w:r>
        <w:rPr>
          <w:b w:val="0"/>
          <w:i/>
        </w:rPr>
        <w:t>If any subscription lines come in lower than expected (for example, Anthropic offers credits through the LACMA partnership), the surplus flows into principal fees or additional webcam units for the pilot.</w:t>
      </w:r>
    </w:p>
    <w:p>
      <w:pPr>
        <w:pStyle w:val="Heading1"/>
      </w:pPr>
      <w:r>
        <w:rPr>
          <w:rFonts w:ascii="Calibri" w:hAnsi="Calibri"/>
        </w:rPr>
        <w:t>12. Implementation Plan — Milestones, Dates, and Costs</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E8E8E8"/>
            <w:tcBorders>
              <w:top w:val="single" w:sz="4" w:color="BFBFBF"/>
              <w:left w:val="single" w:sz="4" w:color="BFBFBF"/>
              <w:bottom w:val="single" w:sz="4" w:color="BFBFBF"/>
              <w:right w:val="single" w:sz="4" w:color="BFBFBF"/>
            </w:tcBorders>
          </w:tcPr>
          <w:p>
            <w:r/>
            <w:r>
              <w:rPr>
                <w:b/>
              </w:rPr>
              <w:t>Phase</w:t>
            </w:r>
          </w:p>
        </w:tc>
        <w:tc>
          <w:tcPr>
            <w:tcW w:type="dxa" w:w="1584"/>
            <w:shd w:val="clear" w:color="auto" w:fill="E8E8E8"/>
            <w:tcBorders>
              <w:top w:val="single" w:sz="4" w:color="BFBFBF"/>
              <w:left w:val="single" w:sz="4" w:color="BFBFBF"/>
              <w:bottom w:val="single" w:sz="4" w:color="BFBFBF"/>
              <w:right w:val="single" w:sz="4" w:color="BFBFBF"/>
            </w:tcBorders>
          </w:tcPr>
          <w:p>
            <w:r/>
            <w:r>
              <w:rPr>
                <w:b/>
              </w:rPr>
              <w:t>Timeline</w:t>
            </w:r>
          </w:p>
        </w:tc>
        <w:tc>
          <w:tcPr>
            <w:tcW w:type="dxa" w:w="5040"/>
            <w:shd w:val="clear" w:color="auto" w:fill="E8E8E8"/>
            <w:tcBorders>
              <w:top w:val="single" w:sz="4" w:color="BFBFBF"/>
              <w:left w:val="single" w:sz="4" w:color="BFBFBF"/>
              <w:bottom w:val="single" w:sz="4" w:color="BFBFBF"/>
              <w:right w:val="single" w:sz="4" w:color="BFBFBF"/>
            </w:tcBorders>
          </w:tcPr>
          <w:p>
            <w:r/>
            <w:r>
              <w:rPr>
                <w:b/>
              </w:rPr>
              <w:t>Milestones</w:t>
            </w:r>
          </w:p>
        </w:tc>
        <w:tc>
          <w:tcPr>
            <w:tcW w:type="dxa" w:w="1152"/>
            <w:shd w:val="clear" w:color="auto" w:fill="E8E8E8"/>
            <w:tcBorders>
              <w:top w:val="single" w:sz="4" w:color="BFBFBF"/>
              <w:left w:val="single" w:sz="4" w:color="BFBFBF"/>
              <w:bottom w:val="single" w:sz="4" w:color="BFBFBF"/>
              <w:right w:val="single" w:sz="4" w:color="BFBFBF"/>
            </w:tcBorders>
          </w:tcPr>
          <w:p>
            <w:r/>
            <w:r>
              <w:rPr>
                <w:b/>
              </w:rPr>
              <w:t>Cost</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1: Foundation + Webcam v1</w:t>
            </w:r>
          </w:p>
        </w:tc>
        <w:tc>
          <w:tcPr>
            <w:tcW w:type="dxa" w:w="1584"/>
            <w:tcBorders>
              <w:top w:val="single" w:sz="4" w:color="BFBFBF"/>
              <w:left w:val="single" w:sz="4" w:color="BFBFBF"/>
              <w:bottom w:val="single" w:sz="4" w:color="BFBFBF"/>
              <w:right w:val="single" w:sz="4" w:color="BFBFBF"/>
            </w:tcBorders>
            <w:vAlign w:val="top"/>
          </w:tcPr>
          <w:p>
            <w:pPr>
              <w:spacing w:after="40"/>
            </w:pPr>
            <w:r>
              <w:t>Fall 2026 (Months 1–4)</w:t>
            </w:r>
          </w:p>
        </w:tc>
        <w:tc>
          <w:tcPr>
            <w:tcW w:type="dxa" w:w="5040"/>
            <w:tcBorders>
              <w:top w:val="single" w:sz="4" w:color="BFBFBF"/>
              <w:left w:val="single" w:sz="4" w:color="BFBFBF"/>
              <w:bottom w:val="single" w:sz="4" w:color="BFBFBF"/>
              <w:right w:val="single" w:sz="4" w:color="BFBFBF"/>
            </w:tcBorders>
            <w:vAlign w:val="top"/>
          </w:tcPr>
          <w:p>
            <w:pPr>
              <w:spacing w:after="40"/>
            </w:pPr>
            <w:r>
              <w:t>Formalize the co-lead agreement with Kameron Decker Harris and kick off ML architecture and training-strategy work. Upgrade ML pipeline to image-based production inference. Expand training dataset. Validate model performance against human ratings (Pearson &gt; 0.80 gate). Initiate outreach to Windy, EarthCam, and other webcam providers regarding partnership / data access. Design and build first batch of 5–10 custom Pi Zero 2 W cameras and identify North American deployment partners (universities, parks, independent camera hosts).</w:t>
            </w:r>
          </w:p>
        </w:tc>
        <w:tc>
          <w:tcPr>
            <w:tcW w:type="dxa" w:w="1152"/>
            <w:tcBorders>
              <w:top w:val="single" w:sz="4" w:color="BFBFBF"/>
              <w:left w:val="single" w:sz="4" w:color="BFBFBF"/>
              <w:bottom w:val="single" w:sz="4" w:color="BFBFBF"/>
              <w:right w:val="single" w:sz="4" w:color="BFBFBF"/>
            </w:tcBorders>
            <w:vAlign w:val="top"/>
          </w:tcPr>
          <w:p>
            <w:pPr>
              <w:spacing w:after="40"/>
            </w:pPr>
            <w:r>
              <w:t>$11,000</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2: Ring Development + NA Webcam Rollout</w:t>
            </w:r>
          </w:p>
        </w:tc>
        <w:tc>
          <w:tcPr>
            <w:tcW w:type="dxa" w:w="1584"/>
            <w:tcBorders>
              <w:top w:val="single" w:sz="4" w:color="BFBFBF"/>
              <w:left w:val="single" w:sz="4" w:color="BFBFBF"/>
              <w:bottom w:val="single" w:sz="4" w:color="BFBFBF"/>
              <w:right w:val="single" w:sz="4" w:color="BFBFBF"/>
            </w:tcBorders>
            <w:vAlign w:val="top"/>
          </w:tcPr>
          <w:p>
            <w:pPr>
              <w:spacing w:after="40"/>
            </w:pPr>
            <w:r>
              <w:t>Winter 2026–27 (Months 4–8)</w:t>
            </w:r>
          </w:p>
        </w:tc>
        <w:tc>
          <w:tcPr>
            <w:tcW w:type="dxa" w:w="5040"/>
            <w:tcBorders>
              <w:top w:val="single" w:sz="4" w:color="BFBFBF"/>
              <w:left w:val="single" w:sz="4" w:color="BFBFBF"/>
              <w:bottom w:val="single" w:sz="4" w:color="BFBFBF"/>
              <w:right w:val="single" w:sz="4" w:color="BFBFBF"/>
            </w:tcBorders>
            <w:vAlign w:val="top"/>
          </w:tcPr>
          <w:p>
            <w:pPr>
              <w:spacing w:after="40"/>
            </w:pPr>
            <w:r>
              <w:t>Design and begin building the ring-monitor installation (6–8 portrait monitors). Develop the public rating app (“dating app for sunsets”). Iterate webcam hardware: custom PCB, weatherproof enclosure, remote-tuning firmware. Deploy remaining pilot webcam units across 8–10 North American locations (coastal, mountain, desert, Pacific Northwest); this pilot serves as the reference model for a later worldwide rollout. Exhibit the existing two-screen diptych — the sunrise / sunset pair — at Canopy Art &amp; Iron’s annual rendezvous in Bow, WA. The diptych is more portable than the ring and is already the current working form of the installation, making Canopy’s annual event a natural, local venue for an early public showing before the LACMA symposium. Canopy’s “rooted in a sense of place” ethos complements the geographic, terminator-driven nature of the work. Gather audience response and document for LACMA.</w:t>
            </w:r>
          </w:p>
        </w:tc>
        <w:tc>
          <w:tcPr>
            <w:tcW w:type="dxa" w:w="1152"/>
            <w:tcBorders>
              <w:top w:val="single" w:sz="4" w:color="BFBFBF"/>
              <w:left w:val="single" w:sz="4" w:color="BFBFBF"/>
              <w:bottom w:val="single" w:sz="4" w:color="BFBFBF"/>
              <w:right w:val="single" w:sz="4" w:color="BFBFBF"/>
            </w:tcBorders>
            <w:vAlign w:val="top"/>
          </w:tcPr>
          <w:p>
            <w:pPr>
              <w:spacing w:after="40"/>
            </w:pPr>
            <w:r>
              <w:t>$13,000</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3: LACMA Symposium Demo</w:t>
            </w:r>
          </w:p>
        </w:tc>
        <w:tc>
          <w:tcPr>
            <w:tcW w:type="dxa" w:w="1584"/>
            <w:tcBorders>
              <w:top w:val="single" w:sz="4" w:color="BFBFBF"/>
              <w:left w:val="single" w:sz="4" w:color="BFBFBF"/>
              <w:bottom w:val="single" w:sz="4" w:color="BFBFBF"/>
              <w:right w:val="single" w:sz="4" w:color="BFBFBF"/>
            </w:tcBorders>
            <w:vAlign w:val="top"/>
          </w:tcPr>
          <w:p>
            <w:pPr>
              <w:spacing w:after="40"/>
            </w:pPr>
            <w:r>
              <w:t>Spring 2027 (Months 8–12)</w:t>
            </w:r>
          </w:p>
        </w:tc>
        <w:tc>
          <w:tcPr>
            <w:tcW w:type="dxa" w:w="5040"/>
            <w:tcBorders>
              <w:top w:val="single" w:sz="4" w:color="BFBFBF"/>
              <w:left w:val="single" w:sz="4" w:color="BFBFBF"/>
              <w:bottom w:val="single" w:sz="4" w:color="BFBFBF"/>
              <w:right w:val="single" w:sz="4" w:color="BFBFBF"/>
            </w:tcBorders>
            <w:vAlign w:val="top"/>
          </w:tcPr>
          <w:p>
            <w:pPr>
              <w:spacing w:after="40"/>
            </w:pPr>
            <w:r>
              <w:t>Install and demonstrate at the LACMA 2027 Biennial Symposium. Present mid-term findings: model evolution, human vs. machine rating divergence, pilot-webcam data from deployed North American nodes, and reflections from the Canopy exhibit (and any other showings). Travel from Bellingham to LA.</w:t>
            </w:r>
          </w:p>
        </w:tc>
        <w:tc>
          <w:tcPr>
            <w:tcW w:type="dxa" w:w="1152"/>
            <w:tcBorders>
              <w:top w:val="single" w:sz="4" w:color="BFBFBF"/>
              <w:left w:val="single" w:sz="4" w:color="BFBFBF"/>
              <w:bottom w:val="single" w:sz="4" w:color="BFBFBF"/>
              <w:right w:val="single" w:sz="4" w:color="BFBFBF"/>
            </w:tcBorders>
            <w:vAlign w:val="top"/>
          </w:tcPr>
          <w:p>
            <w:pPr>
              <w:spacing w:after="40"/>
            </w:pPr>
            <w:r>
              <w:t>$9,000</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4: Refinement + Kickstarter Prep + Global Network</w:t>
            </w:r>
          </w:p>
        </w:tc>
        <w:tc>
          <w:tcPr>
            <w:tcW w:type="dxa" w:w="1584"/>
            <w:tcBorders>
              <w:top w:val="single" w:sz="4" w:color="BFBFBF"/>
              <w:left w:val="single" w:sz="4" w:color="BFBFBF"/>
              <w:bottom w:val="single" w:sz="4" w:color="BFBFBF"/>
              <w:right w:val="single" w:sz="4" w:color="BFBFBF"/>
            </w:tcBorders>
            <w:vAlign w:val="top"/>
          </w:tcPr>
          <w:p>
            <w:pPr>
              <w:spacing w:after="40"/>
            </w:pPr>
            <w:r>
              <w:t>Summer–Fall 2027 (Months 12–18)</w:t>
            </w:r>
          </w:p>
        </w:tc>
        <w:tc>
          <w:tcPr>
            <w:tcW w:type="dxa" w:w="5040"/>
            <w:tcBorders>
              <w:top w:val="single" w:sz="4" w:color="BFBFBF"/>
              <w:left w:val="single" w:sz="4" w:color="BFBFBF"/>
              <w:bottom w:val="single" w:sz="4" w:color="BFBFBF"/>
              <w:right w:val="single" w:sz="4" w:color="BFBFBF"/>
            </w:tcBorders>
            <w:vAlign w:val="top"/>
          </w:tcPr>
          <w:p>
            <w:pPr>
              <w:spacing w:after="40"/>
            </w:pPr>
            <w:r>
              <w:t>Incorporate symposium feedback. Train a second-generation model on an expanded dataset (gallery-visitor ratings + rating-app data + pilot-webcam imagery). Finalize Kickstarter-ready camera design and campaign materials, using the NA pilot as a proven reference model. Use Kickstarter to fund and distribute additional cameras internationally. Open-source release of the ML pipeline.</w:t>
            </w:r>
          </w:p>
        </w:tc>
        <w:tc>
          <w:tcPr>
            <w:tcW w:type="dxa" w:w="1152"/>
            <w:tcBorders>
              <w:top w:val="single" w:sz="4" w:color="BFBFBF"/>
              <w:left w:val="single" w:sz="4" w:color="BFBFBF"/>
              <w:bottom w:val="single" w:sz="4" w:color="BFBFBF"/>
              <w:right w:val="single" w:sz="4" w:color="BFBFBF"/>
            </w:tcBorders>
            <w:vAlign w:val="top"/>
          </w:tcPr>
          <w:p>
            <w:pPr>
              <w:spacing w:after="40"/>
            </w:pPr>
            <w:r>
              <w:t>$8,000</w:t>
            </w:r>
          </w:p>
        </w:tc>
      </w:tr>
      <w:tr>
        <w:tc>
          <w:tcPr>
            <w:tcW w:type="dxa" w:w="2016"/>
            <w:tcBorders>
              <w:top w:val="single" w:sz="4" w:color="BFBFBF"/>
              <w:left w:val="single" w:sz="4" w:color="BFBFBF"/>
              <w:bottom w:val="single" w:sz="4" w:color="BFBFBF"/>
              <w:right w:val="single" w:sz="4" w:color="BFBFBF"/>
            </w:tcBorders>
            <w:vAlign w:val="top"/>
          </w:tcPr>
          <w:p>
            <w:pPr>
              <w:spacing w:after="40"/>
            </w:pPr>
            <w:r>
              <w:t>Phase 5: Final Installation + 2028 Demo Day</w:t>
            </w:r>
          </w:p>
        </w:tc>
        <w:tc>
          <w:tcPr>
            <w:tcW w:type="dxa" w:w="1584"/>
            <w:tcBorders>
              <w:top w:val="single" w:sz="4" w:color="BFBFBF"/>
              <w:left w:val="single" w:sz="4" w:color="BFBFBF"/>
              <w:bottom w:val="single" w:sz="4" w:color="BFBFBF"/>
              <w:right w:val="single" w:sz="4" w:color="BFBFBF"/>
            </w:tcBorders>
            <w:vAlign w:val="top"/>
          </w:tcPr>
          <w:p>
            <w:pPr>
              <w:spacing w:after="40"/>
            </w:pPr>
            <w:r>
              <w:t>Winter–Spring 2028 (Months 18–24)</w:t>
            </w:r>
          </w:p>
        </w:tc>
        <w:tc>
          <w:tcPr>
            <w:tcW w:type="dxa" w:w="5040"/>
            <w:tcBorders>
              <w:top w:val="single" w:sz="4" w:color="BFBFBF"/>
              <w:left w:val="single" w:sz="4" w:color="BFBFBF"/>
              <w:bottom w:val="single" w:sz="4" w:color="BFBFBF"/>
              <w:right w:val="single" w:sz="4" w:color="BFBFBF"/>
            </w:tcBorders>
            <w:vAlign w:val="top"/>
          </w:tcPr>
          <w:p>
            <w:pPr>
              <w:spacing w:after="40"/>
            </w:pPr>
            <w:r>
              <w:t>Full-scale ring-monitor installation for 2028 Demo Day. Final documentation. Published dataset, model weights, and camera hardware plans. Travel from Bellingham to LA.</w:t>
            </w:r>
          </w:p>
        </w:tc>
        <w:tc>
          <w:tcPr>
            <w:tcW w:type="dxa" w:w="1152"/>
            <w:tcBorders>
              <w:top w:val="single" w:sz="4" w:color="BFBFBF"/>
              <w:left w:val="single" w:sz="4" w:color="BFBFBF"/>
              <w:bottom w:val="single" w:sz="4" w:color="BFBFBF"/>
              <w:right w:val="single" w:sz="4" w:color="BFBFBF"/>
            </w:tcBorders>
            <w:vAlign w:val="top"/>
          </w:tcPr>
          <w:p>
            <w:pPr>
              <w:spacing w:after="40"/>
            </w:pPr>
            <w:r>
              <w:t>$9,000</w:t>
            </w:r>
          </w:p>
        </w:tc>
      </w:tr>
    </w:tbl>
    <w:p>
      <w:pPr>
        <w:pStyle w:val="Heading1"/>
      </w:pPr>
      <w:r>
        <w:rPr>
          <w:rFonts w:ascii="Calibri" w:hAnsi="Calibri"/>
        </w:rPr>
        <w:t>Supporting Images</w:t>
      </w:r>
    </w:p>
    <w:p>
      <w:r>
        <w:rPr>
          <w:b w:val="0"/>
          <w:i/>
        </w:rPr>
        <w:t>To be embedded as JPEGs in the final submission document:</w:t>
      </w:r>
    </w:p>
    <w:p>
      <w:pPr>
        <w:pStyle w:val="ListBullet"/>
      </w:pPr>
      <w:r>
        <w:t>Screenshot of the live map / globe view showing the terminator and webcam markers.</w:t>
      </w:r>
    </w:p>
    <w:p>
      <w:pPr>
        <w:pStyle w:val="ListBullet"/>
      </w:pPr>
      <w:r>
        <w:t>Screenshot of the sunrise and sunset mosaics side by side (the current two-screen diptych).</w:t>
      </w:r>
    </w:p>
    <w:p>
      <w:pPr>
        <w:pStyle w:val="ListBullet"/>
      </w:pPr>
      <w:r>
        <w:t>Rendering or mock-up of the ring-monitor installation with a viewer at the center.</w:t>
      </w:r>
    </w:p>
    <w:p>
      <w:pPr>
        <w:pStyle w:val="ListBullet"/>
      </w:pPr>
      <w:r>
        <w:t>Photograph of an early Raspberry Pi Zero webcam prototype.</w:t>
      </w:r>
    </w:p>
    <w:p>
      <w:pPr>
        <w:pStyle w:val="ListBullet"/>
      </w:pPr>
      <w:r>
        <w:t>Diagram of the ML pipeline architecture, or an example mosaic showing tile-size variation driven by AI quality scores.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