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LACMA Art + Technology Lab</w:t>
      </w:r>
    </w:p>
    <w:p>
      <w:pPr>
        <w:jc w:val="center"/>
      </w:pPr>
      <w:r>
        <w:rPr>
          <w:b/>
          <w:sz w:val="32"/>
        </w:rPr>
        <w:t>2026 Grant Application</w:t>
      </w:r>
    </w:p>
    <w:p>
      <w:pPr>
        <w:spacing w:after="360"/>
        <w:jc w:val="center"/>
      </w:pPr>
      <w:r>
        <w:rPr>
          <w:b/>
        </w:rPr>
        <w:t xml:space="preserve">Applicant: </w:t>
      </w:r>
      <w:r>
        <w:rPr>
          <w:b w:val="0"/>
        </w:rPr>
        <w:t>Jesse Kauppila</w:t>
      </w:r>
      <w:r>
        <w:rPr>
          <w:b/>
        </w:rPr>
        <w:br/>
        <w:t xml:space="preserve">Project: </w:t>
      </w:r>
      <w:r>
        <w:rPr>
          <w:b w:val="0"/>
        </w:rPr>
        <w:t>Sunrise / Sunset</w:t>
      </w:r>
      <w:r>
        <w:rPr>
          <w:b/>
        </w:rPr>
        <w:br/>
        <w:t xml:space="preserve">Application Deadline: </w:t>
      </w:r>
      <w:r>
        <w:rPr>
          <w:b w:val="0"/>
        </w:rPr>
        <w:t>April 22, 2026, 11:59 PM PST</w:t>
      </w:r>
      <w:r>
        <w:rPr>
          <w:b/>
        </w:rPr>
        <w:br/>
        <w:t xml:space="preserve">Repository: </w:t>
      </w:r>
      <w:r>
        <w:rPr>
          <w:b w:val="0"/>
        </w:rPr>
        <w:t>github.com/jessekauppila/the-sunset-webcam-map</w:t>
      </w:r>
      <w:r>
        <w:rPr>
          <w:b/>
        </w:rPr>
        <w:br/>
        <w:t xml:space="preserve">Current Live URL: </w:t>
      </w:r>
      <w:r>
        <w:rPr>
          <w:b w:val="0"/>
        </w:rPr>
        <w:t>[to be inserted]</w:t>
      </w:r>
      <w:r>
        <w:rPr>
          <w:b/>
        </w:rPr>
        <w:br/>
        <w:t xml:space="preserve">Planned URL: </w:t>
      </w:r>
      <w:r>
        <w:rPr>
          <w:b w:val="0"/>
        </w:rPr>
        <w:t>sunrisesunset.ai (under consideration — see alternatives)</w:t>
      </w:r>
    </w:p>
    <w:p>
      <w:pPr>
        <w:pStyle w:val="Heading1"/>
      </w:pPr>
      <w:r>
        <w:rPr>
          <w:rFonts w:ascii="Calibri" w:hAnsi="Calibri"/>
        </w:rPr>
        <w:t>1. Name of Your Project</w:t>
      </w:r>
    </w:p>
    <w:p>
      <w:r>
        <w:rPr>
          <w:b w:val="0"/>
          <w:i w:val="0"/>
        </w:rPr>
        <w:t>Sunrise / Sunset: A Real-Time Live Stream of Sunrises and Sunsets as They Travel Around the World.</w:t>
      </w:r>
    </w:p>
    <w:p>
      <w:pPr>
        <w:pStyle w:val="Heading1"/>
      </w:pPr>
      <w:r>
        <w:rPr>
          <w:rFonts w:ascii="Calibri" w:hAnsi="Calibri"/>
        </w:rPr>
        <w:t>2. Three Words</w:t>
      </w:r>
    </w:p>
    <w:p>
      <w:r>
        <w:rPr>
          <w:b/>
          <w:i w:val="0"/>
        </w:rPr>
        <w:t>Sunrise. Sunset. Forever.</w:t>
      </w:r>
    </w:p>
    <w:p>
      <w:pPr>
        <w:pStyle w:val="Heading1"/>
      </w:pPr>
      <w:r>
        <w:rPr>
          <w:rFonts w:ascii="Calibri" w:hAnsi="Calibri"/>
        </w:rPr>
        <w:t>3. One-Sentence Description</w:t>
      </w:r>
    </w:p>
    <w:p>
      <w:r>
        <w:rPr>
          <w:b w:val="0"/>
          <w:i w:val="0"/>
        </w:rPr>
        <w:t>A perpetual stream of real, current sunrises and sunsets — pulled from existing webcam APIs and supplemented by custom edge-computing cameras, archived and ranked by a neural network learning to see beauty.</w:t>
      </w:r>
    </w:p>
    <w:p>
      <w:pPr>
        <w:pStyle w:val="Heading1"/>
      </w:pPr>
      <w:r>
        <w:rPr>
          <w:rFonts w:ascii="Calibri" w:hAnsi="Calibri"/>
        </w:rPr>
        <w:t>4. Full Description of the Proposed Project</w:t>
      </w:r>
    </w:p>
    <w:p>
      <w:r>
        <w:rPr>
          <w:b w:val="0"/>
          <w:i w:val="0"/>
        </w:rPr>
        <w:t>In a cultural moment defined by AI-generated imagery and AI-waged warfare, we have become increasingly divorced from the beauty that actually exists, all the time, in the real world around us. This project inverts that relationship: it leverages AI to find real, tangible beauty, in the form of sunrises and sunsets happening right now, somewhere on Earth.</w:t>
      </w:r>
    </w:p>
    <w:p>
      <w:r>
        <w:rPr>
          <w:b w:val="0"/>
          <w:i w:val="0"/>
        </w:rPr>
        <w:t>Sunrise / Sunset operates across four interconnected layers: a network of webcams, a web application, a neural-network model, and a gallery installation. Together, they locate webcams currently showing good sunrises and sunsets, archive them, and display them.</w:t>
      </w:r>
    </w:p>
    <w:p>
      <w:r>
        <w:rPr>
          <w:b w:val="0"/>
          <w:i w:val="0"/>
        </w:rPr>
        <w:t>The work is inspired by Christian Marclay’s The Clock and Janet Cardiff’s The Forty-Part Motet. The Clock creates a portrait of time out of the history of cinema; this project aims to create a portrait of our perception of the natural world as mediated by technology. Like The Forty-Part Motet, it lets viewers experience how an entire work’s individual parts together form an overarching, sublime whole. I hope to touch on something beyond the beauty of any single sunrise or sunset — the idea, corny as it sounds, that there is always beauty somewhere in the world.</w:t>
      </w:r>
    </w:p>
    <w:p>
      <w:r>
        <w:rPr>
          <w:b w:val="0"/>
          <w:i w:val="0"/>
        </w:rPr>
        <w:t>The web application queries webcam APIs and uses astronomical calculations (subsolar-point geometry) to locate cameras near the terminator — the zone where day turns to night. The app also serves as a hub and utility for the rest of the project: I can see the locations of webcams and what they’re currently showing on a map, rate them, and browse the archive.</w:t>
      </w:r>
    </w:p>
    <w:p>
      <w:r>
        <w:rPr>
          <w:b w:val="0"/>
          <w:i w:val="0"/>
        </w:rPr>
        <w:t>I am also building small, custom edge-computing cameras from Raspberry Pi Zeros, designed for better sunrise and sunset coverage than commercial APIs offer. They can be tuned remotely and only stream when a sunset worth capturing is developing. In a second life, these cameras could be offered as a Kickstarter object — funding the project while distributing its sensor network into the hands of participants.</w:t>
      </w:r>
    </w:p>
    <w:p>
      <w:r>
        <w:rPr>
          <w:b w:val="0"/>
          <w:i w:val="0"/>
        </w:rPr>
        <w:t>The machine-perception layer trains computer-vision models on a continuous 0.0–1.0 aesthetic scale, encoding judgment about light, atmosphere, and landscape into a neural network. The pipeline combines my own ratings with structured assessments from vision-language models, supplemented by Creative Commons sunset photography scraped from the web. The AI’s quality scores shape the installation’s composition: higher-rated tiles render larger in the mosaic, so machine aesthetic judgment becomes visible as form.</w:t>
      </w:r>
    </w:p>
    <w:p>
      <w:r>
        <w:rPr>
          <w:b w:val="0"/>
          <w:i w:val="0"/>
        </w:rPr>
        <w:t>The current installation is a diptych of two portrait monitors displaying live grids of sunrise and sunset mosaics. I’m working toward a circular installation of inward-facing monitors showing all of the current sunrises and sunsets along the terminator — positioning the viewer at the center of the planet’s day/night boundary.</w:t>
      </w:r>
    </w:p>
    <w:p>
      <w:r>
        <w:rPr>
          <w:b w:val="0"/>
          <w:i w:val="0"/>
        </w:rPr>
        <w:t>With LACMA’s support, I propose to expand this work in four directions:</w:t>
      </w:r>
    </w:p>
    <w:p>
      <w:pPr>
        <w:pStyle w:val="ListBullet"/>
      </w:pPr>
      <w:r>
        <w:t>Scale the installation into the full ring.</w:t>
      </w:r>
    </w:p>
    <w:p>
      <w:pPr>
        <w:pStyle w:val="ListBullet"/>
      </w:pPr>
      <w:r>
        <w:t>Expand the sensor network through partnerships with commercial, educational, and open-source webcam providers — and by designing and deploying bespoke edge cameras.</w:t>
      </w:r>
    </w:p>
    <w:p>
      <w:pPr>
        <w:pStyle w:val="ListBullet"/>
      </w:pPr>
      <w:r>
        <w:t>Deepen the machine-learning pipeline toward real-time, image-based inference.</w:t>
      </w:r>
    </w:p>
    <w:p>
      <w:pPr>
        <w:pStyle w:val="ListBullet"/>
      </w:pPr>
      <w:r>
        <w:t>Build a public rating app — a kind of dating app for sunsets — where anyone online can rate them alongside the AI, making visible the gap between human and machine perception of beauty. It turns out there are many different versions of “beauty” in sunsets, and they have so far been difficult to capture.</w:t>
      </w:r>
    </w:p>
    <w:p>
      <w:r>
        <w:rPr>
          <w:b w:val="0"/>
          <w:i w:val="0"/>
        </w:rPr>
        <w:t>The project sits at the intersection of landscape art, network culture, found photography and video, and AI. It connects directly to LACMA’s 1967 Art and Technology legacy of light and perception at planetary scale.</w:t>
      </w:r>
    </w:p>
    <w:p>
      <w:r>
        <w:rPr>
          <w:b w:val="0"/>
          <w:i w:val="0"/>
        </w:rPr>
        <w:t>I also think it would simply be wonderful to stand at the center of a ring of sunrises and sunsets. You would feel the turning of the world — sunsets changing quickly at the equator and slowly at the poles — and see the surrounding people, cities, and landscapes, along with the different qualities of technology in different parts of the globe. I love what I’ve built so far, and I believe it has broad appeal. Who doesn’t love a sunset?</w:t>
      </w:r>
    </w:p>
    <w:p>
      <w:pPr>
        <w:pStyle w:val="Heading1"/>
      </w:pPr>
      <w:r>
        <w:rPr>
          <w:rFonts w:ascii="Calibri" w:hAnsi="Calibri"/>
        </w:rPr>
        <w:t>5. Bio</w:t>
      </w:r>
    </w:p>
    <w:p>
      <w:r>
        <w:rPr>
          <w:b w:val="0"/>
          <w:i w:val="0"/>
        </w:rPr>
        <w:t>Jesse Kauppila is an artist and engineer based in Bellingham, WA. For roughly a decade I stepped away from making art. During an MFA at Carnegie Mellon, I learned to program robotic arms for an art project, and I used that skill to begin a new career path — one that led to fabricating work for Anish Kapoor and Charles Ray, then to aerospace at the electric air-taxi startup Joby, and, more recently, to building AI data centers for big tech.</w:t>
      </w:r>
    </w:p>
    <w:p>
      <w:r>
        <w:rPr>
          <w:b w:val="0"/>
          <w:i w:val="0"/>
        </w:rPr>
        <w:t>I am now returning to my art practice, applying what I have learned in the tech world to projects like this one. Financial security has given me the room to clarify my values and focus on making work I genuinely believe in.</w:t>
      </w:r>
    </w:p>
    <w:p>
      <w:r>
        <w:rPr>
          <w:b w:val="0"/>
          <w:i w:val="0"/>
        </w:rPr>
        <w:t>Outside of studio and professional work, I ski, climb, bike, and run in the mountains of the Pacific Northwest. My relationship with nature informs my interest in using technology to cultivate a deeper connection to the world we all live in.</w:t>
      </w:r>
    </w:p>
    <w:p>
      <w:pPr>
        <w:pStyle w:val="Heading1"/>
      </w:pPr>
      <w:r>
        <w:rPr>
          <w:rFonts w:ascii="Calibri" w:hAnsi="Calibri"/>
        </w:rPr>
        <w:t>6. Artistic or Creative Merit</w:t>
      </w:r>
    </w:p>
    <w:p>
      <w:r>
        <w:rPr>
          <w:b w:val="0"/>
          <w:i w:val="0"/>
        </w:rPr>
        <w:t>Sunrise / Sunset points machine perception at actual sunrises and sunsets currently happening on Earth — not at machine-generated imaginings of them. It amplifies a universally shared aesthetic experience by combining dozens of simultaneous real views — drawn from public webcams and custom cameras of my own — into a single planetary portrait, curated by an AI trained to recognize which sunsets to highlight. The work proposes that the most interesting artistic use of AI may not be generation but attention: directing machine vision toward the sublime that already exists, continuously, in the real world.</w:t>
      </w:r>
    </w:p>
    <w:p>
      <w:pPr>
        <w:pStyle w:val="Heading1"/>
      </w:pPr>
      <w:r>
        <w:rPr>
          <w:rFonts w:ascii="Calibri" w:hAnsi="Calibri"/>
        </w:rPr>
        <w:t>7. Dialogue Between Technology and Culture</w:t>
      </w:r>
    </w:p>
    <w:p>
      <w:r>
        <w:rPr>
          <w:b w:val="0"/>
          <w:i w:val="0"/>
        </w:rPr>
        <w:t>We are in a cultural moment defined by AI-generated imagery and AI that wages war. These algorithms so often strip the world of its beauty, texture, and context. This project seeks to invert that relationship. Instead of asking a machine to imagine a sunset, it asks a machine to recognize the real ones happening right now, somewhere on Earth. It proposes that the most interesting artistic use of machine perception may not be generation but attention — directing the machine’s gaze toward the sublime that already exists, continuously, in the literal world. A tool for noticing rather than inventing.</w:t>
      </w:r>
    </w:p>
    <w:p>
      <w:pPr>
        <w:pStyle w:val="Heading1"/>
      </w:pPr>
      <w:r>
        <w:rPr>
          <w:rFonts w:ascii="Calibri" w:hAnsi="Calibri"/>
        </w:rPr>
        <w:t>8. Public Engagement Plan</w:t>
      </w:r>
    </w:p>
    <w:p>
      <w:r>
        <w:rPr>
          <w:b w:val="0"/>
          <w:i w:val="0"/>
        </w:rPr>
        <w:t>The web application is already live (and will move to its final domain during the grant period), offering global access to the terminator map and mosaics. The installation is portable and gallery-ready. I envision five public touchpoints:</w:t>
      </w:r>
    </w:p>
    <w:p>
      <w:pPr>
        <w:pStyle w:val="ListBullet"/>
      </w:pPr>
      <w:r>
        <w:t>The live web app, plus a public rating site — a “dating app for sunsets” — where anyone online can rate sunsets alongside the AI, feeding the model in real time.</w:t>
      </w:r>
    </w:p>
    <w:p>
      <w:pPr>
        <w:pStyle w:val="ListBullet"/>
      </w:pPr>
      <w:r>
        <w:t>An early two-screen exhibit at Canopy Art &amp; Iron (Bow, WA).</w:t>
      </w:r>
    </w:p>
    <w:p>
      <w:pPr>
        <w:pStyle w:val="ListBullet"/>
      </w:pPr>
      <w:r>
        <w:t>A mid-term demo at the 2027 LACMA Biennial Symposium.</w:t>
      </w:r>
    </w:p>
    <w:p>
      <w:pPr>
        <w:pStyle w:val="ListBullet"/>
      </w:pPr>
      <w:r>
        <w:t>An open-source release of the ML pipeline, model, and archive.</w:t>
      </w:r>
    </w:p>
    <w:p>
      <w:pPr>
        <w:pStyle w:val="ListBullet"/>
      </w:pPr>
      <w:r>
        <w:t>A Kickstarter campaign for the custom edge cameras — funding continued development while distributing the sensor network into the hands of participants.</w:t>
      </w:r>
    </w:p>
    <w:p>
      <w:pPr>
        <w:pStyle w:val="Heading1"/>
      </w:pPr>
      <w:r>
        <w:rPr>
          <w:rFonts w:ascii="Calibri" w:hAnsi="Calibri"/>
        </w:rPr>
        <w:t>9. Other Funding Sources and In-Kind Support</w:t>
      </w:r>
    </w:p>
    <w:p>
      <w:r>
        <w:rPr>
          <w:b w:val="0"/>
          <w:i w:val="0"/>
        </w:rPr>
        <w:t>To date, I have personally self-funded this project at approximately $1,500 — covering web hosting, installation and display hardware, early webcam prototyping, and AI/software subscriptions and API tokens.</w:t>
      </w:r>
    </w:p>
    <w:p>
      <w:r>
        <w:rPr>
          <w:b/>
          <w:i w:val="0"/>
        </w:rPr>
        <w:t>In-kind consulting support:</w:t>
      </w:r>
    </w:p>
    <w:p>
      <w:r>
        <w:rPr>
          <w:b w:val="0"/>
          <w:i w:val="0"/>
        </w:rPr>
        <w:t>Professor Kameron Harris (Computer Science, Western Washington University) has been advising on the development of the neural-network architecture and training strategy on an informal basis. I would like to formalize this relationship and compensate him for his support through this grant.</w:t>
      </w:r>
    </w:p>
    <w:p>
      <w:r>
        <w:rPr>
          <w:b/>
          <w:i w:val="0"/>
        </w:rPr>
        <w:t>Potential partnerships to pursue during the grant period:</w:t>
      </w:r>
    </w:p>
    <w:p>
      <w:pPr>
        <w:pStyle w:val="ListBullet"/>
      </w:pPr>
      <w:r>
        <w:t>Windy.com — commercial webcam API access; a partnership or sponsored data-access agreement is a stronger fit for this project than a paid subscription, and I would pursue one during the grant period.</w:t>
      </w:r>
    </w:p>
    <w:p>
      <w:pPr>
        <w:pStyle w:val="ListBullet"/>
      </w:pPr>
      <w:r>
        <w:t>Other webcam networks and providers — potential partnerships with EarthCam, Skyline Webcams, AlpineWebcams, university and national-park live-feed programs, and open-source webcam projects, to expand the sensor network beyond any single commercial API.</w:t>
      </w:r>
    </w:p>
    <w:p>
      <w:pPr>
        <w:pStyle w:val="ListBullet"/>
      </w:pPr>
      <w:r>
        <w:t>Snap Inc. and Anthropic (LACMA Lab partner companies) — the project’s use of LLM vision and real-time geospatial media overlaps with their technical interests; mentorship or in-kind API access are natural collaboration paths.</w:t>
      </w:r>
    </w:p>
    <w:p>
      <w:r>
        <w:rPr>
          <w:b/>
          <w:i w:val="0"/>
        </w:rPr>
        <w:t>Potential follow-up funding:</w:t>
      </w:r>
    </w:p>
    <w:p>
      <w:pPr>
        <w:pStyle w:val="ListBullet"/>
      </w:pPr>
      <w:r>
        <w:t>A Kickstarter campaign for the custom edge-computing cameras — simultaneously funding continued development and distributing the sensor network into the hands of backers.</w:t>
      </w:r>
    </w:p>
    <w:p>
      <w:pPr>
        <w:pStyle w:val="ListBullet"/>
      </w:pPr>
      <w:r>
        <w:t>Possible retail sales of the cameras through LACMA’s gift shop or similar cultural-institution channels.</w:t>
      </w:r>
    </w:p>
    <w:p>
      <w:r>
        <w:rPr>
          <w:b w:val="0"/>
          <w:i w:val="0"/>
        </w:rPr>
        <w:t>No other funding is currently committed.</w:t>
      </w:r>
    </w:p>
    <w:p>
      <w:pPr>
        <w:pStyle w:val="Heading1"/>
      </w:pPr>
      <w:r>
        <w:rPr>
          <w:rFonts w:ascii="Calibri" w:hAnsi="Calibri"/>
        </w:rPr>
        <w:t>10. Total Amount Requested</w:t>
      </w:r>
    </w:p>
    <w:p>
      <w:r>
        <w:rPr>
          <w:b/>
          <w:i w:val="0"/>
        </w:rPr>
        <w:t>$50,000</w:t>
      </w:r>
    </w:p>
    <w:p>
      <w:pPr>
        <w:pStyle w:val="Heading1"/>
      </w:pPr>
      <w:r>
        <w:rPr>
          <w:rFonts w:ascii="Calibri" w:hAnsi="Calibri"/>
        </w:rPr>
        <w:t>11. Detailed Project Budget</w:t>
      </w:r>
    </w:p>
    <w:tbl>
      <w:tblPr>
        <w:tblW w:type="auto" w:w="0"/>
        <w:tblLayout w:type="fixed"/>
        <w:tblLook w:firstColumn="1" w:firstRow="1" w:lastColumn="0" w:lastRow="0" w:noHBand="0" w:noVBand="1" w:val="04A0"/>
      </w:tblPr>
      <w:tblGrid>
        <w:gridCol w:w="3120"/>
        <w:gridCol w:w="3120"/>
        <w:gridCol w:w="3120"/>
      </w:tblGrid>
      <w:tr>
        <w:tc>
          <w:tcPr>
            <w:tcW w:type="dxa" w:w="2592"/>
            <w:shd w:val="clear" w:color="auto" w:fill="E8E8E8"/>
            <w:tcBorders>
              <w:top w:val="single" w:sz="4" w:color="BFBFBF"/>
              <w:left w:val="single" w:sz="4" w:color="BFBFBF"/>
              <w:bottom w:val="single" w:sz="4" w:color="BFBFBF"/>
              <w:right w:val="single" w:sz="4" w:color="BFBFBF"/>
            </w:tcBorders>
          </w:tcPr>
          <w:p>
            <w:r/>
            <w:r>
              <w:rPr>
                <w:b/>
              </w:rPr>
              <w:t>Category</w:t>
            </w:r>
          </w:p>
        </w:tc>
        <w:tc>
          <w:tcPr>
            <w:tcW w:type="dxa" w:w="6048"/>
            <w:shd w:val="clear" w:color="auto" w:fill="E8E8E8"/>
            <w:tcBorders>
              <w:top w:val="single" w:sz="4" w:color="BFBFBF"/>
              <w:left w:val="single" w:sz="4" w:color="BFBFBF"/>
              <w:bottom w:val="single" w:sz="4" w:color="BFBFBF"/>
              <w:right w:val="single" w:sz="4" w:color="BFBFBF"/>
            </w:tcBorders>
          </w:tcPr>
          <w:p>
            <w:r/>
            <w:r>
              <w:rPr>
                <w:b/>
              </w:rPr>
              <w:t>Item</w:t>
            </w:r>
          </w:p>
        </w:tc>
        <w:tc>
          <w:tcPr>
            <w:tcW w:type="dxa" w:w="1152"/>
            <w:shd w:val="clear" w:color="auto" w:fill="E8E8E8"/>
            <w:tcBorders>
              <w:top w:val="single" w:sz="4" w:color="BFBFBF"/>
              <w:left w:val="single" w:sz="4" w:color="BFBFBF"/>
              <w:bottom w:val="single" w:sz="4" w:color="BFBFBF"/>
              <w:right w:val="single" w:sz="4" w:color="BFBFBF"/>
            </w:tcBorders>
          </w:tcPr>
          <w:p>
            <w:r/>
            <w:r>
              <w:rPr>
                <w:b/>
              </w:rPr>
              <w:t>Cost</w:t>
            </w:r>
          </w:p>
        </w:tc>
      </w:tr>
      <w:tr>
        <w:tc>
          <w:tcPr>
            <w:tcW w:type="dxa" w:w="2592"/>
            <w:tcBorders>
              <w:top w:val="single" w:sz="4" w:color="BFBFBF"/>
              <w:left w:val="single" w:sz="4" w:color="BFBFBF"/>
              <w:bottom w:val="single" w:sz="4" w:color="BFBFBF"/>
              <w:right w:val="single" w:sz="4" w:color="BFBFBF"/>
            </w:tcBorders>
            <w:vAlign w:val="top"/>
          </w:tcPr>
          <w:p>
            <w:pPr>
              <w:spacing w:after="40"/>
            </w:pPr>
            <w:r>
              <w:t>Artist Fees</w:t>
            </w:r>
          </w:p>
        </w:tc>
        <w:tc>
          <w:tcPr>
            <w:tcW w:type="dxa" w:w="6048"/>
            <w:tcBorders>
              <w:top w:val="single" w:sz="4" w:color="BFBFBF"/>
              <w:left w:val="single" w:sz="4" w:color="BFBFBF"/>
              <w:bottom w:val="single" w:sz="4" w:color="BFBFBF"/>
              <w:right w:val="single" w:sz="4" w:color="BFBFBF"/>
            </w:tcBorders>
            <w:vAlign w:val="top"/>
          </w:tcPr>
          <w:p>
            <w:pPr>
              <w:spacing w:after="40"/>
            </w:pPr>
            <w:r>
              <w:t>Artist time — research, development, installation, documentation (24 months)</w:t>
            </w:r>
          </w:p>
        </w:tc>
        <w:tc>
          <w:tcPr>
            <w:tcW w:type="dxa" w:w="1152"/>
            <w:tcBorders>
              <w:top w:val="single" w:sz="4" w:color="BFBFBF"/>
              <w:left w:val="single" w:sz="4" w:color="BFBFBF"/>
              <w:bottom w:val="single" w:sz="4" w:color="BFBFBF"/>
              <w:right w:val="single" w:sz="4" w:color="BFBFBF"/>
            </w:tcBorders>
            <w:vAlign w:val="top"/>
          </w:tcPr>
          <w:p>
            <w:pPr>
              <w:spacing w:after="40"/>
            </w:pPr>
            <w:r>
              <w:t>$17,000</w:t>
            </w:r>
          </w:p>
        </w:tc>
      </w:tr>
      <w:tr>
        <w:tc>
          <w:tcPr>
            <w:tcW w:type="dxa" w:w="2592"/>
            <w:tcBorders>
              <w:top w:val="single" w:sz="4" w:color="BFBFBF"/>
              <w:left w:val="single" w:sz="4" w:color="BFBFBF"/>
              <w:bottom w:val="single" w:sz="4" w:color="BFBFBF"/>
              <w:right w:val="single" w:sz="4" w:color="BFBFBF"/>
            </w:tcBorders>
            <w:vAlign w:val="top"/>
          </w:tcPr>
          <w:p>
            <w:pPr>
              <w:spacing w:after="40"/>
            </w:pPr>
            <w:r>
              <w:t>Custom Webcam Prototyping (North America pilot — reference model for future global rollout)</w:t>
            </w:r>
          </w:p>
        </w:tc>
        <w:tc>
          <w:tcPr>
            <w:tcW w:type="dxa" w:w="6048"/>
            <w:tcBorders>
              <w:top w:val="single" w:sz="4" w:color="BFBFBF"/>
              <w:left w:val="single" w:sz="4" w:color="BFBFBF"/>
              <w:bottom w:val="single" w:sz="4" w:color="BFBFBF"/>
              <w:right w:val="single" w:sz="4" w:color="BFBFBF"/>
            </w:tcBorders>
            <w:vAlign w:val="top"/>
          </w:tcPr>
          <w:p>
            <w:pPr>
              <w:spacing w:after="40"/>
            </w:pPr>
            <w:r>
              <w:t>30 × Raspberry Pi Zero 2 W units (~$25 ea)</w:t>
            </w:r>
          </w:p>
        </w:tc>
        <w:tc>
          <w:tcPr>
            <w:tcW w:type="dxa" w:w="1152"/>
            <w:tcBorders>
              <w:top w:val="single" w:sz="4" w:color="BFBFBF"/>
              <w:left w:val="single" w:sz="4" w:color="BFBFBF"/>
              <w:bottom w:val="single" w:sz="4" w:color="BFBFBF"/>
              <w:right w:val="single" w:sz="4" w:color="BFBFBF"/>
            </w:tcBorders>
            <w:vAlign w:val="top"/>
          </w:tcPr>
          <w:p>
            <w:pPr>
              <w:spacing w:after="40"/>
            </w:pPr>
            <w:r>
              <w:t>$750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30 × Camera modules (wide-angle + standard) (~$20 ea)</w:t>
            </w:r>
          </w:p>
        </w:tc>
        <w:tc>
          <w:tcPr>
            <w:tcW w:type="dxa" w:w="1152"/>
            <w:tcBorders>
              <w:top w:val="single" w:sz="4" w:color="BFBFBF"/>
              <w:left w:val="single" w:sz="4" w:color="BFBFBF"/>
              <w:bottom w:val="single" w:sz="4" w:color="BFBFBF"/>
              <w:right w:val="single" w:sz="4" w:color="BFBFBF"/>
            </w:tcBorders>
            <w:vAlign w:val="top"/>
          </w:tcPr>
          <w:p>
            <w:pPr>
              <w:spacing w:after="40"/>
            </w:pPr>
            <w:r>
              <w:t>$600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30 × MicroSD cards, high-endurance 16–32 GB (~$12 ea)</w:t>
            </w:r>
          </w:p>
        </w:tc>
        <w:tc>
          <w:tcPr>
            <w:tcW w:type="dxa" w:w="1152"/>
            <w:tcBorders>
              <w:top w:val="single" w:sz="4" w:color="BFBFBF"/>
              <w:left w:val="single" w:sz="4" w:color="BFBFBF"/>
              <w:bottom w:val="single" w:sz="4" w:color="BFBFBF"/>
              <w:right w:val="single" w:sz="4" w:color="BFBFBF"/>
            </w:tcBorders>
            <w:vAlign w:val="top"/>
          </w:tcPr>
          <w:p>
            <w:pPr>
              <w:spacing w:after="40"/>
            </w:pPr>
            <w:r>
              <w:t>$360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30 × Power supplies and cables (~$10 ea)</w:t>
            </w:r>
          </w:p>
        </w:tc>
        <w:tc>
          <w:tcPr>
            <w:tcW w:type="dxa" w:w="1152"/>
            <w:tcBorders>
              <w:top w:val="single" w:sz="4" w:color="BFBFBF"/>
              <w:left w:val="single" w:sz="4" w:color="BFBFBF"/>
              <w:bottom w:val="single" w:sz="4" w:color="BFBFBF"/>
              <w:right w:val="single" w:sz="4" w:color="BFBFBF"/>
            </w:tcBorders>
            <w:vAlign w:val="top"/>
          </w:tcPr>
          <w:p>
            <w:pPr>
              <w:spacing w:after="40"/>
            </w:pPr>
            <w:r>
              <w:t>$300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30 × Weatherproof enclosures (~$15 ea)</w:t>
            </w:r>
          </w:p>
        </w:tc>
        <w:tc>
          <w:tcPr>
            <w:tcW w:type="dxa" w:w="1152"/>
            <w:tcBorders>
              <w:top w:val="single" w:sz="4" w:color="BFBFBF"/>
              <w:left w:val="single" w:sz="4" w:color="BFBFBF"/>
              <w:bottom w:val="single" w:sz="4" w:color="BFBFBF"/>
              <w:right w:val="single" w:sz="4" w:color="BFBFBF"/>
            </w:tcBorders>
            <w:vAlign w:val="top"/>
          </w:tcPr>
          <w:p>
            <w:pPr>
              <w:spacing w:after="40"/>
            </w:pPr>
            <w:r>
              <w:t>$450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Custom PCB design + small-run fabrication (Kickstarter-ready)</w:t>
            </w:r>
          </w:p>
        </w:tc>
        <w:tc>
          <w:tcPr>
            <w:tcW w:type="dxa" w:w="1152"/>
            <w:tcBorders>
              <w:top w:val="single" w:sz="4" w:color="BFBFBF"/>
              <w:left w:val="single" w:sz="4" w:color="BFBFBF"/>
              <w:bottom w:val="single" w:sz="4" w:color="BFBFBF"/>
              <w:right w:val="single" w:sz="4" w:color="BFBFBF"/>
            </w:tcBorders>
            <w:vAlign w:val="top"/>
          </w:tcPr>
          <w:p>
            <w:pPr>
              <w:spacing w:after="40"/>
            </w:pPr>
            <w:r>
              <w:t>$1,500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Enclosure design, 3D printing, prototyping iterations</w:t>
            </w:r>
          </w:p>
        </w:tc>
        <w:tc>
          <w:tcPr>
            <w:tcW w:type="dxa" w:w="1152"/>
            <w:tcBorders>
              <w:top w:val="single" w:sz="4" w:color="BFBFBF"/>
              <w:left w:val="single" w:sz="4" w:color="BFBFBF"/>
              <w:bottom w:val="single" w:sz="4" w:color="BFBFBF"/>
              <w:right w:val="single" w:sz="4" w:color="BFBFBF"/>
            </w:tcBorders>
            <w:vAlign w:val="top"/>
          </w:tcPr>
          <w:p>
            <w:pPr>
              <w:spacing w:after="40"/>
            </w:pPr>
            <w:r>
              <w:t>$1,000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Cellular / LTE modems for remote-deployment units (5–10 units)</w:t>
            </w:r>
          </w:p>
        </w:tc>
        <w:tc>
          <w:tcPr>
            <w:tcW w:type="dxa" w:w="1152"/>
            <w:tcBorders>
              <w:top w:val="single" w:sz="4" w:color="BFBFBF"/>
              <w:left w:val="single" w:sz="4" w:color="BFBFBF"/>
              <w:bottom w:val="single" w:sz="4" w:color="BFBFBF"/>
              <w:right w:val="single" w:sz="4" w:color="BFBFBF"/>
            </w:tcBorders>
            <w:vAlign w:val="top"/>
          </w:tcPr>
          <w:p>
            <w:pPr>
              <w:spacing w:after="40"/>
            </w:pPr>
            <w:r>
              <w:t>$500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Shipping to North American deployment partners, tools, spare parts</w:t>
            </w:r>
          </w:p>
        </w:tc>
        <w:tc>
          <w:tcPr>
            <w:tcW w:type="dxa" w:w="1152"/>
            <w:tcBorders>
              <w:top w:val="single" w:sz="4" w:color="BFBFBF"/>
              <w:left w:val="single" w:sz="4" w:color="BFBFBF"/>
              <w:bottom w:val="single" w:sz="4" w:color="BFBFBF"/>
              <w:right w:val="single" w:sz="4" w:color="BFBFBF"/>
            </w:tcBorders>
            <w:vAlign w:val="top"/>
          </w:tcPr>
          <w:p>
            <w:pPr>
              <w:spacing w:after="40"/>
            </w:pPr>
            <w:r>
              <w:t>$540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Webcam subtotal (30 units for NA pilot)</w:t>
            </w:r>
          </w:p>
        </w:tc>
        <w:tc>
          <w:tcPr>
            <w:tcW w:type="dxa" w:w="1152"/>
            <w:tcBorders>
              <w:top w:val="single" w:sz="4" w:color="BFBFBF"/>
              <w:left w:val="single" w:sz="4" w:color="BFBFBF"/>
              <w:bottom w:val="single" w:sz="4" w:color="BFBFBF"/>
              <w:right w:val="single" w:sz="4" w:color="BFBFBF"/>
            </w:tcBorders>
            <w:vAlign w:val="top"/>
          </w:tcPr>
          <w:p>
            <w:pPr>
              <w:spacing w:after="40"/>
            </w:pPr>
            <w:r>
              <w:t>$6,000</w:t>
            </w:r>
          </w:p>
        </w:tc>
      </w:tr>
      <w:tr>
        <w:tc>
          <w:tcPr>
            <w:tcW w:type="dxa" w:w="2592"/>
            <w:tcBorders>
              <w:top w:val="single" w:sz="4" w:color="BFBFBF"/>
              <w:left w:val="single" w:sz="4" w:color="BFBFBF"/>
              <w:bottom w:val="single" w:sz="4" w:color="BFBFBF"/>
              <w:right w:val="single" w:sz="4" w:color="BFBFBF"/>
            </w:tcBorders>
            <w:vAlign w:val="top"/>
          </w:tcPr>
          <w:p>
            <w:pPr>
              <w:spacing w:after="40"/>
            </w:pPr>
            <w:r>
              <w:t>Installation Hardware</w:t>
            </w:r>
          </w:p>
        </w:tc>
        <w:tc>
          <w:tcPr>
            <w:tcW w:type="dxa" w:w="6048"/>
            <w:tcBorders>
              <w:top w:val="single" w:sz="4" w:color="BFBFBF"/>
              <w:left w:val="single" w:sz="4" w:color="BFBFBF"/>
              <w:bottom w:val="single" w:sz="4" w:color="BFBFBF"/>
              <w:right w:val="single" w:sz="4" w:color="BFBFBF"/>
            </w:tcBorders>
            <w:vAlign w:val="top"/>
          </w:tcPr>
          <w:p>
            <w:pPr>
              <w:spacing w:after="40"/>
            </w:pPr>
            <w:r>
              <w:t>4–6 additional 27" portrait monitors for ring installation</w:t>
            </w:r>
          </w:p>
        </w:tc>
        <w:tc>
          <w:tcPr>
            <w:tcW w:type="dxa" w:w="1152"/>
            <w:tcBorders>
              <w:top w:val="single" w:sz="4" w:color="BFBFBF"/>
              <w:left w:val="single" w:sz="4" w:color="BFBFBF"/>
              <w:bottom w:val="single" w:sz="4" w:color="BFBFBF"/>
              <w:right w:val="single" w:sz="4" w:color="BFBFBF"/>
            </w:tcBorders>
            <w:vAlign w:val="top"/>
          </w:tcPr>
          <w:p>
            <w:pPr>
              <w:spacing w:after="40"/>
            </w:pPr>
            <w:r>
              <w:t>$2,700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Additional Raspberry Pi 4B units, cases, SD cards, HDMI cables</w:t>
            </w:r>
          </w:p>
        </w:tc>
        <w:tc>
          <w:tcPr>
            <w:tcW w:type="dxa" w:w="1152"/>
            <w:tcBorders>
              <w:top w:val="single" w:sz="4" w:color="BFBFBF"/>
              <w:left w:val="single" w:sz="4" w:color="BFBFBF"/>
              <w:bottom w:val="single" w:sz="4" w:color="BFBFBF"/>
              <w:right w:val="single" w:sz="4" w:color="BFBFBF"/>
            </w:tcBorders>
            <w:vAlign w:val="top"/>
          </w:tcPr>
          <w:p>
            <w:pPr>
              <w:spacing w:after="40"/>
            </w:pPr>
            <w:r>
              <w:t>$800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Dedicated GPU workstation or equivalent cloud GPU credits (ML training)</w:t>
            </w:r>
          </w:p>
        </w:tc>
        <w:tc>
          <w:tcPr>
            <w:tcW w:type="dxa" w:w="1152"/>
            <w:tcBorders>
              <w:top w:val="single" w:sz="4" w:color="BFBFBF"/>
              <w:left w:val="single" w:sz="4" w:color="BFBFBF"/>
              <w:bottom w:val="single" w:sz="4" w:color="BFBFBF"/>
              <w:right w:val="single" w:sz="4" w:color="BFBFBF"/>
            </w:tcBorders>
            <w:vAlign w:val="top"/>
          </w:tcPr>
          <w:p>
            <w:pPr>
              <w:spacing w:after="40"/>
            </w:pPr>
            <w:r>
              <w:t>$2,500</w:t>
            </w:r>
          </w:p>
        </w:tc>
      </w:tr>
      <w:tr>
        <w:tc>
          <w:tcPr>
            <w:tcW w:type="dxa" w:w="2592"/>
            <w:tcBorders>
              <w:top w:val="single" w:sz="4" w:color="BFBFBF"/>
              <w:left w:val="single" w:sz="4" w:color="BFBFBF"/>
              <w:bottom w:val="single" w:sz="4" w:color="BFBFBF"/>
              <w:right w:val="single" w:sz="4" w:color="BFBFBF"/>
            </w:tcBorders>
            <w:vAlign w:val="top"/>
          </w:tcPr>
          <w:p>
            <w:pPr>
              <w:spacing w:after="40"/>
            </w:pPr>
            <w:r>
              <w:t>Software &amp; Services</w:t>
            </w:r>
          </w:p>
        </w:tc>
        <w:tc>
          <w:tcPr>
            <w:tcW w:type="dxa" w:w="6048"/>
            <w:tcBorders>
              <w:top w:val="single" w:sz="4" w:color="BFBFBF"/>
              <w:left w:val="single" w:sz="4" w:color="BFBFBF"/>
              <w:bottom w:val="single" w:sz="4" w:color="BFBFBF"/>
              <w:right w:val="single" w:sz="4" w:color="BFBFBF"/>
            </w:tcBorders>
            <w:vAlign w:val="top"/>
          </w:tcPr>
          <w:p>
            <w:pPr>
              <w:spacing w:after="40"/>
            </w:pPr>
            <w:r>
              <w:t>Anthropic Claude subscription ($100/mo × 24 months)</w:t>
            </w:r>
          </w:p>
        </w:tc>
        <w:tc>
          <w:tcPr>
            <w:tcW w:type="dxa" w:w="1152"/>
            <w:tcBorders>
              <w:top w:val="single" w:sz="4" w:color="BFBFBF"/>
              <w:left w:val="single" w:sz="4" w:color="BFBFBF"/>
              <w:bottom w:val="single" w:sz="4" w:color="BFBFBF"/>
              <w:right w:val="single" w:sz="4" w:color="BFBFBF"/>
            </w:tcBorders>
            <w:vAlign w:val="top"/>
          </w:tcPr>
          <w:p>
            <w:pPr>
              <w:spacing w:after="40"/>
            </w:pPr>
            <w:r>
              <w:t>$2,400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Vercel Pro ($20/mo × 24 months)</w:t>
            </w:r>
          </w:p>
        </w:tc>
        <w:tc>
          <w:tcPr>
            <w:tcW w:type="dxa" w:w="1152"/>
            <w:tcBorders>
              <w:top w:val="single" w:sz="4" w:color="BFBFBF"/>
              <w:left w:val="single" w:sz="4" w:color="BFBFBF"/>
              <w:bottom w:val="single" w:sz="4" w:color="BFBFBF"/>
              <w:right w:val="single" w:sz="4" w:color="BFBFBF"/>
            </w:tcBorders>
            <w:vAlign w:val="top"/>
          </w:tcPr>
          <w:p>
            <w:pPr>
              <w:spacing w:after="40"/>
            </w:pPr>
            <w:r>
              <w:t>$480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Cursor Pro ($20/mo × 24 months)</w:t>
            </w:r>
          </w:p>
        </w:tc>
        <w:tc>
          <w:tcPr>
            <w:tcW w:type="dxa" w:w="1152"/>
            <w:tcBorders>
              <w:top w:val="single" w:sz="4" w:color="BFBFBF"/>
              <w:left w:val="single" w:sz="4" w:color="BFBFBF"/>
              <w:bottom w:val="single" w:sz="4" w:color="BFBFBF"/>
              <w:right w:val="single" w:sz="4" w:color="BFBFBF"/>
            </w:tcBorders>
            <w:vAlign w:val="top"/>
          </w:tcPr>
          <w:p>
            <w:pPr>
              <w:spacing w:after="40"/>
            </w:pPr>
            <w:r>
              <w:t>$480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Neon Postgres (24 months, estimated)</w:t>
            </w:r>
          </w:p>
        </w:tc>
        <w:tc>
          <w:tcPr>
            <w:tcW w:type="dxa" w:w="1152"/>
            <w:tcBorders>
              <w:top w:val="single" w:sz="4" w:color="BFBFBF"/>
              <w:left w:val="single" w:sz="4" w:color="BFBFBF"/>
              <w:bottom w:val="single" w:sz="4" w:color="BFBFBF"/>
              <w:right w:val="single" w:sz="4" w:color="BFBFBF"/>
            </w:tcBorders>
            <w:vAlign w:val="top"/>
          </w:tcPr>
          <w:p>
            <w:pPr>
              <w:spacing w:after="40"/>
            </w:pPr>
            <w:r>
              <w:t>$600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Mapbox GL JS — free tier covers expected usage (50,000 monthly map loads); overage, if any, from contingency</w:t>
            </w:r>
          </w:p>
        </w:tc>
        <w:tc>
          <w:tcPr>
            <w:tcW w:type="dxa" w:w="1152"/>
            <w:tcBorders>
              <w:top w:val="single" w:sz="4" w:color="BFBFBF"/>
              <w:left w:val="single" w:sz="4" w:color="BFBFBF"/>
              <w:bottom w:val="single" w:sz="4" w:color="BFBFBF"/>
              <w:right w:val="single" w:sz="4" w:color="BFBFBF"/>
            </w:tcBorders>
            <w:vAlign w:val="top"/>
          </w:tcPr>
          <w:p>
            <w:pPr>
              <w:spacing w:after="40"/>
            </w:pPr>
            <w:r>
              <w:t>$0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OpenAI + Google Gemini vision API calls (LLM labeling pipeline)</w:t>
            </w:r>
          </w:p>
        </w:tc>
        <w:tc>
          <w:tcPr>
            <w:tcW w:type="dxa" w:w="1152"/>
            <w:tcBorders>
              <w:top w:val="single" w:sz="4" w:color="BFBFBF"/>
              <w:left w:val="single" w:sz="4" w:color="BFBFBF"/>
              <w:bottom w:val="single" w:sz="4" w:color="BFBFBF"/>
              <w:right w:val="single" w:sz="4" w:color="BFBFBF"/>
            </w:tcBorders>
            <w:vAlign w:val="top"/>
          </w:tcPr>
          <w:p>
            <w:pPr>
              <w:spacing w:after="40"/>
            </w:pPr>
            <w:r>
              <w:t>$1,000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Domain registration + SSL (project domain, 2 years)</w:t>
            </w:r>
          </w:p>
        </w:tc>
        <w:tc>
          <w:tcPr>
            <w:tcW w:type="dxa" w:w="1152"/>
            <w:tcBorders>
              <w:top w:val="single" w:sz="4" w:color="BFBFBF"/>
              <w:left w:val="single" w:sz="4" w:color="BFBFBF"/>
              <w:bottom w:val="single" w:sz="4" w:color="BFBFBF"/>
              <w:right w:val="single" w:sz="4" w:color="BFBFBF"/>
            </w:tcBorders>
            <w:vAlign w:val="top"/>
          </w:tcPr>
          <w:p>
            <w:pPr>
              <w:spacing w:after="40"/>
            </w:pPr>
            <w:r>
              <w:t>$100</w:t>
            </w:r>
          </w:p>
        </w:tc>
      </w:tr>
      <w:tr>
        <w:tc>
          <w:tcPr>
            <w:tcW w:type="dxa" w:w="2592"/>
            <w:tcBorders>
              <w:top w:val="single" w:sz="4" w:color="BFBFBF"/>
              <w:left w:val="single" w:sz="4" w:color="BFBFBF"/>
              <w:bottom w:val="single" w:sz="4" w:color="BFBFBF"/>
              <w:right w:val="single" w:sz="4" w:color="BFBFBF"/>
            </w:tcBorders>
            <w:vAlign w:val="top"/>
          </w:tcPr>
          <w:p>
            <w:pPr>
              <w:spacing w:after="40"/>
            </w:pPr>
            <w:r>
              <w:t>Installation Materials</w:t>
            </w:r>
          </w:p>
        </w:tc>
        <w:tc>
          <w:tcPr>
            <w:tcW w:type="dxa" w:w="6048"/>
            <w:tcBorders>
              <w:top w:val="single" w:sz="4" w:color="BFBFBF"/>
              <w:left w:val="single" w:sz="4" w:color="BFBFBF"/>
              <w:bottom w:val="single" w:sz="4" w:color="BFBFBF"/>
              <w:right w:val="single" w:sz="4" w:color="BFBFBF"/>
            </w:tcBorders>
            <w:vAlign w:val="top"/>
          </w:tcPr>
          <w:p>
            <w:pPr>
              <w:spacing w:after="40"/>
            </w:pPr>
            <w:r>
              <w:t>Monitor stands / mounts for portrait and ring configuration</w:t>
            </w:r>
          </w:p>
        </w:tc>
        <w:tc>
          <w:tcPr>
            <w:tcW w:type="dxa" w:w="1152"/>
            <w:tcBorders>
              <w:top w:val="single" w:sz="4" w:color="BFBFBF"/>
              <w:left w:val="single" w:sz="4" w:color="BFBFBF"/>
              <w:bottom w:val="single" w:sz="4" w:color="BFBFBF"/>
              <w:right w:val="single" w:sz="4" w:color="BFBFBF"/>
            </w:tcBorders>
            <w:vAlign w:val="top"/>
          </w:tcPr>
          <w:p>
            <w:pPr>
              <w:spacing w:after="40"/>
            </w:pPr>
            <w:r>
              <w:t>$1,500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Wiring, cable management, power distribution for multi-screen array</w:t>
            </w:r>
          </w:p>
        </w:tc>
        <w:tc>
          <w:tcPr>
            <w:tcW w:type="dxa" w:w="1152"/>
            <w:tcBorders>
              <w:top w:val="single" w:sz="4" w:color="BFBFBF"/>
              <w:left w:val="single" w:sz="4" w:color="BFBFBF"/>
              <w:bottom w:val="single" w:sz="4" w:color="BFBFBF"/>
              <w:right w:val="single" w:sz="4" w:color="BFBFBF"/>
            </w:tcBorders>
            <w:vAlign w:val="top"/>
          </w:tcPr>
          <w:p>
            <w:pPr>
              <w:spacing w:after="40"/>
            </w:pPr>
            <w:r>
              <w:t>$500</w:t>
            </w:r>
          </w:p>
        </w:tc>
      </w:tr>
      <w:tr>
        <w:tc>
          <w:tcPr>
            <w:tcW w:type="dxa" w:w="2592"/>
            <w:tcBorders>
              <w:top w:val="single" w:sz="4" w:color="BFBFBF"/>
              <w:left w:val="single" w:sz="4" w:color="BFBFBF"/>
              <w:bottom w:val="single" w:sz="4" w:color="BFBFBF"/>
              <w:right w:val="single" w:sz="4" w:color="BFBFBF"/>
            </w:tcBorders>
            <w:vAlign w:val="top"/>
          </w:tcPr>
          <w:p>
            <w:pPr>
              <w:spacing w:after="40"/>
            </w:pPr>
            <w:r>
              <w:t>Travel (Bellingham, WA → Los Angeles — staying in LA for each event)</w:t>
            </w:r>
          </w:p>
        </w:tc>
        <w:tc>
          <w:tcPr>
            <w:tcW w:type="dxa" w:w="6048"/>
            <w:tcBorders>
              <w:top w:val="single" w:sz="4" w:color="BFBFBF"/>
              <w:left w:val="single" w:sz="4" w:color="BFBFBF"/>
              <w:bottom w:val="single" w:sz="4" w:color="BFBFBF"/>
              <w:right w:val="single" w:sz="4" w:color="BFBFBF"/>
            </w:tcBorders>
            <w:vAlign w:val="top"/>
          </w:tcPr>
          <w:p>
            <w:pPr>
              <w:spacing w:after="40"/>
            </w:pPr>
            <w:r>
              <w:t>2027 Biennial Symposium trip — airfare (BLI/SEA ↔ LAX), 6 nights LA lodging, ground transport, meals, hardware shipping</w:t>
            </w:r>
          </w:p>
        </w:tc>
        <w:tc>
          <w:tcPr>
            <w:tcW w:type="dxa" w:w="1152"/>
            <w:tcBorders>
              <w:top w:val="single" w:sz="4" w:color="BFBFBF"/>
              <w:left w:val="single" w:sz="4" w:color="BFBFBF"/>
              <w:bottom w:val="single" w:sz="4" w:color="BFBFBF"/>
              <w:right w:val="single" w:sz="4" w:color="BFBFBF"/>
            </w:tcBorders>
            <w:vAlign w:val="top"/>
          </w:tcPr>
          <w:p>
            <w:pPr>
              <w:spacing w:after="40"/>
            </w:pPr>
            <w:r>
              <w:t>$2,700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2028 Biennial Demo Day trip — airfare, 8 nights LA lodging, ground transport, meals, ring-installation hardware shipping</w:t>
            </w:r>
          </w:p>
        </w:tc>
        <w:tc>
          <w:tcPr>
            <w:tcW w:type="dxa" w:w="1152"/>
            <w:tcBorders>
              <w:top w:val="single" w:sz="4" w:color="BFBFBF"/>
              <w:left w:val="single" w:sz="4" w:color="BFBFBF"/>
              <w:bottom w:val="single" w:sz="4" w:color="BFBFBF"/>
              <w:right w:val="single" w:sz="4" w:color="BFBFBF"/>
            </w:tcBorders>
            <w:vAlign w:val="top"/>
          </w:tcPr>
          <w:p>
            <w:pPr>
              <w:spacing w:after="40"/>
            </w:pPr>
            <w:r>
              <w:t>$3,400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Canopy Art &amp; Iron exhibit (Bow, WA — local drive from Bellingham) — fuel, supplies, install day</w:t>
            </w:r>
          </w:p>
        </w:tc>
        <w:tc>
          <w:tcPr>
            <w:tcW w:type="dxa" w:w="1152"/>
            <w:tcBorders>
              <w:top w:val="single" w:sz="4" w:color="BFBFBF"/>
              <w:left w:val="single" w:sz="4" w:color="BFBFBF"/>
              <w:bottom w:val="single" w:sz="4" w:color="BFBFBF"/>
              <w:right w:val="single" w:sz="4" w:color="BFBFBF"/>
            </w:tcBorders>
            <w:vAlign w:val="top"/>
          </w:tcPr>
          <w:p>
            <w:pPr>
              <w:spacing w:after="40"/>
            </w:pPr>
            <w:r>
              <w:t>$300</w:t>
            </w:r>
          </w:p>
        </w:tc>
      </w:tr>
      <w:tr>
        <w:tc>
          <w:tcPr>
            <w:tcW w:type="dxa" w:w="2592"/>
            <w:tcBorders>
              <w:top w:val="single" w:sz="4" w:color="BFBFBF"/>
              <w:left w:val="single" w:sz="4" w:color="BFBFBF"/>
              <w:bottom w:val="single" w:sz="4" w:color="BFBFBF"/>
              <w:right w:val="single" w:sz="4" w:color="BFBFBF"/>
            </w:tcBorders>
            <w:vAlign w:val="top"/>
          </w:tcPr>
          <w:p>
            <w:pPr>
              <w:spacing w:after="40"/>
            </w:pPr>
            <w:r>
              <w:t>Collaborator Fees</w:t>
            </w:r>
          </w:p>
        </w:tc>
        <w:tc>
          <w:tcPr>
            <w:tcW w:type="dxa" w:w="6048"/>
            <w:tcBorders>
              <w:top w:val="single" w:sz="4" w:color="BFBFBF"/>
              <w:left w:val="single" w:sz="4" w:color="BFBFBF"/>
              <w:bottom w:val="single" w:sz="4" w:color="BFBFBF"/>
              <w:right w:val="single" w:sz="4" w:color="BFBFBF"/>
            </w:tcBorders>
            <w:vAlign w:val="top"/>
          </w:tcPr>
          <w:p>
            <w:pPr>
              <w:spacing w:after="40"/>
            </w:pPr>
            <w:r>
              <w:t>ML / computer-vision consultant — image-based inference pipeline</w:t>
            </w:r>
          </w:p>
        </w:tc>
        <w:tc>
          <w:tcPr>
            <w:tcW w:type="dxa" w:w="1152"/>
            <w:tcBorders>
              <w:top w:val="single" w:sz="4" w:color="BFBFBF"/>
              <w:left w:val="single" w:sz="4" w:color="BFBFBF"/>
              <w:bottom w:val="single" w:sz="4" w:color="BFBFBF"/>
              <w:right w:val="single" w:sz="4" w:color="BFBFBF"/>
            </w:tcBorders>
            <w:vAlign w:val="top"/>
          </w:tcPr>
          <w:p>
            <w:pPr>
              <w:spacing w:after="40"/>
            </w:pPr>
            <w:r>
              <w:t>$2,000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Installation / fabrication assistance</w:t>
            </w:r>
          </w:p>
        </w:tc>
        <w:tc>
          <w:tcPr>
            <w:tcW w:type="dxa" w:w="1152"/>
            <w:tcBorders>
              <w:top w:val="single" w:sz="4" w:color="BFBFBF"/>
              <w:left w:val="single" w:sz="4" w:color="BFBFBF"/>
              <w:bottom w:val="single" w:sz="4" w:color="BFBFBF"/>
              <w:right w:val="single" w:sz="4" w:color="BFBFBF"/>
            </w:tcBorders>
            <w:vAlign w:val="top"/>
          </w:tcPr>
          <w:p>
            <w:pPr>
              <w:spacing w:after="40"/>
            </w:pPr>
            <w:r>
              <w:t>$2,000</w:t>
            </w:r>
          </w:p>
        </w:tc>
      </w:tr>
      <w:tr>
        <w:tc>
          <w:tcPr>
            <w:tcW w:type="dxa" w:w="2592"/>
            <w:tcBorders>
              <w:top w:val="single" w:sz="4" w:color="BFBFBF"/>
              <w:left w:val="single" w:sz="4" w:color="BFBFBF"/>
              <w:bottom w:val="single" w:sz="4" w:color="BFBFBF"/>
              <w:right w:val="single" w:sz="4" w:color="BFBFBF"/>
            </w:tcBorders>
            <w:vAlign w:val="top"/>
          </w:tcPr>
          <w:p>
            <w:pPr>
              <w:spacing w:after="40"/>
            </w:pPr>
            <w:r>
              <w:t>Documentation</w:t>
            </w:r>
          </w:p>
        </w:tc>
        <w:tc>
          <w:tcPr>
            <w:tcW w:type="dxa" w:w="6048"/>
            <w:tcBorders>
              <w:top w:val="single" w:sz="4" w:color="BFBFBF"/>
              <w:left w:val="single" w:sz="4" w:color="BFBFBF"/>
              <w:bottom w:val="single" w:sz="4" w:color="BFBFBF"/>
              <w:right w:val="single" w:sz="4" w:color="BFBFBF"/>
            </w:tcBorders>
            <w:vAlign w:val="top"/>
          </w:tcPr>
          <w:p>
            <w:pPr>
              <w:spacing w:after="40"/>
            </w:pPr>
            <w:r>
              <w:t>Video + photo documentation of installation and process</w:t>
            </w:r>
          </w:p>
        </w:tc>
        <w:tc>
          <w:tcPr>
            <w:tcW w:type="dxa" w:w="1152"/>
            <w:tcBorders>
              <w:top w:val="single" w:sz="4" w:color="BFBFBF"/>
              <w:left w:val="single" w:sz="4" w:color="BFBFBF"/>
              <w:bottom w:val="single" w:sz="4" w:color="BFBFBF"/>
              <w:right w:val="single" w:sz="4" w:color="BFBFBF"/>
            </w:tcBorders>
            <w:vAlign w:val="top"/>
          </w:tcPr>
          <w:p>
            <w:pPr>
              <w:spacing w:after="40"/>
            </w:pPr>
            <w:r>
              <w:t>$1,500</w:t>
            </w:r>
          </w:p>
        </w:tc>
      </w:tr>
      <w:tr>
        <w:tc>
          <w:tcPr>
            <w:tcW w:type="dxa" w:w="2592"/>
            <w:tcBorders>
              <w:top w:val="single" w:sz="4" w:color="BFBFBF"/>
              <w:left w:val="single" w:sz="4" w:color="BFBFBF"/>
              <w:bottom w:val="single" w:sz="4" w:color="BFBFBF"/>
              <w:right w:val="single" w:sz="4" w:color="BFBFBF"/>
            </w:tcBorders>
            <w:vAlign w:val="top"/>
          </w:tcPr>
          <w:p>
            <w:pPr>
              <w:spacing w:after="40"/>
            </w:pPr>
            <w:r>
              <w:t>Contingency</w:t>
            </w:r>
          </w:p>
        </w:tc>
        <w:tc>
          <w:tcPr>
            <w:tcW w:type="dxa" w:w="6048"/>
            <w:tcBorders>
              <w:top w:val="single" w:sz="4" w:color="BFBFBF"/>
              <w:left w:val="single" w:sz="4" w:color="BFBFBF"/>
              <w:bottom w:val="single" w:sz="4" w:color="BFBFBF"/>
              <w:right w:val="single" w:sz="4" w:color="BFBFBF"/>
            </w:tcBorders>
            <w:vAlign w:val="top"/>
          </w:tcPr>
          <w:p>
            <w:pPr>
              <w:spacing w:after="40"/>
            </w:pPr>
            <w:r>
              <w:t>Unforeseen costs, replacement hardware, API overages (incl. any Mapbox / Firebase overages), shipping corrections</w:t>
            </w:r>
          </w:p>
        </w:tc>
        <w:tc>
          <w:tcPr>
            <w:tcW w:type="dxa" w:w="1152"/>
            <w:tcBorders>
              <w:top w:val="single" w:sz="4" w:color="BFBFBF"/>
              <w:left w:val="single" w:sz="4" w:color="BFBFBF"/>
              <w:bottom w:val="single" w:sz="4" w:color="BFBFBF"/>
              <w:right w:val="single" w:sz="4" w:color="BFBFBF"/>
            </w:tcBorders>
            <w:vAlign w:val="top"/>
          </w:tcPr>
          <w:p>
            <w:pPr>
              <w:spacing w:after="40"/>
            </w:pPr>
            <w:r>
              <w:t>$2,040</w:t>
            </w:r>
          </w:p>
        </w:tc>
      </w:tr>
      <w:tr>
        <w:tc>
          <w:tcPr>
            <w:tcW w:type="dxa" w:w="2592"/>
            <w:tcBorders>
              <w:top w:val="single" w:sz="4" w:color="BFBFBF"/>
              <w:left w:val="single" w:sz="4" w:color="BFBFBF"/>
              <w:bottom w:val="single" w:sz="4" w:color="BFBFBF"/>
              <w:right w:val="single" w:sz="4" w:color="BFBFBF"/>
            </w:tcBorders>
            <w:vAlign w:val="top"/>
          </w:tcPr>
          <w:p>
            <w:pPr>
              <w:spacing w:after="40"/>
            </w:pPr>
            <w:r>
              <w:t>TOTAL</w:t>
            </w:r>
          </w:p>
        </w:tc>
        <w:tc>
          <w:tcPr>
            <w:tcW w:type="dxa" w:w="6048"/>
            <w:tcBorders>
              <w:top w:val="single" w:sz="4" w:color="BFBFBF"/>
              <w:left w:val="single" w:sz="4" w:color="BFBFBF"/>
              <w:bottom w:val="single" w:sz="4" w:color="BFBFBF"/>
              <w:right w:val="single" w:sz="4" w:color="BFBFBF"/>
            </w:tcBorders>
            <w:vAlign w:val="top"/>
          </w:tcPr>
          <w:p>
            <w:pPr>
              <w:spacing w:after="40"/>
            </w:pPr>
            <w:r/>
          </w:p>
        </w:tc>
        <w:tc>
          <w:tcPr>
            <w:tcW w:type="dxa" w:w="1152"/>
            <w:tcBorders>
              <w:top w:val="single" w:sz="4" w:color="BFBFBF"/>
              <w:left w:val="single" w:sz="4" w:color="BFBFBF"/>
              <w:bottom w:val="single" w:sz="4" w:color="BFBFBF"/>
              <w:right w:val="single" w:sz="4" w:color="BFBFBF"/>
            </w:tcBorders>
            <w:vAlign w:val="top"/>
          </w:tcPr>
          <w:p>
            <w:pPr>
              <w:spacing w:after="40"/>
            </w:pPr>
            <w:r>
              <w:t>$50,000</w:t>
            </w:r>
          </w:p>
        </w:tc>
      </w:tr>
    </w:tbl>
    <w:p>
      <w:r>
        <w:rPr>
          <w:b w:val="0"/>
          <w:i/>
        </w:rPr>
        <w:t>If any subscription lines come in lower than expected (for example, Anthropic offers credits through the LACMA partnership), the surplus flows into artist fees or additional webcam units for the pilot.</w:t>
      </w:r>
    </w:p>
    <w:p>
      <w:pPr>
        <w:pStyle w:val="Heading1"/>
      </w:pPr>
      <w:r>
        <w:rPr>
          <w:rFonts w:ascii="Calibri" w:hAnsi="Calibri"/>
        </w:rPr>
        <w:t>12. Implementation Plan — Milestones, Dates, and Costs</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E8E8E8"/>
            <w:tcBorders>
              <w:top w:val="single" w:sz="4" w:color="BFBFBF"/>
              <w:left w:val="single" w:sz="4" w:color="BFBFBF"/>
              <w:bottom w:val="single" w:sz="4" w:color="BFBFBF"/>
              <w:right w:val="single" w:sz="4" w:color="BFBFBF"/>
            </w:tcBorders>
          </w:tcPr>
          <w:p>
            <w:r/>
            <w:r>
              <w:rPr>
                <w:b/>
              </w:rPr>
              <w:t>Phase</w:t>
            </w:r>
          </w:p>
        </w:tc>
        <w:tc>
          <w:tcPr>
            <w:tcW w:type="dxa" w:w="1584"/>
            <w:shd w:val="clear" w:color="auto" w:fill="E8E8E8"/>
            <w:tcBorders>
              <w:top w:val="single" w:sz="4" w:color="BFBFBF"/>
              <w:left w:val="single" w:sz="4" w:color="BFBFBF"/>
              <w:bottom w:val="single" w:sz="4" w:color="BFBFBF"/>
              <w:right w:val="single" w:sz="4" w:color="BFBFBF"/>
            </w:tcBorders>
          </w:tcPr>
          <w:p>
            <w:r/>
            <w:r>
              <w:rPr>
                <w:b/>
              </w:rPr>
              <w:t>Timeline</w:t>
            </w:r>
          </w:p>
        </w:tc>
        <w:tc>
          <w:tcPr>
            <w:tcW w:type="dxa" w:w="5040"/>
            <w:shd w:val="clear" w:color="auto" w:fill="E8E8E8"/>
            <w:tcBorders>
              <w:top w:val="single" w:sz="4" w:color="BFBFBF"/>
              <w:left w:val="single" w:sz="4" w:color="BFBFBF"/>
              <w:bottom w:val="single" w:sz="4" w:color="BFBFBF"/>
              <w:right w:val="single" w:sz="4" w:color="BFBFBF"/>
            </w:tcBorders>
          </w:tcPr>
          <w:p>
            <w:r/>
            <w:r>
              <w:rPr>
                <w:b/>
              </w:rPr>
              <w:t>Milestones</w:t>
            </w:r>
          </w:p>
        </w:tc>
        <w:tc>
          <w:tcPr>
            <w:tcW w:type="dxa" w:w="1152"/>
            <w:shd w:val="clear" w:color="auto" w:fill="E8E8E8"/>
            <w:tcBorders>
              <w:top w:val="single" w:sz="4" w:color="BFBFBF"/>
              <w:left w:val="single" w:sz="4" w:color="BFBFBF"/>
              <w:bottom w:val="single" w:sz="4" w:color="BFBFBF"/>
              <w:right w:val="single" w:sz="4" w:color="BFBFBF"/>
            </w:tcBorders>
          </w:tcPr>
          <w:p>
            <w:r/>
            <w:r>
              <w:rPr>
                <w:b/>
              </w:rPr>
              <w:t>Cost</w:t>
            </w:r>
          </w:p>
        </w:tc>
      </w:tr>
      <w:tr>
        <w:tc>
          <w:tcPr>
            <w:tcW w:type="dxa" w:w="2016"/>
            <w:tcBorders>
              <w:top w:val="single" w:sz="4" w:color="BFBFBF"/>
              <w:left w:val="single" w:sz="4" w:color="BFBFBF"/>
              <w:bottom w:val="single" w:sz="4" w:color="BFBFBF"/>
              <w:right w:val="single" w:sz="4" w:color="BFBFBF"/>
            </w:tcBorders>
            <w:vAlign w:val="top"/>
          </w:tcPr>
          <w:p>
            <w:pPr>
              <w:spacing w:after="40"/>
            </w:pPr>
            <w:r>
              <w:t>Phase 1: Foundation + Webcam v1</w:t>
            </w:r>
          </w:p>
        </w:tc>
        <w:tc>
          <w:tcPr>
            <w:tcW w:type="dxa" w:w="1584"/>
            <w:tcBorders>
              <w:top w:val="single" w:sz="4" w:color="BFBFBF"/>
              <w:left w:val="single" w:sz="4" w:color="BFBFBF"/>
              <w:bottom w:val="single" w:sz="4" w:color="BFBFBF"/>
              <w:right w:val="single" w:sz="4" w:color="BFBFBF"/>
            </w:tcBorders>
            <w:vAlign w:val="top"/>
          </w:tcPr>
          <w:p>
            <w:pPr>
              <w:spacing w:after="40"/>
            </w:pPr>
            <w:r>
              <w:t>Fall 2026 (Months 1–4)</w:t>
            </w:r>
          </w:p>
        </w:tc>
        <w:tc>
          <w:tcPr>
            <w:tcW w:type="dxa" w:w="5040"/>
            <w:tcBorders>
              <w:top w:val="single" w:sz="4" w:color="BFBFBF"/>
              <w:left w:val="single" w:sz="4" w:color="BFBFBF"/>
              <w:bottom w:val="single" w:sz="4" w:color="BFBFBF"/>
              <w:right w:val="single" w:sz="4" w:color="BFBFBF"/>
            </w:tcBorders>
            <w:vAlign w:val="top"/>
          </w:tcPr>
          <w:p>
            <w:pPr>
              <w:spacing w:after="40"/>
            </w:pPr>
            <w:r>
              <w:t>Upgrade ML pipeline to image-based production inference. Expand training dataset. Validate model performance against human ratings (Pearson &gt; 0.80 gate). Engage ML consultant; formalize in-kind advisory relationship with Prof. Kameron Harris. Initiate outreach to Windy, EarthCam, and other webcam providers regarding partnership / data access. Design and build first batch of 5–10 custom Pi Zero 2 W cameras and identify North American deployment partners (universities, parks, independent camera hosts).</w:t>
            </w:r>
          </w:p>
        </w:tc>
        <w:tc>
          <w:tcPr>
            <w:tcW w:type="dxa" w:w="1152"/>
            <w:tcBorders>
              <w:top w:val="single" w:sz="4" w:color="BFBFBF"/>
              <w:left w:val="single" w:sz="4" w:color="BFBFBF"/>
              <w:bottom w:val="single" w:sz="4" w:color="BFBFBF"/>
              <w:right w:val="single" w:sz="4" w:color="BFBFBF"/>
            </w:tcBorders>
            <w:vAlign w:val="top"/>
          </w:tcPr>
          <w:p>
            <w:pPr>
              <w:spacing w:after="40"/>
            </w:pPr>
            <w:r>
              <w:t>$11,000</w:t>
            </w:r>
          </w:p>
        </w:tc>
      </w:tr>
      <w:tr>
        <w:tc>
          <w:tcPr>
            <w:tcW w:type="dxa" w:w="2016"/>
            <w:tcBorders>
              <w:top w:val="single" w:sz="4" w:color="BFBFBF"/>
              <w:left w:val="single" w:sz="4" w:color="BFBFBF"/>
              <w:bottom w:val="single" w:sz="4" w:color="BFBFBF"/>
              <w:right w:val="single" w:sz="4" w:color="BFBFBF"/>
            </w:tcBorders>
            <w:vAlign w:val="top"/>
          </w:tcPr>
          <w:p>
            <w:pPr>
              <w:spacing w:after="40"/>
            </w:pPr>
            <w:r>
              <w:t>Phase 2: Ring Development + NA Webcam Rollout</w:t>
            </w:r>
          </w:p>
        </w:tc>
        <w:tc>
          <w:tcPr>
            <w:tcW w:type="dxa" w:w="1584"/>
            <w:tcBorders>
              <w:top w:val="single" w:sz="4" w:color="BFBFBF"/>
              <w:left w:val="single" w:sz="4" w:color="BFBFBF"/>
              <w:bottom w:val="single" w:sz="4" w:color="BFBFBF"/>
              <w:right w:val="single" w:sz="4" w:color="BFBFBF"/>
            </w:tcBorders>
            <w:vAlign w:val="top"/>
          </w:tcPr>
          <w:p>
            <w:pPr>
              <w:spacing w:after="40"/>
            </w:pPr>
            <w:r>
              <w:t>Winter 2026–27 (Months 4–8)</w:t>
            </w:r>
          </w:p>
        </w:tc>
        <w:tc>
          <w:tcPr>
            <w:tcW w:type="dxa" w:w="5040"/>
            <w:tcBorders>
              <w:top w:val="single" w:sz="4" w:color="BFBFBF"/>
              <w:left w:val="single" w:sz="4" w:color="BFBFBF"/>
              <w:bottom w:val="single" w:sz="4" w:color="BFBFBF"/>
              <w:right w:val="single" w:sz="4" w:color="BFBFBF"/>
            </w:tcBorders>
            <w:vAlign w:val="top"/>
          </w:tcPr>
          <w:p>
            <w:pPr>
              <w:spacing w:after="40"/>
            </w:pPr>
            <w:r>
              <w:t>Design and begin building the ring-monitor installation (6–8 portrait monitors). Develop the public rating app (“dating app for sunsets”). Iterate webcam hardware: custom PCB, weatherproof enclosure, remote-tuning firmware. Deploy remaining pilot webcam units across 8–10 North American locations (coastal, mountain, desert, Pacific Northwest); this pilot serves as the reference model for a later worldwide rollout. Exhibit the existing two-screen diptych — the sunrise / sunset pair — at Canopy Art &amp; Iron’s annual rendezvous in Bow, WA. The diptych is more portable than the ring and is already the current working form of the installation, making Canopy’s annual event a natural, local venue for an early public showing before the LACMA symposium. Canopy’s “rooted in a sense of place” ethos complements the geographic, terminator-driven nature of the work. Gather audience response and document for LACMA.</w:t>
            </w:r>
          </w:p>
        </w:tc>
        <w:tc>
          <w:tcPr>
            <w:tcW w:type="dxa" w:w="1152"/>
            <w:tcBorders>
              <w:top w:val="single" w:sz="4" w:color="BFBFBF"/>
              <w:left w:val="single" w:sz="4" w:color="BFBFBF"/>
              <w:bottom w:val="single" w:sz="4" w:color="BFBFBF"/>
              <w:right w:val="single" w:sz="4" w:color="BFBFBF"/>
            </w:tcBorders>
            <w:vAlign w:val="top"/>
          </w:tcPr>
          <w:p>
            <w:pPr>
              <w:spacing w:after="40"/>
            </w:pPr>
            <w:r>
              <w:t>$13,000</w:t>
            </w:r>
          </w:p>
        </w:tc>
      </w:tr>
      <w:tr>
        <w:tc>
          <w:tcPr>
            <w:tcW w:type="dxa" w:w="2016"/>
            <w:tcBorders>
              <w:top w:val="single" w:sz="4" w:color="BFBFBF"/>
              <w:left w:val="single" w:sz="4" w:color="BFBFBF"/>
              <w:bottom w:val="single" w:sz="4" w:color="BFBFBF"/>
              <w:right w:val="single" w:sz="4" w:color="BFBFBF"/>
            </w:tcBorders>
            <w:vAlign w:val="top"/>
          </w:tcPr>
          <w:p>
            <w:pPr>
              <w:spacing w:after="40"/>
            </w:pPr>
            <w:r>
              <w:t>Phase 3: LACMA Symposium Demo</w:t>
            </w:r>
          </w:p>
        </w:tc>
        <w:tc>
          <w:tcPr>
            <w:tcW w:type="dxa" w:w="1584"/>
            <w:tcBorders>
              <w:top w:val="single" w:sz="4" w:color="BFBFBF"/>
              <w:left w:val="single" w:sz="4" w:color="BFBFBF"/>
              <w:bottom w:val="single" w:sz="4" w:color="BFBFBF"/>
              <w:right w:val="single" w:sz="4" w:color="BFBFBF"/>
            </w:tcBorders>
            <w:vAlign w:val="top"/>
          </w:tcPr>
          <w:p>
            <w:pPr>
              <w:spacing w:after="40"/>
            </w:pPr>
            <w:r>
              <w:t>Spring 2027 (Months 8–12)</w:t>
            </w:r>
          </w:p>
        </w:tc>
        <w:tc>
          <w:tcPr>
            <w:tcW w:type="dxa" w:w="5040"/>
            <w:tcBorders>
              <w:top w:val="single" w:sz="4" w:color="BFBFBF"/>
              <w:left w:val="single" w:sz="4" w:color="BFBFBF"/>
              <w:bottom w:val="single" w:sz="4" w:color="BFBFBF"/>
              <w:right w:val="single" w:sz="4" w:color="BFBFBF"/>
            </w:tcBorders>
            <w:vAlign w:val="top"/>
          </w:tcPr>
          <w:p>
            <w:pPr>
              <w:spacing w:after="40"/>
            </w:pPr>
            <w:r>
              <w:t>Install and demonstrate at the LACMA 2027 Biennial Symposium. Present mid-term findings: model evolution, human vs. machine rating divergence, pilot-webcam data from deployed North American nodes, and reflections from the Canopy exhibit (and any other showings). Travel from Bellingham to LA.</w:t>
            </w:r>
          </w:p>
        </w:tc>
        <w:tc>
          <w:tcPr>
            <w:tcW w:type="dxa" w:w="1152"/>
            <w:tcBorders>
              <w:top w:val="single" w:sz="4" w:color="BFBFBF"/>
              <w:left w:val="single" w:sz="4" w:color="BFBFBF"/>
              <w:bottom w:val="single" w:sz="4" w:color="BFBFBF"/>
              <w:right w:val="single" w:sz="4" w:color="BFBFBF"/>
            </w:tcBorders>
            <w:vAlign w:val="top"/>
          </w:tcPr>
          <w:p>
            <w:pPr>
              <w:spacing w:after="40"/>
            </w:pPr>
            <w:r>
              <w:t>$9,000</w:t>
            </w:r>
          </w:p>
        </w:tc>
      </w:tr>
      <w:tr>
        <w:tc>
          <w:tcPr>
            <w:tcW w:type="dxa" w:w="2016"/>
            <w:tcBorders>
              <w:top w:val="single" w:sz="4" w:color="BFBFBF"/>
              <w:left w:val="single" w:sz="4" w:color="BFBFBF"/>
              <w:bottom w:val="single" w:sz="4" w:color="BFBFBF"/>
              <w:right w:val="single" w:sz="4" w:color="BFBFBF"/>
            </w:tcBorders>
            <w:vAlign w:val="top"/>
          </w:tcPr>
          <w:p>
            <w:pPr>
              <w:spacing w:after="40"/>
            </w:pPr>
            <w:r>
              <w:t>Phase 4: Refinement + Kickstarter Prep + Global Network</w:t>
            </w:r>
          </w:p>
        </w:tc>
        <w:tc>
          <w:tcPr>
            <w:tcW w:type="dxa" w:w="1584"/>
            <w:tcBorders>
              <w:top w:val="single" w:sz="4" w:color="BFBFBF"/>
              <w:left w:val="single" w:sz="4" w:color="BFBFBF"/>
              <w:bottom w:val="single" w:sz="4" w:color="BFBFBF"/>
              <w:right w:val="single" w:sz="4" w:color="BFBFBF"/>
            </w:tcBorders>
            <w:vAlign w:val="top"/>
          </w:tcPr>
          <w:p>
            <w:pPr>
              <w:spacing w:after="40"/>
            </w:pPr>
            <w:r>
              <w:t>Summer–Fall 2027 (Months 12–18)</w:t>
            </w:r>
          </w:p>
        </w:tc>
        <w:tc>
          <w:tcPr>
            <w:tcW w:type="dxa" w:w="5040"/>
            <w:tcBorders>
              <w:top w:val="single" w:sz="4" w:color="BFBFBF"/>
              <w:left w:val="single" w:sz="4" w:color="BFBFBF"/>
              <w:bottom w:val="single" w:sz="4" w:color="BFBFBF"/>
              <w:right w:val="single" w:sz="4" w:color="BFBFBF"/>
            </w:tcBorders>
            <w:vAlign w:val="top"/>
          </w:tcPr>
          <w:p>
            <w:pPr>
              <w:spacing w:after="40"/>
            </w:pPr>
            <w:r>
              <w:t>Incorporate symposium feedback. Train a second-generation model on an expanded dataset (gallery-visitor ratings + rating-app data + pilot-webcam imagery). Finalize Kickstarter-ready camera design and campaign materials, using the NA pilot as a proven reference model. Use Kickstarter to fund and distribute additional cameras internationally. Open-source release of the ML pipeline.</w:t>
            </w:r>
          </w:p>
        </w:tc>
        <w:tc>
          <w:tcPr>
            <w:tcW w:type="dxa" w:w="1152"/>
            <w:tcBorders>
              <w:top w:val="single" w:sz="4" w:color="BFBFBF"/>
              <w:left w:val="single" w:sz="4" w:color="BFBFBF"/>
              <w:bottom w:val="single" w:sz="4" w:color="BFBFBF"/>
              <w:right w:val="single" w:sz="4" w:color="BFBFBF"/>
            </w:tcBorders>
            <w:vAlign w:val="top"/>
          </w:tcPr>
          <w:p>
            <w:pPr>
              <w:spacing w:after="40"/>
            </w:pPr>
            <w:r>
              <w:t>$8,000</w:t>
            </w:r>
          </w:p>
        </w:tc>
      </w:tr>
      <w:tr>
        <w:tc>
          <w:tcPr>
            <w:tcW w:type="dxa" w:w="2016"/>
            <w:tcBorders>
              <w:top w:val="single" w:sz="4" w:color="BFBFBF"/>
              <w:left w:val="single" w:sz="4" w:color="BFBFBF"/>
              <w:bottom w:val="single" w:sz="4" w:color="BFBFBF"/>
              <w:right w:val="single" w:sz="4" w:color="BFBFBF"/>
            </w:tcBorders>
            <w:vAlign w:val="top"/>
          </w:tcPr>
          <w:p>
            <w:pPr>
              <w:spacing w:after="40"/>
            </w:pPr>
            <w:r>
              <w:t>Phase 5: Final Installation + 2028 Demo Day</w:t>
            </w:r>
          </w:p>
        </w:tc>
        <w:tc>
          <w:tcPr>
            <w:tcW w:type="dxa" w:w="1584"/>
            <w:tcBorders>
              <w:top w:val="single" w:sz="4" w:color="BFBFBF"/>
              <w:left w:val="single" w:sz="4" w:color="BFBFBF"/>
              <w:bottom w:val="single" w:sz="4" w:color="BFBFBF"/>
              <w:right w:val="single" w:sz="4" w:color="BFBFBF"/>
            </w:tcBorders>
            <w:vAlign w:val="top"/>
          </w:tcPr>
          <w:p>
            <w:pPr>
              <w:spacing w:after="40"/>
            </w:pPr>
            <w:r>
              <w:t>Winter–Spring 2028 (Months 18–24)</w:t>
            </w:r>
          </w:p>
        </w:tc>
        <w:tc>
          <w:tcPr>
            <w:tcW w:type="dxa" w:w="5040"/>
            <w:tcBorders>
              <w:top w:val="single" w:sz="4" w:color="BFBFBF"/>
              <w:left w:val="single" w:sz="4" w:color="BFBFBF"/>
              <w:bottom w:val="single" w:sz="4" w:color="BFBFBF"/>
              <w:right w:val="single" w:sz="4" w:color="BFBFBF"/>
            </w:tcBorders>
            <w:vAlign w:val="top"/>
          </w:tcPr>
          <w:p>
            <w:pPr>
              <w:spacing w:after="40"/>
            </w:pPr>
            <w:r>
              <w:t>Full-scale ring-monitor installation for 2028 Demo Day. Final documentation. Published dataset, model weights, and camera hardware plans. Travel from Bellingham to LA.</w:t>
            </w:r>
          </w:p>
        </w:tc>
        <w:tc>
          <w:tcPr>
            <w:tcW w:type="dxa" w:w="1152"/>
            <w:tcBorders>
              <w:top w:val="single" w:sz="4" w:color="BFBFBF"/>
              <w:left w:val="single" w:sz="4" w:color="BFBFBF"/>
              <w:bottom w:val="single" w:sz="4" w:color="BFBFBF"/>
              <w:right w:val="single" w:sz="4" w:color="BFBFBF"/>
            </w:tcBorders>
            <w:vAlign w:val="top"/>
          </w:tcPr>
          <w:p>
            <w:pPr>
              <w:spacing w:after="40"/>
            </w:pPr>
            <w:r>
              <w:t>$9,000</w:t>
            </w:r>
          </w:p>
        </w:tc>
      </w:tr>
    </w:tbl>
    <w:p>
      <w:pPr>
        <w:pStyle w:val="Heading1"/>
      </w:pPr>
      <w:r>
        <w:rPr>
          <w:rFonts w:ascii="Calibri" w:hAnsi="Calibri"/>
        </w:rPr>
        <w:t>Supporting Images</w:t>
      </w:r>
    </w:p>
    <w:p>
      <w:r>
        <w:rPr>
          <w:b w:val="0"/>
          <w:i/>
        </w:rPr>
        <w:t>To be embedded as JPEGs in the final submission document:</w:t>
      </w:r>
    </w:p>
    <w:p>
      <w:pPr>
        <w:pStyle w:val="ListBullet"/>
      </w:pPr>
      <w:r>
        <w:t>Screenshot of the live map / globe view showing the terminator and webcam markers.</w:t>
      </w:r>
    </w:p>
    <w:p>
      <w:pPr>
        <w:pStyle w:val="ListBullet"/>
      </w:pPr>
      <w:r>
        <w:t>Screenshot of the sunrise and sunset mosaics side by side (the current two-screen diptych).</w:t>
      </w:r>
    </w:p>
    <w:p>
      <w:pPr>
        <w:pStyle w:val="ListBullet"/>
      </w:pPr>
      <w:r>
        <w:t>Rendering or mock-up of the ring-monitor installation with a viewer at the center.</w:t>
      </w:r>
    </w:p>
    <w:p>
      <w:pPr>
        <w:pStyle w:val="ListBullet"/>
      </w:pPr>
      <w:r>
        <w:t>Photograph of an early Raspberry Pi Zero webcam prototype.</w:t>
      </w:r>
    </w:p>
    <w:p>
      <w:pPr>
        <w:pStyle w:val="ListBullet"/>
      </w:pPr>
      <w:r>
        <w:t>Diagram of the ML pipeline architecture, or an example mosaic showing tile-size variation driven by AI quality scores.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1F1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1F1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