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B4F72"/>
          <w:sz w:val="48"/>
          <w:szCs w:val="48"/>
        </w:rPr>
        <w:t xml:space="preserve">DecisionOS</w:t>
      </w:r>
    </w:p>
    <w:p>
      <w:pPr>
        <w:spacing w:after="40"/>
      </w:pPr>
      <w:r>
        <w:rPr>
          <w:rFonts w:ascii="Arial" w:cs="Arial" w:eastAsia="Arial" w:hAnsi="Arial"/>
          <w:color w:val="5D6D7E"/>
          <w:sz w:val="28"/>
          <w:szCs w:val="28"/>
        </w:rPr>
        <w:t xml:space="preserve">Product Brief v1.0 — Comprehensive</w:t>
      </w:r>
    </w:p>
    <w:p>
      <w:pPr>
        <w:pBdr>
          <w:bottom w:val="single" w:color="1B4F72" w:sz="6" w:space="1"/>
        </w:pBdr>
        <w:spacing w:after="40"/>
      </w:pPr>
      <w:r>
        <w:rPr>
          <w:rFonts w:ascii="Arial" w:cs="Arial" w:eastAsia="Arial" w:hAnsi="Arial"/>
          <w:color w:val="5D6D7E"/>
          <w:sz w:val="20"/>
          <w:szCs w:val="20"/>
        </w:rPr>
        <w:t xml:space="preserve">AI Risk Tools, Inc. — Jess Pike — March 2026 — Internal + Advisory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4F72" w:sz="8"/>
              <w:bottom w:val="none" w:sz="0"/>
              <w:right w:val="none" w:sz="0"/>
            </w:tcBorders>
            <w:shd w:fill="EBF5FB" w:val="clear"/>
            <w:tcMar>
              <w:top w:type="dxa" w:w="120"/>
              <w:left w:type="dxa" w:w="200"/>
              <w:bottom w:type="dxa" w:w="120"/>
              <w:right w:type="dxa" w:w="200"/>
            </w:tcMar>
          </w:tcPr>
          <w:p>
            <w:pPr>
              <w:spacing w:after="0"/>
            </w:pPr>
            <w:r>
              <w:rPr>
                <w:rFonts w:ascii="Arial" w:cs="Arial" w:eastAsia="Arial" w:hAnsi="Arial"/>
                <w:i/>
                <w:iCs/>
                <w:color w:val="1B4F72"/>
                <w:sz w:val="21"/>
                <w:szCs w:val="21"/>
              </w:rPr>
              <w:t xml:space="preserve">This document consolidates all strategic, architectural, competitive, and research analysis into a single guiding artifact. It is the reference document for build decisions, buyer conversations, and investor discussions. It replaces all prior drafts.</w:t>
            </w:r>
          </w:p>
        </w:tc>
      </w:tr>
    </w:tbl>
    <w:p>
      <w:pPr>
        <w:spacing w:after="120"/>
      </w:pPr>
    </w:p>
    <w:p>
      <w:pPr>
        <w:spacing w:before="400" w:after="160"/>
      </w:pPr>
      <w:r>
        <w:rPr>
          <w:rFonts w:ascii="Arial" w:cs="Arial" w:eastAsia="Arial" w:hAnsi="Arial"/>
          <w:b/>
          <w:bCs/>
          <w:color w:val="1B4F72"/>
          <w:sz w:val="30"/>
          <w:szCs w:val="30"/>
        </w:rPr>
        <w:t xml:space="preserve">1. What Is DecisionOS and Why Does It Matter Now?</w:t>
      </w:r>
    </w:p>
    <w:p>
      <w:pPr>
        <w:spacing w:before="300" w:after="120"/>
      </w:pPr>
      <w:r>
        <w:rPr>
          <w:rFonts w:ascii="Arial" w:cs="Arial" w:eastAsia="Arial" w:hAnsi="Arial"/>
          <w:b/>
          <w:bCs/>
          <w:color w:val="2E86C1"/>
          <w:sz w:val="26"/>
          <w:szCs w:val="26"/>
        </w:rPr>
        <w:t xml:space="preserve">1.1 The Problem</w:t>
      </w:r>
    </w:p>
    <w:p>
      <w:pPr>
        <w:spacing w:after="120" w:line="276"/>
      </w:pPr>
      <w:r>
        <w:rPr>
          <w:rFonts w:ascii="Arial" w:cs="Arial" w:eastAsia="Arial" w:hAnsi="Arial"/>
          <w:b w:val="false"/>
          <w:bCs w:val="false"/>
          <w:i w:val="false"/>
          <w:iCs w:val="false"/>
          <w:color w:val="1C2833"/>
          <w:sz w:val="21"/>
          <w:szCs w:val="21"/>
        </w:rPr>
        <w:t xml:space="preserve">Organizations are deploying AI systems at unprecedented speed. Every deployment is a risk-bearing decision — data sensitivity, model risk, regulatory obligations, control adequacy, ethical implications. These decisions are currently made through manual committee processes, ad hoc LLM queries, spreadsheets, or not at all.</w:t>
      </w:r>
    </w:p>
    <w:p>
      <w:pPr>
        <w:spacing w:after="120" w:line="276"/>
      </w:pPr>
      <w:r>
        <w:rPr>
          <w:rFonts w:ascii="Arial" w:cs="Arial" w:eastAsia="Arial" w:hAnsi="Arial"/>
          <w:b w:val="false"/>
          <w:bCs w:val="false"/>
          <w:i w:val="false"/>
          <w:iCs w:val="false"/>
          <w:color w:val="1C2833"/>
          <w:sz w:val="21"/>
          <w:szCs w:val="21"/>
        </w:rPr>
        <w:t xml:space="preserve">Current GRC tools are built for recordkeeping, not decision-making. They provide control libraries, questionnaires, document storage, and static reports. But the actual governance decision — should we approve this AI deployment, under what conditions, and can we defend that decision? — remains unstructured, inconsistent, poorly documented, and dependent on scarce expert labor.</w:t>
      </w:r>
    </w:p>
    <w:p>
      <w:pPr>
        <w:spacing w:before="300" w:after="120"/>
      </w:pPr>
      <w:r>
        <w:rPr>
          <w:rFonts w:ascii="Arial" w:cs="Arial" w:eastAsia="Arial" w:hAnsi="Arial"/>
          <w:b/>
          <w:bCs/>
          <w:color w:val="2E86C1"/>
          <w:sz w:val="26"/>
          <w:szCs w:val="26"/>
        </w:rPr>
        <w:t xml:space="preserve">1.2 The Market Timing</w:t>
      </w:r>
    </w:p>
    <w:p>
      <w:pPr>
        <w:spacing w:after="120" w:line="276"/>
      </w:pPr>
      <w:r>
        <w:rPr>
          <w:rFonts w:ascii="Arial" w:cs="Arial" w:eastAsia="Arial" w:hAnsi="Arial"/>
          <w:b w:val="false"/>
          <w:bCs w:val="false"/>
          <w:i w:val="false"/>
          <w:iCs w:val="false"/>
          <w:color w:val="1C2833"/>
          <w:sz w:val="21"/>
          <w:szCs w:val="21"/>
        </w:rPr>
        <w:t xml:space="preserve">The regulatory window is opening now, not in some vague future. The EU AI Act becomes fully applicable in August 2026 — five months away. Colorado’s Anti-Discrimination in AI Law takes effect mid-2026. Federal agencies are increasing scrutiny of AI in hiring, lending, and healthcare. The AI governance market is projected to grow from $309M in 2025 to $4.8B by 2034 at a 35.7% CAGR. Gartner predicts AI TRiSM as a service will emerge as a viable option for SMEs.</w:t>
      </w:r>
    </w:p>
    <w:p>
      <w:pPr>
        <w:spacing w:after="120" w:line="276"/>
      </w:pPr>
      <w:r>
        <w:rPr>
          <w:rFonts w:ascii="Arial" w:cs="Arial" w:eastAsia="Arial" w:hAnsi="Arial"/>
          <w:b w:val="false"/>
          <w:bCs w:val="false"/>
          <w:i w:val="false"/>
          <w:iCs w:val="false"/>
          <w:color w:val="1C2833"/>
          <w:sz w:val="21"/>
          <w:szCs w:val="21"/>
        </w:rPr>
        <w:t xml:space="preserve">The convergence is clear: organizations need to prove they governed their AI deployments, the regulatory deadlines are imminent, and no current tool produces the structured governance decisions that regulators and boards will demand.</w:t>
      </w:r>
    </w:p>
    <w:p>
      <w:pPr>
        <w:spacing w:before="300" w:after="120"/>
      </w:pPr>
      <w:r>
        <w:rPr>
          <w:rFonts w:ascii="Arial" w:cs="Arial" w:eastAsia="Arial" w:hAnsi="Arial"/>
          <w:b/>
          <w:bCs/>
          <w:color w:val="2E86C1"/>
          <w:sz w:val="26"/>
          <w:szCs w:val="26"/>
        </w:rPr>
        <w:t xml:space="preserve">1.3 The Solution</w:t>
      </w:r>
    </w:p>
    <w:p>
      <w:pPr>
        <w:spacing w:after="120" w:line="276"/>
      </w:pPr>
      <w:r>
        <w:rPr>
          <w:rFonts w:ascii="Arial" w:cs="Arial" w:eastAsia="Arial" w:hAnsi="Arial"/>
          <w:b/>
          <w:bCs/>
          <w:i w:val="false"/>
          <w:iCs w:val="false"/>
          <w:color w:val="1C2833"/>
          <w:sz w:val="21"/>
          <w:szCs w:val="21"/>
        </w:rPr>
        <w:t xml:space="preserve">DecisionOS is a governed authorization platform for AI deployments. </w:t>
      </w:r>
      <w:r>
        <w:rPr>
          <w:rFonts w:ascii="Arial" w:cs="Arial" w:eastAsia="Arial" w:hAnsi="Arial"/>
          <w:b w:val="false"/>
          <w:bCs w:val="false"/>
          <w:i w:val="false"/>
          <w:iCs w:val="false"/>
          <w:color w:val="1C2833"/>
          <w:sz w:val="21"/>
          <w:szCs w:val="21"/>
        </w:rPr>
        <w:t xml:space="preserve">It takes an AI use case as input and produces a structured, auditable governance decision as output — complete with evidence traceability, risk quantification, framework alignment, adversarial challenge, and full reasoning provenance. The output is a defensible governance artifact that proves a rigorous, repeatable, evidence-based process was followed before deployment.</w:t>
      </w:r>
    </w:p>
    <w:p>
      <w:pPr>
        <w:spacing w:after="120" w:line="276"/>
      </w:pPr>
      <w:r>
        <w:rPr>
          <w:rFonts w:ascii="Arial" w:cs="Arial" w:eastAsia="Arial" w:hAnsi="Arial"/>
          <w:b w:val="false"/>
          <w:bCs w:val="false"/>
          <w:i w:val="false"/>
          <w:iCs w:val="false"/>
          <w:color w:val="1C2833"/>
          <w:sz w:val="21"/>
          <w:szCs w:val="21"/>
        </w:rPr>
        <w:t xml:space="preserve">DecisionOS is not a GRC replacement. It is not a compliance dashboard. It is not an AI monitoring tool. It produces the governance decisions that those tools cannot.</w:t>
      </w:r>
    </w:p>
    <w:p>
      <w:pPr>
        <w:spacing w:before="300" w:after="120"/>
      </w:pPr>
      <w:r>
        <w:rPr>
          <w:rFonts w:ascii="Arial" w:cs="Arial" w:eastAsia="Arial" w:hAnsi="Arial"/>
          <w:b/>
          <w:bCs/>
          <w:color w:val="2E86C1"/>
          <w:sz w:val="26"/>
          <w:szCs w:val="26"/>
        </w:rPr>
        <w:t xml:space="preserve">1.4 Entity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Entity</w:t>
            </w:r>
          </w:p>
        </w:tc>
        <w:tc>
          <w:tcPr>
            <w:tcW w:type="dxa" w:w="6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Role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AI Risk Tools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The company. Consultancy-to-product vehicle. Cybersecurity and enterprise architecture heritage.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DecisionOS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The product. Governed authorization platform for AI deployments.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AFAS Series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Thought leadership engine. Architecture Framework for Agentic Systems. Builds credibility with enterprise architects and GRC professionals. Feeds pipeline to DecisionOS.</w:t>
            </w:r>
          </w:p>
        </w:tc>
      </w:tr>
    </w:tbl>
    <w:p>
      <w:pPr>
        <w:spacing w:after="120"/>
      </w:pPr>
    </w:p>
    <w:p>
      <w:pPr>
        <w:spacing w:before="400" w:after="160"/>
      </w:pPr>
      <w:r>
        <w:rPr>
          <w:rFonts w:ascii="Arial" w:cs="Arial" w:eastAsia="Arial" w:hAnsi="Arial"/>
          <w:b/>
          <w:bCs/>
          <w:color w:val="1B4F72"/>
          <w:sz w:val="30"/>
          <w:szCs w:val="30"/>
        </w:rPr>
        <w:t xml:space="preserve">2. Competitive Landscape and Positioning</w:t>
      </w:r>
    </w:p>
    <w:p>
      <w:pPr>
        <w:spacing w:before="300" w:after="120"/>
      </w:pPr>
      <w:r>
        <w:rPr>
          <w:rFonts w:ascii="Arial" w:cs="Arial" w:eastAsia="Arial" w:hAnsi="Arial"/>
          <w:b/>
          <w:bCs/>
          <w:color w:val="2E86C1"/>
          <w:sz w:val="26"/>
          <w:szCs w:val="26"/>
        </w:rPr>
        <w:t xml:space="preserve">2.1 The Market Map</w:t>
      </w:r>
    </w:p>
    <w:p>
      <w:pPr>
        <w:spacing w:after="120" w:line="276"/>
      </w:pPr>
      <w:r>
        <w:rPr>
          <w:rFonts w:ascii="Arial" w:cs="Arial" w:eastAsia="Arial" w:hAnsi="Arial"/>
          <w:b w:val="false"/>
          <w:bCs w:val="false"/>
          <w:i w:val="false"/>
          <w:iCs w:val="false"/>
          <w:color w:val="1C2833"/>
          <w:sz w:val="21"/>
          <w:szCs w:val="21"/>
        </w:rPr>
        <w:t xml:space="preserve">The AI governance market has four tiers. DecisionOS occupies a gap that none of them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7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Tier</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Players</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They Do</w:t>
            </w:r>
          </w:p>
        </w:tc>
        <w:tc>
          <w:tcPr>
            <w:tcW w:type="dxa" w:w="2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They Don’t Do</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Enterprise AI Governance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Credo AI, Holistic AI, IBM watsonx.governance, OneTrust</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Inventory AI assets, continuous risk monitoring, compliance dashboards, audit artifacts. Six-figure contracts for Fortune 500.</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Produce structured governance decisions. They monitor AI after deployment; they don’t authorize deployment.</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Broad GRC + AI</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ServiceNow, Archer, LogicGate, Collibra, Dataiku</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Traditional GRC with AI governance modules bolted on. Distribution advantage from existing customer bases.</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Purpose-built AI decision support. AI governance is a feature, not the product.</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Open Source / Low-Cost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VerifyWise, Arthur AI (free tier)</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Compliance checklists, model monitoring, inventory. Accessible to organizations without enterprise budgets.</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Decision reasoning, risk quantification, evidence traceability, structured authorization output.</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Decision Infrastructure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DecisionOS (no current competitors)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Takes an AI use case as input, produces an auditable governance decision as output with full provenance chain.</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N/A — this is the gap.</w:t>
            </w:r>
          </w:p>
        </w:tc>
      </w:tr>
    </w:tbl>
    <w:p>
      <w:pPr>
        <w:spacing w:after="120"/>
      </w:pPr>
    </w:p>
    <w:p>
      <w:pPr>
        <w:spacing w:before="300" w:after="120"/>
      </w:pPr>
      <w:r>
        <w:rPr>
          <w:rFonts w:ascii="Arial" w:cs="Arial" w:eastAsia="Arial" w:hAnsi="Arial"/>
          <w:b/>
          <w:bCs/>
          <w:color w:val="2E86C1"/>
          <w:sz w:val="26"/>
          <w:szCs w:val="26"/>
        </w:rPr>
        <w:t xml:space="preserve">2.2 The Positioning</w:t>
      </w:r>
    </w:p>
    <w:p>
      <w:pPr>
        <w:spacing w:after="120" w:line="276"/>
      </w:pPr>
      <w:r>
        <w:rPr>
          <w:rFonts w:ascii="Arial" w:cs="Arial" w:eastAsia="Arial" w:hAnsi="Arial"/>
          <w:b/>
          <w:bCs/>
          <w:i w:val="false"/>
          <w:iCs w:val="false"/>
          <w:color w:val="1C2833"/>
          <w:sz w:val="21"/>
          <w:szCs w:val="21"/>
        </w:rPr>
        <w:t xml:space="preserve">DecisionOS produces the governance decision. Credo AI monitors the AI afterward. They are complementary, not competitive. </w:t>
      </w:r>
      <w:r>
        <w:rPr>
          <w:rFonts w:ascii="Arial" w:cs="Arial" w:eastAsia="Arial" w:hAnsi="Arial"/>
          <w:b w:val="false"/>
          <w:bCs w:val="false"/>
          <w:i w:val="false"/>
          <w:iCs w:val="false"/>
          <w:color w:val="1C2833"/>
          <w:sz w:val="21"/>
          <w:szCs w:val="21"/>
        </w:rPr>
        <w:t xml:space="preserve">DecisionOS is pre-deployment authorization; incumbent tools are post-deployment monitoring. This makes DecisionOS a wedge product that feeds into the existing ecosystem rather than competing with it.</w:t>
      </w:r>
    </w:p>
    <w:p>
      <w:pPr>
        <w:spacing w:before="300" w:after="120"/>
      </w:pPr>
      <w:r>
        <w:rPr>
          <w:rFonts w:ascii="Arial" w:cs="Arial" w:eastAsia="Arial" w:hAnsi="Arial"/>
          <w:b/>
          <w:bCs/>
          <w:color w:val="2E86C1"/>
          <w:sz w:val="26"/>
          <w:szCs w:val="26"/>
        </w:rPr>
        <w:t xml:space="preserve">2.3 Why Incumbents Can’t Easily Replicate This</w:t>
      </w:r>
    </w:p>
    <w:p>
      <w:pPr>
        <w:spacing w:after="120" w:line="276"/>
      </w:pPr>
      <w:r>
        <w:rPr>
          <w:rFonts w:ascii="Arial" w:cs="Arial" w:eastAsia="Arial" w:hAnsi="Arial"/>
          <w:b w:val="false"/>
          <w:bCs w:val="false"/>
          <w:i w:val="false"/>
          <w:iCs w:val="false"/>
          <w:color w:val="1C2833"/>
          <w:sz w:val="21"/>
          <w:szCs w:val="21"/>
        </w:rPr>
        <w:t xml:space="preserve">Every incumbent is architecturally oriented around inventory → monitor → report. Retrofitting that into a decision engine requires fundamental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Architectural Difference</w:t>
            </w:r>
          </w:p>
        </w:tc>
        <w:tc>
          <w:tcPr>
            <w:tcW w:type="dxa" w:w="3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Incumbent Pattern</w:t>
            </w:r>
          </w:p>
        </w:tc>
        <w:tc>
          <w:tcPr>
            <w:tcW w:type="dxa" w:w="3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DecisionOS Pattern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Core data model</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Asset registry (flat inventory of AI systems)</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Risk Decision Graph (case-bound reasoning substrate with nodes for claims, beliefs, evidence, policies, decisions)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Risk assessment</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Risk scores and dashboards (point-in-time snapshots)</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Belief Layer with revision — claims and beliefs are separate objects; beliefs update as evidence changes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Reasoning</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Checklist compliance against frameworks</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Structured reasoning pipeline: evidence → claims → beliefs → policy tests → decision options → recommendation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Output</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Compliance posture reports and audit artifacts</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Structured governance decision with full provenance chain, adversarial challenge, and deterministic evidence hash</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AI role</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Automation of compliance workflows</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Agentic decision support: agents gather, structure, challenge, model, recommend. Humans approve.</w:t>
            </w:r>
          </w:p>
        </w:tc>
      </w:tr>
    </w:tbl>
    <w:p>
      <w:pPr>
        <w:spacing w:after="120"/>
      </w:pPr>
    </w:p>
    <w:p>
      <w:pPr>
        <w:spacing w:after="120" w:line="276"/>
      </w:pPr>
      <w:r>
        <w:rPr>
          <w:rFonts w:ascii="Arial" w:cs="Arial" w:eastAsia="Arial" w:hAnsi="Arial"/>
          <w:b w:val="false"/>
          <w:bCs w:val="false"/>
          <w:i w:val="false"/>
          <w:iCs w:val="false"/>
          <w:color w:val="1C2833"/>
          <w:sz w:val="21"/>
          <w:szCs w:val="21"/>
        </w:rPr>
        <w:t xml:space="preserve">These are foundational architecture choices, not features. Bolting a decision engine onto a monitoring platform is like retrofitting a security camera system into a courtroom — same domain, completely different function.</w:t>
      </w:r>
    </w:p>
    <w:p>
      <w:pPr>
        <w:spacing w:before="400" w:after="160"/>
      </w:pPr>
      <w:r>
        <w:rPr>
          <w:rFonts w:ascii="Arial" w:cs="Arial" w:eastAsia="Arial" w:hAnsi="Arial"/>
          <w:b/>
          <w:bCs/>
          <w:color w:val="1B4F72"/>
          <w:sz w:val="30"/>
          <w:szCs w:val="30"/>
        </w:rPr>
        <w:t xml:space="preserve">3. Buyer Profile and Market Approach</w:t>
      </w:r>
    </w:p>
    <w:p>
      <w:pPr>
        <w:spacing w:before="300" w:after="120"/>
      </w:pPr>
      <w:r>
        <w:rPr>
          <w:rFonts w:ascii="Arial" w:cs="Arial" w:eastAsia="Arial" w:hAnsi="Arial"/>
          <w:b/>
          <w:bCs/>
          <w:color w:val="2E86C1"/>
          <w:sz w:val="26"/>
          <w:szCs w:val="26"/>
        </w:rPr>
        <w:t xml:space="preserve">3.1 Segment by Readiness, Not Company Size</w:t>
      </w:r>
    </w:p>
    <w:p>
      <w:pPr>
        <w:spacing w:after="120" w:line="276"/>
      </w:pPr>
      <w:r>
        <w:rPr>
          <w:rFonts w:ascii="Arial" w:cs="Arial" w:eastAsia="Arial" w:hAnsi="Arial"/>
          <w:b w:val="false"/>
          <w:bCs w:val="false"/>
          <w:i w:val="false"/>
          <w:iCs w:val="false"/>
          <w:color w:val="1C2833"/>
          <w:sz w:val="21"/>
          <w:szCs w:val="21"/>
        </w:rPr>
        <w:t xml:space="preserve">The initial strategic assumption of targeting 200–2000 employee companies has been deliberately relaxed. The buyer is defined by buying readiness, not headcount. Three buyer profiles exist across company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Buyer Profile</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Trigger</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Likely Size Range</w:t>
            </w:r>
          </w:p>
        </w:tc>
        <w:tc>
          <w:tcPr>
            <w:tcW w:type="dxa" w:w="2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Sales Motion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Regulatory Urgency</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EU AI Act, Colorado AI Act, SEC disclosure, board directive. They need governance proof NOW.</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All sizes — from 200-person SaaS to 10K-person financial services</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Direct. Shortest sales cycle. Highest willingness to pay.</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Governance Gap</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Have Credo AI / OneTrust / etc. but can’t produce structured decisions. Monitoring tools don’t answer “should we approve this?”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Enterprise (2,000+). Already spending on AI governance.</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Complement sale. Position as the pre-deployment layer their existing tools lack.</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Early Maturity</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Know they should govern AI but haven’t started. Using spreadsheets, memos, or nothing.</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Mid-market (200–2,000). Limited budget and no dedicated governance team.</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Education + low-friction entry. Longest sales cycle but largest addressable volume.</w:t>
            </w:r>
          </w:p>
        </w:tc>
      </w:tr>
    </w:tbl>
    <w:p>
      <w:pPr>
        <w:spacing w:after="120"/>
      </w:pPr>
    </w:p>
    <w:p>
      <w:pPr>
        <w:spacing w:before="300" w:after="120"/>
      </w:pPr>
      <w:r>
        <w:rPr>
          <w:rFonts w:ascii="Arial" w:cs="Arial" w:eastAsia="Arial" w:hAnsi="Arial"/>
          <w:b/>
          <w:bCs/>
          <w:color w:val="2E86C1"/>
          <w:sz w:val="26"/>
          <w:szCs w:val="26"/>
        </w:rPr>
        <w:t xml:space="preserve">3.2 Primary Buyer Titles</w:t>
      </w:r>
    </w:p>
    <w:p>
      <w:pPr>
        <w:spacing w:after="120" w:line="276"/>
      </w:pPr>
      <w:r>
        <w:rPr>
          <w:rFonts w:ascii="Arial" w:cs="Arial" w:eastAsia="Arial" w:hAnsi="Arial"/>
          <w:b w:val="false"/>
          <w:bCs w:val="false"/>
          <w:i w:val="false"/>
          <w:iCs w:val="false"/>
          <w:color w:val="1C2833"/>
          <w:sz w:val="21"/>
          <w:szCs w:val="21"/>
        </w:rPr>
        <w:t xml:space="preserve">CISO, Head of AI/ML, Chief AI Officer (emerging role — Gartner predicts 25% of large orgs will have dedicated AI governance teams by 2028), GRC Lead, VP of Engineering at companies deploying customer-facing AI, and Chief Compliance Officer at regulated companies.</w:t>
      </w:r>
    </w:p>
    <w:p>
      <w:pPr>
        <w:spacing w:before="300" w:after="120"/>
      </w:pPr>
      <w:r>
        <w:rPr>
          <w:rFonts w:ascii="Arial" w:cs="Arial" w:eastAsia="Arial" w:hAnsi="Arial"/>
          <w:b/>
          <w:bCs/>
          <w:color w:val="2E86C1"/>
          <w:sz w:val="26"/>
          <w:szCs w:val="26"/>
        </w:rPr>
        <w:t xml:space="preserve">3.3 Pricing Strategy: Discover, Don’t Assume</w:t>
      </w:r>
    </w:p>
    <w:p>
      <w:pPr>
        <w:spacing w:after="120" w:line="276"/>
      </w:pPr>
      <w:r>
        <w:rPr>
          <w:rFonts w:ascii="Arial" w:cs="Arial" w:eastAsia="Arial" w:hAnsi="Arial"/>
          <w:b w:val="false"/>
          <w:bCs w:val="false"/>
          <w:i w:val="false"/>
          <w:iCs w:val="false"/>
          <w:color w:val="1C2833"/>
          <w:sz w:val="21"/>
          <w:szCs w:val="21"/>
        </w:rPr>
        <w:t xml:space="preserve">Pricing has not been validated. The approach is to build a product that performs, then run discovery conversations across all accessible buyer segments to find where pricing fits. Possible models to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Model</w:t>
            </w:r>
          </w:p>
        </w:tc>
        <w:tc>
          <w:tcPr>
            <w:tcW w:type="dxa" w:w="34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Structure</w:t>
            </w:r>
          </w:p>
        </w:tc>
        <w:tc>
          <w:tcPr>
            <w:tcW w:type="dxa" w:w="34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Positioning</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Per-decision authorization</w:t>
            </w:r>
          </w:p>
        </w:tc>
        <w:tc>
          <w:tcPr>
            <w:tcW w:type="dxa" w:w="3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$500–$5,000 per AI use case governance decision</w:t>
            </w:r>
          </w:p>
        </w:tc>
        <w:tc>
          <w:tcPr>
            <w:tcW w:type="dxa" w:w="3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Accessible entry point. Aligns cost with value delivered.</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Governance program subscription</w:t>
            </w:r>
          </w:p>
        </w:tc>
        <w:tc>
          <w:tcPr>
            <w:tcW w:type="dxa" w:w="3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Monthly fee for unlimited decisions across a portfolio of AI use cases</w:t>
            </w:r>
          </w:p>
        </w:tc>
        <w:tc>
          <w:tcPr>
            <w:tcW w:type="dxa" w:w="3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SaaS model. Recurring revenue. Scales with AI deployment volume.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White-glove engagement</w:t>
            </w:r>
          </w:p>
        </w:tc>
        <w:tc>
          <w:tcPr>
            <w:tcW w:type="dxa" w:w="3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$25K–$50K for a package of governance decisions with advisory</w:t>
            </w:r>
          </w:p>
        </w:tc>
        <w:tc>
          <w:tcPr>
            <w:tcW w:type="dxa" w:w="3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Enterprise entry. Highest revenue per customer. Proves value before platform sale.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Channel / licensing</w:t>
            </w:r>
          </w:p>
        </w:tc>
        <w:tc>
          <w:tcPr>
            <w:tcW w:type="dxa" w:w="3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License the pipeline to GRC consulting firms who serve their clients</w:t>
            </w:r>
          </w:p>
        </w:tc>
        <w:tc>
          <w:tcPr>
            <w:tcW w:type="dxa" w:w="3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Leverage others’ distribution. Potentially highest scale.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AC0D" w:sz="8"/>
              <w:bottom w:val="none" w:sz="0"/>
              <w:right w:val="none" w:sz="0"/>
            </w:tcBorders>
            <w:shd w:fill="FEF9E7" w:val="clear"/>
            <w:tcMar>
              <w:top w:type="dxa" w:w="120"/>
              <w:left w:type="dxa" w:w="200"/>
              <w:bottom w:type="dxa" w:w="120"/>
              <w:right w:type="dxa" w:w="200"/>
            </w:tcMar>
          </w:tcPr>
          <w:p>
            <w:pPr>
              <w:spacing w:after="0"/>
            </w:pPr>
            <w:r>
              <w:rPr>
                <w:rFonts w:ascii="Arial" w:cs="Arial" w:eastAsia="Arial" w:hAnsi="Arial"/>
                <w:i/>
                <w:iCs/>
                <w:color w:val="7D6608"/>
                <w:sz w:val="21"/>
                <w:szCs w:val="21"/>
              </w:rPr>
              <w:t xml:space="preserve">Open question: Pricing cannot be set without buyer validation. The 90-day plan includes a parallel discovery track (10+ conversations across segments) to validate willingness to pay and preferred engagement model.</w:t>
            </w:r>
          </w:p>
        </w:tc>
      </w:tr>
    </w:tbl>
    <w:p>
      <w:pPr>
        <w:spacing w:after="120"/>
      </w:pPr>
    </w:p>
    <w:p>
      <w:pPr>
        <w:spacing w:before="400" w:after="160"/>
      </w:pPr>
      <w:r>
        <w:rPr>
          <w:rFonts w:ascii="Arial" w:cs="Arial" w:eastAsia="Arial" w:hAnsi="Arial"/>
          <w:b/>
          <w:bCs/>
          <w:color w:val="1B4F72"/>
          <w:sz w:val="30"/>
          <w:szCs w:val="30"/>
        </w:rPr>
        <w:t xml:space="preserve">4. Product Architecture</w:t>
      </w:r>
    </w:p>
    <w:p>
      <w:pPr>
        <w:spacing w:before="300" w:after="120"/>
      </w:pPr>
      <w:r>
        <w:rPr>
          <w:rFonts w:ascii="Arial" w:cs="Arial" w:eastAsia="Arial" w:hAnsi="Arial"/>
          <w:b/>
          <w:bCs/>
          <w:color w:val="2E86C1"/>
          <w:sz w:val="26"/>
          <w:szCs w:val="26"/>
        </w:rPr>
        <w:t xml:space="preserve">4.1 The Core Pipeline</w:t>
      </w:r>
    </w:p>
    <w:p>
      <w:pPr>
        <w:spacing w:after="120" w:line="276"/>
      </w:pPr>
      <w:r>
        <w:rPr>
          <w:rFonts w:ascii="Arial" w:cs="Arial" w:eastAsia="Arial" w:hAnsi="Arial"/>
          <w:b w:val="false"/>
          <w:bCs w:val="false"/>
          <w:i w:val="false"/>
          <w:iCs w:val="false"/>
          <w:color w:val="1C2833"/>
          <w:sz w:val="21"/>
          <w:szCs w:val="21"/>
        </w:rPr>
        <w:t xml:space="preserve">Every governance decision follows the same structured pipeline, regardless of buyer size or engagement model:</w:t>
      </w:r>
    </w:p>
    <w:p>
      <w:pPr>
        <w:spacing w:after="120" w:line="276"/>
      </w:pPr>
      <w:r>
        <w:rPr>
          <w:rFonts w:ascii="Arial" w:cs="Arial" w:eastAsia="Arial" w:hAnsi="Arial"/>
          <w:b/>
          <w:bCs/>
          <w:i w:val="false"/>
          <w:iCs w:val="false"/>
          <w:color w:val="1C2833"/>
          <w:sz w:val="21"/>
          <w:szCs w:val="21"/>
        </w:rPr>
        <w:t xml:space="preserve">Case Intake → Entity Extraction → Evidence Collection → Claim Generation → Belief Scoring → Framework Mapping → Policy Testing → Risk Quantification → Adversarial Challenge → Decision Recommendation → Human Approval → Governance Record</w:t>
      </w:r>
    </w:p>
    <w:p>
      <w:pPr>
        <w:spacing w:after="80"/>
      </w:pPr>
    </w:p>
    <w:p>
      <w:pPr>
        <w:spacing w:after="120" w:line="276"/>
      </w:pPr>
      <w:r>
        <w:rPr>
          <w:rFonts w:ascii="Arial" w:cs="Arial" w:eastAsia="Arial" w:hAnsi="Arial"/>
          <w:b w:val="false"/>
          <w:bCs w:val="false"/>
          <w:i w:val="false"/>
          <w:iCs w:val="false"/>
          <w:color w:val="1C2833"/>
          <w:sz w:val="21"/>
          <w:szCs w:val="21"/>
        </w:rPr>
        <w:t xml:space="preserve">The output is a structured governance decision artifact containing: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Section</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Content</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Use Case Profile</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System description, data flows, stakeholders, deployment context</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ProfileBuilder capability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Risk Assessment</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Identified risks with severity/likelihood, mapped to risk taxonomy</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RiskMapper capability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Framework Alignment</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Control mapping to NIST AI RMF / ISO 42001 / EU AI Act with gap analysis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FrameworkMapper capability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Risk Quantification</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FAIR-compatible loss estimates with structured decomposition and ranges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Decision Engine (new)</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Challenges &amp; Counterarguments</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Structured objections against the recommendation — adversarial self-critique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Challenger Agent (new)</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Decision Recommendation</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Approve / Approve with Conditions / Reject, with structured rationale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Decision Engine (new)</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Evidence Currency</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Traffic-light indicator per evidence source: current / aging / stale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Evidence Service (new)</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Audit Trail</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Full reasoning chain with deterministic SHA-256 hash for tamper-evident provenance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Provenance Service (new)</w:t>
            </w:r>
          </w:p>
        </w:tc>
      </w:tr>
    </w:tbl>
    <w:p>
      <w:pPr>
        <w:spacing w:after="120"/>
      </w:pPr>
    </w:p>
    <w:p>
      <w:pPr>
        <w:spacing w:before="300" w:after="120"/>
      </w:pPr>
      <w:r>
        <w:rPr>
          <w:rFonts w:ascii="Arial" w:cs="Arial" w:eastAsia="Arial" w:hAnsi="Arial"/>
          <w:b/>
          <w:bCs/>
          <w:color w:val="2E86C1"/>
          <w:sz w:val="26"/>
          <w:szCs w:val="26"/>
        </w:rPr>
        <w:t xml:space="preserve">4.2 Existing Components</w:t>
      </w:r>
    </w:p>
    <w:p>
      <w:pPr>
        <w:spacing w:after="120" w:line="276"/>
      </w:pPr>
      <w:r>
        <w:rPr>
          <w:rFonts w:ascii="Arial" w:cs="Arial" w:eastAsia="Arial" w:hAnsi="Arial"/>
          <w:b w:val="false"/>
          <w:bCs w:val="false"/>
          <w:i w:val="false"/>
          <w:iCs w:val="false"/>
          <w:color w:val="1C2833"/>
          <w:sz w:val="21"/>
          <w:szCs w:val="21"/>
        </w:rPr>
        <w:t xml:space="preserve">Three pipeline stages already exist from prior AI Risk Tools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4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Pipeline Stage</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ProfileBuilder</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Entity + Context Layer — builds organizational profile that scopes every risk decision</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Built. Needs integration into end-to-end pipeline.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RiskMapper</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Claims + Beliefs Layer — identifies and scores risk factors against the profile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Built. Needs integration into end-to-end pipeline.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FrameworkMapper</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Policy Tests Layer — maps risks to control frameworks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Built. Needs integration into end-to-end pipeline.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4F72" w:sz="8"/>
              <w:bottom w:val="none" w:sz="0"/>
              <w:right w:val="none" w:sz="0"/>
            </w:tcBorders>
            <w:shd w:fill="EBF5FB" w:val="clear"/>
            <w:tcMar>
              <w:top w:type="dxa" w:w="120"/>
              <w:left w:type="dxa" w:w="200"/>
              <w:bottom w:type="dxa" w:w="120"/>
              <w:right w:type="dxa" w:w="200"/>
            </w:tcMar>
          </w:tcPr>
          <w:p>
            <w:pPr>
              <w:spacing w:after="0"/>
            </w:pPr>
            <w:r>
              <w:rPr>
                <w:rFonts w:ascii="Arial" w:cs="Arial" w:eastAsia="Arial" w:hAnsi="Arial"/>
                <w:i/>
                <w:iCs/>
                <w:color w:val="1B4F72"/>
                <w:sz w:val="21"/>
                <w:szCs w:val="21"/>
              </w:rPr>
              <w:t xml:space="preserve">Key insight: 75% of the pipeline already exists. The gap is the Decision Engine, Challenger Agent, Evidence Currency tracking, and Provenance Service — the components that turn analysis into an auditable, defensible governance decision.</w:t>
            </w:r>
          </w:p>
        </w:tc>
      </w:tr>
    </w:tbl>
    <w:p>
      <w:pPr>
        <w:spacing w:after="120"/>
      </w:pPr>
    </w:p>
    <w:p>
      <w:pPr>
        <w:spacing w:before="300" w:after="120"/>
      </w:pPr>
      <w:r>
        <w:rPr>
          <w:rFonts w:ascii="Arial" w:cs="Arial" w:eastAsia="Arial" w:hAnsi="Arial"/>
          <w:b/>
          <w:bCs/>
          <w:color w:val="2E86C1"/>
          <w:sz w:val="26"/>
          <w:szCs w:val="26"/>
        </w:rPr>
        <w:t xml:space="preserve">4.3 The Five Product Principles (Non-Negotiable)</w:t>
      </w:r>
    </w:p>
    <w:p>
      <w:pPr>
        <w:spacing w:after="120" w:line="276"/>
      </w:pPr>
      <w:r>
        <w:rPr>
          <w:rFonts w:ascii="Arial" w:cs="Arial" w:eastAsia="Arial" w:hAnsi="Arial"/>
          <w:b w:val="false"/>
          <w:bCs w:val="false"/>
          <w:i w:val="false"/>
          <w:iCs w:val="false"/>
          <w:color w:val="1C2833"/>
          <w:sz w:val="21"/>
          <w:szCs w:val="21"/>
        </w:rPr>
        <w:t xml:space="preserve">These are not engineering guidelines. They are the architectural decisions that make DecisionOS defensible and differentiated.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Principle</w:t>
            </w:r>
          </w:p>
        </w:tc>
        <w:tc>
          <w:tcPr>
            <w:tcW w:type="dxa" w:w="35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Means</w:t>
            </w:r>
          </w:p>
        </w:tc>
        <w:tc>
          <w:tcPr>
            <w:tcW w:type="dxa" w:w="35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 It’s Defensible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Claims ≠ Beliefs ≠ Decisions</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Claims are assertions. Beliefs are the governed stance toward those assertions. Decisions are structured outputs. These are separate data objects with distinct lifecycles.</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Most competitors collapse these into a single risk score. Separation enables belief revision, temporal tracking, and replay under prior policy.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No freeform agent decisions</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Agents gather, structure, challenge, model, and recommend. They never write final decisions without structured evidence links.</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Separates DecisionOS from every “AI wrapper on a GRC dashboard” competitor.</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Policy logic is explicit</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Governance rules are versioned, testable, and replayable. Not buried in prompts.</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Enables decision replay under prior policy. Regulatory gold for audit scenarios.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No evidence without provenance</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Every piece of evidence carries source, timestamp, freshness metadata, and deterministic hash.</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Makes “auditable” concrete. The trust chain that regulators actually verify.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Humans approve, agents recommend</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Final authority stays with governance controls. Named approver required.</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Gets past CISO skepticism. Positions as acceleration, not replacement.</w:t>
            </w:r>
          </w:p>
        </w:tc>
      </w:tr>
    </w:tbl>
    <w:p>
      <w:pPr>
        <w:spacing w:after="120"/>
      </w:pPr>
    </w:p>
    <w:p>
      <w:pPr>
        <w:spacing w:before="300" w:after="120"/>
      </w:pPr>
      <w:r>
        <w:rPr>
          <w:rFonts w:ascii="Arial" w:cs="Arial" w:eastAsia="Arial" w:hAnsi="Arial"/>
          <w:b/>
          <w:bCs/>
          <w:color w:val="2E86C1"/>
          <w:sz w:val="26"/>
          <w:szCs w:val="26"/>
        </w:rPr>
        <w:t xml:space="preserve">4.4 The Belief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4F72" w:sz="8"/>
              <w:bottom w:val="none" w:sz="0"/>
              <w:right w:val="none" w:sz="0"/>
            </w:tcBorders>
            <w:shd w:fill="EBF5FB" w:val="clear"/>
            <w:tcMar>
              <w:top w:type="dxa" w:w="120"/>
              <w:left w:type="dxa" w:w="200"/>
              <w:bottom w:type="dxa" w:w="120"/>
              <w:right w:type="dxa" w:w="200"/>
            </w:tcMar>
          </w:tcPr>
          <w:p>
            <w:pPr>
              <w:spacing w:after="0"/>
            </w:pPr>
            <w:r>
              <w:rPr>
                <w:rFonts w:ascii="Arial" w:cs="Arial" w:eastAsia="Arial" w:hAnsi="Arial"/>
                <w:i/>
                <w:iCs/>
                <w:color w:val="1B4F72"/>
                <w:sz w:val="21"/>
                <w:szCs w:val="21"/>
              </w:rPr>
              <w:t xml:space="preserve">The Belief Layer is the single most defensible technical concept in the entire stack. It is the architectural feature that makes DecisionOS an operating system rather than a static assessment tool.</w:t>
            </w:r>
          </w:p>
        </w:tc>
      </w:tr>
    </w:tbl>
    <w:p>
      <w:pPr>
        <w:spacing w:after="80"/>
      </w:pPr>
    </w:p>
    <w:p>
      <w:pPr>
        <w:spacing w:after="120" w:line="276"/>
      </w:pPr>
      <w:r>
        <w:rPr>
          <w:rFonts w:ascii="Arial" w:cs="Arial" w:eastAsia="Arial" w:hAnsi="Arial"/>
          <w:b w:val="false"/>
          <w:bCs w:val="false"/>
          <w:i w:val="false"/>
          <w:iCs w:val="false"/>
          <w:color w:val="1C2833"/>
          <w:sz w:val="21"/>
          <w:szCs w:val="21"/>
        </w:rPr>
        <w:t xml:space="preserve">Claims are assertions extracted from evidence. Beliefs are the current governed stance toward those claims. When new evidence arrives: beliefs re-evaluate → affected policy tests re-run → decision options re-evaluate → review triggers fire if thresholds are crossed. This creates a living, dynamic governance system rather than point-in-time snapshots.</w:t>
      </w:r>
    </w:p>
    <w:p>
      <w:pPr>
        <w:spacing w:after="120" w:line="276"/>
      </w:pPr>
      <w:r>
        <w:rPr>
          <w:rFonts w:ascii="Arial" w:cs="Arial" w:eastAsia="Arial" w:hAnsi="Arial"/>
          <w:b w:val="false"/>
          <w:bCs w:val="false"/>
          <w:i w:val="false"/>
          <w:iCs w:val="false"/>
          <w:color w:val="1C2833"/>
          <w:sz w:val="21"/>
          <w:szCs w:val="21"/>
        </w:rPr>
        <w:t xml:space="preserve">Belief states include: unknown, under_review, plausible, provisionally_accepted, accepted, contested, insufficient_evidence, rejected, stale, superseded. Each belief carries strength, uncertainty, supporting and opposing claims, and revision history.</w:t>
      </w:r>
    </w:p>
    <w:p>
      <w:pPr>
        <w:spacing w:before="400" w:after="160"/>
      </w:pPr>
      <w:r>
        <w:rPr>
          <w:rFonts w:ascii="Arial" w:cs="Arial" w:eastAsia="Arial" w:hAnsi="Arial"/>
          <w:b/>
          <w:bCs/>
          <w:color w:val="1B4F72"/>
          <w:sz w:val="30"/>
          <w:szCs w:val="30"/>
        </w:rPr>
        <w:t xml:space="preserve">5. Risk Quantification Strategy</w:t>
      </w:r>
    </w:p>
    <w:p>
      <w:pPr>
        <w:spacing w:after="120" w:line="276"/>
      </w:pPr>
      <w:r>
        <w:rPr>
          <w:rFonts w:ascii="Arial" w:cs="Arial" w:eastAsia="Arial" w:hAnsi="Arial"/>
          <w:b w:val="false"/>
          <w:bCs w:val="false"/>
          <w:i w:val="false"/>
          <w:iCs w:val="false"/>
          <w:color w:val="1C2833"/>
          <w:sz w:val="21"/>
          <w:szCs w:val="21"/>
        </w:rPr>
        <w:t xml:space="preserve">The architecture specifies a three-layer risk quantification approach that no current competitor combines.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Layer</w:t>
            </w:r>
          </w:p>
        </w:tc>
        <w:tc>
          <w:tcPr>
            <w:tcW w:type="dxa" w:w="35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Does</w:t>
            </w:r>
          </w:p>
        </w:tc>
        <w:tc>
          <w:tcPr>
            <w:tcW w:type="dxa" w:w="35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 It Matters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FAIR (Credibility)</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Provides the risk decomposition taxonomy (loss frequency × magnitude) and financial output format. Loss exceedance curves, ALE, P90/P95/P99 loss metrics.</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Credibility. FAIR is the international standard. ~50% of Fortune 1000 use it. Boards and auditors understand the output.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Bayesian Networks (Intelligence)</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Models causal dependencies between risk factors. Powers belief revision via Bayes’ rule. Propagates uncertainty. Enables “what-if” scenario analysis with intervention reasoning.</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Intelligence. This is the engine that makes DecisionOS dynamic. Addresses FAIR’s independence assumptions and scalability limits.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LLM-as-Estimator (Accessibility)</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Generates initial probability estimates from case evidence. Surfaces assumptions for human review and override. Reduces expert labor requirement by 80%+.</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Accessibility. Makes quantified risk viable for organizations without dedicated risk analysts. Validated against expert baselines.</w:t>
            </w:r>
          </w:p>
        </w:tc>
      </w:tr>
    </w:tbl>
    <w:p>
      <w:pPr>
        <w:spacing w:after="120"/>
      </w:pPr>
    </w:p>
    <w:p>
      <w:pPr>
        <w:spacing w:before="300" w:after="120"/>
      </w:pPr>
      <w:r>
        <w:rPr>
          <w:rFonts w:ascii="Arial" w:cs="Arial" w:eastAsia="Arial" w:hAnsi="Arial"/>
          <w:b/>
          <w:bCs/>
          <w:color w:val="2E86C1"/>
          <w:sz w:val="26"/>
          <w:szCs w:val="26"/>
        </w:rPr>
        <w:t xml:space="preserve">5.1 Quantification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360"/>
        <w:gridCol w:w="22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Capability</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Timeline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Phase 1</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LLM-generated risk estimates with FAIR-compatible output format. Structured decomposition with ranges and rationale. No Monte Carlo yet.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Days 1–90</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Phase 2</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Monte Carlo simulation for probability distributions and loss exceedance curves. Basic Bayesian belief updating when evidence changes mid-case.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Days 91–180</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Phase 3</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Full causal BN modeling for complex cases. Cross-case learning. Scenario comparison. Horizon bet: gradient-based optimization over causal graphs for continuous adaptive risk scoring.</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Days 181+</w:t>
            </w:r>
          </w:p>
        </w:tc>
      </w:tr>
    </w:tbl>
    <w:p>
      <w:pPr>
        <w:spacing w:after="120"/>
      </w:pPr>
    </w:p>
    <w:p>
      <w:pPr>
        <w:spacing w:before="400" w:after="160"/>
      </w:pPr>
      <w:r>
        <w:rPr>
          <w:rFonts w:ascii="Arial" w:cs="Arial" w:eastAsia="Arial" w:hAnsi="Arial"/>
          <w:b/>
          <w:bCs/>
          <w:color w:val="1B4F72"/>
          <w:sz w:val="30"/>
          <w:szCs w:val="30"/>
        </w:rPr>
        <w:t xml:space="preserve">6. Research-Informed Differentiators</w:t>
      </w:r>
    </w:p>
    <w:p>
      <w:pPr>
        <w:spacing w:after="120" w:line="276"/>
      </w:pPr>
      <w:r>
        <w:rPr>
          <w:rFonts w:ascii="Arial" w:cs="Arial" w:eastAsia="Arial" w:hAnsi="Arial"/>
          <w:b w:val="false"/>
          <w:bCs w:val="false"/>
          <w:i w:val="false"/>
          <w:iCs w:val="false"/>
          <w:color w:val="1C2833"/>
          <w:sz w:val="21"/>
          <w:szCs w:val="21"/>
        </w:rPr>
        <w:t xml:space="preserve">Recent research on agentic reasoning systems, knowledge graphs, adversarial AI, and risk quantification validates the architecture and reveals additional capabilities to integrate.</w:t>
      </w:r>
    </w:p>
    <w:p>
      <w:pPr>
        <w:spacing w:before="300" w:after="120"/>
      </w:pPr>
      <w:r>
        <w:rPr>
          <w:rFonts w:ascii="Arial" w:cs="Arial" w:eastAsia="Arial" w:hAnsi="Arial"/>
          <w:b/>
          <w:bCs/>
          <w:color w:val="2E86C1"/>
          <w:sz w:val="26"/>
          <w:szCs w:val="26"/>
        </w:rPr>
        <w:t xml:space="preserve">6.1 Phase 1 Additions (Low-Cost, High-Impact)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W w:type="dxa" w:w="4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Does</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Implementation Cost</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Adversarial Self-Critique</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Second LLM pass generates structured counterarguments to the pipeline’s own recommendation. Inspired by argumentation graph research. Buyers trust a report that argues against itself.</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Low. One additional LLM call per decision.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Evidence Hash Chain</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Deterministic SHA-256 hash of evidence inputs + reasoning chain. Tamper-evident provenance without blockchain or zk-proofs.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Trivial. One day of work.</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Evidence Currency Indicators</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Traffic-light system per evidence source based on timestamp and domain-specific decay rates. Formalizes temporal validity.</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Low. Timestamp comparison with configurable thresholds.</w:t>
            </w:r>
          </w:p>
        </w:tc>
      </w:tr>
    </w:tbl>
    <w:p>
      <w:pPr>
        <w:spacing w:after="120"/>
      </w:pPr>
    </w:p>
    <w:p>
      <w:pPr>
        <w:spacing w:before="300" w:after="120"/>
      </w:pPr>
      <w:r>
        <w:rPr>
          <w:rFonts w:ascii="Arial" w:cs="Arial" w:eastAsia="Arial" w:hAnsi="Arial"/>
          <w:b/>
          <w:bCs/>
          <w:color w:val="2E86C1"/>
          <w:sz w:val="26"/>
          <w:szCs w:val="26"/>
        </w:rPr>
        <w:t xml:space="preserve">6.2 Phase 2+ Architecture Patterns from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Pattern</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4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Application in DecisionOS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Consolidation Agent</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Google Always-On Memory Agent</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Background process that periodically reviews completed decisions, finds cross-case patterns (recurring control gaps, risk trends), surfaces portfolio intelligence.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Tiered Model Routing</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Google Always-On Memory Agent</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Cheap/fast models for evidence extraction and entity identification. Capable models for decision synthesis, policy evaluation, adversarial critique. Cost structure decision.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Strategy-Doc-as-Config</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Karpathy Autoresearch</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Customers author governance policy documents as pipeline input instead of using a configuration UI. Radically simpler intake. Human controls strategy, agent controls execution.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Pipeline Self-Improvement</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Karpathy Autoresearch</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Automated loop: modify pipeline parameters, run on test cases, evaluate against quality rubric, keep or discard. Hardens report quality without manual prompt tuning.</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Dynamic Hypergraphs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Agentic research synthesis</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Evolve from case-bound graphs to dynamic hypergraphs with provenance chains for cross-case intelligence and group causation modeling.</w:t>
            </w:r>
          </w:p>
        </w:tc>
      </w:tr>
    </w:tbl>
    <w:p>
      <w:pPr>
        <w:spacing w:after="120"/>
      </w:pPr>
    </w:p>
    <w:p>
      <w:pPr>
        <w:spacing w:before="300" w:after="120"/>
      </w:pPr>
      <w:r>
        <w:rPr>
          <w:rFonts w:ascii="Arial" w:cs="Arial" w:eastAsia="Arial" w:hAnsi="Arial"/>
          <w:b/>
          <w:bCs/>
          <w:color w:val="2E86C1"/>
          <w:sz w:val="26"/>
          <w:szCs w:val="26"/>
        </w:rPr>
        <w:t xml:space="preserve">6.3 Narrative Positioning from Research</w:t>
      </w:r>
    </w:p>
    <w:p>
      <w:pPr>
        <w:spacing w:after="120" w:line="276"/>
      </w:pPr>
      <w:r>
        <w:rPr>
          <w:rFonts w:ascii="Arial" w:cs="Arial" w:eastAsia="Arial" w:hAnsi="Arial"/>
          <w:b w:val="false"/>
          <w:bCs w:val="false"/>
          <w:i w:val="false"/>
          <w:iCs w:val="false"/>
          <w:color w:val="1C2833"/>
          <w:sz w:val="21"/>
          <w:szCs w:val="21"/>
        </w:rPr>
        <w:t xml:space="preserve">Research consistently critiques static risk graphs as insufficient. The Belief Layer, evidence aging, and drift detection already make DecisionOS’s graph a living structure. The positioning should reflect this: “Dynamic Risk Decision Graph” rather than “Risk Decision Graph.” Preempts the inevitable criticism that the system produces static point-in-time assessments.</w:t>
      </w:r>
    </w:p>
    <w:p>
      <w:pPr>
        <w:spacing w:before="400" w:after="160"/>
      </w:pPr>
      <w:r>
        <w:rPr>
          <w:rFonts w:ascii="Arial" w:cs="Arial" w:eastAsia="Arial" w:hAnsi="Arial"/>
          <w:b/>
          <w:bCs/>
          <w:color w:val="1B4F72"/>
          <w:sz w:val="30"/>
          <w:szCs w:val="30"/>
        </w:rPr>
        <w:t xml:space="preserve">7. Go-to-Market Strategy</w:t>
      </w:r>
    </w:p>
    <w:p>
      <w:pPr>
        <w:spacing w:before="300" w:after="120"/>
      </w:pPr>
      <w:r>
        <w:rPr>
          <w:rFonts w:ascii="Arial" w:cs="Arial" w:eastAsia="Arial" w:hAnsi="Arial"/>
          <w:b/>
          <w:bCs/>
          <w:color w:val="2E86C1"/>
          <w:sz w:val="26"/>
          <w:szCs w:val="26"/>
        </w:rPr>
        <w:t xml:space="preserve">7.1 The Product Is a Governed Authorization, Not a Report</w:t>
      </w:r>
    </w:p>
    <w:p>
      <w:pPr>
        <w:spacing w:after="120" w:line="276"/>
      </w:pPr>
      <w:r>
        <w:rPr>
          <w:rFonts w:ascii="Arial" w:cs="Arial" w:eastAsia="Arial" w:hAnsi="Arial"/>
          <w:b w:val="false"/>
          <w:bCs w:val="false"/>
          <w:i w:val="false"/>
          <w:iCs w:val="false"/>
          <w:color w:val="1C2833"/>
          <w:sz w:val="21"/>
          <w:szCs w:val="21"/>
        </w:rPr>
        <w:t xml:space="preserve">The initial framing of “report as product” was deliberately challenged and revised. A report is a commodity — any practitioner can prompt an LLM for something that looks 70% as good. The real value is threefold:</w:t>
      </w:r>
    </w:p>
    <w:p>
      <w:pPr>
        <w:spacing w:after="120" w:line="276"/>
      </w:pPr>
      <w:r>
        <w:rPr>
          <w:rFonts w:ascii="Arial" w:cs="Arial" w:eastAsia="Arial" w:hAnsi="Arial"/>
          <w:b/>
          <w:bCs/>
          <w:i w:val="false"/>
          <w:iCs w:val="false"/>
          <w:color w:val="1C2833"/>
          <w:sz w:val="21"/>
          <w:szCs w:val="21"/>
        </w:rPr>
        <w:t xml:space="preserve">Completeness enforcement: </w:t>
      </w:r>
      <w:r>
        <w:rPr>
          <w:rFonts w:ascii="Arial" w:cs="Arial" w:eastAsia="Arial" w:hAnsi="Arial"/>
          <w:b w:val="false"/>
          <w:bCs w:val="false"/>
          <w:i w:val="false"/>
          <w:iCs w:val="false"/>
          <w:color w:val="1C2833"/>
          <w:sz w:val="21"/>
          <w:szCs w:val="21"/>
        </w:rPr>
        <w:t xml:space="preserve">The pipeline guarantees coverage. Every use case gets framework mapping, risk decomposition, policy testing, evidence validation, AND adversarial challenge. Ad hoc LLM queries miss what you didn’t think to ask.</w:t>
      </w:r>
    </w:p>
    <w:p>
      <w:pPr>
        <w:spacing w:after="120" w:line="276"/>
      </w:pPr>
      <w:r>
        <w:rPr>
          <w:rFonts w:ascii="Arial" w:cs="Arial" w:eastAsia="Arial" w:hAnsi="Arial"/>
          <w:b/>
          <w:bCs/>
          <w:i w:val="false"/>
          <w:iCs w:val="false"/>
          <w:color w:val="1C2833"/>
          <w:sz w:val="21"/>
          <w:szCs w:val="21"/>
        </w:rPr>
        <w:t xml:space="preserve">The decision record as a legal artifact: </w:t>
      </w:r>
      <w:r>
        <w:rPr>
          <w:rFonts w:ascii="Arial" w:cs="Arial" w:eastAsia="Arial" w:hAnsi="Arial"/>
          <w:b w:val="false"/>
          <w:bCs w:val="false"/>
          <w:i w:val="false"/>
          <w:iCs w:val="false"/>
          <w:color w:val="1C2833"/>
          <w:sz w:val="21"/>
          <w:szCs w:val="21"/>
        </w:rPr>
        <w:t xml:space="preserve">Valuable not because someone reads it, but because it exists as a defensible record when something goes wrong. When the EU AI Act auditor shows up, when the board asks “did we evaluate this?” The hashed evidence chain, structured reasoning, and timestamped approval are a governance receipt.</w:t>
      </w:r>
    </w:p>
    <w:p>
      <w:pPr>
        <w:spacing w:after="120" w:line="276"/>
      </w:pPr>
      <w:r>
        <w:rPr>
          <w:rFonts w:ascii="Arial" w:cs="Arial" w:eastAsia="Arial" w:hAnsi="Arial"/>
          <w:b/>
          <w:bCs/>
          <w:i w:val="false"/>
          <w:iCs w:val="false"/>
          <w:color w:val="1C2833"/>
          <w:sz w:val="21"/>
          <w:szCs w:val="21"/>
        </w:rPr>
        <w:t xml:space="preserve">Consistency across decisions: </w:t>
      </w:r>
      <w:r>
        <w:rPr>
          <w:rFonts w:ascii="Arial" w:cs="Arial" w:eastAsia="Arial" w:hAnsi="Arial"/>
          <w:b w:val="false"/>
          <w:bCs w:val="false"/>
          <w:i w:val="false"/>
          <w:iCs w:val="false"/>
          <w:color w:val="1C2833"/>
          <w:sz w:val="21"/>
          <w:szCs w:val="21"/>
        </w:rPr>
        <w:t xml:space="preserve">Decision #1 and decision #47 follow the same methodology, the same frameworks, the same risk taxonomy. Institutional infrastructure, not ad hoc analysis.</w:t>
      </w:r>
    </w:p>
    <w:p>
      <w:pPr>
        <w:spacing w:before="300" w:after="120"/>
      </w:pPr>
      <w:r>
        <w:rPr>
          <w:rFonts w:ascii="Arial" w:cs="Arial" w:eastAsia="Arial" w:hAnsi="Arial"/>
          <w:b/>
          <w:bCs/>
          <w:color w:val="2E86C1"/>
          <w:sz w:val="26"/>
          <w:szCs w:val="26"/>
        </w:rPr>
        <w:t xml:space="preserve">7.2 Distribution Strategy</w:t>
      </w:r>
    </w:p>
    <w:p>
      <w:pPr>
        <w:spacing w:after="120" w:line="276"/>
      </w:pPr>
      <w:r>
        <w:rPr>
          <w:rFonts w:ascii="Arial" w:cs="Arial" w:eastAsia="Arial" w:hAnsi="Arial"/>
          <w:b w:val="false"/>
          <w:bCs w:val="false"/>
          <w:i w:val="false"/>
          <w:iCs w:val="false"/>
          <w:color w:val="1C2833"/>
          <w:sz w:val="21"/>
          <w:szCs w:val="21"/>
        </w:rPr>
        <w:t xml:space="preserve">For a solo founder, distribution is existential. Three channels, in order of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Channel</w:t>
            </w:r>
          </w:p>
        </w:tc>
        <w:tc>
          <w:tcPr>
            <w:tcW w:type="dxa" w:w="4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Approach</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Timeline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Direct network</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Leverage existing enterprise connections for discovery conversations and early pilots. These contacts are the beachhead regardless of market segment.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Immediate. Parallel with build.</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AFAS thought leadership</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Use the ongoing Architecture Framework for Agentic Systems series to drive inbound from enterprise architects and GRC professionals. Each post should now reference DecisionOS as the practical implementation.</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Ongoing. Amplify during launch.</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GRC consulting channel</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Partner with or license to GRC consulting firms who need a scalable way to deliver AI governance assessments. They have distribution; you have the pipeline.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Phase 2. After product validation.</w:t>
            </w:r>
          </w:p>
        </w:tc>
      </w:tr>
    </w:tbl>
    <w:p>
      <w:pPr>
        <w:spacing w:after="120"/>
      </w:pPr>
    </w:p>
    <w:p>
      <w:pPr>
        <w:spacing w:before="400" w:after="160"/>
      </w:pPr>
      <w:r>
        <w:rPr>
          <w:rFonts w:ascii="Arial" w:cs="Arial" w:eastAsia="Arial" w:hAnsi="Arial"/>
          <w:b/>
          <w:bCs/>
          <w:color w:val="1B4F72"/>
          <w:sz w:val="30"/>
          <w:szCs w:val="30"/>
        </w:rPr>
        <w:t xml:space="preserve">8. Phase 1 Build Plan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760"/>
        <w:gridCol w:w="2200"/>
      </w:tblGrid>
      <w:tr>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Build Work</w:t>
            </w:r>
          </w:p>
        </w:tc>
        <w:tc>
          <w:tcPr>
            <w:tcW w:type="dxa" w:w="2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Discovery Work</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Deliverable</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Days 1–30</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Wire pipeline end-to-end: ProfileBuilder → RiskMapper → FrameworkMapper → Decision Engine. Build Decision Engine (structured Approve/Conditional/Reject with rationale). Add adversarial self-critique pass. Implement evidence hash chain.</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Identify 10+ potential buyers across multiple segments. Schedule discovery calls. Prepare demo of pipeline output.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One complete AI use case runs through full pipeline. Draft governance decision artifact.</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Days 31–60</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Build output generation (structured docx/PDF). Add evidence currency indicators. Harden framework mapping accuracy. Implement tiered model routing for cost optimization. Run 5–10 real use cases through pipeline.</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Run discovery conversations. Test pricing hypotheses. Collect feedback on artifact quality and value. Identify which buyer profile has strongest pull.</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Polished artifact template. Pricing signal from real prospects. Segment clarity.</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20"/>
                <w:szCs w:val="20"/>
              </w:rPr>
              <w:t xml:space="preserve">Days 61–90</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Launch as paid service. Build minimal intake (web form or email-based). Refine pipeline based on feedback. Publish case study from early artifacts.</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Convert discovery conversations to pilots or paid engagements. Leverage AFAS series for inbound. Test channel interest with 1–2 GRC consulting firms.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First paying customers. Revenue signal. Product-market fit data.</w:t>
            </w:r>
          </w:p>
        </w:tc>
      </w:tr>
    </w:tbl>
    <w:p>
      <w:pPr>
        <w:spacing w:after="120"/>
      </w:pPr>
    </w:p>
    <w:p>
      <w:pPr>
        <w:spacing w:before="300" w:after="120"/>
      </w:pPr>
      <w:r>
        <w:rPr>
          <w:rFonts w:ascii="Arial" w:cs="Arial" w:eastAsia="Arial" w:hAnsi="Arial"/>
          <w:b/>
          <w:bCs/>
          <w:color w:val="2E86C1"/>
          <w:sz w:val="26"/>
          <w:szCs w:val="26"/>
        </w:rPr>
        <w:t xml:space="preserve">8.1 What Is NOT Built in 90 Days</w:t>
      </w:r>
    </w:p>
    <w:p>
      <w:pPr>
        <w:spacing w:after="120" w:line="276"/>
      </w:pPr>
      <w:r>
        <w:rPr>
          <w:rFonts w:ascii="Arial" w:cs="Arial" w:eastAsia="Arial" w:hAnsi="Arial"/>
          <w:b w:val="false"/>
          <w:bCs w:val="false"/>
          <w:i w:val="false"/>
          <w:iCs w:val="false"/>
          <w:color w:val="1C2833"/>
          <w:sz w:val="21"/>
          <w:szCs w:val="21"/>
        </w:rPr>
        <w:t xml:space="preserve">No dashboard. No multi-user platform. No real-time monitoring. No agent orchestration UI. No SSO, RBAC, or multi-tenant architecture. No Monte Carlo simulation engine. No Bayesian network modeling. Those are Phase 2+ features that only matter after revenue validates the core value proposition. The platform is the pipeline. The product is the governance decision.</w:t>
      </w:r>
    </w:p>
    <w:p>
      <w:pPr>
        <w:spacing w:after="120"/>
      </w:pPr>
    </w:p>
    <w:p>
      <w:pPr>
        <w:spacing w:before="300" w:after="120"/>
      </w:pPr>
      <w:r>
        <w:rPr>
          <w:rFonts w:ascii="Arial" w:cs="Arial" w:eastAsia="Arial" w:hAnsi="Arial"/>
          <w:b/>
          <w:bCs/>
          <w:color w:val="2E86C1"/>
          <w:sz w:val="26"/>
          <w:szCs w:val="26"/>
        </w:rPr>
        <w:t xml:space="preserve">8.2 Architecture Decisions for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Decision</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Choice</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Rationale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Primary storage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Postgres-first</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System of record for cases, entities, claims, evidence, beliefs, policy tests, decisions, approvals, audit events. Graph projection later.</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Model routing</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Two-tier: fast/cheap + capable</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Evidence extraction on fast models. Decision synthesis, policy eval, adversarial critique on capable models. $0.50 vs $5.00 per decision.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Agent framework</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Evaluate before committing</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LangGraph, CrewAI, AutoGen, or custom orchestration. Decision depends on pipeline complexity and vendor lock-in tolerance.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Output format</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Structured docx/PDF</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Professional, deliverable, immediately valuable. Dashboard comes after pipeline is validated.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Intake mechanism</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Email or simple web form</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Zero UI investment. Customers describe use case; pipeline does the rest.</w:t>
            </w:r>
          </w:p>
        </w:tc>
      </w:tr>
    </w:tbl>
    <w:p>
      <w:pPr>
        <w:spacing w:after="120"/>
      </w:pPr>
    </w:p>
    <w:p>
      <w:pPr>
        <w:spacing w:before="400" w:after="160"/>
      </w:pPr>
      <w:r>
        <w:rPr>
          <w:rFonts w:ascii="Arial" w:cs="Arial" w:eastAsia="Arial" w:hAnsi="Arial"/>
          <w:b/>
          <w:bCs/>
          <w:color w:val="1B4F72"/>
          <w:sz w:val="30"/>
          <w:szCs w:val="30"/>
        </w:rPr>
        <w:t xml:space="preserve">9. Open Questions and Validation Plan</w:t>
      </w:r>
    </w:p>
    <w:p>
      <w:pPr>
        <w:spacing w:after="120" w:line="276"/>
      </w:pPr>
      <w:r>
        <w:rPr>
          <w:rFonts w:ascii="Arial" w:cs="Arial" w:eastAsia="Arial" w:hAnsi="Arial"/>
          <w:b w:val="false"/>
          <w:bCs w:val="false"/>
          <w:i w:val="false"/>
          <w:iCs w:val="false"/>
          <w:color w:val="1C2833"/>
          <w:sz w:val="21"/>
          <w:szCs w:val="21"/>
        </w:rPr>
        <w:t xml:space="preserve">The following questions cannot be answered by analysis alone. They require buyer conversations, market testing, and pipeline experimentation.</w:t>
      </w:r>
    </w:p>
    <w:p>
      <w:pPr>
        <w:spacing w:before="300" w:after="120"/>
      </w:pPr>
      <w:r>
        <w:rPr>
          <w:rFonts w:ascii="Arial" w:cs="Arial" w:eastAsia="Arial" w:hAnsi="Arial"/>
          <w:b/>
          <w:bCs/>
          <w:color w:val="2E86C1"/>
          <w:sz w:val="26"/>
          <w:szCs w:val="26"/>
        </w:rPr>
        <w:t xml:space="preserve">9.1 Demand-Side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AC0D" w:sz="8"/>
              <w:bottom w:val="none" w:sz="0"/>
              <w:right w:val="none" w:sz="0"/>
            </w:tcBorders>
            <w:shd w:fill="FEF9E7" w:val="clear"/>
            <w:tcMar>
              <w:top w:type="dxa" w:w="120"/>
              <w:left w:type="dxa" w:w="200"/>
              <w:bottom w:type="dxa" w:w="120"/>
              <w:right w:type="dxa" w:w="200"/>
            </w:tcMar>
          </w:tcPr>
          <w:p>
            <w:pPr>
              <w:spacing w:after="0"/>
            </w:pPr>
            <w:r>
              <w:rPr>
                <w:rFonts w:ascii="Arial" w:cs="Arial" w:eastAsia="Arial" w:hAnsi="Arial"/>
                <w:i/>
                <w:iCs/>
                <w:color w:val="7D6608"/>
                <w:sz w:val="21"/>
                <w:szCs w:val="21"/>
              </w:rPr>
              <w:t xml:space="preserve">These are the highest-risk unknowns. If the demand-side assumptions are wrong, everything else is academic.</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Question</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How to Answer</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Will buyers pay before regulatory enforcement?</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Discovery conversations. Ask: “What are you doing for AI governance today? What triggered that?”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Critical</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Which buyer profile converts fastest?</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Run 10+ discovery conversations across segments. Track which profile has shortest path to payment.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Critical</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What engagement model works?</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Test per-decision, subscription, and white-glove in conversations. Note which resonates.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Critical</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Is there channel demand from GRC consultancies?</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Approach 2–3 GRC firms with a pitch: license the pipeline to scale their advisory practice.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High</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What price point clears the “just use ChatGPT” objection?</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Present the completeness, consistency, and legal artifact arguments. See if they land.</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High</w:t>
            </w:r>
          </w:p>
        </w:tc>
      </w:tr>
    </w:tbl>
    <w:p>
      <w:pPr>
        <w:spacing w:after="120"/>
      </w:pPr>
    </w:p>
    <w:p>
      <w:pPr>
        <w:spacing w:before="300" w:after="120"/>
      </w:pPr>
      <w:r>
        <w:rPr>
          <w:rFonts w:ascii="Arial" w:cs="Arial" w:eastAsia="Arial" w:hAnsi="Arial"/>
          <w:b/>
          <w:bCs/>
          <w:color w:val="2E86C1"/>
          <w:sz w:val="26"/>
          <w:szCs w:val="26"/>
        </w:rPr>
        <w:t xml:space="preserve">9.2 Technical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960"/>
        <w:gridCol w:w="1800"/>
      </w:tblGrid>
      <w:tr>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Question</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How to Answer</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Can the pipeline produce output quality that justifies the price?</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Run 5–10 real use cases. Have 2–3 target buyers evaluate output blind. Define a quality rubric.</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Critical</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What does the QA bottleneck look like?</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Measure time-to-review for first 10 decisions. Identify where human review is essential vs. automatable.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Critical</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Which agent framework minimizes rework?</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Prototype the pipeline in 2 frameworks. Compare development velocity and output quality.</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High</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What are the unit economics per decision?</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Track LLM API costs, compute time, and human QA time for first 10 decisions. Model break-even.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High</w:t>
            </w:r>
          </w:p>
        </w:tc>
      </w:tr>
    </w:tbl>
    <w:p>
      <w:pPr>
        <w:spacing w:after="120"/>
      </w:pPr>
    </w:p>
    <w:p>
      <w:pPr>
        <w:spacing w:before="300" w:after="120"/>
      </w:pPr>
      <w:r>
        <w:rPr>
          <w:rFonts w:ascii="Arial" w:cs="Arial" w:eastAsia="Arial" w:hAnsi="Arial"/>
          <w:b/>
          <w:bCs/>
          <w:color w:val="2E86C1"/>
          <w:sz w:val="26"/>
          <w:szCs w:val="26"/>
        </w:rPr>
        <w:t xml:space="preserve">9.3 Competitive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960"/>
        <w:gridCol w:w="1800"/>
      </w:tblGrid>
      <w:tr>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Question</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How to Answer</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Are incumbents building decision capabilities?</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Monitor Credo AI, Holistic AI product announcements. Check if “governance decision” language appears.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Ongoing</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Is the “pre-deployment authorization” positioning defensible?</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Test in buyer conversations. Does the distinction land or confuse?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High</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How do GRC consultancies currently produce AI governance deliverables?</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Interview 2–3 consultancies. Understand their process, tools, and pain points.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20"/>
                <w:szCs w:val="20"/>
              </w:rPr>
              <w:t xml:space="preserve">High</w:t>
            </w:r>
          </w:p>
        </w:tc>
      </w:tr>
    </w:tbl>
    <w:p>
      <w:pPr>
        <w:spacing w:after="120"/>
      </w:pPr>
    </w:p>
    <w:p>
      <w:pPr>
        <w:pBdr>
          <w:bottom w:val="single" w:color="1B4F72" w:sz="4" w:space="1"/>
        </w:pBdr>
        <w:spacing w:before="200" w:after="200"/>
      </w:pPr>
    </w:p>
    <w:p>
      <w:pPr>
        <w:spacing w:before="100" w:after="160"/>
      </w:pPr>
      <w:r>
        <w:rPr>
          <w:rFonts w:ascii="Arial" w:cs="Arial" w:eastAsia="Arial" w:hAnsi="Arial"/>
          <w:b/>
          <w:bCs/>
          <w:color w:val="1B4F72"/>
          <w:sz w:val="30"/>
          <w:szCs w:val="30"/>
        </w:rPr>
        <w:t xml:space="preserve">Bottom Line</w:t>
      </w:r>
    </w:p>
    <w:p>
      <w:pPr>
        <w:spacing w:after="120" w:line="276"/>
      </w:pPr>
      <w:r>
        <w:rPr>
          <w:rFonts w:ascii="Arial" w:cs="Arial" w:eastAsia="Arial" w:hAnsi="Arial"/>
          <w:b w:val="false"/>
          <w:bCs w:val="false"/>
          <w:i w:val="false"/>
          <w:iCs w:val="false"/>
          <w:color w:val="1C2833"/>
          <w:sz w:val="21"/>
          <w:szCs w:val="21"/>
        </w:rPr>
        <w:t xml:space="preserve">DecisionOS occupies a genuine gap in the AI governance market. Every incumbent is built around inventory → monitor → report. Nobody produces structured, auditable governance decisions for AI deployments. The regulatory window opens in five months. The existing pipeline components cover 75% of the architecture. The technical moat is real: the Belief Layer, Bayesian risk quantification, evidence provenance, and adversarial self-critique are foundational architectural choices that cannot be bolted onto monitoring platforms.</w:t>
      </w:r>
    </w:p>
    <w:p>
      <w:pPr>
        <w:spacing w:after="80"/>
      </w:pPr>
    </w:p>
    <w:p>
      <w:pPr>
        <w:spacing w:after="120" w:line="276"/>
      </w:pPr>
      <w:r>
        <w:rPr>
          <w:rFonts w:ascii="Arial" w:cs="Arial" w:eastAsia="Arial" w:hAnsi="Arial"/>
          <w:b w:val="false"/>
          <w:bCs w:val="false"/>
          <w:i w:val="false"/>
          <w:iCs w:val="false"/>
          <w:color w:val="1C2833"/>
          <w:sz w:val="21"/>
          <w:szCs w:val="21"/>
        </w:rPr>
        <w:t xml:space="preserve">The biggest risk is not technical. It is demand-side: will buyers pay for governed authorization before they are forced to? That question can only be answered by conversations, not analysis. The 90-day plan runs build and discovery in parallel — wire the pipeline, produce real governance decisions, and put them in front of real buyers. Revenue validates the thesis. Everything else is hypothesis.</w:t>
      </w:r>
    </w:p>
    <w:p>
      <w:pPr>
        <w:spacing w:after="80"/>
      </w:pPr>
    </w:p>
    <w:p>
      <w:pPr>
        <w:spacing w:after="120" w:line="276"/>
      </w:pPr>
      <w:r>
        <w:rPr>
          <w:rFonts w:ascii="Arial" w:cs="Arial" w:eastAsia="Arial" w:hAnsi="Arial"/>
          <w:b/>
          <w:bCs/>
          <w:i w:val="false"/>
          <w:iCs w:val="false"/>
          <w:color w:val="1C2833"/>
          <w:sz w:val="21"/>
          <w:szCs w:val="21"/>
        </w:rPr>
        <w:t xml:space="preserve">Next steps: </w:t>
      </w:r>
      <w:r>
        <w:rPr>
          <w:rFonts w:ascii="Arial" w:cs="Arial" w:eastAsia="Arial" w:hAnsi="Arial"/>
          <w:b w:val="false"/>
          <w:bCs w:val="false"/>
          <w:i w:val="false"/>
          <w:iCs w:val="false"/>
          <w:color w:val="1C2833"/>
          <w:sz w:val="21"/>
          <w:szCs w:val="21"/>
        </w:rPr>
        <w:t xml:space="preserve">(1) Consolidate intent and desired outcomes document to steer direction. (2) Run critical competitive and regulatory research to challenge remaining assumptions. (3) Build the end-to-end pipeline. (4) Run 10+ buyer discovery conversations in parallel. (5) Produce first paid governance decision by Day 90.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2026-03-09T14:58:56.125Z</dcterms:created>
  <dcterms:modified xsi:type="dcterms:W3CDTF">2026-03-09T14:58:56.125Z</dcterms:modified>
</cp:coreProperties>
</file>

<file path=docProps/custom.xml><?xml version="1.0" encoding="utf-8"?>
<Properties xmlns="http://schemas.openxmlformats.org/officeDocument/2006/custom-properties" xmlns:vt="http://schemas.openxmlformats.org/officeDocument/2006/docPropsVTypes"/>
</file>