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HIST3000JournalWK1.md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“The push to make room for alternative ways of knowing and inclusive or equitable participation necessitates individuals to be ‘the first’, and in turn to face all the blow-back and take on the long process of re-education when it comes to the recognition of pervasive sexual harassment, abuse, and discrimination in the discipline and beyond.”</w:t>
      </w:r>
      <w:r w:rsidDel="00000000" w:rsidR="00000000" w:rsidRPr="00000000">
        <w:rPr>
          <w:sz w:val="24"/>
          <w:szCs w:val="24"/>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ab/>
        <w:t xml:space="preserve">This passage from Cook resonates with me as a journalism student because through the news you can see people’s bias and reactivity. I also think this passage is interesting because generally in academia to be the first to come up with an idea is a good thing, the exception being if your idea is a more inclusive view of history. Journalists are supposed to be dedicated to the truth even if it is unpopular and this quote is meaningful to me because archeologists ought to have the same dedication.</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ab/>
        <w:t xml:space="preserve">Digital technology expands the possibility for inclusivity in every field including archeology. I find it wonderful and interesting because of the ability to create inclusive history but also worrying because I struggle with technology. </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Bollwerk has a counter-intuitive idea that makes more sense the more I think about it, using digital archeology to focus on work that impacts individual communities. The internet is a world-wide space but the need for archeology to be localized doesn’t change, instead the internet can be a good place for local people to engage with their community’s history. Weird and wonderful.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One or two of the PDF documents did not download or I could not access them for whatever reason, likely a problem with my computer or I missed a button to click. </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vertAlign w:val="baseline"/>
          <w:rtl w:val="0"/>
        </w:rPr>
        <w:t xml:space="preserve">Cook, “EmboDIYing Disruption.”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