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HIST3000JournalWK1.md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“The push to make room for alternative ways of knowing and inclusive or equitable participation necessitates individuals to be ‘the first’, and in turn to face all the blow-back and take on the long process of re-education when it comes to the recognition of pervasive sexual harassment, abuse, and discrimination in the discipline and beyond.”</w:t>
      </w:r>
      <w:r w:rsidDel="00000000" w:rsidR="00000000" w:rsidRPr="00000000">
        <w:rPr>
          <w:sz w:val="24"/>
          <w:szCs w:val="24"/>
          <w:highlight w:val="white"/>
          <w:vertAlign w:val="superscript"/>
        </w:rPr>
        <w:footnoteReference w:customMarkFollows="0" w:id="0"/>
      </w:r>
      <w:r w:rsidDel="00000000" w:rsidR="00000000" w:rsidRPr="00000000">
        <w:rPr>
          <w:rtl w:val="0"/>
        </w:rPr>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ab/>
        <w:t xml:space="preserve">This passage from Cook resonates with me as a journalism student because through the news you can see people’s bias and reactivity. I also think this passage is interesting because generally in academia to be the first to come up with an idea is a good thing, the exception being if your idea is a more inclusive view of history. Journalists are supposed to be dedicated to the truth even if it is unpopular and this quote is meaningful to me because archeologists ought to have the same dedication.</w:t>
      </w:r>
    </w:p>
    <w:p w:rsidR="00000000" w:rsidDel="00000000" w:rsidP="00000000" w:rsidRDefault="00000000" w:rsidRPr="00000000" w14:paraId="00000007">
      <w:pPr>
        <w:rPr>
          <w:sz w:val="24"/>
          <w:szCs w:val="24"/>
          <w:highlight w:val="whit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Notes.md</w:t>
      </w:r>
    </w:p>
    <w:p w:rsidR="00000000" w:rsidDel="00000000" w:rsidP="00000000" w:rsidRDefault="00000000" w:rsidRPr="00000000" w14:paraId="00000009">
      <w:pPr>
        <w:rPr/>
      </w:pPr>
      <w:r w:rsidDel="00000000" w:rsidR="00000000" w:rsidRPr="00000000">
        <w:rPr>
          <w:rtl w:val="0"/>
        </w:rPr>
        <w:t xml:space="preserve">The Zotero quick start guide explains the many things you can do with Zotero except that you just have to type the title of the document into the search bar to insert the citation. </w:t>
      </w:r>
    </w:p>
    <w:p w:rsidR="00000000" w:rsidDel="00000000" w:rsidP="00000000" w:rsidRDefault="00000000" w:rsidRPr="00000000" w14:paraId="0000000A">
      <w:pPr>
        <w:rPr/>
      </w:pPr>
      <w:r w:rsidDel="00000000" w:rsidR="00000000" w:rsidRPr="00000000">
        <w:rPr>
          <w:rtl w:val="0"/>
        </w:rPr>
        <w:t xml:space="preserve">Zotero and hypothesis can be bookmarked so they are not hidden in the puzzle piece. </w:t>
      </w:r>
    </w:p>
    <w:p w:rsidR="00000000" w:rsidDel="00000000" w:rsidP="00000000" w:rsidRDefault="00000000" w:rsidRPr="00000000" w14:paraId="0000000B">
      <w:pPr>
        <w:rPr/>
      </w:pPr>
      <w:r w:rsidDel="00000000" w:rsidR="00000000" w:rsidRPr="00000000">
        <w:rPr>
          <w:rtl w:val="0"/>
        </w:rPr>
        <w:t xml:space="preserve">The Zotero tab in google docs is where the citations can be embedded. </w:t>
      </w:r>
    </w:p>
    <w:p w:rsidR="00000000" w:rsidDel="00000000" w:rsidP="00000000" w:rsidRDefault="00000000" w:rsidRPr="00000000" w14:paraId="0000000C">
      <w:pPr>
        <w:rPr/>
      </w:pPr>
      <w:r w:rsidDel="00000000" w:rsidR="00000000" w:rsidRPr="00000000">
        <w:rPr>
          <w:rtl w:val="0"/>
        </w:rPr>
        <w:t xml:space="preserve">I’m not sure which citation style is best to use with Zotero for this course.</w:t>
      </w:r>
    </w:p>
    <w:p w:rsidR="00000000" w:rsidDel="00000000" w:rsidP="00000000" w:rsidRDefault="00000000" w:rsidRPr="00000000" w14:paraId="0000000D">
      <w:pPr>
        <w:rPr/>
      </w:pPr>
      <w:r w:rsidDel="00000000" w:rsidR="00000000" w:rsidRPr="00000000">
        <w:rPr>
          <w:rtl w:val="0"/>
        </w:rPr>
        <w:t xml:space="preserve">Making a copy of your document to unlink the Zotero citations before downloading from google docs makes sure the citations download properly.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Hypothesis is helpful but you have to find the little arrow to select whose annotations you want to see, switch from Public to the course.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Github is definitely the most complex of the programs for me to use.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vertAlign w:val="baseline"/>
          <w:rtl w:val="0"/>
        </w:rPr>
        <w:t xml:space="preserve">Cook, “EmboDIYing Disruption.”</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