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Canonical Alignment Guide — Draft v1.0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s2yjk94no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Core Thesis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Agency is not a default trait but a discipline: a trainable capacity to detect incoming impressions, examine their normative weight, and issue or refuse assent in real time. Only a deliberately strengthened ruling faculty can integrate emotion, cognition, and value into coherent action; all subordinate skills (emotional regulation, executive function, decision analysis) are secondary outgrowths of that central governance.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hv7o1buxi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Core Antitheses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Skill-Sufficiency Fallacy — the belief that patching together discrete techniques (mindfulness, CBT, productivity hacks) yields full self-command.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Emergentist Complacency — the assumption that a coherent self naturally “emerges” from neural or social complexity without targeted cultivation.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Fragmented-Self Dogma — the popular psychotherapeutic stance that treats the mind as an unresolvable committee of parts, thereby normalizing chronic internal deadlock.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Value-Neutral Rationality — any model that prizes procedural reasoning while ignoring the normative standards that reasoning must serve.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3v2lbennv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Canonical Vocabulary &amp; Core Concepts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Ruling Faculty: the trainable adjudicator that notices, weighs, grants, or withholds assent.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Impression: any sensory, affective, or ideational input presented for evaluation.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Impulse: the first-order tendency to act flowing from an impression.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Assent: the ruling faculty’s affirmative authorization of an impulse.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Withholding: the deliberate suspension of assent pending further examination.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Alignment Load: the cumulative pressure exerted on the ruling faculty when impressions outpace its evaluative bandwidth.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 Matrix: the articulated hierarchy of principles the faculty uses as its measuring stick.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Governance Cycle: the continuous loop—notice → weigh → assent/withhold—through which alignment is maintained.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(All future documents must capitalize these terms and use them exactly as defined.)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smtvqebsb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Tone &amp; Stance Standards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Speak in clean, declarative sentences—precise, courteous, never florid. Adopt an architectural voice: you are laying structural beams, not advertising amenities. Respect interlocutors as potential co-builders; challenge sloppy reasoning without theatrics; privilege clarity over persuasion. When drawing parallels to historical traditions, mark them as analogies, not authorities.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a56zkiu58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Expansion Principles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Structural Fidelity — every new section must map explicitly onto the Governance Cycle and reference the Norm Matrix when prescribing action.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Analytical Rigor First — define premises, show inference steps, state limitations. Philosophical depth may enrich, but may not override, clear argument structure.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Iterative Coherence — new material must audit existing definitions; if conflict arises, revise or append the Canon only after explicit justification.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Explicit Norm Tagging — whenever prescribing behavior, cite the governing norm (e.g., “Justice-2” or “Temperance-1”) so lineage remains traceable.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Bandwidth Awareness — assess the Alignment Load your addition imposes; if it risks overload, supply mitigations (training drills, decision heuristics).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Guide as a checksum: no draft, lesson, or protocol clears publication until it satisfies every section above.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