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1FB0" w14:textId="77777777" w:rsidR="00D4373C" w:rsidRDefault="00D4373C" w:rsidP="00D4373C">
      <w:pPr>
        <w:autoSpaceDE w:val="0"/>
        <w:autoSpaceDN w:val="0"/>
        <w:adjustRightInd w:val="0"/>
        <w:spacing w:after="360"/>
        <w:rPr>
          <w:rFonts w:ascii="Helvetica Neue" w:hAnsi="Helvetica Neue" w:cs="Helvetica Neue"/>
          <w:b/>
          <w:bCs/>
          <w:color w:val="000000"/>
          <w:sz w:val="60"/>
          <w:szCs w:val="60"/>
        </w:rPr>
      </w:pPr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CDA3101 Cache Simulation</w:t>
      </w:r>
    </w:p>
    <w:p w14:paraId="7A68932D" w14:textId="77777777" w:rsidR="00D4373C" w:rsidRDefault="00D4373C" w:rsidP="00D4373C">
      <w:pPr>
        <w:autoSpaceDE w:val="0"/>
        <w:autoSpaceDN w:val="0"/>
        <w:adjustRightInd w:val="0"/>
        <w:spacing w:after="40" w:line="288" w:lineRule="auto"/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spacing w:val="5"/>
          <w:kern w:val="1"/>
          <w:sz w:val="28"/>
          <w:szCs w:val="28"/>
        </w:rPr>
        <w:t xml:space="preserve">Jesse Maki </w:t>
      </w:r>
    </w:p>
    <w:p w14:paraId="18E3294D" w14:textId="77777777" w:rsidR="00D4373C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2"/>
          <w:szCs w:val="22"/>
        </w:rPr>
      </w:pPr>
    </w:p>
    <w:p w14:paraId="38715484" w14:textId="6EC41BC0" w:rsidR="000D4B7D" w:rsidRDefault="00D4373C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 xml:space="preserve">Introduction: </w:t>
      </w:r>
    </w:p>
    <w:p w14:paraId="66F7EC5C" w14:textId="79599672" w:rsidR="003426B8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For my cache simulation a user can select a file to run a simulation</w:t>
      </w:r>
      <w:r w:rsidR="003426B8"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 which my program will be able to simulate the “hits” and “misses” from memory trace files. The user can select what parameters they want to use to simulate a memory cache with many different configurations: </w:t>
      </w:r>
    </w:p>
    <w:p w14:paraId="7CED896C" w14:textId="3FBDF7BC" w:rsidR="003426B8" w:rsidRDefault="003426B8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2"/>
          <w:szCs w:val="22"/>
        </w:rPr>
      </w:pPr>
    </w:p>
    <w:p w14:paraId="75D5B8BE" w14:textId="558A9036" w:rsidR="003426B8" w:rsidRPr="003426B8" w:rsidRDefault="003426B8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2"/>
          <w:szCs w:val="22"/>
        </w:rPr>
      </w:pPr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Full associative with FIFO and LRU replacement types, direct mapped, and set associativity with LRU and FIFO replacement types along with 2-way, 4-way, </w:t>
      </w:r>
      <w:proofErr w:type="spellStart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>etc</w:t>
      </w:r>
      <w:proofErr w:type="spellEnd"/>
      <w:r>
        <w:rPr>
          <w:rFonts w:ascii="Helvetica Neue" w:hAnsi="Helvetica Neue" w:cs="Helvetica Neue"/>
          <w:color w:val="000000"/>
          <w:kern w:val="1"/>
          <w:sz w:val="22"/>
          <w:szCs w:val="22"/>
        </w:rPr>
        <w:t xml:space="preserve">… associativity. </w:t>
      </w:r>
    </w:p>
    <w:p w14:paraId="54B81276" w14:textId="77777777" w:rsidR="00D4373C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2"/>
          <w:szCs w:val="22"/>
        </w:rPr>
      </w:pPr>
    </w:p>
    <w:p w14:paraId="34A92D3B" w14:textId="0FB8EA19" w:rsidR="00D4373C" w:rsidRDefault="00D4373C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 xml:space="preserve">Description of tests: </w:t>
      </w:r>
    </w:p>
    <w:p w14:paraId="43F97682" w14:textId="77777777" w:rsidR="00C1651E" w:rsidRDefault="00C1651E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7B64DAB3" w14:textId="14F17EB8" w:rsidR="00A22989" w:rsidRDefault="00A22989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The parameters for each </w:t>
      </w:r>
      <w:proofErr w:type="gramStart"/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tests</w:t>
      </w:r>
      <w:proofErr w:type="gramEnd"/>
      <w:r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 were the following: </w:t>
      </w:r>
    </w:p>
    <w:p w14:paraId="0F9716BD" w14:textId="3250057C" w:rsidR="00A22989" w:rsidRDefault="00A22989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42EF420F" w14:textId="6ADAF770" w:rsidR="00A22989" w:rsidRDefault="00A22989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Full Associativity</w:t>
      </w:r>
    </w:p>
    <w:p w14:paraId="120A48FD" w14:textId="2F9EBB32" w:rsidR="00A22989" w:rsidRDefault="00A22989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66"/>
        <w:gridCol w:w="1466"/>
      </w:tblGrid>
      <w:tr w:rsidR="00A22989" w14:paraId="21F10ACA" w14:textId="77777777" w:rsidTr="001D4F25">
        <w:trPr>
          <w:trHeight w:val="259"/>
        </w:trPr>
        <w:tc>
          <w:tcPr>
            <w:tcW w:w="1464" w:type="dxa"/>
          </w:tcPr>
          <w:p w14:paraId="1D939AE9" w14:textId="23A891E3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Cache Size</w:t>
            </w:r>
          </w:p>
        </w:tc>
        <w:tc>
          <w:tcPr>
            <w:tcW w:w="1466" w:type="dxa"/>
          </w:tcPr>
          <w:p w14:paraId="42AAB01D" w14:textId="5DF8241E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Block Size</w:t>
            </w:r>
          </w:p>
        </w:tc>
        <w:tc>
          <w:tcPr>
            <w:tcW w:w="1464" w:type="dxa"/>
          </w:tcPr>
          <w:p w14:paraId="29332FB7" w14:textId="334AA423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 xml:space="preserve">Replacement Type </w:t>
            </w:r>
          </w:p>
        </w:tc>
      </w:tr>
      <w:tr w:rsidR="00A22989" w14:paraId="43A3DB98" w14:textId="77777777" w:rsidTr="001D4F25">
        <w:trPr>
          <w:trHeight w:val="269"/>
        </w:trPr>
        <w:tc>
          <w:tcPr>
            <w:tcW w:w="1464" w:type="dxa"/>
          </w:tcPr>
          <w:p w14:paraId="3737AB92" w14:textId="2646192B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1466" w:type="dxa"/>
          </w:tcPr>
          <w:p w14:paraId="6DBDBEC0" w14:textId="3ECDAE75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4" w:type="dxa"/>
          </w:tcPr>
          <w:p w14:paraId="234BCD3A" w14:textId="5A1EF5DC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</w:tr>
      <w:tr w:rsidR="00A22989" w14:paraId="2F4A9749" w14:textId="77777777" w:rsidTr="001D4F25">
        <w:trPr>
          <w:trHeight w:val="259"/>
        </w:trPr>
        <w:tc>
          <w:tcPr>
            <w:tcW w:w="1464" w:type="dxa"/>
          </w:tcPr>
          <w:p w14:paraId="002C2AD1" w14:textId="13F7D3B8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1466" w:type="dxa"/>
          </w:tcPr>
          <w:p w14:paraId="39734A2D" w14:textId="7480642B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4" w:type="dxa"/>
          </w:tcPr>
          <w:p w14:paraId="16F1674F" w14:textId="1A872C1A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</w:tr>
      <w:tr w:rsidR="00A22989" w14:paraId="613CFDDD" w14:textId="2E2B579C" w:rsidTr="001D4F25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464" w:type="dxa"/>
          </w:tcPr>
          <w:p w14:paraId="548A85D4" w14:textId="4289AFDE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ind w:left="-5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1466" w:type="dxa"/>
          </w:tcPr>
          <w:p w14:paraId="46E71A7E" w14:textId="338AF70E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ind w:left="-5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</w:tcPr>
          <w:p w14:paraId="555EBAA6" w14:textId="481C27EF" w:rsidR="00A22989" w:rsidRDefault="00A22989" w:rsidP="001D4F25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</w:tr>
      <w:tr w:rsidR="00A22989" w14:paraId="5FC583AF" w14:textId="77777777" w:rsidTr="001D4F25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464" w:type="dxa"/>
          </w:tcPr>
          <w:p w14:paraId="6A13D514" w14:textId="2498EA4B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1466" w:type="dxa"/>
          </w:tcPr>
          <w:p w14:paraId="15E25D53" w14:textId="39EA36BF" w:rsidR="00A22989" w:rsidRDefault="00A22989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ind w:left="-5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</w:tcPr>
          <w:p w14:paraId="2822F2B3" w14:textId="2892708A" w:rsidR="00A22989" w:rsidRDefault="00A22989" w:rsidP="001D4F25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</w:tr>
      <w:tr w:rsidR="00A22989" w14:paraId="535CBF4B" w14:textId="72B25441" w:rsidTr="001D4F25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1464" w:type="dxa"/>
            <w:shd w:val="clear" w:color="auto" w:fill="auto"/>
          </w:tcPr>
          <w:p w14:paraId="2D081ACB" w14:textId="18A5938C" w:rsidR="00A22989" w:rsidRPr="001D4F25" w:rsidRDefault="001D4F25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1466" w:type="dxa"/>
          </w:tcPr>
          <w:p w14:paraId="2594AA7A" w14:textId="3D12BA7F" w:rsidR="00A22989" w:rsidRPr="001D4F25" w:rsidRDefault="001D4F25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4" w:type="dxa"/>
            <w:shd w:val="clear" w:color="auto" w:fill="auto"/>
          </w:tcPr>
          <w:p w14:paraId="3E57359A" w14:textId="2A27AE23" w:rsidR="00A22989" w:rsidRPr="001D4F25" w:rsidRDefault="001D4F25" w:rsidP="001D4F25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</w:tr>
      <w:tr w:rsidR="001D4F25" w14:paraId="0B725283" w14:textId="568B9C03" w:rsidTr="001D4F2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464" w:type="dxa"/>
            <w:tcBorders>
              <w:top w:val="single" w:sz="4" w:space="0" w:color="auto"/>
            </w:tcBorders>
          </w:tcPr>
          <w:p w14:paraId="08D917CA" w14:textId="5EDFDF58" w:rsidR="001D4F25" w:rsidRPr="001D4F25" w:rsidRDefault="001D4F25" w:rsidP="001D4F2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2978" w14:textId="5D62F6DE" w:rsidR="001D4F25" w:rsidRPr="001D4F25" w:rsidRDefault="001D4F25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FA81" w14:textId="13143CA6" w:rsidR="001D4F25" w:rsidRPr="001D4F25" w:rsidRDefault="001D4F25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</w:tr>
    </w:tbl>
    <w:p w14:paraId="60A4274C" w14:textId="7A735138" w:rsidR="00A22989" w:rsidRDefault="00A22989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3E210831" w14:textId="30645ED5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Direct Mapped</w:t>
      </w:r>
    </w:p>
    <w:p w14:paraId="1596ECF2" w14:textId="5A0CB20A" w:rsidR="00A64CA6" w:rsidRDefault="00A64CA6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4B7D" w14:paraId="6FDCD197" w14:textId="77777777" w:rsidTr="000D4B7D">
        <w:tc>
          <w:tcPr>
            <w:tcW w:w="4675" w:type="dxa"/>
          </w:tcPr>
          <w:p w14:paraId="139D1C52" w14:textId="088CCBF4" w:rsidR="000D4B7D" w:rsidRDefault="000D4B7D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Cache Size</w:t>
            </w:r>
          </w:p>
        </w:tc>
        <w:tc>
          <w:tcPr>
            <w:tcW w:w="4675" w:type="dxa"/>
          </w:tcPr>
          <w:p w14:paraId="0D542359" w14:textId="5EC011A0" w:rsidR="000D4B7D" w:rsidRDefault="000D4B7D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Replacement Type</w:t>
            </w:r>
          </w:p>
        </w:tc>
      </w:tr>
      <w:tr w:rsidR="000D4B7D" w14:paraId="7D87A4CD" w14:textId="77777777" w:rsidTr="000D4B7D">
        <w:tc>
          <w:tcPr>
            <w:tcW w:w="4675" w:type="dxa"/>
          </w:tcPr>
          <w:p w14:paraId="056179E8" w14:textId="1B038E5D" w:rsidR="000D4B7D" w:rsidRDefault="000D4B7D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4675" w:type="dxa"/>
          </w:tcPr>
          <w:p w14:paraId="078E6A10" w14:textId="58E608BE" w:rsidR="000D4B7D" w:rsidRDefault="000D4B7D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N/A</w:t>
            </w:r>
          </w:p>
        </w:tc>
      </w:tr>
      <w:tr w:rsidR="000D4B7D" w14:paraId="5401BDAB" w14:textId="77777777" w:rsidTr="000D4B7D">
        <w:tc>
          <w:tcPr>
            <w:tcW w:w="4675" w:type="dxa"/>
          </w:tcPr>
          <w:p w14:paraId="57CA4721" w14:textId="31CE0D53" w:rsidR="000D4B7D" w:rsidRDefault="000D4B7D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4675" w:type="dxa"/>
          </w:tcPr>
          <w:p w14:paraId="0617A42B" w14:textId="7F338AB5" w:rsidR="000D4B7D" w:rsidRDefault="000D4B7D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N/A</w:t>
            </w:r>
          </w:p>
        </w:tc>
      </w:tr>
      <w:tr w:rsidR="000D4B7D" w14:paraId="579B7D75" w14:textId="77777777" w:rsidTr="000D4B7D">
        <w:tc>
          <w:tcPr>
            <w:tcW w:w="4675" w:type="dxa"/>
          </w:tcPr>
          <w:p w14:paraId="61D61DDD" w14:textId="332E6E82" w:rsidR="000D4B7D" w:rsidRDefault="000D4B7D" w:rsidP="000D4B7D">
            <w:pPr>
              <w:tabs>
                <w:tab w:val="left" w:pos="3354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4675" w:type="dxa"/>
          </w:tcPr>
          <w:p w14:paraId="6E4491D5" w14:textId="2BB462BC" w:rsidR="000D4B7D" w:rsidRDefault="000D4B7D" w:rsidP="000D4B7D">
            <w:pPr>
              <w:tabs>
                <w:tab w:val="left" w:pos="966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N/A</w:t>
            </w:r>
          </w:p>
        </w:tc>
      </w:tr>
    </w:tbl>
    <w:p w14:paraId="43FE2E03" w14:textId="09380A5A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45F1C954" w14:textId="67C582EA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1F3C3E53" w14:textId="0B1AA444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Set associative</w:t>
      </w:r>
    </w:p>
    <w:p w14:paraId="181C6C58" w14:textId="157522D2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4F25" w14:paraId="643D0BDE" w14:textId="77777777" w:rsidTr="001D4F25">
        <w:tc>
          <w:tcPr>
            <w:tcW w:w="2337" w:type="dxa"/>
          </w:tcPr>
          <w:p w14:paraId="3EAF8154" w14:textId="40A82C62" w:rsidR="001D4F25" w:rsidRDefault="001D4F25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Cache Size</w:t>
            </w:r>
          </w:p>
        </w:tc>
        <w:tc>
          <w:tcPr>
            <w:tcW w:w="2337" w:type="dxa"/>
          </w:tcPr>
          <w:p w14:paraId="6E01554B" w14:textId="2DB15DB1" w:rsidR="001D4F25" w:rsidRDefault="001D4F25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Block Size</w:t>
            </w:r>
          </w:p>
        </w:tc>
        <w:tc>
          <w:tcPr>
            <w:tcW w:w="2338" w:type="dxa"/>
          </w:tcPr>
          <w:p w14:paraId="44322006" w14:textId="01885BD5" w:rsidR="001D4F25" w:rsidRDefault="001D4F25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Replacement Type</w:t>
            </w:r>
          </w:p>
        </w:tc>
        <w:tc>
          <w:tcPr>
            <w:tcW w:w="2338" w:type="dxa"/>
          </w:tcPr>
          <w:p w14:paraId="520350BC" w14:textId="59C280C1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Associativity</w:t>
            </w:r>
          </w:p>
        </w:tc>
      </w:tr>
      <w:tr w:rsidR="001D4F25" w14:paraId="363B593A" w14:textId="77777777" w:rsidTr="001D4F25">
        <w:tc>
          <w:tcPr>
            <w:tcW w:w="2337" w:type="dxa"/>
          </w:tcPr>
          <w:p w14:paraId="14FD401B" w14:textId="4DF6D2D6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2337" w:type="dxa"/>
          </w:tcPr>
          <w:p w14:paraId="52911A55" w14:textId="5DAB26CD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23AC1682" w14:textId="2BBA1A4D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2338" w:type="dxa"/>
          </w:tcPr>
          <w:p w14:paraId="1BE834B9" w14:textId="23C88BEC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</w:tr>
      <w:tr w:rsidR="001D4F25" w14:paraId="2507B618" w14:textId="77777777" w:rsidTr="001D4F25">
        <w:tc>
          <w:tcPr>
            <w:tcW w:w="2337" w:type="dxa"/>
          </w:tcPr>
          <w:p w14:paraId="1DDACC81" w14:textId="416DFE48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2337" w:type="dxa"/>
          </w:tcPr>
          <w:p w14:paraId="6DE440CF" w14:textId="3457D418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68973E22" w14:textId="7A47CC4A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2338" w:type="dxa"/>
          </w:tcPr>
          <w:p w14:paraId="0D377ECA" w14:textId="141582DC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</w:tr>
      <w:tr w:rsidR="001D4F25" w14:paraId="547F827E" w14:textId="77777777" w:rsidTr="001D4F25">
        <w:tc>
          <w:tcPr>
            <w:tcW w:w="2337" w:type="dxa"/>
          </w:tcPr>
          <w:p w14:paraId="33E17EBA" w14:textId="69C477ED" w:rsidR="001D4F25" w:rsidRDefault="00C1651E" w:rsidP="00C1651E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2337" w:type="dxa"/>
          </w:tcPr>
          <w:p w14:paraId="6CC76E66" w14:textId="7CB226EE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39E32E2D" w14:textId="5B8886F0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2338" w:type="dxa"/>
          </w:tcPr>
          <w:p w14:paraId="5B6F3635" w14:textId="04C07819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</w:tr>
      <w:tr w:rsidR="001D4F25" w14:paraId="0E387983" w14:textId="77777777" w:rsidTr="001D4F25">
        <w:tc>
          <w:tcPr>
            <w:tcW w:w="2337" w:type="dxa"/>
          </w:tcPr>
          <w:p w14:paraId="3ABE038D" w14:textId="5F7CBC7C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2337" w:type="dxa"/>
          </w:tcPr>
          <w:p w14:paraId="269B01A7" w14:textId="7B65B5DE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239B3DCF" w14:textId="4FED277A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2338" w:type="dxa"/>
          </w:tcPr>
          <w:p w14:paraId="159EF562" w14:textId="3F592BA6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</w:tr>
      <w:tr w:rsidR="001D4F25" w14:paraId="6CE60AC3" w14:textId="77777777" w:rsidTr="001D4F25">
        <w:tc>
          <w:tcPr>
            <w:tcW w:w="2337" w:type="dxa"/>
          </w:tcPr>
          <w:p w14:paraId="279A3FF4" w14:textId="2BBC3ADD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2337" w:type="dxa"/>
          </w:tcPr>
          <w:p w14:paraId="6394314E" w14:textId="78783D0A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473469FB" w14:textId="7D6B717E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2338" w:type="dxa"/>
          </w:tcPr>
          <w:p w14:paraId="40D2AA8F" w14:textId="602DEB2A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 xml:space="preserve">2-Way </w:t>
            </w:r>
          </w:p>
        </w:tc>
      </w:tr>
      <w:tr w:rsidR="001D4F25" w14:paraId="3F4D1300" w14:textId="77777777" w:rsidTr="001D4F25">
        <w:tc>
          <w:tcPr>
            <w:tcW w:w="2337" w:type="dxa"/>
          </w:tcPr>
          <w:p w14:paraId="5037BA5F" w14:textId="33662B4A" w:rsidR="001D4F25" w:rsidRDefault="00C1651E" w:rsidP="00C1651E">
            <w:pPr>
              <w:tabs>
                <w:tab w:val="left" w:pos="518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2337" w:type="dxa"/>
          </w:tcPr>
          <w:p w14:paraId="04F5BF22" w14:textId="73183E5E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62B22F0D" w14:textId="577F2816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2338" w:type="dxa"/>
          </w:tcPr>
          <w:p w14:paraId="68C3EC4C" w14:textId="3E532963" w:rsidR="001D4F25" w:rsidRDefault="00C1651E" w:rsidP="00D4373C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 xml:space="preserve">2-Way </w:t>
            </w:r>
          </w:p>
        </w:tc>
      </w:tr>
    </w:tbl>
    <w:p w14:paraId="49C58444" w14:textId="77777777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63CFA394" w14:textId="2FC344FA" w:rsidR="001D4F25" w:rsidRDefault="001D4F2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73CE7FF9" w14:textId="174C798A" w:rsidR="000D4B7D" w:rsidRDefault="00C1651E" w:rsidP="000D4B7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proofErr w:type="gramStart"/>
      <w:r w:rsidRPr="000D4B7D">
        <w:rPr>
          <w:rFonts w:ascii="Helvetica Neue" w:hAnsi="Helvetica Neue" w:cs="Helvetica Neue"/>
          <w:color w:val="000000"/>
          <w:kern w:val="1"/>
          <w:sz w:val="20"/>
          <w:szCs w:val="20"/>
        </w:rPr>
        <w:lastRenderedPageBreak/>
        <w:t>Firstly</w:t>
      </w:r>
      <w:proofErr w:type="gramEnd"/>
      <w:r w:rsidRPr="000D4B7D"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 I chose to make these </w:t>
      </w:r>
      <w:r w:rsidR="00562C45" w:rsidRPr="000D4B7D">
        <w:rPr>
          <w:rFonts w:ascii="Helvetica Neue" w:hAnsi="Helvetica Neue" w:cs="Helvetica Neue"/>
          <w:color w:val="000000"/>
          <w:kern w:val="1"/>
          <w:sz w:val="20"/>
          <w:szCs w:val="20"/>
        </w:rPr>
        <w:t>parameters constant between all cache types to create a trend</w:t>
      </w:r>
      <w:r w:rsidR="00A64CA6" w:rsidRPr="000D4B7D"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 directly with a block size of 64. My reasoning for this was I wanted to see a direct change between the cache size and the replacement type without </w:t>
      </w:r>
      <w:r w:rsidR="003426B8"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a change </w:t>
      </w:r>
      <w:proofErr w:type="gramStart"/>
      <w:r w:rsidR="003426B8">
        <w:rPr>
          <w:rFonts w:ascii="Helvetica Neue" w:hAnsi="Helvetica Neue" w:cs="Helvetica Neue"/>
          <w:color w:val="000000"/>
          <w:kern w:val="1"/>
          <w:sz w:val="20"/>
          <w:szCs w:val="20"/>
        </w:rPr>
        <w:t>In</w:t>
      </w:r>
      <w:proofErr w:type="gramEnd"/>
      <w:r w:rsidR="003426B8"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 </w:t>
      </w:r>
      <w:r w:rsidR="00A64CA6" w:rsidRPr="000D4B7D">
        <w:rPr>
          <w:rFonts w:ascii="Helvetica Neue" w:hAnsi="Helvetica Neue" w:cs="Helvetica Neue"/>
          <w:color w:val="000000"/>
          <w:kern w:val="1"/>
          <w:sz w:val="20"/>
          <w:szCs w:val="20"/>
        </w:rPr>
        <w:t>the block size.</w:t>
      </w:r>
      <w:r w:rsidR="003426B8">
        <w:rPr>
          <w:rFonts w:ascii="Helvetica Neue" w:hAnsi="Helvetica Neue" w:cs="Helvetica Neue"/>
          <w:color w:val="000000"/>
          <w:kern w:val="1"/>
          <w:sz w:val="20"/>
          <w:szCs w:val="20"/>
        </w:rPr>
        <w:t xml:space="preserve"> </w:t>
      </w:r>
    </w:p>
    <w:p w14:paraId="12FEB114" w14:textId="77777777" w:rsidR="000D4B7D" w:rsidRDefault="000D4B7D" w:rsidP="000D4B7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4F5F6D85" w14:textId="54105E4E" w:rsidR="00D4373C" w:rsidRPr="000D4B7D" w:rsidRDefault="00D4373C" w:rsidP="000D4B7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 xml:space="preserve">Results: </w:t>
      </w:r>
    </w:p>
    <w:p w14:paraId="303F1F1D" w14:textId="00997634" w:rsidR="00D4373C" w:rsidRDefault="00D4373C" w:rsidP="00D4373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22D35"/>
          <w:kern w:val="1"/>
          <w:sz w:val="20"/>
          <w:szCs w:val="20"/>
        </w:rPr>
      </w:pPr>
    </w:p>
    <w:p w14:paraId="1A585420" w14:textId="4A5F333F" w:rsidR="00D4373C" w:rsidRDefault="00D4373C" w:rsidP="00D4373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 Neue" w:hAnsi="Helvetica Neue" w:cs="Helvetica Neue"/>
          <w:color w:val="222D35"/>
          <w:kern w:val="1"/>
          <w:sz w:val="20"/>
          <w:szCs w:val="20"/>
        </w:rPr>
      </w:pPr>
      <w:r>
        <w:rPr>
          <w:rFonts w:ascii="Helvetica Neue" w:hAnsi="Helvetica Neue" w:cs="Helvetica Neue"/>
          <w:noProof/>
          <w:color w:val="222D35"/>
          <w:kern w:val="1"/>
          <w:sz w:val="20"/>
          <w:szCs w:val="20"/>
        </w:rPr>
        <w:drawing>
          <wp:inline distT="0" distB="0" distL="0" distR="0" wp14:anchorId="413DDDB7" wp14:editId="1EBBC0BA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95CCD2" w14:textId="77777777" w:rsidR="00D4373C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222D35"/>
          <w:kern w:val="1"/>
          <w:sz w:val="20"/>
          <w:szCs w:val="20"/>
        </w:rPr>
      </w:pPr>
    </w:p>
    <w:p w14:paraId="4D7F6BA7" w14:textId="0A915858" w:rsidR="000D4B7D" w:rsidRDefault="00263965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Fully Associative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66"/>
        <w:gridCol w:w="1466"/>
        <w:gridCol w:w="922"/>
      </w:tblGrid>
      <w:tr w:rsidR="000D4B7D" w14:paraId="2C94D471" w14:textId="13A3A6D5" w:rsidTr="000D4B7D">
        <w:trPr>
          <w:trHeight w:val="259"/>
        </w:trPr>
        <w:tc>
          <w:tcPr>
            <w:tcW w:w="1464" w:type="dxa"/>
          </w:tcPr>
          <w:p w14:paraId="2C51B1F2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Cache Size</w:t>
            </w:r>
          </w:p>
        </w:tc>
        <w:tc>
          <w:tcPr>
            <w:tcW w:w="1466" w:type="dxa"/>
          </w:tcPr>
          <w:p w14:paraId="5524674E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Block Size</w:t>
            </w:r>
          </w:p>
        </w:tc>
        <w:tc>
          <w:tcPr>
            <w:tcW w:w="1466" w:type="dxa"/>
          </w:tcPr>
          <w:p w14:paraId="709C05BB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 xml:space="preserve">Replacement Type 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14:paraId="0843EDC2" w14:textId="7518F098" w:rsidR="000D4B7D" w:rsidRDefault="00263965">
            <w:r>
              <w:t>Ratio</w:t>
            </w:r>
          </w:p>
        </w:tc>
      </w:tr>
      <w:tr w:rsidR="000D4B7D" w14:paraId="3AF50E31" w14:textId="3104DDAE" w:rsidTr="000D4B7D">
        <w:trPr>
          <w:trHeight w:val="269"/>
        </w:trPr>
        <w:tc>
          <w:tcPr>
            <w:tcW w:w="1464" w:type="dxa"/>
          </w:tcPr>
          <w:p w14:paraId="64A6B01E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1466" w:type="dxa"/>
          </w:tcPr>
          <w:p w14:paraId="69BF4A29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</w:tcPr>
          <w:p w14:paraId="6A8CE9DF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14:paraId="22B92A83" w14:textId="5F90EF1C" w:rsidR="000D4B7D" w:rsidRDefault="00263965">
            <w:r>
              <w:t>0.91</w:t>
            </w:r>
          </w:p>
        </w:tc>
      </w:tr>
      <w:tr w:rsidR="000D4B7D" w14:paraId="7355F5A2" w14:textId="34A0B650" w:rsidTr="000D4B7D">
        <w:trPr>
          <w:trHeight w:val="259"/>
        </w:trPr>
        <w:tc>
          <w:tcPr>
            <w:tcW w:w="1464" w:type="dxa"/>
          </w:tcPr>
          <w:p w14:paraId="662E4324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1466" w:type="dxa"/>
          </w:tcPr>
          <w:p w14:paraId="17D2B803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</w:tcPr>
          <w:p w14:paraId="09EA0F34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14:paraId="147EE2EC" w14:textId="72224DB8" w:rsidR="000D4B7D" w:rsidRDefault="00263965">
            <w:r>
              <w:t>0.93</w:t>
            </w:r>
          </w:p>
        </w:tc>
      </w:tr>
      <w:tr w:rsidR="000D4B7D" w14:paraId="70718C5C" w14:textId="62D432A0" w:rsidTr="000D4B7D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464" w:type="dxa"/>
          </w:tcPr>
          <w:p w14:paraId="43BD4D73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ind w:left="-5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1466" w:type="dxa"/>
          </w:tcPr>
          <w:p w14:paraId="50510985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ind w:left="-5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  <w:shd w:val="clear" w:color="auto" w:fill="auto"/>
          </w:tcPr>
          <w:p w14:paraId="4FE71DDD" w14:textId="77777777" w:rsidR="000D4B7D" w:rsidRDefault="000D4B7D" w:rsidP="00434D57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14:paraId="01A71B7D" w14:textId="39BC6FAB" w:rsidR="000D4B7D" w:rsidRDefault="00263965">
            <w:r>
              <w:t>0.97</w:t>
            </w:r>
          </w:p>
        </w:tc>
      </w:tr>
      <w:tr w:rsidR="000D4B7D" w14:paraId="2E30CB53" w14:textId="02D64B74" w:rsidTr="000D4B7D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1464" w:type="dxa"/>
          </w:tcPr>
          <w:p w14:paraId="4F22A6E6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1466" w:type="dxa"/>
          </w:tcPr>
          <w:p w14:paraId="7F699A98" w14:textId="77777777" w:rsidR="000D4B7D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ind w:left="-5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  <w:shd w:val="clear" w:color="auto" w:fill="auto"/>
          </w:tcPr>
          <w:p w14:paraId="115CBFA5" w14:textId="77777777" w:rsidR="000D4B7D" w:rsidRDefault="000D4B7D" w:rsidP="00434D57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14:paraId="721947BA" w14:textId="53E056DC" w:rsidR="000D4B7D" w:rsidRDefault="00263965">
            <w:r>
              <w:t>0.94</w:t>
            </w:r>
          </w:p>
        </w:tc>
      </w:tr>
      <w:tr w:rsidR="000D4B7D" w14:paraId="02304DF7" w14:textId="4EE1A4D0" w:rsidTr="000D4B7D">
        <w:tblPrEx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1464" w:type="dxa"/>
            <w:shd w:val="clear" w:color="auto" w:fill="auto"/>
          </w:tcPr>
          <w:p w14:paraId="20F4F357" w14:textId="77777777" w:rsidR="000D4B7D" w:rsidRPr="001D4F25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1466" w:type="dxa"/>
          </w:tcPr>
          <w:p w14:paraId="70280F51" w14:textId="77777777" w:rsidR="000D4B7D" w:rsidRPr="001D4F25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  <w:shd w:val="clear" w:color="auto" w:fill="auto"/>
          </w:tcPr>
          <w:p w14:paraId="4BE097E7" w14:textId="77777777" w:rsidR="000D4B7D" w:rsidRPr="001D4F25" w:rsidRDefault="000D4B7D" w:rsidP="00434D57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14:paraId="417CA2FE" w14:textId="3D529248" w:rsidR="000D4B7D" w:rsidRDefault="00263965">
            <w:r>
              <w:t>0.96</w:t>
            </w:r>
          </w:p>
        </w:tc>
      </w:tr>
      <w:tr w:rsidR="000D4B7D" w14:paraId="1F908DC4" w14:textId="6585C589" w:rsidTr="000D4B7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1464" w:type="dxa"/>
            <w:tcBorders>
              <w:top w:val="single" w:sz="4" w:space="0" w:color="auto"/>
            </w:tcBorders>
          </w:tcPr>
          <w:p w14:paraId="122BB66E" w14:textId="77777777" w:rsidR="000D4B7D" w:rsidRPr="001D4F25" w:rsidRDefault="000D4B7D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24832" w14:textId="77777777" w:rsidR="000D4B7D" w:rsidRPr="001D4F25" w:rsidRDefault="000D4B7D" w:rsidP="00434D57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8736B" w14:textId="77777777" w:rsidR="000D4B7D" w:rsidRPr="001D4F25" w:rsidRDefault="000D4B7D" w:rsidP="00434D57">
            <w:pP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 w:rsidRPr="001D4F25"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7F7FBC0" w14:textId="0C8BF875" w:rsidR="000D4B7D" w:rsidRDefault="00263965">
            <w:r>
              <w:t>0.98</w:t>
            </w:r>
          </w:p>
        </w:tc>
      </w:tr>
    </w:tbl>
    <w:p w14:paraId="079B4D08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6BE6E18D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Direct Mapped</w:t>
      </w:r>
    </w:p>
    <w:p w14:paraId="1367E087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02"/>
        <w:gridCol w:w="1468"/>
      </w:tblGrid>
      <w:tr w:rsidR="00263965" w14:paraId="176FEB4D" w14:textId="5E04BE48" w:rsidTr="00263965">
        <w:tc>
          <w:tcPr>
            <w:tcW w:w="1885" w:type="dxa"/>
          </w:tcPr>
          <w:p w14:paraId="131D49BA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Cache Size</w:t>
            </w:r>
          </w:p>
        </w:tc>
        <w:tc>
          <w:tcPr>
            <w:tcW w:w="3302" w:type="dxa"/>
          </w:tcPr>
          <w:p w14:paraId="65A21E43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Replacement Type</w:t>
            </w:r>
          </w:p>
        </w:tc>
        <w:tc>
          <w:tcPr>
            <w:tcW w:w="1468" w:type="dxa"/>
          </w:tcPr>
          <w:p w14:paraId="7704C02C" w14:textId="562CF235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Ratio</w:t>
            </w:r>
          </w:p>
        </w:tc>
      </w:tr>
      <w:tr w:rsidR="00263965" w14:paraId="1EFC9820" w14:textId="00AC96CC" w:rsidTr="00263965">
        <w:tc>
          <w:tcPr>
            <w:tcW w:w="1885" w:type="dxa"/>
          </w:tcPr>
          <w:p w14:paraId="3BA29F39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3302" w:type="dxa"/>
          </w:tcPr>
          <w:p w14:paraId="68C314A9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N/A</w:t>
            </w:r>
          </w:p>
        </w:tc>
        <w:tc>
          <w:tcPr>
            <w:tcW w:w="1468" w:type="dxa"/>
          </w:tcPr>
          <w:p w14:paraId="7821AE9A" w14:textId="26D7AA6B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0.84</w:t>
            </w:r>
          </w:p>
        </w:tc>
      </w:tr>
      <w:tr w:rsidR="00263965" w14:paraId="7DBCEB01" w14:textId="3243404C" w:rsidTr="00263965">
        <w:tc>
          <w:tcPr>
            <w:tcW w:w="1885" w:type="dxa"/>
          </w:tcPr>
          <w:p w14:paraId="5B64B959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3302" w:type="dxa"/>
          </w:tcPr>
          <w:p w14:paraId="42276E3D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N/A</w:t>
            </w:r>
          </w:p>
        </w:tc>
        <w:tc>
          <w:tcPr>
            <w:tcW w:w="1468" w:type="dxa"/>
          </w:tcPr>
          <w:p w14:paraId="59066578" w14:textId="47FDD7BE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0.88</w:t>
            </w:r>
          </w:p>
        </w:tc>
      </w:tr>
      <w:tr w:rsidR="00263965" w14:paraId="79BE2702" w14:textId="03D4EA6A" w:rsidTr="00263965">
        <w:tc>
          <w:tcPr>
            <w:tcW w:w="1885" w:type="dxa"/>
          </w:tcPr>
          <w:p w14:paraId="53908531" w14:textId="77777777" w:rsidR="00263965" w:rsidRDefault="00263965" w:rsidP="00434D57">
            <w:pPr>
              <w:tabs>
                <w:tab w:val="left" w:pos="3354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3302" w:type="dxa"/>
          </w:tcPr>
          <w:p w14:paraId="6A527E24" w14:textId="77777777" w:rsidR="00263965" w:rsidRDefault="00263965" w:rsidP="00434D57">
            <w:pPr>
              <w:tabs>
                <w:tab w:val="left" w:pos="966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N/A</w:t>
            </w:r>
          </w:p>
        </w:tc>
        <w:tc>
          <w:tcPr>
            <w:tcW w:w="1468" w:type="dxa"/>
          </w:tcPr>
          <w:p w14:paraId="1A31870D" w14:textId="1468CFD1" w:rsidR="00263965" w:rsidRDefault="00263965" w:rsidP="00263965">
            <w:pPr>
              <w:tabs>
                <w:tab w:val="left" w:pos="966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0.93</w:t>
            </w:r>
          </w:p>
        </w:tc>
      </w:tr>
    </w:tbl>
    <w:p w14:paraId="0EEB6234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77231CB6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p w14:paraId="19115852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color w:val="000000"/>
          <w:kern w:val="1"/>
          <w:sz w:val="20"/>
          <w:szCs w:val="20"/>
        </w:rPr>
        <w:t>Set associative</w:t>
      </w:r>
    </w:p>
    <w:p w14:paraId="49761256" w14:textId="77777777" w:rsidR="000D4B7D" w:rsidRDefault="000D4B7D" w:rsidP="000D4B7D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48"/>
        <w:gridCol w:w="2070"/>
        <w:gridCol w:w="1320"/>
        <w:gridCol w:w="283"/>
        <w:gridCol w:w="1187"/>
      </w:tblGrid>
      <w:tr w:rsidR="00263965" w14:paraId="32E35CA8" w14:textId="49B8B022" w:rsidTr="00263965">
        <w:tc>
          <w:tcPr>
            <w:tcW w:w="2337" w:type="dxa"/>
          </w:tcPr>
          <w:p w14:paraId="51AA5132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Cache Size</w:t>
            </w:r>
          </w:p>
        </w:tc>
        <w:tc>
          <w:tcPr>
            <w:tcW w:w="1348" w:type="dxa"/>
          </w:tcPr>
          <w:p w14:paraId="0DF9D0D8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Block Size</w:t>
            </w:r>
          </w:p>
        </w:tc>
        <w:tc>
          <w:tcPr>
            <w:tcW w:w="2070" w:type="dxa"/>
          </w:tcPr>
          <w:p w14:paraId="43CDB49A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Replacement Type</w:t>
            </w:r>
          </w:p>
        </w:tc>
        <w:tc>
          <w:tcPr>
            <w:tcW w:w="1603" w:type="dxa"/>
            <w:gridSpan w:val="2"/>
          </w:tcPr>
          <w:p w14:paraId="45965262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Associativity</w:t>
            </w:r>
          </w:p>
        </w:tc>
        <w:tc>
          <w:tcPr>
            <w:tcW w:w="1187" w:type="dxa"/>
          </w:tcPr>
          <w:p w14:paraId="4D49E03E" w14:textId="7146C981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Ratio</w:t>
            </w:r>
          </w:p>
        </w:tc>
      </w:tr>
      <w:tr w:rsidR="00263965" w14:paraId="1C07561D" w14:textId="00C98CE1" w:rsidTr="00263965">
        <w:tc>
          <w:tcPr>
            <w:tcW w:w="2337" w:type="dxa"/>
          </w:tcPr>
          <w:p w14:paraId="576677D0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1348" w:type="dxa"/>
          </w:tcPr>
          <w:p w14:paraId="110F5E27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070" w:type="dxa"/>
          </w:tcPr>
          <w:p w14:paraId="159BADC0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1603" w:type="dxa"/>
            <w:gridSpan w:val="2"/>
          </w:tcPr>
          <w:p w14:paraId="10655F57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  <w:tc>
          <w:tcPr>
            <w:tcW w:w="1187" w:type="dxa"/>
          </w:tcPr>
          <w:p w14:paraId="4F2E4AE3" w14:textId="604ABCF3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0.87</w:t>
            </w:r>
          </w:p>
        </w:tc>
      </w:tr>
      <w:tr w:rsidR="00263965" w14:paraId="2BD88AF1" w14:textId="5A16C42D" w:rsidTr="00263965">
        <w:tc>
          <w:tcPr>
            <w:tcW w:w="2337" w:type="dxa"/>
          </w:tcPr>
          <w:p w14:paraId="607F5147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1348" w:type="dxa"/>
          </w:tcPr>
          <w:p w14:paraId="0F5DFA38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070" w:type="dxa"/>
          </w:tcPr>
          <w:p w14:paraId="2354FFA0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1603" w:type="dxa"/>
            <w:gridSpan w:val="2"/>
          </w:tcPr>
          <w:p w14:paraId="0EDF6955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  <w:tc>
          <w:tcPr>
            <w:tcW w:w="1187" w:type="dxa"/>
          </w:tcPr>
          <w:p w14:paraId="3670DF4B" w14:textId="73B579C5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0.91</w:t>
            </w:r>
          </w:p>
        </w:tc>
      </w:tr>
      <w:tr w:rsidR="00263965" w14:paraId="51E39A33" w14:textId="303BC275" w:rsidTr="00263965">
        <w:tc>
          <w:tcPr>
            <w:tcW w:w="2337" w:type="dxa"/>
          </w:tcPr>
          <w:p w14:paraId="2D5707B5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lastRenderedPageBreak/>
              <w:t>4096</w:t>
            </w:r>
          </w:p>
        </w:tc>
        <w:tc>
          <w:tcPr>
            <w:tcW w:w="1348" w:type="dxa"/>
          </w:tcPr>
          <w:p w14:paraId="7ECF8184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070" w:type="dxa"/>
          </w:tcPr>
          <w:p w14:paraId="79A8B231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FIFO</w:t>
            </w:r>
          </w:p>
        </w:tc>
        <w:tc>
          <w:tcPr>
            <w:tcW w:w="1603" w:type="dxa"/>
            <w:gridSpan w:val="2"/>
          </w:tcPr>
          <w:p w14:paraId="57C8EAC6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  <w:tc>
          <w:tcPr>
            <w:tcW w:w="1187" w:type="dxa"/>
          </w:tcPr>
          <w:p w14:paraId="7F9FCA35" w14:textId="21475780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0.95</w:t>
            </w:r>
          </w:p>
        </w:tc>
      </w:tr>
      <w:tr w:rsidR="00263965" w14:paraId="23DF9D5F" w14:textId="155612DC" w:rsidTr="00263965">
        <w:tc>
          <w:tcPr>
            <w:tcW w:w="2337" w:type="dxa"/>
          </w:tcPr>
          <w:p w14:paraId="239F826D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1024</w:t>
            </w:r>
          </w:p>
        </w:tc>
        <w:tc>
          <w:tcPr>
            <w:tcW w:w="1348" w:type="dxa"/>
          </w:tcPr>
          <w:p w14:paraId="395B58A7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070" w:type="dxa"/>
          </w:tcPr>
          <w:p w14:paraId="0064DC55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1603" w:type="dxa"/>
            <w:gridSpan w:val="2"/>
          </w:tcPr>
          <w:p w14:paraId="38655E4E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2-Way</w:t>
            </w:r>
          </w:p>
        </w:tc>
        <w:tc>
          <w:tcPr>
            <w:tcW w:w="1187" w:type="dxa"/>
          </w:tcPr>
          <w:p w14:paraId="221E3B3F" w14:textId="7DF86F07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0.90</w:t>
            </w:r>
          </w:p>
        </w:tc>
      </w:tr>
      <w:tr w:rsidR="00263965" w14:paraId="00C70800" w14:textId="514D1907" w:rsidTr="00263965">
        <w:tc>
          <w:tcPr>
            <w:tcW w:w="2337" w:type="dxa"/>
          </w:tcPr>
          <w:p w14:paraId="54A50EDE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2048</w:t>
            </w:r>
          </w:p>
        </w:tc>
        <w:tc>
          <w:tcPr>
            <w:tcW w:w="1348" w:type="dxa"/>
          </w:tcPr>
          <w:p w14:paraId="5B382DD1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070" w:type="dxa"/>
          </w:tcPr>
          <w:p w14:paraId="15429C98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1603" w:type="dxa"/>
            <w:gridSpan w:val="2"/>
          </w:tcPr>
          <w:p w14:paraId="377E3BC0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 xml:space="preserve">2-Way </w:t>
            </w:r>
          </w:p>
        </w:tc>
        <w:tc>
          <w:tcPr>
            <w:tcW w:w="1187" w:type="dxa"/>
          </w:tcPr>
          <w:p w14:paraId="15C5FB76" w14:textId="6A43D484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0.93</w:t>
            </w:r>
          </w:p>
        </w:tc>
      </w:tr>
      <w:tr w:rsidR="00263965" w14:paraId="67787815" w14:textId="1284B427" w:rsidTr="00263965">
        <w:tc>
          <w:tcPr>
            <w:tcW w:w="2337" w:type="dxa"/>
          </w:tcPr>
          <w:p w14:paraId="6E8A93E8" w14:textId="77777777" w:rsidR="00263965" w:rsidRDefault="00263965" w:rsidP="00434D57">
            <w:pPr>
              <w:tabs>
                <w:tab w:val="left" w:pos="518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4096</w:t>
            </w:r>
          </w:p>
        </w:tc>
        <w:tc>
          <w:tcPr>
            <w:tcW w:w="1348" w:type="dxa"/>
          </w:tcPr>
          <w:p w14:paraId="5559160E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64</w:t>
            </w:r>
          </w:p>
        </w:tc>
        <w:tc>
          <w:tcPr>
            <w:tcW w:w="2070" w:type="dxa"/>
          </w:tcPr>
          <w:p w14:paraId="55AFF652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LRU</w:t>
            </w:r>
          </w:p>
        </w:tc>
        <w:tc>
          <w:tcPr>
            <w:tcW w:w="1320" w:type="dxa"/>
          </w:tcPr>
          <w:p w14:paraId="5A897C75" w14:textId="77777777" w:rsidR="00263965" w:rsidRDefault="00263965" w:rsidP="00434D57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 xml:space="preserve">2-Way 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</w:tcPr>
          <w:p w14:paraId="080008AC" w14:textId="06AB54CE" w:rsidR="00263965" w:rsidRDefault="00263965" w:rsidP="00263965">
            <w:pPr>
              <w:tabs>
                <w:tab w:val="left" w:pos="115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kern w:val="1"/>
                <w:sz w:val="20"/>
                <w:szCs w:val="20"/>
              </w:rPr>
              <w:t>0.95</w:t>
            </w:r>
          </w:p>
        </w:tc>
      </w:tr>
    </w:tbl>
    <w:p w14:paraId="54E2E699" w14:textId="77777777" w:rsidR="00263965" w:rsidRDefault="0026396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3C34B82F" w14:textId="77777777" w:rsidR="00263965" w:rsidRDefault="0026396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06770764" w14:textId="0DF647FF" w:rsidR="00D4373C" w:rsidRDefault="00D4373C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>Conclusions:</w:t>
      </w:r>
    </w:p>
    <w:p w14:paraId="1F633B1B" w14:textId="2CA3E38C" w:rsidR="00D4373C" w:rsidRDefault="00D4373C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265D2F87" w14:textId="548E308E" w:rsidR="00562C45" w:rsidRDefault="00562C45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 xml:space="preserve">Overall </w:t>
      </w:r>
      <w:r w:rsidR="0098289A"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 xml:space="preserve">full associative performed the best, with LRU replacement having a better hit ratio then FIFO. With respect to cache size, the higher the cache size the higher the hit ratio as well. </w:t>
      </w:r>
      <w:r w:rsidR="00A64CA6"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  <w:t xml:space="preserve">In my cache analysis, LRU replacement type received higher hit ratios than the FIFO replacement type. </w:t>
      </w:r>
    </w:p>
    <w:p w14:paraId="6DE9922C" w14:textId="77777777" w:rsidR="00A64CA6" w:rsidRDefault="00A64CA6" w:rsidP="00D4373C">
      <w:pPr>
        <w:tabs>
          <w:tab w:val="left" w:pos="115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1"/>
          <w:sz w:val="20"/>
          <w:szCs w:val="20"/>
        </w:rPr>
      </w:pPr>
    </w:p>
    <w:p w14:paraId="5843905A" w14:textId="77777777" w:rsidR="00D4373C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222D35"/>
          <w:kern w:val="1"/>
          <w:sz w:val="20"/>
          <w:szCs w:val="20"/>
        </w:rPr>
      </w:pPr>
    </w:p>
    <w:p w14:paraId="3305B958" w14:textId="77777777" w:rsidR="00D4373C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222D35"/>
          <w:kern w:val="1"/>
          <w:sz w:val="20"/>
          <w:szCs w:val="20"/>
        </w:rPr>
      </w:pPr>
    </w:p>
    <w:p w14:paraId="7DA426FA" w14:textId="77777777" w:rsidR="00D4373C" w:rsidRDefault="00D4373C" w:rsidP="00D4373C">
      <w:pPr>
        <w:autoSpaceDE w:val="0"/>
        <w:autoSpaceDN w:val="0"/>
        <w:adjustRightInd w:val="0"/>
        <w:rPr>
          <w:rFonts w:ascii="Helvetica Neue" w:hAnsi="Helvetica Neue" w:cs="Helvetica Neue"/>
          <w:color w:val="222D35"/>
          <w:kern w:val="1"/>
          <w:sz w:val="20"/>
          <w:szCs w:val="20"/>
        </w:rPr>
      </w:pPr>
    </w:p>
    <w:p w14:paraId="2637E370" w14:textId="77777777" w:rsidR="00605575" w:rsidRDefault="00605575"/>
    <w:sectPr w:rsidR="00605575" w:rsidSect="00B257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4414369">
    <w:abstractNumId w:val="0"/>
  </w:num>
  <w:num w:numId="2" w16cid:durableId="2068067908">
    <w:abstractNumId w:val="1"/>
  </w:num>
  <w:num w:numId="3" w16cid:durableId="48995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3C"/>
    <w:rsid w:val="000D4B7D"/>
    <w:rsid w:val="001D4F25"/>
    <w:rsid w:val="0023696B"/>
    <w:rsid w:val="00252745"/>
    <w:rsid w:val="00263965"/>
    <w:rsid w:val="003426B8"/>
    <w:rsid w:val="00562C45"/>
    <w:rsid w:val="00605575"/>
    <w:rsid w:val="0098289A"/>
    <w:rsid w:val="00A22989"/>
    <w:rsid w:val="00A64CA6"/>
    <w:rsid w:val="00C1651E"/>
    <w:rsid w:val="00D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61F8"/>
  <w15:chartTrackingRefBased/>
  <w15:docId w15:val="{EFB2A73B-40B0-F54E-9532-B3D5EAE2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 LRU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0.94399999999999995</c:v>
                </c:pt>
                <c:pt idx="1">
                  <c:v>0.96599999999999997</c:v>
                </c:pt>
                <c:pt idx="2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A7-394D-AE74-ABC1D9DE3B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 FIFO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0.91</c:v>
                </c:pt>
                <c:pt idx="1">
                  <c:v>0.93300000000000005</c:v>
                </c:pt>
                <c:pt idx="2">
                  <c:v>0.97899999999999998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A7-394D-AE74-ABC1D9DE3B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Direct Mapped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0.84338999999999997</c:v>
                </c:pt>
                <c:pt idx="1">
                  <c:v>0.88</c:v>
                </c:pt>
                <c:pt idx="2">
                  <c:v>0.93200000000000005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A7-394D-AE74-ABC1D9DE3B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Set LRU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0.90391999999999995</c:v>
                </c:pt>
                <c:pt idx="1">
                  <c:v>0.93320000000000003</c:v>
                </c:pt>
                <c:pt idx="2">
                  <c:v>0.9556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A7-394D-AE74-ABC1D9DE3B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Set FIFO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0.87580000000000002</c:v>
                </c:pt>
                <c:pt idx="1">
                  <c:v>0.9123</c:v>
                </c:pt>
                <c:pt idx="2">
                  <c:v>0.95331999999999995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A7-394D-AE74-ABC1D9DE3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5024624"/>
        <c:axId val="545075824"/>
      </c:lineChart>
      <c:catAx>
        <c:axId val="54502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75824"/>
        <c:crosses val="autoZero"/>
        <c:auto val="1"/>
        <c:lblAlgn val="ctr"/>
        <c:lblOffset val="100"/>
        <c:noMultiLvlLbl val="0"/>
      </c:catAx>
      <c:valAx>
        <c:axId val="54507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02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Maki, Jesse R.</dc:creator>
  <cp:keywords/>
  <dc:description/>
  <cp:lastModifiedBy>Maki, Jesse R.</cp:lastModifiedBy>
  <cp:revision>3</cp:revision>
  <dcterms:created xsi:type="dcterms:W3CDTF">2022-12-04T23:30:00Z</dcterms:created>
  <dcterms:modified xsi:type="dcterms:W3CDTF">2022-12-05T04:46:00Z</dcterms:modified>
</cp:coreProperties>
</file>