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8545" w14:textId="11F8264B" w:rsidR="001112E4" w:rsidRPr="00671700" w:rsidRDefault="001112E4" w:rsidP="001112E4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E06020">
        <w:rPr>
          <w:rFonts w:ascii="Arial" w:hAnsi="Arial" w:cs="Arial"/>
          <w:b/>
        </w:rPr>
        <w:t>IVEN</w:t>
      </w:r>
      <w:r>
        <w:rPr>
          <w:rFonts w:ascii="Arial" w:hAnsi="Arial" w:cs="Arial"/>
          <w:b/>
        </w:rPr>
        <w:t xml:space="preserve">2.0 </w:t>
      </w:r>
      <w:r w:rsidR="00C530E9">
        <w:rPr>
          <w:rFonts w:ascii="Arial" w:hAnsi="Arial" w:cs="Arial"/>
          <w:b/>
        </w:rPr>
        <w:t>Selection of cavity points in the evaluation of cavity adjacent points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August 2023</w:t>
      </w:r>
      <w:r>
        <w:rPr>
          <w:rFonts w:ascii="Arial" w:hAnsi="Arial" w:cs="Arial"/>
        </w:rPr>
        <w:br/>
        <w:t>Jessica E. Forsyth</w:t>
      </w:r>
    </w:p>
    <w:p w14:paraId="29DB3E21" w14:textId="773F1EF1" w:rsidR="00C530E9" w:rsidRDefault="00C530E9" w:rsidP="00C31F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guide offers some advice regarding the selection of cavity points using the IVEN2 GUI. This feature was developed to enable to semi-automatic identification of ‘cavity-adjacent’ cells. </w:t>
      </w:r>
    </w:p>
    <w:p w14:paraId="3093B84B" w14:textId="735379D1" w:rsidR="00C530E9" w:rsidRDefault="00C530E9" w:rsidP="00C530E9">
      <w:pPr>
        <w:rPr>
          <w:rFonts w:ascii="Arial" w:hAnsi="Arial" w:cs="Arial"/>
          <w:b/>
          <w:bCs/>
        </w:rPr>
      </w:pPr>
      <w:r w:rsidRPr="00C530E9">
        <w:rPr>
          <w:rFonts w:ascii="Arial" w:hAnsi="Arial" w:cs="Arial"/>
          <w:b/>
          <w:bCs/>
        </w:rPr>
        <w:t>Selection of approximate cavity adjacent points</w:t>
      </w:r>
    </w:p>
    <w:p w14:paraId="7DE6C065" w14:textId="695742F7" w:rsidR="00C530E9" w:rsidRDefault="00C530E9" w:rsidP="00C530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step in the IVEN2 analysis is to obtain coordinates of points located </w:t>
      </w:r>
      <w:r w:rsidRPr="00C530E9">
        <w:rPr>
          <w:rFonts w:ascii="Arial" w:hAnsi="Arial" w:cs="Arial"/>
          <w:b/>
          <w:bCs/>
        </w:rPr>
        <w:t>within</w:t>
      </w:r>
      <w:r>
        <w:rPr>
          <w:rFonts w:ascii="Arial" w:hAnsi="Arial" w:cs="Arial"/>
        </w:rPr>
        <w:t xml:space="preserve"> the cavity which are later used in the automatic detection of cavity adjacent cells. </w:t>
      </w:r>
    </w:p>
    <w:p w14:paraId="174E37AA" w14:textId="6D506071" w:rsidR="00133D78" w:rsidRDefault="00C530E9" w:rsidP="00C530E9">
      <w:pPr>
        <w:rPr>
          <w:rFonts w:ascii="Arial" w:hAnsi="Arial" w:cs="Arial"/>
        </w:rPr>
      </w:pPr>
      <w:r>
        <w:rPr>
          <w:rFonts w:ascii="Arial" w:hAnsi="Arial" w:cs="Arial"/>
        </w:rPr>
        <w:t>The user is asked to manually select cells they suspect of being cavity adjacent, when the user then confirms their selection, a cross marker is placed at the mean point between the select points. Therefore</w:t>
      </w:r>
      <w:r w:rsidR="00133D7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initial selection of suspected cavity adjacent cells does not need to be 100% accurate and can also be a subset of cavity adjacent points, see two</w:t>
      </w:r>
      <w:r w:rsidR="00133D7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dimensional example in figure 1. </w:t>
      </w:r>
    </w:p>
    <w:p w14:paraId="503C05D6" w14:textId="77777777" w:rsidR="00133D78" w:rsidRDefault="00133D78" w:rsidP="00133D78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1525E6E5" wp14:editId="59C53A5E">
            <wp:extent cx="5731510" cy="15640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39F" w14:textId="4267074E" w:rsidR="00133D78" w:rsidRDefault="00133D78" w:rsidP="00133D7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Two 2D examples of selecting cavity points. a) Example where the user selected all suspected cavity adjacent cells with a single resulting cavity point. b-d) Example where the user selects 2 subsets of the cavity adjacent cells to obtain two cavity points (yellow + purple). </w:t>
      </w:r>
    </w:p>
    <w:p w14:paraId="70840843" w14:textId="35C62562" w:rsidR="00133D78" w:rsidRDefault="00133D78" w:rsidP="00133D78">
      <w:pPr>
        <w:rPr>
          <w:rFonts w:ascii="Arial" w:hAnsi="Arial" w:cs="Arial"/>
        </w:rPr>
      </w:pPr>
      <w:r w:rsidRPr="00133D78">
        <w:rPr>
          <w:rFonts w:ascii="Arial" w:hAnsi="Arial" w:cs="Arial"/>
        </w:rPr>
        <w:t>In most cases it will be very difficult to select all cavity adjacent cells accurately. Therefore</w:t>
      </w:r>
      <w:r w:rsidR="0075454E">
        <w:rPr>
          <w:rFonts w:ascii="Arial" w:hAnsi="Arial" w:cs="Arial"/>
        </w:rPr>
        <w:t>,</w:t>
      </w:r>
      <w:r w:rsidRPr="00133D78">
        <w:rPr>
          <w:rFonts w:ascii="Arial" w:hAnsi="Arial" w:cs="Arial"/>
        </w:rPr>
        <w:t xml:space="preserve"> we suggest taking the second approach (example two)</w:t>
      </w:r>
      <w:r>
        <w:rPr>
          <w:rFonts w:ascii="Arial" w:hAnsi="Arial" w:cs="Arial"/>
        </w:rPr>
        <w:t xml:space="preserve">. By using multiple subsets of suspected cavity adjacent cells, you should obtain a better description of the cavity and there more accurate identification of cavity adjacent cells in the final step. </w:t>
      </w:r>
    </w:p>
    <w:p w14:paraId="6B02F12C" w14:textId="7D18A6DB" w:rsidR="00133D78" w:rsidRDefault="00133D78" w:rsidP="00133D78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After identification of </w:t>
      </w:r>
      <m:oMath>
        <m:r>
          <w:rPr>
            <w:rFonts w:ascii="Cambria Math" w:hAnsi="Cambria Math" w:cs="Arial"/>
          </w:rPr>
          <m:t xml:space="preserve">n </m:t>
        </m:r>
      </m:oMath>
      <w:r>
        <w:rPr>
          <w:rFonts w:ascii="Arial" w:eastAsiaTheme="minorEastAsia" w:hAnsi="Arial" w:cs="Arial"/>
        </w:rPr>
        <w:t xml:space="preserve">cavity points. The Delaunay triangulation is subsequently re-created, </w:t>
      </w:r>
      <w:r w:rsidRPr="00133D78">
        <w:rPr>
          <w:rFonts w:ascii="Arial" w:eastAsiaTheme="minorEastAsia" w:hAnsi="Arial" w:cs="Arial"/>
          <w:b/>
          <w:bCs/>
        </w:rPr>
        <w:t>including</w:t>
      </w:r>
      <w:r>
        <w:rPr>
          <w:rFonts w:ascii="Arial" w:eastAsiaTheme="minorEastAsia" w:hAnsi="Arial" w:cs="Arial"/>
        </w:rPr>
        <w:t xml:space="preserve"> the cavity points. Any cells found to be connected to the cavity points within the Delaunay triangulation are thereby considered cavity-adjacent points. </w:t>
      </w:r>
    </w:p>
    <w:p w14:paraId="58CAE1F2" w14:textId="1013CFAF" w:rsidR="00133D78" w:rsidRPr="0075454E" w:rsidRDefault="00133D78" w:rsidP="00133D78">
      <w:pPr>
        <w:rPr>
          <w:rFonts w:ascii="Arial" w:hAnsi="Arial" w:cs="Arial"/>
          <w:b/>
          <w:bCs/>
        </w:rPr>
      </w:pPr>
      <w:r w:rsidRPr="0075454E">
        <w:rPr>
          <w:rFonts w:ascii="Arial" w:hAnsi="Arial" w:cs="Arial"/>
          <w:b/>
          <w:bCs/>
        </w:rPr>
        <w:t>Summary:</w:t>
      </w:r>
    </w:p>
    <w:p w14:paraId="723CA7D0" w14:textId="50EED80F" w:rsidR="00133D78" w:rsidRDefault="00133D78" w:rsidP="00133D7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This stage within the IVEN2 analysis is not essential, it can be skipped for samples with no cavity present.</w:t>
      </w:r>
    </w:p>
    <w:p w14:paraId="57EB0C5D" w14:textId="4CC55723" w:rsidR="00133D78" w:rsidRDefault="00133D78" w:rsidP="00133D7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Multiply cavity points can be selected and multiple cavities can be identified within this step. </w:t>
      </w:r>
    </w:p>
    <w:p w14:paraId="09E929A2" w14:textId="3D5739EA" w:rsidR="00133D78" w:rsidRDefault="00133D78" w:rsidP="00133D7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Currently there is no distinction between cavity-adjacent points i.e. no data is recorded about which cavity point a cell is connected to within the Delaunay triangulation. </w:t>
      </w:r>
    </w:p>
    <w:p w14:paraId="551E61AA" w14:textId="1BD2B28E" w:rsidR="0075454E" w:rsidRPr="0075454E" w:rsidRDefault="00133D78" w:rsidP="0075454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suggest for larger cavities (where the diameter of the cavity is larger than a cell diameter within the sample), that multiple </w:t>
      </w:r>
      <w:r w:rsidR="0075454E">
        <w:rPr>
          <w:rFonts w:ascii="Arial" w:hAnsi="Arial" w:cs="Arial"/>
        </w:rPr>
        <w:t xml:space="preserve">cavity </w:t>
      </w:r>
      <w:r>
        <w:rPr>
          <w:rFonts w:ascii="Arial" w:hAnsi="Arial" w:cs="Arial"/>
        </w:rPr>
        <w:t>points are</w:t>
      </w:r>
      <w:r w:rsidR="0075454E">
        <w:rPr>
          <w:rFonts w:ascii="Arial" w:hAnsi="Arial" w:cs="Arial"/>
        </w:rPr>
        <w:t xml:space="preserve"> generated by using subsets of points (as in Example 2 in figure 1).</w:t>
      </w:r>
    </w:p>
    <w:sectPr w:rsidR="0075454E" w:rsidRPr="00754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4DEE"/>
    <w:multiLevelType w:val="hybridMultilevel"/>
    <w:tmpl w:val="A8043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795C"/>
    <w:multiLevelType w:val="hybridMultilevel"/>
    <w:tmpl w:val="19AAF1FC"/>
    <w:lvl w:ilvl="0" w:tplc="4BC64D7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742D3"/>
    <w:multiLevelType w:val="hybridMultilevel"/>
    <w:tmpl w:val="6FE05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C100E"/>
    <w:multiLevelType w:val="hybridMultilevel"/>
    <w:tmpl w:val="6FE05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40BB2"/>
    <w:multiLevelType w:val="hybridMultilevel"/>
    <w:tmpl w:val="0A248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3744">
    <w:abstractNumId w:val="4"/>
  </w:num>
  <w:num w:numId="2" w16cid:durableId="1003163736">
    <w:abstractNumId w:val="2"/>
  </w:num>
  <w:num w:numId="3" w16cid:durableId="432096420">
    <w:abstractNumId w:val="3"/>
  </w:num>
  <w:num w:numId="4" w16cid:durableId="1652052071">
    <w:abstractNumId w:val="0"/>
  </w:num>
  <w:num w:numId="5" w16cid:durableId="26029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E4"/>
    <w:rsid w:val="000C3C3C"/>
    <w:rsid w:val="000F1796"/>
    <w:rsid w:val="001112E4"/>
    <w:rsid w:val="00133D78"/>
    <w:rsid w:val="001631C0"/>
    <w:rsid w:val="0075454E"/>
    <w:rsid w:val="00BF3809"/>
    <w:rsid w:val="00C31FA5"/>
    <w:rsid w:val="00C530E9"/>
    <w:rsid w:val="00EA4775"/>
    <w:rsid w:val="00E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294A"/>
  <w15:chartTrackingRefBased/>
  <w15:docId w15:val="{B1E27EBD-BE93-4B06-8082-48E2CBBD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2E4"/>
    <w:rPr>
      <w:color w:val="0000FF"/>
      <w:u w:val="single"/>
    </w:rPr>
  </w:style>
  <w:style w:type="table" w:styleId="TableGrid">
    <w:name w:val="Table Grid"/>
    <w:basedOn w:val="TableNormal"/>
    <w:uiPriority w:val="39"/>
    <w:rsid w:val="0011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12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2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3D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33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Forsyth</dc:creator>
  <cp:keywords/>
  <dc:description/>
  <cp:lastModifiedBy>Jess Forsyth</cp:lastModifiedBy>
  <cp:revision>7</cp:revision>
  <dcterms:created xsi:type="dcterms:W3CDTF">2023-08-13T08:34:00Z</dcterms:created>
  <dcterms:modified xsi:type="dcterms:W3CDTF">2023-08-21T10:52:00Z</dcterms:modified>
</cp:coreProperties>
</file>