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B18284">
      <w:pPr>
        <w:pStyle w:val="18"/>
        <w:numPr>
          <w:ilvl w:val="0"/>
          <w:numId w:val="0"/>
        </w:numPr>
        <w:rPr>
          <w:rFonts w:hint="eastAsia" w:ascii="Times New Roman" w:hAnsi="Times New Roman" w:eastAsia="宋体" w:cs="宋体"/>
          <w:b/>
          <w:bCs/>
          <w:kern w:val="2"/>
          <w:sz w:val="28"/>
          <w:szCs w:val="28"/>
          <w:lang w:val="en-US" w:eastAsia="zh-CN" w:bidi="ar-SA"/>
        </w:rPr>
      </w:pPr>
      <w:r>
        <w:rPr>
          <w:rFonts w:hint="eastAsia"/>
          <w:b/>
          <w:bCs/>
          <w:sz w:val="36"/>
          <w:szCs w:val="36"/>
          <w:lang w:val="en-US" w:eastAsia="zh-CN"/>
        </w:rPr>
        <w:t>Appendix_1</w:t>
      </w:r>
      <w:r>
        <w:rPr>
          <w:rFonts w:hint="eastAsia"/>
          <w:b/>
          <w:bCs/>
          <w:sz w:val="36"/>
          <w:szCs w:val="36"/>
          <w:lang w:val="en-US" w:eastAsia="zh-CN"/>
        </w:rPr>
        <w:br w:type="textWrapping"/>
      </w:r>
      <w:r>
        <w:rPr>
          <w:rFonts w:hint="eastAsia" w:ascii="Times New Roman" w:hAnsi="Times New Roman" w:eastAsia="宋体" w:cs="宋体"/>
          <w:b/>
          <w:bCs/>
          <w:kern w:val="2"/>
          <w:sz w:val="28"/>
          <w:szCs w:val="28"/>
          <w:lang w:val="en-US" w:eastAsia="zh-CN" w:bidi="ar-SA"/>
        </w:rPr>
        <w:t>1 Failure Cases in the Petroleum and Petrochemical Industry</w:t>
      </w:r>
    </w:p>
    <w:p w14:paraId="2509487A">
      <w:pPr>
        <w:pStyle w:val="16"/>
        <w:spacing w:before="31" w:after="31"/>
        <w:ind w:firstLine="0" w:firstLineChars="0"/>
        <w:rPr>
          <w:rFonts w:hint="eastAsia"/>
          <w:b/>
          <w:bCs/>
          <w:szCs w:val="24"/>
          <w:lang w:val="en-US" w:eastAsia="zh-CN"/>
        </w:rPr>
      </w:pPr>
      <w:r>
        <w:rPr>
          <w:rFonts w:hint="eastAsia"/>
          <w:b/>
          <w:bCs/>
          <w:szCs w:val="24"/>
          <w:lang w:val="en-US" w:eastAsia="zh-CN"/>
        </w:rPr>
        <w:t>1.1 Case 1-11 Cracking of Plates in Crude Methanol Removable Plate Condenser</w:t>
      </w:r>
    </w:p>
    <w:p w14:paraId="087DA22B">
      <w:pPr>
        <w:pStyle w:val="16"/>
        <w:spacing w:before="31" w:after="31"/>
        <w:ind w:firstLine="0" w:firstLineChars="0"/>
        <w:rPr>
          <w:szCs w:val="24"/>
        </w:rPr>
      </w:pPr>
      <w:r>
        <w:rPr>
          <w:rFonts w:hint="eastAsia"/>
          <w:szCs w:val="24"/>
        </w:rPr>
        <w:t>(1) Case Name</w:t>
      </w:r>
    </w:p>
    <w:p w14:paraId="4112729D">
      <w:pPr>
        <w:pStyle w:val="16"/>
        <w:spacing w:before="31" w:after="31"/>
        <w:ind w:firstLine="480"/>
        <w:rPr>
          <w:szCs w:val="24"/>
        </w:rPr>
      </w:pPr>
      <w:r>
        <w:rPr>
          <w:rFonts w:hint="eastAsia"/>
          <w:szCs w:val="24"/>
        </w:rPr>
        <w:t>Cracking of plates in crude methanol removable plate condenser</w:t>
      </w:r>
    </w:p>
    <w:p w14:paraId="2FC6EC0B">
      <w:pPr>
        <w:pStyle w:val="16"/>
        <w:spacing w:before="31" w:after="31"/>
        <w:ind w:firstLine="0" w:firstLineChars="0"/>
        <w:rPr>
          <w:szCs w:val="24"/>
        </w:rPr>
      </w:pPr>
      <w:r>
        <w:rPr>
          <w:rFonts w:hint="eastAsia"/>
          <w:szCs w:val="24"/>
        </w:rPr>
        <w:t>(2) Failure Process Description</w:t>
      </w:r>
    </w:p>
    <w:p w14:paraId="509F14BA">
      <w:pPr>
        <w:pStyle w:val="16"/>
        <w:spacing w:before="31" w:after="31"/>
        <w:ind w:firstLine="480"/>
        <w:rPr>
          <w:szCs w:val="24"/>
        </w:rPr>
      </w:pPr>
      <w:r>
        <w:rPr>
          <w:rFonts w:hint="eastAsia"/>
          <w:szCs w:val="24"/>
        </w:rPr>
        <w:t>A BR0.55M model removable plate condenser in operation for a short period experienced leakage. Upon inspection, numerous cracks were found on the plates in the second inlet seal groove, with a majority of them penetrating through.</w:t>
      </w:r>
    </w:p>
    <w:p w14:paraId="2C6B9A2F">
      <w:pPr>
        <w:pStyle w:val="16"/>
        <w:spacing w:before="31" w:after="31"/>
        <w:ind w:firstLine="0" w:firstLineChars="0"/>
        <w:rPr>
          <w:szCs w:val="24"/>
        </w:rPr>
      </w:pPr>
      <w:r>
        <w:rPr>
          <w:rFonts w:hint="eastAsia"/>
          <w:szCs w:val="24"/>
        </w:rPr>
        <w:t>(3) Service Environment</w:t>
      </w:r>
    </w:p>
    <w:p w14:paraId="3AB3E34F">
      <w:pPr>
        <w:pStyle w:val="16"/>
        <w:spacing w:before="31" w:after="31"/>
        <w:ind w:firstLine="480"/>
        <w:rPr>
          <w:szCs w:val="24"/>
        </w:rPr>
      </w:pPr>
      <w:r>
        <w:rPr>
          <w:rFonts w:hint="eastAsia"/>
          <w:szCs w:val="24"/>
        </w:rPr>
        <w:t>The hot side of the plate condenser operates at atmospheric pressure, with an inlet working temperature of 65°C and an outlet working temperature not exceeding 38°C. The working medium consists of a mixture of 99% methanol, a small amount of water, a small amount of HCl, and a small amount of H2S. The cold side has an inlet working pressure of 0.25-0.3 MPa, an outlet working pressure of 0.1 MPa, an inlet working temperature of 28-34°C, an outlet working temperature of 32-36°C, and the working medium is circulating water.</w:t>
      </w:r>
    </w:p>
    <w:p w14:paraId="1782EE1D">
      <w:pPr>
        <w:pStyle w:val="16"/>
        <w:spacing w:before="31" w:after="31"/>
        <w:ind w:firstLine="0" w:firstLineChars="0"/>
        <w:rPr>
          <w:szCs w:val="24"/>
        </w:rPr>
      </w:pPr>
      <w:r>
        <w:rPr>
          <w:rFonts w:hint="eastAsia"/>
          <w:szCs w:val="24"/>
        </w:rPr>
        <w:t>(4) Failed Component and Material</w:t>
      </w:r>
    </w:p>
    <w:p w14:paraId="1AA36494">
      <w:pPr>
        <w:pStyle w:val="16"/>
        <w:spacing w:before="31" w:after="31"/>
        <w:ind w:firstLine="480"/>
        <w:rPr>
          <w:szCs w:val="24"/>
        </w:rPr>
      </w:pPr>
      <w:r>
        <w:rPr>
          <w:rFonts w:hint="eastAsia"/>
          <w:szCs w:val="24"/>
        </w:rPr>
        <w:t>The heat exchanger has a heat exchange area of 100m2, and the plate material is TA1.</w:t>
      </w:r>
    </w:p>
    <w:p w14:paraId="522B75F4">
      <w:pPr>
        <w:pStyle w:val="16"/>
        <w:spacing w:before="31" w:after="31"/>
        <w:ind w:firstLine="0" w:firstLineChars="0"/>
        <w:rPr>
          <w:szCs w:val="24"/>
        </w:rPr>
      </w:pPr>
      <w:r>
        <w:rPr>
          <w:rFonts w:hint="eastAsia"/>
          <w:szCs w:val="24"/>
        </w:rPr>
        <w:t>(5) Component Failure Morphology</w:t>
      </w:r>
    </w:p>
    <w:p w14:paraId="61D6FE01">
      <w:pPr>
        <w:pStyle w:val="16"/>
        <w:spacing w:before="31" w:after="31"/>
        <w:ind w:firstLine="480"/>
        <w:rPr>
          <w:szCs w:val="24"/>
        </w:rPr>
      </w:pPr>
      <w:r>
        <w:rPr>
          <w:rFonts w:hint="eastAsia"/>
          <w:szCs w:val="24"/>
        </w:rPr>
        <w:t>(a) Microscopic Morphology</w:t>
      </w:r>
    </w:p>
    <w:p w14:paraId="51FD0CE5">
      <w:pPr>
        <w:pStyle w:val="16"/>
        <w:spacing w:before="31" w:after="31"/>
        <w:ind w:firstLine="480"/>
        <w:rPr>
          <w:szCs w:val="24"/>
        </w:rPr>
      </w:pPr>
      <w:r>
        <w:rPr>
          <w:rFonts w:hint="eastAsia"/>
          <w:szCs w:val="24"/>
        </w:rPr>
        <w:t>Corrosion pits, approximately 0.5mm deep, were observed on the side of the plates near the methanol flow channel where cracking occurred. The cracked section's structure consists of martensite α' phase and α phase. Cracking in the condenser plates occurred at the surface corrosion pits of the material flow channel on the plates. Cracks originated at the bottom of the pits and extended in different directions, exhibiting transgranular expansion. In the early stages of crack propagation, local grain detachment was observed on the plate surface in the crack area. Cracks also developed within the plate core structure, forming at grain boundaries and extending along them on multiple planes. The predominant crack propagation mode was along-grain.</w:t>
      </w:r>
    </w:p>
    <w:p w14:paraId="726AC9E6">
      <w:pPr>
        <w:pStyle w:val="16"/>
        <w:spacing w:before="31" w:after="31"/>
        <w:ind w:firstLine="480"/>
        <w:rPr>
          <w:szCs w:val="24"/>
        </w:rPr>
      </w:pPr>
      <w:r>
        <w:rPr>
          <w:rFonts w:hint="eastAsia"/>
          <w:szCs w:val="24"/>
        </w:rPr>
        <w:t>(b) Fracture Surface Morphology</w:t>
      </w:r>
    </w:p>
    <w:p w14:paraId="430CE336">
      <w:pPr>
        <w:pStyle w:val="16"/>
        <w:spacing w:before="31" w:after="31"/>
        <w:ind w:firstLine="480"/>
        <w:rPr>
          <w:szCs w:val="24"/>
        </w:rPr>
      </w:pPr>
      <w:r>
        <w:rPr>
          <w:rFonts w:hint="eastAsia"/>
          <w:szCs w:val="24"/>
        </w:rPr>
        <w:t>The fractured condenser plate displayed a rough and uneven surface, with localized detachment of the base material. On the methanol flow channel side, there were numerous pits, corrosion holes, and microcracks. Needle-shaped corrosion products deposited at the bottom of the pits on the methanol flow channel side, causing grain detachment in the pit. Cracks initiated within the corrosion pits on the plate's methanol flow channel side and propagated inward. Secondary microcracks accompanied crack extension, and the cracks exhibited along-grain characteristics.</w:t>
      </w:r>
    </w:p>
    <w:p w14:paraId="1C660D16">
      <w:pPr>
        <w:pStyle w:val="16"/>
        <w:spacing w:before="31" w:after="31"/>
        <w:ind w:firstLine="0" w:firstLineChars="0"/>
        <w:rPr>
          <w:szCs w:val="24"/>
        </w:rPr>
      </w:pPr>
      <w:r>
        <w:rPr>
          <w:rFonts w:hint="eastAsia"/>
          <w:szCs w:val="24"/>
        </w:rPr>
        <w:t>(6) Analysis of Failure Causes</w:t>
      </w:r>
    </w:p>
    <w:p w14:paraId="3C880682">
      <w:pPr>
        <w:pStyle w:val="16"/>
        <w:spacing w:before="31" w:after="31"/>
        <w:ind w:firstLine="480"/>
        <w:rPr>
          <w:szCs w:val="24"/>
        </w:rPr>
      </w:pPr>
      <w:r>
        <w:rPr>
          <w:rFonts w:hint="eastAsia"/>
          <w:szCs w:val="24"/>
        </w:rPr>
        <w:t>The metallographic structure of the component comprises martensite α' phase and α phase, increasing material brittleness, structural stress, and crack sensitivity. The analysis results suggest that the cracking of the methanol condenser plates is due to stress corrosion cracking. Plate fracture occurred at the bottom of the second inlet seal groove, where manufacturing stresses and deformation are maximized, and the working temperature is highest. The plates consistently experience tensile stress. In the working medium, the protective film on the surface of titanium and titanium alloys is disrupted under tensile stress, making it difficult to repair on its own, accelerating corrosion, forming crack sources, and rapidly expanding cracks. The hydrogen produced by corrosion is absorbed by the plates, and under stress, hydrogen migrates to grain boundaries, structural defects, and other locations, weakening the grain boundaries, and cracks propagate along the grain boundaries.</w:t>
      </w:r>
    </w:p>
    <w:p w14:paraId="69853B1E">
      <w:pPr>
        <w:pStyle w:val="16"/>
        <w:spacing w:before="31" w:after="31"/>
        <w:ind w:firstLine="0" w:firstLineChars="0"/>
        <w:rPr>
          <w:szCs w:val="24"/>
        </w:rPr>
      </w:pPr>
      <w:r>
        <w:rPr>
          <w:rFonts w:hint="eastAsia"/>
          <w:szCs w:val="24"/>
        </w:rPr>
        <w:t>(7) Impact and Harm Caused</w:t>
      </w:r>
    </w:p>
    <w:p w14:paraId="379042FD">
      <w:pPr>
        <w:pStyle w:val="16"/>
        <w:spacing w:before="31" w:after="31"/>
        <w:ind w:firstLine="420" w:firstLineChars="0"/>
        <w:rPr>
          <w:szCs w:val="24"/>
        </w:rPr>
      </w:pPr>
      <w:r>
        <w:rPr>
          <w:rFonts w:hint="eastAsia"/>
          <w:szCs w:val="24"/>
        </w:rPr>
        <w:t>Null</w:t>
      </w:r>
    </w:p>
    <w:p w14:paraId="2F15C14F">
      <w:pPr>
        <w:pStyle w:val="16"/>
        <w:spacing w:before="31" w:after="31"/>
        <w:ind w:firstLine="0" w:firstLineChars="0"/>
        <w:rPr>
          <w:szCs w:val="24"/>
        </w:rPr>
      </w:pPr>
      <w:r>
        <w:rPr>
          <w:rFonts w:hint="eastAsia"/>
          <w:szCs w:val="24"/>
        </w:rPr>
        <w:t>(8) Conclusion and Improvement Measures</w:t>
      </w:r>
    </w:p>
    <w:p w14:paraId="6ADFBB41">
      <w:pPr>
        <w:pStyle w:val="16"/>
        <w:spacing w:before="31" w:after="31"/>
        <w:ind w:firstLine="480"/>
        <w:rPr>
          <w:szCs w:val="24"/>
        </w:rPr>
      </w:pPr>
      <w:r>
        <w:rPr>
          <w:rFonts w:hint="eastAsia"/>
          <w:szCs w:val="24"/>
        </w:rPr>
        <w:t>The cracking of the crude methanol condenser plates is primarily due to stress corrosion cracking induced by the working medium. Plates under such conditions should not be made of titanium or titanium alloys to avoid the presence of martensite α' phase in the structure, leading to equipment failure.</w:t>
      </w:r>
    </w:p>
    <w:p w14:paraId="7296787E">
      <w:pPr>
        <w:pStyle w:val="16"/>
        <w:spacing w:before="31" w:after="31"/>
        <w:ind w:firstLine="0" w:firstLineChars="0"/>
        <w:rPr>
          <w:rFonts w:hint="eastAsia"/>
          <w:b/>
          <w:bCs/>
          <w:szCs w:val="24"/>
          <w:lang w:val="en-US" w:eastAsia="zh-CN"/>
        </w:rPr>
      </w:pPr>
      <w:r>
        <w:rPr>
          <w:rFonts w:hint="eastAsia"/>
          <w:b/>
          <w:bCs/>
          <w:szCs w:val="24"/>
          <w:lang w:val="en-US" w:eastAsia="zh-CN"/>
        </w:rPr>
        <w:t>1.2 Case 1-12 Cracking of Plates in Plate Heat Exchanger</w:t>
      </w:r>
    </w:p>
    <w:p w14:paraId="1060D9C5">
      <w:pPr>
        <w:pStyle w:val="16"/>
        <w:spacing w:before="31" w:after="31"/>
        <w:ind w:firstLine="0" w:firstLineChars="0"/>
        <w:rPr>
          <w:szCs w:val="24"/>
        </w:rPr>
      </w:pPr>
      <w:r>
        <w:rPr>
          <w:rFonts w:hint="eastAsia"/>
          <w:szCs w:val="24"/>
        </w:rPr>
        <w:t>(1) Case Name</w:t>
      </w:r>
    </w:p>
    <w:p w14:paraId="285F40D1">
      <w:pPr>
        <w:pStyle w:val="16"/>
        <w:spacing w:before="31" w:after="31"/>
        <w:ind w:firstLine="480"/>
        <w:rPr>
          <w:szCs w:val="24"/>
        </w:rPr>
      </w:pPr>
      <w:r>
        <w:rPr>
          <w:rFonts w:hint="eastAsia"/>
          <w:szCs w:val="24"/>
        </w:rPr>
        <w:t>Cracking of plates in plate heat exchanger</w:t>
      </w:r>
    </w:p>
    <w:p w14:paraId="15687C03">
      <w:pPr>
        <w:pStyle w:val="16"/>
        <w:spacing w:before="31" w:after="31"/>
        <w:ind w:firstLine="0" w:firstLineChars="0"/>
        <w:rPr>
          <w:szCs w:val="24"/>
        </w:rPr>
      </w:pPr>
      <w:r>
        <w:rPr>
          <w:rFonts w:hint="eastAsia"/>
          <w:szCs w:val="24"/>
        </w:rPr>
        <w:t>(2) Failure Process Description</w:t>
      </w:r>
    </w:p>
    <w:p w14:paraId="66E29F4B">
      <w:pPr>
        <w:pStyle w:val="16"/>
        <w:spacing w:before="31" w:after="31"/>
        <w:ind w:firstLine="480"/>
        <w:rPr>
          <w:szCs w:val="24"/>
        </w:rPr>
      </w:pPr>
      <w:r>
        <w:rPr>
          <w:rFonts w:hint="eastAsia"/>
          <w:szCs w:val="24"/>
        </w:rPr>
        <w:t>A condensate cooler, E24101 reboiler, in a petrochemical company is a plate heat exchanger. The exchanger, operational for a few months after its launch in 1997, was shut down until 1999. During this period, gaskets were replaced due to leaks. By the end of 2002, severe leakage was discovered due to a large number of cracks in the sealing gasket area.</w:t>
      </w:r>
    </w:p>
    <w:p w14:paraId="2008E7CC">
      <w:pPr>
        <w:pStyle w:val="16"/>
        <w:spacing w:before="31" w:after="31"/>
        <w:ind w:firstLine="0" w:firstLineChars="0"/>
        <w:rPr>
          <w:szCs w:val="24"/>
        </w:rPr>
      </w:pPr>
      <w:r>
        <w:rPr>
          <w:rFonts w:hint="eastAsia"/>
          <w:szCs w:val="24"/>
        </w:rPr>
        <w:t>(3) Service Environment</w:t>
      </w:r>
    </w:p>
    <w:p w14:paraId="746B5108">
      <w:pPr>
        <w:pStyle w:val="16"/>
        <w:spacing w:before="31" w:after="31"/>
        <w:ind w:firstLine="482"/>
        <w:jc w:val="center"/>
        <w:rPr>
          <w:rFonts w:hint="eastAsia"/>
          <w:b/>
          <w:bCs/>
          <w:szCs w:val="24"/>
        </w:rPr>
      </w:pPr>
      <w:r>
        <w:rPr>
          <w:rFonts w:hint="eastAsia"/>
          <w:b/>
          <w:bCs/>
          <w:szCs w:val="24"/>
        </w:rPr>
        <w:t>Table 2-10 shows the process conditions of the plate heat exchanger.</w:t>
      </w:r>
    </w:p>
    <w:tbl>
      <w:tblPr>
        <w:tblStyle w:val="9"/>
        <w:tblW w:w="0" w:type="auto"/>
        <w:tblInd w:w="108"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9"/>
        <w:gridCol w:w="2588"/>
        <w:gridCol w:w="2588"/>
      </w:tblGrid>
      <w:tr w14:paraId="675503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79" w:type="dxa"/>
            <w:tcBorders>
              <w:top w:val="single" w:color="auto" w:sz="12" w:space="0"/>
              <w:bottom w:val="single" w:color="auto" w:sz="12" w:space="0"/>
            </w:tcBorders>
            <w:vAlign w:val="center"/>
          </w:tcPr>
          <w:p w14:paraId="013858DA">
            <w:pPr>
              <w:pStyle w:val="16"/>
              <w:spacing w:before="31" w:after="31"/>
              <w:ind w:firstLine="0" w:firstLineChars="0"/>
              <w:jc w:val="center"/>
              <w:rPr>
                <w:rFonts w:cs="Times New Roman"/>
                <w:kern w:val="0"/>
                <w:sz w:val="21"/>
                <w:szCs w:val="21"/>
              </w:rPr>
            </w:pPr>
            <w:r>
              <w:rPr>
                <w:rFonts w:hint="eastAsia" w:cs="Times New Roman"/>
                <w:kern w:val="0"/>
                <w:sz w:val="21"/>
                <w:szCs w:val="21"/>
              </w:rPr>
              <w:t>Item</w:t>
            </w:r>
          </w:p>
        </w:tc>
        <w:tc>
          <w:tcPr>
            <w:tcW w:w="2588" w:type="dxa"/>
            <w:tcBorders>
              <w:top w:val="single" w:color="auto" w:sz="12" w:space="0"/>
              <w:bottom w:val="single" w:color="auto" w:sz="12" w:space="0"/>
            </w:tcBorders>
            <w:vAlign w:val="center"/>
          </w:tcPr>
          <w:p w14:paraId="3A61BF8F">
            <w:pPr>
              <w:pStyle w:val="16"/>
              <w:spacing w:before="31" w:after="31"/>
              <w:ind w:firstLine="0" w:firstLineChars="0"/>
              <w:jc w:val="center"/>
              <w:rPr>
                <w:rFonts w:cs="Times New Roman"/>
                <w:kern w:val="0"/>
                <w:sz w:val="21"/>
                <w:szCs w:val="21"/>
              </w:rPr>
            </w:pPr>
            <w:r>
              <w:rPr>
                <w:rFonts w:hint="eastAsia" w:cs="Times New Roman"/>
                <w:kern w:val="0"/>
                <w:sz w:val="21"/>
                <w:szCs w:val="21"/>
              </w:rPr>
              <w:t>Cold Medium</w:t>
            </w:r>
          </w:p>
        </w:tc>
        <w:tc>
          <w:tcPr>
            <w:tcW w:w="2588" w:type="dxa"/>
            <w:tcBorders>
              <w:top w:val="single" w:color="auto" w:sz="12" w:space="0"/>
              <w:bottom w:val="single" w:color="auto" w:sz="12" w:space="0"/>
            </w:tcBorders>
            <w:vAlign w:val="center"/>
          </w:tcPr>
          <w:p w14:paraId="6AD7E158">
            <w:pPr>
              <w:pStyle w:val="16"/>
              <w:spacing w:before="31" w:after="31"/>
              <w:ind w:firstLine="0" w:firstLineChars="0"/>
              <w:jc w:val="center"/>
              <w:rPr>
                <w:rFonts w:cs="Times New Roman"/>
                <w:kern w:val="0"/>
                <w:sz w:val="21"/>
                <w:szCs w:val="21"/>
              </w:rPr>
            </w:pPr>
            <w:r>
              <w:rPr>
                <w:rFonts w:hint="eastAsia" w:cs="Times New Roman"/>
                <w:kern w:val="0"/>
                <w:sz w:val="21"/>
                <w:szCs w:val="21"/>
              </w:rPr>
              <w:t>Hot Medium</w:t>
            </w:r>
          </w:p>
        </w:tc>
      </w:tr>
      <w:tr w14:paraId="308A1B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79" w:type="dxa"/>
            <w:tcBorders>
              <w:top w:val="single" w:color="auto" w:sz="12" w:space="0"/>
            </w:tcBorders>
            <w:vAlign w:val="center"/>
          </w:tcPr>
          <w:p w14:paraId="589DCDBD">
            <w:pPr>
              <w:pStyle w:val="16"/>
              <w:spacing w:before="31" w:after="31"/>
              <w:ind w:firstLine="0" w:firstLineChars="0"/>
              <w:jc w:val="center"/>
              <w:rPr>
                <w:rFonts w:cs="Times New Roman"/>
                <w:kern w:val="0"/>
                <w:sz w:val="21"/>
                <w:szCs w:val="21"/>
              </w:rPr>
            </w:pPr>
            <w:r>
              <w:rPr>
                <w:rFonts w:hint="eastAsia" w:cs="Times New Roman"/>
                <w:kern w:val="0"/>
                <w:sz w:val="21"/>
                <w:szCs w:val="21"/>
              </w:rPr>
              <w:t>Medium</w:t>
            </w:r>
          </w:p>
        </w:tc>
        <w:tc>
          <w:tcPr>
            <w:tcW w:w="2588" w:type="dxa"/>
            <w:tcBorders>
              <w:top w:val="single" w:color="auto" w:sz="12" w:space="0"/>
            </w:tcBorders>
            <w:vAlign w:val="center"/>
          </w:tcPr>
          <w:p w14:paraId="09D8B199">
            <w:pPr>
              <w:pStyle w:val="16"/>
              <w:spacing w:before="31" w:after="31"/>
              <w:ind w:firstLine="0" w:firstLineChars="0"/>
              <w:jc w:val="center"/>
              <w:rPr>
                <w:rFonts w:cs="Times New Roman"/>
                <w:kern w:val="0"/>
                <w:sz w:val="21"/>
                <w:szCs w:val="21"/>
              </w:rPr>
            </w:pPr>
            <w:r>
              <w:rPr>
                <w:rFonts w:hint="eastAsia" w:cs="Times New Roman"/>
                <w:kern w:val="0"/>
                <w:sz w:val="21"/>
                <w:szCs w:val="21"/>
              </w:rPr>
              <w:t>Desalinated Water</w:t>
            </w:r>
          </w:p>
        </w:tc>
        <w:tc>
          <w:tcPr>
            <w:tcW w:w="2588" w:type="dxa"/>
            <w:tcBorders>
              <w:top w:val="single" w:color="auto" w:sz="12" w:space="0"/>
            </w:tcBorders>
            <w:vAlign w:val="center"/>
          </w:tcPr>
          <w:p w14:paraId="798A0623">
            <w:pPr>
              <w:pStyle w:val="16"/>
              <w:spacing w:before="31" w:after="31"/>
              <w:ind w:firstLine="0" w:firstLineChars="0"/>
              <w:jc w:val="center"/>
              <w:rPr>
                <w:rFonts w:cs="Times New Roman"/>
                <w:kern w:val="0"/>
                <w:sz w:val="21"/>
                <w:szCs w:val="21"/>
              </w:rPr>
            </w:pPr>
            <w:r>
              <w:rPr>
                <w:rFonts w:hint="eastAsia" w:cs="Times New Roman"/>
                <w:kern w:val="0"/>
                <w:sz w:val="21"/>
                <w:szCs w:val="21"/>
              </w:rPr>
              <w:t>Steam Condensate</w:t>
            </w:r>
          </w:p>
        </w:tc>
      </w:tr>
      <w:tr w14:paraId="1965FF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79" w:type="dxa"/>
            <w:vAlign w:val="center"/>
          </w:tcPr>
          <w:p w14:paraId="366C60E0">
            <w:pPr>
              <w:pStyle w:val="16"/>
              <w:spacing w:before="31" w:after="31"/>
              <w:ind w:firstLine="0" w:firstLineChars="0"/>
              <w:jc w:val="center"/>
              <w:rPr>
                <w:rFonts w:cs="Times New Roman"/>
                <w:kern w:val="0"/>
                <w:sz w:val="21"/>
                <w:szCs w:val="21"/>
              </w:rPr>
            </w:pPr>
            <w:r>
              <w:rPr>
                <w:rFonts w:hint="eastAsia" w:cs="Times New Roman"/>
                <w:kern w:val="0"/>
                <w:sz w:val="21"/>
                <w:szCs w:val="21"/>
              </w:rPr>
              <w:t>Design Pressure</w:t>
            </w:r>
            <w:r>
              <w:rPr>
                <w:rFonts w:cs="Times New Roman"/>
                <w:kern w:val="0"/>
                <w:sz w:val="21"/>
                <w:szCs w:val="21"/>
              </w:rPr>
              <w:t>/MPa</w:t>
            </w:r>
          </w:p>
        </w:tc>
        <w:tc>
          <w:tcPr>
            <w:tcW w:w="2588" w:type="dxa"/>
            <w:vAlign w:val="center"/>
          </w:tcPr>
          <w:p w14:paraId="4F08E1F7">
            <w:pPr>
              <w:pStyle w:val="16"/>
              <w:spacing w:before="31" w:after="31"/>
              <w:ind w:firstLine="0" w:firstLineChars="0"/>
              <w:jc w:val="center"/>
              <w:rPr>
                <w:rFonts w:cs="Times New Roman"/>
                <w:kern w:val="0"/>
                <w:sz w:val="21"/>
                <w:szCs w:val="21"/>
              </w:rPr>
            </w:pPr>
            <w:r>
              <w:rPr>
                <w:rFonts w:cs="Times New Roman"/>
                <w:kern w:val="0"/>
                <w:sz w:val="21"/>
                <w:szCs w:val="21"/>
              </w:rPr>
              <w:t>1.10</w:t>
            </w:r>
          </w:p>
        </w:tc>
        <w:tc>
          <w:tcPr>
            <w:tcW w:w="2588" w:type="dxa"/>
            <w:vAlign w:val="center"/>
          </w:tcPr>
          <w:p w14:paraId="4B710218">
            <w:pPr>
              <w:pStyle w:val="16"/>
              <w:spacing w:before="31" w:after="31"/>
              <w:ind w:firstLine="0" w:firstLineChars="0"/>
              <w:jc w:val="center"/>
              <w:rPr>
                <w:rFonts w:cs="Times New Roman"/>
                <w:kern w:val="0"/>
                <w:sz w:val="21"/>
                <w:szCs w:val="21"/>
              </w:rPr>
            </w:pPr>
            <w:r>
              <w:rPr>
                <w:rFonts w:cs="Times New Roman"/>
                <w:kern w:val="0"/>
                <w:sz w:val="21"/>
                <w:szCs w:val="21"/>
              </w:rPr>
              <w:t>1.05</w:t>
            </w:r>
          </w:p>
        </w:tc>
      </w:tr>
      <w:tr w14:paraId="41F3E8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79" w:type="dxa"/>
            <w:vAlign w:val="center"/>
          </w:tcPr>
          <w:p w14:paraId="7939F0D2">
            <w:pPr>
              <w:pStyle w:val="16"/>
              <w:spacing w:before="31" w:after="31"/>
              <w:ind w:firstLine="0" w:firstLineChars="0"/>
              <w:jc w:val="center"/>
              <w:rPr>
                <w:rFonts w:cs="Times New Roman"/>
                <w:kern w:val="0"/>
                <w:sz w:val="21"/>
                <w:szCs w:val="21"/>
              </w:rPr>
            </w:pPr>
            <w:r>
              <w:rPr>
                <w:rFonts w:hint="eastAsia" w:cs="Times New Roman"/>
                <w:kern w:val="0"/>
                <w:sz w:val="21"/>
                <w:szCs w:val="21"/>
              </w:rPr>
              <w:t>Operating Pressure</w:t>
            </w:r>
            <w:r>
              <w:rPr>
                <w:rFonts w:cs="Times New Roman"/>
                <w:kern w:val="0"/>
                <w:sz w:val="21"/>
                <w:szCs w:val="21"/>
              </w:rPr>
              <w:t xml:space="preserve">/MPa </w:t>
            </w:r>
          </w:p>
        </w:tc>
        <w:tc>
          <w:tcPr>
            <w:tcW w:w="2588" w:type="dxa"/>
            <w:vAlign w:val="center"/>
          </w:tcPr>
          <w:p w14:paraId="4E2FAB1F">
            <w:pPr>
              <w:pStyle w:val="16"/>
              <w:spacing w:before="31" w:after="31"/>
              <w:ind w:firstLine="0" w:firstLineChars="0"/>
              <w:jc w:val="center"/>
              <w:rPr>
                <w:rFonts w:cs="Times New Roman"/>
                <w:kern w:val="0"/>
                <w:sz w:val="21"/>
                <w:szCs w:val="21"/>
              </w:rPr>
            </w:pPr>
            <w:r>
              <w:rPr>
                <w:rFonts w:cs="Times New Roman"/>
                <w:kern w:val="0"/>
                <w:sz w:val="21"/>
                <w:szCs w:val="21"/>
              </w:rPr>
              <w:t>0.7</w:t>
            </w:r>
          </w:p>
        </w:tc>
        <w:tc>
          <w:tcPr>
            <w:tcW w:w="2588" w:type="dxa"/>
            <w:vAlign w:val="center"/>
          </w:tcPr>
          <w:p w14:paraId="1F436094">
            <w:pPr>
              <w:pStyle w:val="16"/>
              <w:spacing w:before="31" w:after="31"/>
              <w:ind w:firstLine="0" w:firstLineChars="0"/>
              <w:jc w:val="center"/>
              <w:rPr>
                <w:rFonts w:cs="Times New Roman"/>
                <w:kern w:val="0"/>
                <w:sz w:val="21"/>
                <w:szCs w:val="21"/>
              </w:rPr>
            </w:pPr>
            <w:r>
              <w:rPr>
                <w:rFonts w:cs="Times New Roman"/>
                <w:kern w:val="0"/>
                <w:sz w:val="21"/>
                <w:szCs w:val="21"/>
              </w:rPr>
              <w:t>0.8</w:t>
            </w:r>
          </w:p>
        </w:tc>
      </w:tr>
      <w:tr w14:paraId="080560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79" w:type="dxa"/>
            <w:vAlign w:val="center"/>
          </w:tcPr>
          <w:p w14:paraId="70C6F47A">
            <w:pPr>
              <w:pStyle w:val="16"/>
              <w:spacing w:before="31" w:after="31"/>
              <w:ind w:firstLine="0" w:firstLineChars="0"/>
              <w:jc w:val="center"/>
              <w:rPr>
                <w:rFonts w:cs="Times New Roman"/>
                <w:kern w:val="0"/>
                <w:sz w:val="21"/>
                <w:szCs w:val="21"/>
              </w:rPr>
            </w:pPr>
            <w:r>
              <w:rPr>
                <w:rFonts w:hint="eastAsia" w:cs="Times New Roman"/>
                <w:kern w:val="0"/>
                <w:sz w:val="21"/>
                <w:szCs w:val="21"/>
              </w:rPr>
              <w:t>Design Temperature</w:t>
            </w:r>
          </w:p>
        </w:tc>
        <w:tc>
          <w:tcPr>
            <w:tcW w:w="2588" w:type="dxa"/>
            <w:vAlign w:val="center"/>
          </w:tcPr>
          <w:p w14:paraId="6F8496E4">
            <w:pPr>
              <w:pStyle w:val="16"/>
              <w:spacing w:before="31" w:after="31"/>
              <w:ind w:firstLine="0" w:firstLineChars="0"/>
              <w:jc w:val="center"/>
              <w:rPr>
                <w:rFonts w:cs="Times New Roman"/>
                <w:kern w:val="0"/>
                <w:sz w:val="21"/>
                <w:szCs w:val="21"/>
              </w:rPr>
            </w:pPr>
            <w:r>
              <w:rPr>
                <w:rFonts w:cs="Times New Roman"/>
                <w:kern w:val="0"/>
                <w:sz w:val="21"/>
                <w:szCs w:val="21"/>
              </w:rPr>
              <w:t>120</w:t>
            </w:r>
          </w:p>
        </w:tc>
        <w:tc>
          <w:tcPr>
            <w:tcW w:w="2588" w:type="dxa"/>
            <w:vAlign w:val="center"/>
          </w:tcPr>
          <w:p w14:paraId="372204B5">
            <w:pPr>
              <w:pStyle w:val="16"/>
              <w:spacing w:before="31" w:after="31"/>
              <w:ind w:firstLine="0" w:firstLineChars="0"/>
              <w:jc w:val="center"/>
              <w:rPr>
                <w:rFonts w:cs="Times New Roman"/>
                <w:kern w:val="0"/>
                <w:sz w:val="21"/>
                <w:szCs w:val="21"/>
              </w:rPr>
            </w:pPr>
            <w:r>
              <w:rPr>
                <w:rFonts w:cs="Times New Roman"/>
                <w:kern w:val="0"/>
                <w:sz w:val="21"/>
                <w:szCs w:val="21"/>
              </w:rPr>
              <w:t>160</w:t>
            </w:r>
          </w:p>
        </w:tc>
      </w:tr>
      <w:tr w14:paraId="3B05C4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479" w:type="dxa"/>
            <w:vAlign w:val="center"/>
          </w:tcPr>
          <w:p w14:paraId="7EEB3EA8">
            <w:pPr>
              <w:pStyle w:val="16"/>
              <w:spacing w:before="31" w:after="31"/>
              <w:ind w:firstLine="0" w:firstLineChars="0"/>
              <w:jc w:val="center"/>
              <w:rPr>
                <w:rFonts w:cs="Times New Roman"/>
                <w:kern w:val="0"/>
                <w:sz w:val="21"/>
                <w:szCs w:val="21"/>
              </w:rPr>
            </w:pPr>
            <w:r>
              <w:rPr>
                <w:rFonts w:hint="eastAsia" w:cs="Times New Roman"/>
                <w:kern w:val="0"/>
                <w:sz w:val="21"/>
                <w:szCs w:val="21"/>
              </w:rPr>
              <w:t>Operating Temperature</w:t>
            </w:r>
          </w:p>
          <w:p w14:paraId="60ED9A24">
            <w:pPr>
              <w:pStyle w:val="16"/>
              <w:spacing w:before="31" w:after="31"/>
              <w:ind w:firstLine="0" w:firstLineChars="0"/>
              <w:jc w:val="center"/>
              <w:rPr>
                <w:rFonts w:cs="Times New Roman"/>
                <w:kern w:val="0"/>
                <w:sz w:val="21"/>
                <w:szCs w:val="21"/>
              </w:rPr>
            </w:pPr>
            <w:r>
              <w:rPr>
                <w:rFonts w:hint="eastAsia" w:cs="Times New Roman"/>
                <w:kern w:val="0"/>
                <w:sz w:val="21"/>
                <w:szCs w:val="21"/>
              </w:rPr>
              <w:t>(Inlet/Outlet</w:t>
            </w:r>
            <w:r>
              <w:rPr>
                <w:rFonts w:cs="Times New Roman"/>
                <w:kern w:val="0"/>
                <w:sz w:val="21"/>
                <w:szCs w:val="21"/>
              </w:rPr>
              <w:t>/C</w:t>
            </w:r>
            <w:r>
              <w:rPr>
                <w:rFonts w:hint="eastAsia" w:cs="Times New Roman"/>
                <w:kern w:val="0"/>
                <w:sz w:val="21"/>
                <w:szCs w:val="21"/>
              </w:rPr>
              <w:t>)</w:t>
            </w:r>
          </w:p>
        </w:tc>
        <w:tc>
          <w:tcPr>
            <w:tcW w:w="2588" w:type="dxa"/>
            <w:vAlign w:val="center"/>
          </w:tcPr>
          <w:p w14:paraId="5039E37A">
            <w:pPr>
              <w:pStyle w:val="16"/>
              <w:spacing w:before="31" w:after="31"/>
              <w:ind w:firstLine="0" w:firstLineChars="0"/>
              <w:jc w:val="center"/>
              <w:rPr>
                <w:rFonts w:cs="Times New Roman"/>
                <w:kern w:val="0"/>
                <w:sz w:val="21"/>
                <w:szCs w:val="21"/>
              </w:rPr>
            </w:pPr>
            <w:r>
              <w:rPr>
                <w:rFonts w:cs="Times New Roman"/>
                <w:kern w:val="0"/>
                <w:sz w:val="21"/>
                <w:szCs w:val="21"/>
              </w:rPr>
              <w:t>40/50</w:t>
            </w:r>
          </w:p>
        </w:tc>
        <w:tc>
          <w:tcPr>
            <w:tcW w:w="2588" w:type="dxa"/>
            <w:vAlign w:val="center"/>
          </w:tcPr>
          <w:p w14:paraId="44B41D92">
            <w:pPr>
              <w:pStyle w:val="16"/>
              <w:spacing w:before="31" w:after="31"/>
              <w:ind w:firstLine="0" w:firstLineChars="0"/>
              <w:jc w:val="center"/>
              <w:rPr>
                <w:rFonts w:cs="Times New Roman"/>
                <w:kern w:val="0"/>
                <w:sz w:val="21"/>
                <w:szCs w:val="21"/>
              </w:rPr>
            </w:pPr>
            <w:r>
              <w:rPr>
                <w:rFonts w:cs="Times New Roman"/>
                <w:kern w:val="0"/>
                <w:sz w:val="21"/>
                <w:szCs w:val="21"/>
              </w:rPr>
              <w:t>130/-</w:t>
            </w:r>
          </w:p>
        </w:tc>
      </w:tr>
    </w:tbl>
    <w:p w14:paraId="2D96C6AF">
      <w:pPr>
        <w:pStyle w:val="16"/>
        <w:spacing w:before="31" w:after="31"/>
        <w:ind w:firstLine="0" w:firstLineChars="0"/>
        <w:rPr>
          <w:szCs w:val="24"/>
        </w:rPr>
      </w:pPr>
      <w:r>
        <w:rPr>
          <w:rFonts w:hint="eastAsia"/>
          <w:szCs w:val="24"/>
        </w:rPr>
        <w:t>(4) Failed Component and Material</w:t>
      </w:r>
    </w:p>
    <w:p w14:paraId="2CB75833">
      <w:pPr>
        <w:pStyle w:val="16"/>
        <w:spacing w:before="31" w:after="31"/>
        <w:ind w:firstLine="480"/>
        <w:rPr>
          <w:szCs w:val="24"/>
        </w:rPr>
      </w:pPr>
      <w:r>
        <w:rPr>
          <w:rFonts w:hint="eastAsia"/>
          <w:szCs w:val="24"/>
        </w:rPr>
        <w:t>(a) Material and Dimensions</w:t>
      </w:r>
    </w:p>
    <w:p w14:paraId="5D2FF3AE">
      <w:pPr>
        <w:pStyle w:val="16"/>
        <w:spacing w:before="31" w:after="31"/>
        <w:ind w:firstLine="480"/>
        <w:rPr>
          <w:szCs w:val="24"/>
        </w:rPr>
      </w:pPr>
      <w:r>
        <w:rPr>
          <w:rFonts w:hint="eastAsia"/>
          <w:szCs w:val="24"/>
        </w:rPr>
        <w:t>The outer dimensions are 680mm × 2520mm × 1825mm. The plates are made of 0.7mm thick SS316 stainless steel, the sealing gasket is made of EPDM, and the sealing adhesive is made of neoprene.</w:t>
      </w:r>
    </w:p>
    <w:p w14:paraId="0F0FD91E">
      <w:pPr>
        <w:pStyle w:val="16"/>
        <w:spacing w:before="31" w:after="31"/>
        <w:ind w:firstLine="480"/>
        <w:rPr>
          <w:szCs w:val="24"/>
        </w:rPr>
      </w:pPr>
      <w:r>
        <w:rPr>
          <w:rFonts w:hint="eastAsia"/>
          <w:szCs w:val="24"/>
        </w:rPr>
        <w:t>(b) Chemical Composition</w:t>
      </w:r>
    </w:p>
    <w:p w14:paraId="78AABF87">
      <w:pPr>
        <w:pStyle w:val="16"/>
        <w:spacing w:before="31" w:after="31"/>
        <w:ind w:firstLine="480"/>
        <w:rPr>
          <w:szCs w:val="24"/>
        </w:rPr>
      </w:pPr>
      <w:r>
        <w:rPr>
          <w:rFonts w:hint="eastAsia"/>
          <w:szCs w:val="24"/>
        </w:rPr>
        <w:t>The chemical composition of the heat exchanger plates is shown in Table 2-11. The material is austenitic stainless steel with a relatively high chromium mass fraction.</w:t>
      </w:r>
    </w:p>
    <w:p w14:paraId="69CA8F44">
      <w:pPr>
        <w:pStyle w:val="16"/>
        <w:spacing w:before="31" w:after="31"/>
        <w:ind w:firstLine="482"/>
        <w:jc w:val="center"/>
        <w:rPr>
          <w:rFonts w:hint="eastAsia"/>
          <w:b/>
          <w:bCs/>
          <w:szCs w:val="24"/>
        </w:rPr>
      </w:pPr>
      <w:r>
        <w:rPr>
          <w:rFonts w:hint="eastAsia"/>
          <w:b/>
          <w:bCs/>
          <w:szCs w:val="24"/>
        </w:rPr>
        <w:t>Table 2-11 Chemical Composition of Plates (Mass Fraction) %</w:t>
      </w:r>
    </w:p>
    <w:tbl>
      <w:tblPr>
        <w:tblStyle w:val="9"/>
        <w:tblW w:w="0" w:type="auto"/>
        <w:tblInd w:w="39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5"/>
        <w:gridCol w:w="1276"/>
        <w:gridCol w:w="1276"/>
        <w:gridCol w:w="1275"/>
        <w:gridCol w:w="1276"/>
        <w:gridCol w:w="1276"/>
      </w:tblGrid>
      <w:tr w14:paraId="371852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5" w:type="dxa"/>
            <w:tcBorders>
              <w:top w:val="single" w:color="auto" w:sz="12" w:space="0"/>
              <w:bottom w:val="single" w:color="auto" w:sz="12" w:space="0"/>
            </w:tcBorders>
            <w:vAlign w:val="center"/>
          </w:tcPr>
          <w:p w14:paraId="107D4294">
            <w:pPr>
              <w:pStyle w:val="16"/>
              <w:spacing w:before="31" w:after="31"/>
              <w:ind w:firstLine="0" w:firstLineChars="0"/>
              <w:jc w:val="center"/>
              <w:rPr>
                <w:rFonts w:cs="Times New Roman"/>
                <w:kern w:val="0"/>
                <w:sz w:val="21"/>
                <w:szCs w:val="21"/>
              </w:rPr>
            </w:pPr>
            <w:r>
              <w:rPr>
                <w:rFonts w:hint="eastAsia" w:cs="Times New Roman"/>
                <w:kern w:val="0"/>
                <w:sz w:val="21"/>
                <w:szCs w:val="21"/>
              </w:rPr>
              <w:t>Item</w:t>
            </w:r>
          </w:p>
        </w:tc>
        <w:tc>
          <w:tcPr>
            <w:tcW w:w="1276" w:type="dxa"/>
            <w:tcBorders>
              <w:top w:val="single" w:color="auto" w:sz="12" w:space="0"/>
              <w:bottom w:val="single" w:color="auto" w:sz="12" w:space="0"/>
            </w:tcBorders>
            <w:vAlign w:val="center"/>
          </w:tcPr>
          <w:p w14:paraId="464DBDE3">
            <w:pPr>
              <w:pStyle w:val="16"/>
              <w:spacing w:before="31" w:after="31"/>
              <w:ind w:firstLine="0" w:firstLineChars="0"/>
              <w:jc w:val="center"/>
              <w:rPr>
                <w:rFonts w:cs="Times New Roman"/>
                <w:kern w:val="0"/>
                <w:sz w:val="21"/>
                <w:szCs w:val="21"/>
              </w:rPr>
            </w:pPr>
            <w:r>
              <w:rPr>
                <w:rFonts w:cs="Times New Roman"/>
                <w:kern w:val="0"/>
                <w:sz w:val="21"/>
                <w:szCs w:val="21"/>
              </w:rPr>
              <w:t>C</w:t>
            </w:r>
          </w:p>
        </w:tc>
        <w:tc>
          <w:tcPr>
            <w:tcW w:w="1276" w:type="dxa"/>
            <w:tcBorders>
              <w:top w:val="single" w:color="auto" w:sz="12" w:space="0"/>
              <w:bottom w:val="single" w:color="auto" w:sz="12" w:space="0"/>
            </w:tcBorders>
            <w:vAlign w:val="center"/>
          </w:tcPr>
          <w:p w14:paraId="0580B663">
            <w:pPr>
              <w:pStyle w:val="16"/>
              <w:spacing w:before="31" w:after="31"/>
              <w:ind w:firstLine="0" w:firstLineChars="0"/>
              <w:jc w:val="center"/>
              <w:rPr>
                <w:rFonts w:cs="Times New Roman"/>
                <w:kern w:val="0"/>
                <w:sz w:val="21"/>
                <w:szCs w:val="21"/>
              </w:rPr>
            </w:pPr>
            <w:r>
              <w:rPr>
                <w:rFonts w:cs="Times New Roman"/>
                <w:kern w:val="0"/>
                <w:sz w:val="21"/>
                <w:szCs w:val="21"/>
              </w:rPr>
              <w:t>S</w:t>
            </w:r>
          </w:p>
        </w:tc>
        <w:tc>
          <w:tcPr>
            <w:tcW w:w="1275" w:type="dxa"/>
            <w:tcBorders>
              <w:top w:val="single" w:color="auto" w:sz="12" w:space="0"/>
              <w:bottom w:val="single" w:color="auto" w:sz="12" w:space="0"/>
            </w:tcBorders>
            <w:vAlign w:val="center"/>
          </w:tcPr>
          <w:p w14:paraId="5E911741">
            <w:pPr>
              <w:pStyle w:val="16"/>
              <w:spacing w:before="31" w:after="31"/>
              <w:ind w:firstLine="0" w:firstLineChars="0"/>
              <w:jc w:val="center"/>
              <w:rPr>
                <w:rFonts w:cs="Times New Roman"/>
                <w:kern w:val="0"/>
                <w:sz w:val="21"/>
                <w:szCs w:val="21"/>
              </w:rPr>
            </w:pPr>
            <w:r>
              <w:rPr>
                <w:rFonts w:cs="Times New Roman"/>
                <w:kern w:val="0"/>
                <w:sz w:val="21"/>
                <w:szCs w:val="21"/>
              </w:rPr>
              <w:t>P</w:t>
            </w:r>
          </w:p>
        </w:tc>
        <w:tc>
          <w:tcPr>
            <w:tcW w:w="1276" w:type="dxa"/>
            <w:tcBorders>
              <w:top w:val="single" w:color="auto" w:sz="12" w:space="0"/>
              <w:bottom w:val="single" w:color="auto" w:sz="12" w:space="0"/>
            </w:tcBorders>
            <w:vAlign w:val="center"/>
          </w:tcPr>
          <w:p w14:paraId="0E2F4AEC">
            <w:pPr>
              <w:pStyle w:val="16"/>
              <w:spacing w:before="31" w:after="31"/>
              <w:ind w:firstLine="0" w:firstLineChars="0"/>
              <w:jc w:val="center"/>
              <w:rPr>
                <w:rFonts w:cs="Times New Roman"/>
                <w:kern w:val="0"/>
                <w:sz w:val="21"/>
                <w:szCs w:val="21"/>
              </w:rPr>
            </w:pPr>
            <w:r>
              <w:rPr>
                <w:rFonts w:cs="Times New Roman"/>
                <w:kern w:val="0"/>
                <w:sz w:val="21"/>
                <w:szCs w:val="21"/>
              </w:rPr>
              <w:t>Cr</w:t>
            </w:r>
          </w:p>
        </w:tc>
        <w:tc>
          <w:tcPr>
            <w:tcW w:w="1276" w:type="dxa"/>
            <w:tcBorders>
              <w:top w:val="single" w:color="auto" w:sz="12" w:space="0"/>
              <w:bottom w:val="single" w:color="auto" w:sz="12" w:space="0"/>
            </w:tcBorders>
            <w:vAlign w:val="center"/>
          </w:tcPr>
          <w:p w14:paraId="378DA4A4">
            <w:pPr>
              <w:pStyle w:val="16"/>
              <w:spacing w:before="31" w:after="31"/>
              <w:ind w:firstLine="0" w:firstLineChars="0"/>
              <w:jc w:val="center"/>
              <w:rPr>
                <w:rFonts w:cs="Times New Roman"/>
                <w:kern w:val="0"/>
                <w:sz w:val="21"/>
                <w:szCs w:val="21"/>
              </w:rPr>
            </w:pPr>
            <w:r>
              <w:rPr>
                <w:rFonts w:cs="Times New Roman"/>
                <w:kern w:val="0"/>
                <w:sz w:val="21"/>
                <w:szCs w:val="21"/>
              </w:rPr>
              <w:t>Ni</w:t>
            </w:r>
          </w:p>
        </w:tc>
      </w:tr>
      <w:tr w14:paraId="44B474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5" w:type="dxa"/>
            <w:tcBorders>
              <w:top w:val="single" w:color="auto" w:sz="12" w:space="0"/>
            </w:tcBorders>
            <w:vAlign w:val="center"/>
          </w:tcPr>
          <w:p w14:paraId="1E24078C">
            <w:pPr>
              <w:pStyle w:val="16"/>
              <w:spacing w:before="31" w:after="31"/>
              <w:ind w:firstLine="0" w:firstLineChars="0"/>
              <w:jc w:val="center"/>
              <w:rPr>
                <w:rFonts w:cs="Times New Roman"/>
                <w:kern w:val="0"/>
                <w:sz w:val="21"/>
                <w:szCs w:val="21"/>
              </w:rPr>
            </w:pPr>
            <w:r>
              <w:rPr>
                <w:rFonts w:hint="eastAsia" w:cs="Times New Roman"/>
                <w:kern w:val="0"/>
                <w:sz w:val="21"/>
                <w:szCs w:val="21"/>
              </w:rPr>
              <w:t>Sample</w:t>
            </w:r>
          </w:p>
        </w:tc>
        <w:tc>
          <w:tcPr>
            <w:tcW w:w="1276" w:type="dxa"/>
            <w:tcBorders>
              <w:top w:val="single" w:color="auto" w:sz="12" w:space="0"/>
            </w:tcBorders>
            <w:vAlign w:val="center"/>
          </w:tcPr>
          <w:p w14:paraId="28D03E3F">
            <w:pPr>
              <w:pStyle w:val="16"/>
              <w:spacing w:before="31" w:after="31"/>
              <w:ind w:firstLine="0" w:firstLineChars="0"/>
              <w:jc w:val="center"/>
              <w:rPr>
                <w:rFonts w:cs="Times New Roman"/>
                <w:kern w:val="0"/>
                <w:sz w:val="21"/>
                <w:szCs w:val="21"/>
              </w:rPr>
            </w:pPr>
            <w:r>
              <w:rPr>
                <w:rFonts w:cs="Times New Roman"/>
                <w:kern w:val="0"/>
                <w:sz w:val="21"/>
                <w:szCs w:val="21"/>
              </w:rPr>
              <w:t>0. 02</w:t>
            </w:r>
          </w:p>
        </w:tc>
        <w:tc>
          <w:tcPr>
            <w:tcW w:w="1276" w:type="dxa"/>
            <w:tcBorders>
              <w:top w:val="single" w:color="auto" w:sz="12" w:space="0"/>
            </w:tcBorders>
            <w:vAlign w:val="center"/>
          </w:tcPr>
          <w:p w14:paraId="30B80FA5">
            <w:pPr>
              <w:pStyle w:val="16"/>
              <w:spacing w:before="31" w:after="31"/>
              <w:ind w:firstLine="0" w:firstLineChars="0"/>
              <w:jc w:val="center"/>
              <w:rPr>
                <w:rFonts w:cs="Times New Roman"/>
                <w:kern w:val="0"/>
                <w:sz w:val="21"/>
                <w:szCs w:val="21"/>
              </w:rPr>
            </w:pPr>
            <w:r>
              <w:rPr>
                <w:rFonts w:cs="Times New Roman"/>
                <w:kern w:val="0"/>
                <w:sz w:val="21"/>
                <w:szCs w:val="21"/>
              </w:rPr>
              <w:t>0.007</w:t>
            </w:r>
          </w:p>
        </w:tc>
        <w:tc>
          <w:tcPr>
            <w:tcW w:w="1275" w:type="dxa"/>
            <w:tcBorders>
              <w:top w:val="single" w:color="auto" w:sz="12" w:space="0"/>
            </w:tcBorders>
            <w:vAlign w:val="center"/>
          </w:tcPr>
          <w:p w14:paraId="51808DEC">
            <w:pPr>
              <w:pStyle w:val="16"/>
              <w:spacing w:before="31" w:after="31"/>
              <w:ind w:firstLine="0" w:firstLineChars="0"/>
              <w:jc w:val="center"/>
              <w:rPr>
                <w:rFonts w:cs="Times New Roman"/>
                <w:kern w:val="0"/>
                <w:sz w:val="21"/>
                <w:szCs w:val="21"/>
              </w:rPr>
            </w:pPr>
            <w:r>
              <w:rPr>
                <w:rFonts w:cs="Times New Roman"/>
                <w:kern w:val="0"/>
                <w:sz w:val="21"/>
                <w:szCs w:val="21"/>
              </w:rPr>
              <w:t>0.011</w:t>
            </w:r>
          </w:p>
        </w:tc>
        <w:tc>
          <w:tcPr>
            <w:tcW w:w="1276" w:type="dxa"/>
            <w:tcBorders>
              <w:top w:val="single" w:color="auto" w:sz="12" w:space="0"/>
            </w:tcBorders>
            <w:vAlign w:val="center"/>
          </w:tcPr>
          <w:p w14:paraId="5F85C03B">
            <w:pPr>
              <w:pStyle w:val="16"/>
              <w:spacing w:before="31" w:after="31"/>
              <w:ind w:firstLine="0" w:firstLineChars="0"/>
              <w:jc w:val="center"/>
              <w:rPr>
                <w:rFonts w:cs="Times New Roman"/>
                <w:kern w:val="0"/>
                <w:sz w:val="21"/>
                <w:szCs w:val="21"/>
              </w:rPr>
            </w:pPr>
            <w:r>
              <w:rPr>
                <w:rFonts w:cs="Times New Roman"/>
                <w:kern w:val="0"/>
                <w:sz w:val="21"/>
                <w:szCs w:val="21"/>
              </w:rPr>
              <w:t>19.51</w:t>
            </w:r>
          </w:p>
        </w:tc>
        <w:tc>
          <w:tcPr>
            <w:tcW w:w="1276" w:type="dxa"/>
            <w:tcBorders>
              <w:top w:val="single" w:color="auto" w:sz="12" w:space="0"/>
            </w:tcBorders>
            <w:vAlign w:val="center"/>
          </w:tcPr>
          <w:p w14:paraId="02A27B48">
            <w:pPr>
              <w:pStyle w:val="16"/>
              <w:spacing w:before="31" w:after="31"/>
              <w:ind w:firstLine="0" w:firstLineChars="0"/>
              <w:jc w:val="center"/>
              <w:rPr>
                <w:rFonts w:cs="Times New Roman"/>
                <w:kern w:val="0"/>
                <w:sz w:val="21"/>
                <w:szCs w:val="21"/>
              </w:rPr>
            </w:pPr>
            <w:r>
              <w:rPr>
                <w:rFonts w:cs="Times New Roman"/>
                <w:kern w:val="0"/>
                <w:sz w:val="21"/>
                <w:szCs w:val="21"/>
              </w:rPr>
              <w:t>10.97</w:t>
            </w:r>
          </w:p>
        </w:tc>
      </w:tr>
    </w:tbl>
    <w:p w14:paraId="4AB1D487">
      <w:pPr>
        <w:pStyle w:val="16"/>
        <w:spacing w:before="31" w:after="31"/>
        <w:ind w:firstLine="480"/>
        <w:rPr>
          <w:szCs w:val="24"/>
        </w:rPr>
      </w:pPr>
      <w:r>
        <w:rPr>
          <w:rFonts w:hint="eastAsia"/>
          <w:szCs w:val="24"/>
        </w:rPr>
        <w:t>(c) Mechanical Properties</w:t>
      </w:r>
    </w:p>
    <w:p w14:paraId="71783081">
      <w:pPr>
        <w:pStyle w:val="16"/>
        <w:spacing w:before="31" w:after="31"/>
        <w:ind w:firstLine="480"/>
        <w:rPr>
          <w:szCs w:val="24"/>
        </w:rPr>
      </w:pPr>
      <w:r>
        <w:rPr>
          <w:rFonts w:hint="eastAsia"/>
          <w:szCs w:val="24"/>
        </w:rPr>
        <w:t>The hardness values (HV) of the component material are shown in Table 2-12.</w:t>
      </w:r>
    </w:p>
    <w:p w14:paraId="3C295898">
      <w:pPr>
        <w:pStyle w:val="16"/>
        <w:spacing w:before="31" w:after="31"/>
        <w:ind w:firstLine="482"/>
        <w:jc w:val="center"/>
        <w:rPr>
          <w:rFonts w:hint="eastAsia"/>
          <w:b/>
          <w:bCs/>
          <w:szCs w:val="24"/>
        </w:rPr>
      </w:pPr>
      <w:r>
        <w:rPr>
          <w:rFonts w:hint="eastAsia"/>
          <w:b/>
          <w:bCs/>
          <w:szCs w:val="24"/>
        </w:rPr>
        <w:t>Table 2-12 Plate Material Hardness (HV)</w:t>
      </w:r>
    </w:p>
    <w:tbl>
      <w:tblPr>
        <w:tblStyle w:val="9"/>
        <w:tblW w:w="0" w:type="auto"/>
        <w:tblInd w:w="39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5"/>
        <w:gridCol w:w="1276"/>
        <w:gridCol w:w="1276"/>
        <w:gridCol w:w="1275"/>
        <w:gridCol w:w="1135"/>
        <w:gridCol w:w="1559"/>
      </w:tblGrid>
      <w:tr w14:paraId="6EF2D4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5" w:type="dxa"/>
            <w:tcBorders>
              <w:top w:val="single" w:color="auto" w:sz="12" w:space="0"/>
              <w:bottom w:val="single" w:color="auto" w:sz="12" w:space="0"/>
            </w:tcBorders>
            <w:vAlign w:val="center"/>
          </w:tcPr>
          <w:p w14:paraId="6D4DB84C">
            <w:pPr>
              <w:pStyle w:val="16"/>
              <w:spacing w:before="31" w:after="31"/>
              <w:ind w:firstLine="0" w:firstLineChars="0"/>
              <w:jc w:val="center"/>
              <w:rPr>
                <w:rFonts w:cs="Times New Roman"/>
                <w:kern w:val="0"/>
                <w:sz w:val="21"/>
                <w:szCs w:val="21"/>
              </w:rPr>
            </w:pPr>
            <w:r>
              <w:rPr>
                <w:rFonts w:hint="eastAsia" w:cs="Times New Roman"/>
                <w:kern w:val="0"/>
                <w:sz w:val="21"/>
                <w:szCs w:val="21"/>
              </w:rPr>
              <w:t>Sample No.</w:t>
            </w:r>
          </w:p>
        </w:tc>
        <w:tc>
          <w:tcPr>
            <w:tcW w:w="1276" w:type="dxa"/>
            <w:tcBorders>
              <w:top w:val="single" w:color="auto" w:sz="12" w:space="0"/>
              <w:bottom w:val="single" w:color="auto" w:sz="12" w:space="0"/>
            </w:tcBorders>
            <w:vAlign w:val="center"/>
          </w:tcPr>
          <w:p w14:paraId="132587CA">
            <w:pPr>
              <w:pStyle w:val="16"/>
              <w:spacing w:before="31" w:after="31"/>
              <w:ind w:firstLine="0" w:firstLineChars="0"/>
              <w:jc w:val="center"/>
              <w:rPr>
                <w:rFonts w:cs="Times New Roman"/>
                <w:kern w:val="0"/>
                <w:sz w:val="21"/>
                <w:szCs w:val="21"/>
              </w:rPr>
            </w:pPr>
            <w:r>
              <w:rPr>
                <w:rFonts w:hint="eastAsia" w:cs="Times New Roman"/>
                <w:kern w:val="0"/>
                <w:sz w:val="21"/>
                <w:szCs w:val="21"/>
              </w:rPr>
              <w:t>Location 1</w:t>
            </w:r>
          </w:p>
        </w:tc>
        <w:tc>
          <w:tcPr>
            <w:tcW w:w="1276" w:type="dxa"/>
            <w:tcBorders>
              <w:top w:val="single" w:color="auto" w:sz="12" w:space="0"/>
              <w:bottom w:val="single" w:color="auto" w:sz="12" w:space="0"/>
            </w:tcBorders>
            <w:vAlign w:val="center"/>
          </w:tcPr>
          <w:p w14:paraId="74AA235D">
            <w:pPr>
              <w:pStyle w:val="16"/>
              <w:spacing w:before="31" w:after="31"/>
              <w:ind w:firstLine="0" w:firstLineChars="0"/>
              <w:jc w:val="center"/>
              <w:rPr>
                <w:rFonts w:cs="Times New Roman"/>
                <w:kern w:val="0"/>
                <w:sz w:val="21"/>
                <w:szCs w:val="21"/>
              </w:rPr>
            </w:pPr>
            <w:r>
              <w:rPr>
                <w:rFonts w:hint="eastAsia" w:cs="Times New Roman"/>
                <w:kern w:val="0"/>
                <w:sz w:val="21"/>
                <w:szCs w:val="21"/>
              </w:rPr>
              <w:t xml:space="preserve">Location </w:t>
            </w:r>
            <w:r>
              <w:rPr>
                <w:rFonts w:cs="Times New Roman"/>
                <w:kern w:val="0"/>
                <w:sz w:val="21"/>
                <w:szCs w:val="21"/>
              </w:rPr>
              <w:t>2</w:t>
            </w:r>
          </w:p>
        </w:tc>
        <w:tc>
          <w:tcPr>
            <w:tcW w:w="1275" w:type="dxa"/>
            <w:tcBorders>
              <w:top w:val="single" w:color="auto" w:sz="12" w:space="0"/>
              <w:bottom w:val="single" w:color="auto" w:sz="12" w:space="0"/>
            </w:tcBorders>
            <w:vAlign w:val="center"/>
          </w:tcPr>
          <w:p w14:paraId="48B45F30">
            <w:pPr>
              <w:pStyle w:val="16"/>
              <w:spacing w:before="31" w:after="31"/>
              <w:ind w:firstLine="0" w:firstLineChars="0"/>
              <w:jc w:val="center"/>
              <w:rPr>
                <w:rFonts w:cs="Times New Roman"/>
                <w:kern w:val="0"/>
                <w:sz w:val="21"/>
                <w:szCs w:val="21"/>
              </w:rPr>
            </w:pPr>
            <w:r>
              <w:rPr>
                <w:rFonts w:hint="eastAsia" w:cs="Times New Roman"/>
                <w:kern w:val="0"/>
                <w:sz w:val="21"/>
                <w:szCs w:val="21"/>
              </w:rPr>
              <w:t xml:space="preserve">Location </w:t>
            </w:r>
            <w:r>
              <w:rPr>
                <w:rFonts w:cs="Times New Roman"/>
                <w:kern w:val="0"/>
                <w:sz w:val="21"/>
                <w:szCs w:val="21"/>
              </w:rPr>
              <w:t>3</w:t>
            </w:r>
          </w:p>
        </w:tc>
        <w:tc>
          <w:tcPr>
            <w:tcW w:w="1135" w:type="dxa"/>
            <w:tcBorders>
              <w:top w:val="single" w:color="auto" w:sz="12" w:space="0"/>
              <w:bottom w:val="single" w:color="auto" w:sz="12" w:space="0"/>
            </w:tcBorders>
            <w:vAlign w:val="center"/>
          </w:tcPr>
          <w:p w14:paraId="00777BE8">
            <w:pPr>
              <w:pStyle w:val="16"/>
              <w:spacing w:before="31" w:after="31"/>
              <w:ind w:firstLine="0" w:firstLineChars="0"/>
              <w:jc w:val="center"/>
              <w:rPr>
                <w:rFonts w:cs="Times New Roman"/>
                <w:kern w:val="0"/>
                <w:sz w:val="21"/>
                <w:szCs w:val="21"/>
              </w:rPr>
            </w:pPr>
            <w:r>
              <w:rPr>
                <w:rFonts w:hint="eastAsia" w:cs="Times New Roman"/>
                <w:kern w:val="0"/>
                <w:sz w:val="21"/>
                <w:szCs w:val="21"/>
              </w:rPr>
              <w:t>Average Value</w:t>
            </w:r>
          </w:p>
        </w:tc>
        <w:tc>
          <w:tcPr>
            <w:tcW w:w="1559" w:type="dxa"/>
            <w:tcBorders>
              <w:top w:val="single" w:color="auto" w:sz="12" w:space="0"/>
              <w:bottom w:val="single" w:color="auto" w:sz="12" w:space="0"/>
            </w:tcBorders>
            <w:vAlign w:val="center"/>
          </w:tcPr>
          <w:p w14:paraId="29E6C1CC">
            <w:pPr>
              <w:pStyle w:val="16"/>
              <w:spacing w:before="31" w:after="31"/>
              <w:ind w:firstLine="0" w:firstLineChars="0"/>
              <w:jc w:val="center"/>
              <w:rPr>
                <w:rFonts w:cs="Times New Roman"/>
                <w:kern w:val="0"/>
                <w:sz w:val="21"/>
                <w:szCs w:val="21"/>
              </w:rPr>
            </w:pPr>
            <w:r>
              <w:rPr>
                <w:rFonts w:hint="eastAsia" w:cs="Times New Roman"/>
                <w:kern w:val="0"/>
                <w:sz w:val="21"/>
                <w:szCs w:val="21"/>
              </w:rPr>
              <w:t>Remarks</w:t>
            </w:r>
          </w:p>
        </w:tc>
      </w:tr>
      <w:tr w14:paraId="4BA0ED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5" w:type="dxa"/>
            <w:tcBorders>
              <w:top w:val="single" w:color="auto" w:sz="12" w:space="0"/>
              <w:bottom w:val="nil"/>
            </w:tcBorders>
            <w:vAlign w:val="center"/>
          </w:tcPr>
          <w:p w14:paraId="56BCBB67">
            <w:pPr>
              <w:pStyle w:val="16"/>
              <w:spacing w:before="31" w:after="31"/>
              <w:ind w:firstLine="0" w:firstLineChars="0"/>
              <w:jc w:val="center"/>
              <w:rPr>
                <w:rFonts w:cs="Times New Roman"/>
                <w:kern w:val="0"/>
                <w:sz w:val="21"/>
                <w:szCs w:val="21"/>
              </w:rPr>
            </w:pPr>
            <w:r>
              <w:rPr>
                <w:rFonts w:cs="Times New Roman"/>
                <w:kern w:val="0"/>
                <w:sz w:val="21"/>
                <w:szCs w:val="21"/>
              </w:rPr>
              <w:t>1#</w:t>
            </w:r>
            <w:r>
              <w:rPr>
                <w:rFonts w:hint="eastAsia" w:cs="Times New Roman"/>
                <w:kern w:val="0"/>
                <w:sz w:val="21"/>
                <w:szCs w:val="21"/>
              </w:rPr>
              <w:t>Sample</w:t>
            </w:r>
          </w:p>
        </w:tc>
        <w:tc>
          <w:tcPr>
            <w:tcW w:w="1276" w:type="dxa"/>
            <w:tcBorders>
              <w:top w:val="single" w:color="auto" w:sz="12" w:space="0"/>
              <w:bottom w:val="nil"/>
            </w:tcBorders>
            <w:vAlign w:val="center"/>
          </w:tcPr>
          <w:p w14:paraId="0ED0F08F">
            <w:pPr>
              <w:pStyle w:val="16"/>
              <w:spacing w:before="31" w:after="31"/>
              <w:ind w:firstLine="0" w:firstLineChars="0"/>
              <w:jc w:val="center"/>
              <w:rPr>
                <w:rFonts w:cs="Times New Roman"/>
                <w:kern w:val="0"/>
                <w:sz w:val="21"/>
                <w:szCs w:val="21"/>
              </w:rPr>
            </w:pPr>
            <w:r>
              <w:rPr>
                <w:rFonts w:cs="Times New Roman"/>
                <w:kern w:val="0"/>
                <w:sz w:val="21"/>
                <w:szCs w:val="21"/>
              </w:rPr>
              <w:t>91. 0</w:t>
            </w:r>
          </w:p>
        </w:tc>
        <w:tc>
          <w:tcPr>
            <w:tcW w:w="1276" w:type="dxa"/>
            <w:tcBorders>
              <w:top w:val="single" w:color="auto" w:sz="12" w:space="0"/>
              <w:bottom w:val="nil"/>
            </w:tcBorders>
            <w:vAlign w:val="center"/>
          </w:tcPr>
          <w:p w14:paraId="2E652DE8">
            <w:pPr>
              <w:pStyle w:val="16"/>
              <w:spacing w:before="31" w:after="31"/>
              <w:ind w:firstLine="0" w:firstLineChars="0"/>
              <w:jc w:val="center"/>
              <w:rPr>
                <w:rFonts w:cs="Times New Roman"/>
                <w:kern w:val="0"/>
                <w:sz w:val="21"/>
                <w:szCs w:val="21"/>
              </w:rPr>
            </w:pPr>
            <w:r>
              <w:rPr>
                <w:rFonts w:cs="Times New Roman"/>
                <w:kern w:val="0"/>
                <w:sz w:val="21"/>
                <w:szCs w:val="21"/>
              </w:rPr>
              <w:t>92.0</w:t>
            </w:r>
          </w:p>
        </w:tc>
        <w:tc>
          <w:tcPr>
            <w:tcW w:w="1275" w:type="dxa"/>
            <w:tcBorders>
              <w:top w:val="single" w:color="auto" w:sz="12" w:space="0"/>
              <w:bottom w:val="nil"/>
            </w:tcBorders>
            <w:vAlign w:val="center"/>
          </w:tcPr>
          <w:p w14:paraId="67528C39">
            <w:pPr>
              <w:pStyle w:val="16"/>
              <w:spacing w:before="31" w:after="31"/>
              <w:ind w:firstLine="0" w:firstLineChars="0"/>
              <w:jc w:val="center"/>
              <w:rPr>
                <w:rFonts w:cs="Times New Roman"/>
                <w:kern w:val="0"/>
                <w:sz w:val="21"/>
                <w:szCs w:val="21"/>
              </w:rPr>
            </w:pPr>
            <w:r>
              <w:rPr>
                <w:rFonts w:cs="Times New Roman"/>
                <w:kern w:val="0"/>
                <w:sz w:val="21"/>
                <w:szCs w:val="21"/>
              </w:rPr>
              <w:t>92.0</w:t>
            </w:r>
          </w:p>
        </w:tc>
        <w:tc>
          <w:tcPr>
            <w:tcW w:w="1135" w:type="dxa"/>
            <w:tcBorders>
              <w:top w:val="single" w:color="auto" w:sz="12" w:space="0"/>
              <w:bottom w:val="nil"/>
            </w:tcBorders>
            <w:vAlign w:val="center"/>
          </w:tcPr>
          <w:p w14:paraId="6977E56D">
            <w:pPr>
              <w:pStyle w:val="16"/>
              <w:spacing w:before="31" w:after="31"/>
              <w:ind w:firstLine="0" w:firstLineChars="0"/>
              <w:jc w:val="center"/>
              <w:rPr>
                <w:rFonts w:cs="Times New Roman"/>
                <w:kern w:val="0"/>
                <w:sz w:val="21"/>
                <w:szCs w:val="21"/>
              </w:rPr>
            </w:pPr>
            <w:r>
              <w:rPr>
                <w:rFonts w:cs="Times New Roman"/>
                <w:kern w:val="0"/>
                <w:sz w:val="21"/>
                <w:szCs w:val="21"/>
              </w:rPr>
              <w:t>91.7</w:t>
            </w:r>
          </w:p>
        </w:tc>
        <w:tc>
          <w:tcPr>
            <w:tcW w:w="1559" w:type="dxa"/>
            <w:tcBorders>
              <w:top w:val="single" w:color="auto" w:sz="12" w:space="0"/>
              <w:bottom w:val="nil"/>
            </w:tcBorders>
            <w:vAlign w:val="center"/>
          </w:tcPr>
          <w:p w14:paraId="599B7270">
            <w:pPr>
              <w:pStyle w:val="16"/>
              <w:spacing w:before="31" w:after="31"/>
              <w:ind w:firstLine="0" w:firstLineChars="0"/>
              <w:jc w:val="center"/>
              <w:rPr>
                <w:rFonts w:cs="Times New Roman"/>
                <w:kern w:val="0"/>
                <w:sz w:val="21"/>
                <w:szCs w:val="21"/>
              </w:rPr>
            </w:pPr>
            <w:r>
              <w:rPr>
                <w:rFonts w:hint="eastAsia" w:cs="Times New Roman"/>
                <w:kern w:val="0"/>
                <w:sz w:val="21"/>
                <w:szCs w:val="21"/>
              </w:rPr>
              <w:t>Heat exchange area</w:t>
            </w:r>
          </w:p>
        </w:tc>
      </w:tr>
      <w:tr w14:paraId="49A67E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5" w:type="dxa"/>
            <w:tcBorders>
              <w:top w:val="nil"/>
              <w:bottom w:val="single" w:color="auto" w:sz="12" w:space="0"/>
            </w:tcBorders>
            <w:vAlign w:val="center"/>
          </w:tcPr>
          <w:p w14:paraId="47D8010E">
            <w:pPr>
              <w:pStyle w:val="16"/>
              <w:spacing w:before="31" w:after="31"/>
              <w:ind w:firstLine="0" w:firstLineChars="0"/>
              <w:jc w:val="center"/>
              <w:rPr>
                <w:rFonts w:cs="Times New Roman"/>
                <w:kern w:val="0"/>
                <w:sz w:val="21"/>
                <w:szCs w:val="21"/>
              </w:rPr>
            </w:pPr>
            <w:r>
              <w:rPr>
                <w:rFonts w:cs="Times New Roman"/>
                <w:kern w:val="0"/>
                <w:sz w:val="21"/>
                <w:szCs w:val="21"/>
              </w:rPr>
              <w:t>2#</w:t>
            </w:r>
            <w:r>
              <w:rPr>
                <w:rFonts w:hint="eastAsia" w:cs="Times New Roman"/>
                <w:kern w:val="0"/>
                <w:sz w:val="21"/>
                <w:szCs w:val="21"/>
              </w:rPr>
              <w:t>Sample</w:t>
            </w:r>
          </w:p>
        </w:tc>
        <w:tc>
          <w:tcPr>
            <w:tcW w:w="1276" w:type="dxa"/>
            <w:tcBorders>
              <w:top w:val="nil"/>
              <w:bottom w:val="single" w:color="auto" w:sz="12" w:space="0"/>
            </w:tcBorders>
            <w:vAlign w:val="center"/>
          </w:tcPr>
          <w:p w14:paraId="07B298C3">
            <w:pPr>
              <w:pStyle w:val="16"/>
              <w:spacing w:before="31" w:after="31"/>
              <w:ind w:firstLine="0" w:firstLineChars="0"/>
              <w:jc w:val="center"/>
              <w:rPr>
                <w:rFonts w:cs="Times New Roman"/>
                <w:kern w:val="0"/>
                <w:sz w:val="21"/>
                <w:szCs w:val="21"/>
              </w:rPr>
            </w:pPr>
            <w:r>
              <w:rPr>
                <w:rFonts w:cs="Times New Roman"/>
                <w:kern w:val="0"/>
                <w:sz w:val="21"/>
                <w:szCs w:val="21"/>
              </w:rPr>
              <w:t>162. 0</w:t>
            </w:r>
          </w:p>
        </w:tc>
        <w:tc>
          <w:tcPr>
            <w:tcW w:w="1276" w:type="dxa"/>
            <w:tcBorders>
              <w:top w:val="nil"/>
              <w:bottom w:val="single" w:color="auto" w:sz="12" w:space="0"/>
            </w:tcBorders>
            <w:vAlign w:val="center"/>
          </w:tcPr>
          <w:p w14:paraId="44F13C30">
            <w:pPr>
              <w:pStyle w:val="16"/>
              <w:spacing w:before="31" w:after="31"/>
              <w:ind w:firstLine="0" w:firstLineChars="0"/>
              <w:jc w:val="center"/>
              <w:rPr>
                <w:rFonts w:cs="Times New Roman"/>
                <w:kern w:val="0"/>
                <w:sz w:val="21"/>
                <w:szCs w:val="21"/>
              </w:rPr>
            </w:pPr>
            <w:r>
              <w:rPr>
                <w:rFonts w:cs="Times New Roman"/>
                <w:kern w:val="0"/>
                <w:sz w:val="21"/>
                <w:szCs w:val="21"/>
              </w:rPr>
              <w:t>164.0</w:t>
            </w:r>
          </w:p>
        </w:tc>
        <w:tc>
          <w:tcPr>
            <w:tcW w:w="1275" w:type="dxa"/>
            <w:tcBorders>
              <w:top w:val="nil"/>
              <w:bottom w:val="single" w:color="auto" w:sz="12" w:space="0"/>
            </w:tcBorders>
            <w:vAlign w:val="center"/>
          </w:tcPr>
          <w:p w14:paraId="78808F54">
            <w:pPr>
              <w:pStyle w:val="16"/>
              <w:spacing w:before="31" w:after="31"/>
              <w:ind w:firstLine="0" w:firstLineChars="0"/>
              <w:jc w:val="center"/>
              <w:rPr>
                <w:rFonts w:cs="Times New Roman"/>
                <w:kern w:val="0"/>
                <w:sz w:val="21"/>
                <w:szCs w:val="21"/>
              </w:rPr>
            </w:pPr>
            <w:r>
              <w:rPr>
                <w:rFonts w:cs="Times New Roman"/>
                <w:kern w:val="0"/>
                <w:sz w:val="21"/>
                <w:szCs w:val="21"/>
              </w:rPr>
              <w:t>162.0</w:t>
            </w:r>
          </w:p>
        </w:tc>
        <w:tc>
          <w:tcPr>
            <w:tcW w:w="1135" w:type="dxa"/>
            <w:tcBorders>
              <w:top w:val="nil"/>
              <w:bottom w:val="single" w:color="auto" w:sz="12" w:space="0"/>
            </w:tcBorders>
            <w:vAlign w:val="center"/>
          </w:tcPr>
          <w:p w14:paraId="2C3E7740">
            <w:pPr>
              <w:pStyle w:val="16"/>
              <w:spacing w:before="31" w:after="31"/>
              <w:ind w:firstLine="0" w:firstLineChars="0"/>
              <w:jc w:val="center"/>
              <w:rPr>
                <w:rFonts w:cs="Times New Roman"/>
                <w:kern w:val="0"/>
                <w:sz w:val="21"/>
                <w:szCs w:val="21"/>
              </w:rPr>
            </w:pPr>
            <w:r>
              <w:rPr>
                <w:rFonts w:cs="Times New Roman"/>
                <w:kern w:val="0"/>
                <w:sz w:val="21"/>
                <w:szCs w:val="21"/>
              </w:rPr>
              <w:t>162.7</w:t>
            </w:r>
          </w:p>
        </w:tc>
        <w:tc>
          <w:tcPr>
            <w:tcW w:w="1559" w:type="dxa"/>
            <w:tcBorders>
              <w:top w:val="nil"/>
              <w:bottom w:val="single" w:color="auto" w:sz="12" w:space="0"/>
            </w:tcBorders>
            <w:vAlign w:val="center"/>
          </w:tcPr>
          <w:p w14:paraId="136D8C2C">
            <w:pPr>
              <w:pStyle w:val="16"/>
              <w:spacing w:before="31" w:after="31"/>
              <w:ind w:firstLine="0" w:firstLineChars="0"/>
              <w:jc w:val="center"/>
              <w:rPr>
                <w:rFonts w:cs="Times New Roman"/>
                <w:kern w:val="0"/>
                <w:sz w:val="21"/>
                <w:szCs w:val="21"/>
              </w:rPr>
            </w:pPr>
            <w:r>
              <w:rPr>
                <w:rFonts w:hint="eastAsia" w:cs="Times New Roman"/>
                <w:kern w:val="0"/>
                <w:sz w:val="21"/>
                <w:szCs w:val="21"/>
              </w:rPr>
              <w:t>Stamped protrusion area</w:t>
            </w:r>
          </w:p>
        </w:tc>
      </w:tr>
    </w:tbl>
    <w:p w14:paraId="796920B8">
      <w:pPr>
        <w:pStyle w:val="16"/>
        <w:spacing w:before="31" w:after="31"/>
        <w:ind w:firstLine="480"/>
        <w:rPr>
          <w:szCs w:val="24"/>
        </w:rPr>
      </w:pPr>
      <w:r>
        <w:rPr>
          <w:rFonts w:hint="eastAsia"/>
          <w:szCs w:val="24"/>
        </w:rPr>
        <w:t>(d) Plate Surface Composition</w:t>
      </w:r>
    </w:p>
    <w:p w14:paraId="3322DD50">
      <w:pPr>
        <w:pStyle w:val="16"/>
        <w:spacing w:before="31" w:after="31"/>
        <w:ind w:firstLine="480"/>
        <w:rPr>
          <w:szCs w:val="24"/>
        </w:rPr>
      </w:pPr>
      <w:r>
        <w:rPr>
          <w:rFonts w:hint="eastAsia"/>
          <w:szCs w:val="24"/>
        </w:rPr>
        <w:t>Chlorine ion (Cl-) content near the crack-concentrated cold and hot fluid channel sealing gasket is shown in Table 2-13.</w:t>
      </w:r>
    </w:p>
    <w:p w14:paraId="6C97B849">
      <w:pPr>
        <w:pStyle w:val="16"/>
        <w:spacing w:before="31" w:after="31"/>
        <w:ind w:firstLine="482"/>
        <w:jc w:val="center"/>
        <w:rPr>
          <w:b/>
          <w:bCs/>
          <w:szCs w:val="24"/>
        </w:rPr>
      </w:pPr>
      <w:r>
        <w:rPr>
          <w:rFonts w:hint="eastAsia"/>
          <w:b/>
          <w:bCs/>
          <w:szCs w:val="24"/>
        </w:rPr>
        <w:t>Table 2-13 Analysis Results of Cl- Content on Plate Surface</w:t>
      </w:r>
    </w:p>
    <w:tbl>
      <w:tblPr>
        <w:tblStyle w:val="9"/>
        <w:tblW w:w="0" w:type="auto"/>
        <w:tblInd w:w="39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8"/>
        <w:gridCol w:w="1382"/>
        <w:gridCol w:w="1701"/>
        <w:gridCol w:w="2693"/>
      </w:tblGrid>
      <w:tr w14:paraId="4233D0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tcBorders>
              <w:top w:val="single" w:color="auto" w:sz="12" w:space="0"/>
              <w:bottom w:val="single" w:color="auto" w:sz="12" w:space="0"/>
            </w:tcBorders>
            <w:vAlign w:val="center"/>
          </w:tcPr>
          <w:p w14:paraId="5DFD610F">
            <w:pPr>
              <w:pStyle w:val="16"/>
              <w:spacing w:before="31" w:after="31"/>
              <w:ind w:firstLine="0" w:firstLineChars="0"/>
              <w:jc w:val="center"/>
              <w:rPr>
                <w:rFonts w:cs="Times New Roman"/>
                <w:kern w:val="0"/>
                <w:sz w:val="21"/>
                <w:szCs w:val="21"/>
              </w:rPr>
            </w:pPr>
            <w:r>
              <w:rPr>
                <w:rFonts w:hint="eastAsia" w:cs="Times New Roman"/>
                <w:kern w:val="0"/>
                <w:sz w:val="21"/>
                <w:szCs w:val="21"/>
              </w:rPr>
              <w:t>Sample No.</w:t>
            </w:r>
          </w:p>
        </w:tc>
        <w:tc>
          <w:tcPr>
            <w:tcW w:w="1382" w:type="dxa"/>
            <w:tcBorders>
              <w:top w:val="single" w:color="auto" w:sz="12" w:space="0"/>
              <w:bottom w:val="single" w:color="auto" w:sz="12" w:space="0"/>
            </w:tcBorders>
            <w:vAlign w:val="center"/>
          </w:tcPr>
          <w:p w14:paraId="746F460D">
            <w:pPr>
              <w:pStyle w:val="16"/>
              <w:spacing w:before="31" w:after="31"/>
              <w:ind w:firstLine="0" w:firstLineChars="0"/>
              <w:jc w:val="center"/>
              <w:rPr>
                <w:rFonts w:cs="Times New Roman"/>
                <w:kern w:val="0"/>
                <w:sz w:val="21"/>
                <w:szCs w:val="21"/>
              </w:rPr>
            </w:pPr>
            <w:r>
              <w:rPr>
                <w:rFonts w:hint="eastAsia" w:cs="Times New Roman"/>
                <w:kern w:val="0"/>
                <w:sz w:val="21"/>
                <w:szCs w:val="21"/>
              </w:rPr>
              <w:t>Total Surface Area</w:t>
            </w:r>
            <w:r>
              <w:rPr>
                <w:rFonts w:cs="Times New Roman"/>
                <w:kern w:val="0"/>
                <w:sz w:val="21"/>
                <w:szCs w:val="21"/>
              </w:rPr>
              <w:t>/m</w:t>
            </w:r>
            <w:r>
              <w:rPr>
                <w:rFonts w:cs="Times New Roman"/>
                <w:kern w:val="0"/>
                <w:sz w:val="21"/>
                <w:szCs w:val="21"/>
                <w:vertAlign w:val="superscript"/>
              </w:rPr>
              <w:t>2</w:t>
            </w:r>
          </w:p>
        </w:tc>
        <w:tc>
          <w:tcPr>
            <w:tcW w:w="1701" w:type="dxa"/>
            <w:tcBorders>
              <w:top w:val="single" w:color="auto" w:sz="12" w:space="0"/>
              <w:bottom w:val="single" w:color="auto" w:sz="12" w:space="0"/>
            </w:tcBorders>
            <w:vAlign w:val="center"/>
          </w:tcPr>
          <w:p w14:paraId="664BE19D">
            <w:pPr>
              <w:pStyle w:val="16"/>
              <w:spacing w:before="31" w:after="31"/>
              <w:ind w:firstLine="0" w:firstLineChars="0"/>
              <w:jc w:val="center"/>
              <w:rPr>
                <w:rFonts w:cs="Times New Roman"/>
                <w:kern w:val="0"/>
                <w:sz w:val="21"/>
                <w:szCs w:val="21"/>
              </w:rPr>
            </w:pPr>
            <w:r>
              <w:rPr>
                <w:rFonts w:hint="eastAsia" w:cs="Times New Roman"/>
                <w:kern w:val="0"/>
                <w:sz w:val="21"/>
                <w:szCs w:val="21"/>
              </w:rPr>
              <w:t>Cl- Total</w:t>
            </w:r>
            <w:r>
              <w:rPr>
                <w:rFonts w:cs="Times New Roman"/>
                <w:kern w:val="0"/>
                <w:sz w:val="21"/>
                <w:szCs w:val="21"/>
              </w:rPr>
              <w:t>/ug</w:t>
            </w:r>
          </w:p>
        </w:tc>
        <w:tc>
          <w:tcPr>
            <w:tcW w:w="2693" w:type="dxa"/>
            <w:tcBorders>
              <w:top w:val="single" w:color="auto" w:sz="12" w:space="0"/>
              <w:bottom w:val="single" w:color="auto" w:sz="12" w:space="0"/>
            </w:tcBorders>
            <w:vAlign w:val="center"/>
          </w:tcPr>
          <w:p w14:paraId="6FE83DB0">
            <w:pPr>
              <w:pStyle w:val="16"/>
              <w:spacing w:before="31" w:after="31"/>
              <w:ind w:right="-248" w:rightChars="-118" w:firstLine="0" w:firstLineChars="0"/>
              <w:jc w:val="center"/>
              <w:rPr>
                <w:rFonts w:cs="Times New Roman"/>
                <w:kern w:val="0"/>
                <w:sz w:val="21"/>
                <w:szCs w:val="21"/>
              </w:rPr>
            </w:pPr>
            <w:r>
              <w:rPr>
                <w:rFonts w:hint="eastAsia" w:cs="Times New Roman"/>
                <w:kern w:val="0"/>
                <w:sz w:val="21"/>
                <w:szCs w:val="21"/>
              </w:rPr>
              <w:t>Cl- Total per Unit Area</w:t>
            </w:r>
            <w:r>
              <w:rPr>
                <w:rFonts w:cs="Times New Roman"/>
                <w:kern w:val="0"/>
                <w:sz w:val="21"/>
                <w:szCs w:val="21"/>
              </w:rPr>
              <w:t>/mg·m</w:t>
            </w:r>
            <w:r>
              <w:rPr>
                <w:rFonts w:cs="Times New Roman"/>
                <w:kern w:val="0"/>
                <w:sz w:val="21"/>
                <w:szCs w:val="21"/>
                <w:vertAlign w:val="superscript"/>
              </w:rPr>
              <w:t>-2</w:t>
            </w:r>
          </w:p>
        </w:tc>
      </w:tr>
      <w:tr w14:paraId="56D10C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tcBorders>
              <w:top w:val="single" w:color="auto" w:sz="12" w:space="0"/>
              <w:bottom w:val="nil"/>
            </w:tcBorders>
            <w:vAlign w:val="center"/>
          </w:tcPr>
          <w:p w14:paraId="2F311122">
            <w:pPr>
              <w:pStyle w:val="16"/>
              <w:spacing w:before="31" w:after="31"/>
              <w:ind w:firstLine="0" w:firstLineChars="0"/>
              <w:jc w:val="center"/>
              <w:rPr>
                <w:rFonts w:cs="Times New Roman"/>
                <w:kern w:val="0"/>
                <w:sz w:val="21"/>
                <w:szCs w:val="21"/>
              </w:rPr>
            </w:pPr>
            <w:r>
              <w:rPr>
                <w:rFonts w:cs="Times New Roman"/>
                <w:kern w:val="0"/>
                <w:sz w:val="21"/>
                <w:szCs w:val="21"/>
              </w:rPr>
              <w:t>1#</w:t>
            </w:r>
            <w:r>
              <w:rPr>
                <w:rFonts w:hint="eastAsia" w:cs="Times New Roman"/>
                <w:kern w:val="0"/>
                <w:sz w:val="21"/>
                <w:szCs w:val="21"/>
              </w:rPr>
              <w:t>Sample</w:t>
            </w:r>
          </w:p>
        </w:tc>
        <w:tc>
          <w:tcPr>
            <w:tcW w:w="1382" w:type="dxa"/>
            <w:tcBorders>
              <w:top w:val="single" w:color="auto" w:sz="12" w:space="0"/>
              <w:bottom w:val="nil"/>
            </w:tcBorders>
            <w:vAlign w:val="center"/>
          </w:tcPr>
          <w:p w14:paraId="55C266CB">
            <w:pPr>
              <w:pStyle w:val="16"/>
              <w:spacing w:before="31" w:after="31"/>
              <w:ind w:firstLine="0" w:firstLineChars="0"/>
              <w:jc w:val="center"/>
              <w:rPr>
                <w:rFonts w:cs="Times New Roman"/>
                <w:kern w:val="0"/>
                <w:sz w:val="21"/>
                <w:szCs w:val="21"/>
              </w:rPr>
            </w:pPr>
            <w:r>
              <w:rPr>
                <w:rFonts w:cs="Times New Roman"/>
                <w:kern w:val="0"/>
                <w:sz w:val="21"/>
                <w:szCs w:val="21"/>
              </w:rPr>
              <w:t>5916</w:t>
            </w:r>
          </w:p>
        </w:tc>
        <w:tc>
          <w:tcPr>
            <w:tcW w:w="1701" w:type="dxa"/>
            <w:tcBorders>
              <w:top w:val="single" w:color="auto" w:sz="12" w:space="0"/>
              <w:bottom w:val="nil"/>
            </w:tcBorders>
            <w:vAlign w:val="center"/>
          </w:tcPr>
          <w:p w14:paraId="4F03EDEB">
            <w:pPr>
              <w:pStyle w:val="16"/>
              <w:spacing w:before="31" w:after="31"/>
              <w:ind w:firstLine="0" w:firstLineChars="0"/>
              <w:jc w:val="center"/>
              <w:rPr>
                <w:rFonts w:cs="Times New Roman"/>
                <w:kern w:val="0"/>
                <w:sz w:val="21"/>
                <w:szCs w:val="21"/>
              </w:rPr>
            </w:pPr>
            <w:r>
              <w:rPr>
                <w:rFonts w:cs="Times New Roman"/>
                <w:kern w:val="0"/>
                <w:sz w:val="21"/>
                <w:szCs w:val="21"/>
              </w:rPr>
              <w:t>48.0</w:t>
            </w:r>
          </w:p>
        </w:tc>
        <w:tc>
          <w:tcPr>
            <w:tcW w:w="2693" w:type="dxa"/>
            <w:tcBorders>
              <w:top w:val="single" w:color="auto" w:sz="12" w:space="0"/>
              <w:bottom w:val="nil"/>
            </w:tcBorders>
            <w:vAlign w:val="center"/>
          </w:tcPr>
          <w:p w14:paraId="29A96FE1">
            <w:pPr>
              <w:pStyle w:val="16"/>
              <w:spacing w:before="31" w:after="31"/>
              <w:ind w:firstLine="0" w:firstLineChars="0"/>
              <w:jc w:val="center"/>
              <w:rPr>
                <w:rFonts w:cs="Times New Roman"/>
                <w:kern w:val="0"/>
                <w:sz w:val="21"/>
                <w:szCs w:val="21"/>
              </w:rPr>
            </w:pPr>
            <w:r>
              <w:rPr>
                <w:rFonts w:cs="Times New Roman"/>
                <w:kern w:val="0"/>
                <w:sz w:val="21"/>
                <w:szCs w:val="21"/>
              </w:rPr>
              <w:t>8.114</w:t>
            </w:r>
          </w:p>
        </w:tc>
      </w:tr>
      <w:tr w14:paraId="7B532D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8" w:type="dxa"/>
            <w:tcBorders>
              <w:top w:val="nil"/>
              <w:bottom w:val="single" w:color="auto" w:sz="12" w:space="0"/>
            </w:tcBorders>
            <w:vAlign w:val="center"/>
          </w:tcPr>
          <w:p w14:paraId="18C4C983">
            <w:pPr>
              <w:pStyle w:val="16"/>
              <w:spacing w:before="31" w:after="31"/>
              <w:ind w:firstLine="0" w:firstLineChars="0"/>
              <w:jc w:val="center"/>
              <w:rPr>
                <w:rFonts w:cs="Times New Roman"/>
                <w:kern w:val="0"/>
                <w:sz w:val="21"/>
                <w:szCs w:val="21"/>
              </w:rPr>
            </w:pPr>
            <w:r>
              <w:rPr>
                <w:rFonts w:cs="Times New Roman"/>
                <w:kern w:val="0"/>
                <w:sz w:val="21"/>
                <w:szCs w:val="21"/>
              </w:rPr>
              <w:t>2#</w:t>
            </w:r>
            <w:r>
              <w:rPr>
                <w:rFonts w:hint="eastAsia" w:cs="Times New Roman"/>
                <w:kern w:val="0"/>
                <w:sz w:val="21"/>
                <w:szCs w:val="21"/>
              </w:rPr>
              <w:t>Sample</w:t>
            </w:r>
          </w:p>
        </w:tc>
        <w:tc>
          <w:tcPr>
            <w:tcW w:w="1382" w:type="dxa"/>
            <w:tcBorders>
              <w:top w:val="nil"/>
              <w:bottom w:val="single" w:color="auto" w:sz="12" w:space="0"/>
            </w:tcBorders>
            <w:vAlign w:val="center"/>
          </w:tcPr>
          <w:p w14:paraId="7A919DEF">
            <w:pPr>
              <w:pStyle w:val="16"/>
              <w:spacing w:before="31" w:after="31"/>
              <w:ind w:firstLine="0" w:firstLineChars="0"/>
              <w:jc w:val="center"/>
              <w:rPr>
                <w:rFonts w:cs="Times New Roman"/>
                <w:kern w:val="0"/>
                <w:sz w:val="21"/>
                <w:szCs w:val="21"/>
              </w:rPr>
            </w:pPr>
            <w:r>
              <w:rPr>
                <w:rFonts w:cs="Times New Roman"/>
                <w:kern w:val="0"/>
                <w:sz w:val="21"/>
                <w:szCs w:val="21"/>
              </w:rPr>
              <w:t>86107</w:t>
            </w:r>
          </w:p>
        </w:tc>
        <w:tc>
          <w:tcPr>
            <w:tcW w:w="1701" w:type="dxa"/>
            <w:tcBorders>
              <w:top w:val="nil"/>
              <w:bottom w:val="single" w:color="auto" w:sz="12" w:space="0"/>
            </w:tcBorders>
            <w:vAlign w:val="center"/>
          </w:tcPr>
          <w:p w14:paraId="0CAB653F">
            <w:pPr>
              <w:pStyle w:val="16"/>
              <w:spacing w:before="31" w:after="31"/>
              <w:ind w:firstLine="0" w:firstLineChars="0"/>
              <w:jc w:val="center"/>
              <w:rPr>
                <w:rFonts w:cs="Times New Roman"/>
                <w:kern w:val="0"/>
                <w:sz w:val="21"/>
                <w:szCs w:val="21"/>
              </w:rPr>
            </w:pPr>
            <w:r>
              <w:rPr>
                <w:rFonts w:cs="Times New Roman"/>
                <w:kern w:val="0"/>
                <w:sz w:val="21"/>
                <w:szCs w:val="21"/>
              </w:rPr>
              <w:t>504</w:t>
            </w:r>
          </w:p>
        </w:tc>
        <w:tc>
          <w:tcPr>
            <w:tcW w:w="2693" w:type="dxa"/>
            <w:tcBorders>
              <w:top w:val="nil"/>
              <w:bottom w:val="single" w:color="auto" w:sz="12" w:space="0"/>
            </w:tcBorders>
            <w:vAlign w:val="center"/>
          </w:tcPr>
          <w:p w14:paraId="06E9389A">
            <w:pPr>
              <w:pStyle w:val="16"/>
              <w:spacing w:before="31" w:after="31"/>
              <w:ind w:firstLine="0" w:firstLineChars="0"/>
              <w:jc w:val="center"/>
              <w:rPr>
                <w:rFonts w:cs="Times New Roman"/>
                <w:kern w:val="0"/>
                <w:sz w:val="21"/>
                <w:szCs w:val="21"/>
              </w:rPr>
            </w:pPr>
            <w:r>
              <w:rPr>
                <w:rFonts w:cs="Times New Roman"/>
                <w:kern w:val="0"/>
                <w:sz w:val="21"/>
                <w:szCs w:val="21"/>
              </w:rPr>
              <w:t>5.853</w:t>
            </w:r>
          </w:p>
        </w:tc>
      </w:tr>
    </w:tbl>
    <w:p w14:paraId="04938CED">
      <w:pPr>
        <w:pStyle w:val="16"/>
        <w:spacing w:before="31" w:after="31"/>
        <w:ind w:firstLine="0" w:firstLineChars="0"/>
        <w:rPr>
          <w:szCs w:val="24"/>
        </w:rPr>
      </w:pPr>
      <w:r>
        <w:rPr>
          <w:rFonts w:hint="eastAsia"/>
          <w:szCs w:val="24"/>
        </w:rPr>
        <w:t>(5) Component Failure Morphology</w:t>
      </w:r>
    </w:p>
    <w:p w14:paraId="6F678780">
      <w:pPr>
        <w:pStyle w:val="16"/>
        <w:spacing w:before="31" w:after="31"/>
        <w:ind w:firstLine="480"/>
        <w:rPr>
          <w:szCs w:val="24"/>
        </w:rPr>
      </w:pPr>
      <w:r>
        <w:rPr>
          <w:rFonts w:hint="eastAsia"/>
          <w:szCs w:val="24"/>
        </w:rPr>
        <w:t>(a) Macroscopic Morphology</w:t>
      </w:r>
    </w:p>
    <w:p w14:paraId="4F9084C1">
      <w:pPr>
        <w:pStyle w:val="16"/>
        <w:spacing w:before="31" w:after="31"/>
        <w:ind w:firstLine="480"/>
        <w:rPr>
          <w:szCs w:val="24"/>
        </w:rPr>
      </w:pPr>
      <w:r>
        <w:rPr>
          <w:rFonts w:hint="eastAsia"/>
          <w:szCs w:val="24"/>
        </w:rPr>
        <w:t>Macroscopic examination of the samples revealed that: ① Cracks are primarily distributed along the plate's sealing gasket, and cracks are accompanied by sealing adhesive. Cracks are located on the sealing surface of the plate's cold-formed protrusion, with no apparent plastic deformation near the cracks. ② Deposits of scale were found in dead flow corners near the cracks. ③ Cracks occurred on the sealing surface of the cold and hot fluid channel mouths, with the main cracks parallel to the sealing gasket but exhibiting significant branching. ④ No cracks or perforations were found in the stamped ridge-shaped corrugated flow groove, which serves as the main heat transfer surface of the heat exchanger plate.</w:t>
      </w:r>
    </w:p>
    <w:p w14:paraId="6BFAAC34">
      <w:pPr>
        <w:pStyle w:val="16"/>
        <w:spacing w:before="31" w:after="31"/>
        <w:ind w:firstLine="480"/>
        <w:rPr>
          <w:szCs w:val="24"/>
        </w:rPr>
      </w:pPr>
      <w:r>
        <w:rPr>
          <w:rFonts w:hint="eastAsia"/>
          <w:szCs w:val="24"/>
        </w:rPr>
        <w:t>(b) Microscopic Morphology</w:t>
      </w:r>
    </w:p>
    <w:p w14:paraId="6D7893EF">
      <w:pPr>
        <w:pStyle w:val="16"/>
        <w:spacing w:before="31" w:after="31"/>
        <w:ind w:firstLine="480"/>
        <w:rPr>
          <w:szCs w:val="24"/>
        </w:rPr>
      </w:pPr>
      <w:r>
        <w:rPr>
          <w:rFonts w:hint="eastAsia"/>
          <w:szCs w:val="24"/>
        </w:rPr>
        <w:t>Microscopic examination of the plate heat exchanger revealed that: ① The uncorroded microstructure near the crack tip shows a clear dendritic pattern of crack extension, with no apparent macroscopic signs of deformation near the crack. The cracks exhibit basic features of stress corrosion. ② The metallographic structure of the plate heat exchanger consists of equiaxed austenite grains, with relatively uniform grains, mainly along-grain, and occasional transgranular cracks. Corrosion signs are evident at the crack tips.</w:t>
      </w:r>
    </w:p>
    <w:p w14:paraId="7D584003">
      <w:pPr>
        <w:pStyle w:val="16"/>
        <w:spacing w:before="31" w:after="31"/>
        <w:ind w:firstLine="480"/>
        <w:rPr>
          <w:szCs w:val="24"/>
        </w:rPr>
      </w:pPr>
      <w:r>
        <w:rPr>
          <w:rFonts w:hint="eastAsia"/>
          <w:szCs w:val="24"/>
        </w:rPr>
        <w:t>Microscopic analysis revealed: ① The plate surface exhibits a dense distribution of granular structures, representing the main material grains. Cracks propagate along the grain boundaries. ② Numerous fissures similar to secondary cracks were found on the plate surface, indicating a porous structure and severe medium corrosion, with significant intergranular corrosion. ③ The fracture surface shows a significant presence of blocky structures resembling sugar cubes, indicating characteristics of brittle cracks, with corrosion product coverage near the fracture. ④ The cracks penetrated the plate wall thickness.</w:t>
      </w:r>
    </w:p>
    <w:p w14:paraId="72E4B9CB">
      <w:pPr>
        <w:pStyle w:val="16"/>
        <w:spacing w:before="31" w:after="31"/>
        <w:ind w:firstLine="0" w:firstLineChars="0"/>
        <w:rPr>
          <w:szCs w:val="24"/>
        </w:rPr>
      </w:pPr>
      <w:r>
        <w:rPr>
          <w:rFonts w:hint="eastAsia"/>
          <w:szCs w:val="24"/>
        </w:rPr>
        <w:t>(6) Analysis of Failure Causes</w:t>
      </w:r>
    </w:p>
    <w:p w14:paraId="0F1D8204">
      <w:pPr>
        <w:pStyle w:val="16"/>
        <w:spacing w:before="31" w:after="31"/>
        <w:ind w:firstLine="480"/>
        <w:rPr>
          <w:szCs w:val="24"/>
        </w:rPr>
      </w:pPr>
      <w:r>
        <w:rPr>
          <w:rFonts w:hint="eastAsia"/>
          <w:szCs w:val="24"/>
        </w:rPr>
        <w:t>The main reason for leakage on the sealing surface of the heat exchanger plate is the high residual cold working stress in the sealing surface itself. Under operating conditions, there is high stress in the sealing surface, and elements such as Cl and S in the neoprene adhesive tend to precipitate at operating temperatures. This leads to stress corrosion in austenitic stainless steel.</w:t>
      </w:r>
    </w:p>
    <w:p w14:paraId="33B53D2F">
      <w:pPr>
        <w:pStyle w:val="16"/>
        <w:spacing w:before="31" w:after="31"/>
        <w:ind w:firstLine="0" w:firstLineChars="0"/>
        <w:rPr>
          <w:szCs w:val="24"/>
        </w:rPr>
      </w:pPr>
      <w:r>
        <w:rPr>
          <w:rFonts w:hint="eastAsia"/>
          <w:szCs w:val="24"/>
        </w:rPr>
        <w:t>(7) Impact and Harm Caused</w:t>
      </w:r>
    </w:p>
    <w:p w14:paraId="01635D8A">
      <w:pPr>
        <w:pStyle w:val="16"/>
        <w:spacing w:before="31" w:after="31"/>
        <w:ind w:firstLine="480"/>
        <w:rPr>
          <w:szCs w:val="24"/>
        </w:rPr>
      </w:pPr>
      <w:r>
        <w:rPr>
          <w:rFonts w:hint="eastAsia"/>
          <w:szCs w:val="24"/>
        </w:rPr>
        <w:t>Cracking and leakage in the heat exchanger plates resulted in serious equipment leaks, causing safety issues.</w:t>
      </w:r>
    </w:p>
    <w:p w14:paraId="3C395A93">
      <w:pPr>
        <w:pStyle w:val="16"/>
        <w:spacing w:before="31" w:after="31"/>
        <w:ind w:firstLine="0" w:firstLineChars="0"/>
        <w:rPr>
          <w:szCs w:val="24"/>
        </w:rPr>
      </w:pPr>
      <w:r>
        <w:rPr>
          <w:rFonts w:hint="eastAsia"/>
          <w:szCs w:val="24"/>
        </w:rPr>
        <w:t>(8) Conclusion and Improvement Measures</w:t>
      </w:r>
    </w:p>
    <w:p w14:paraId="5CBBC470">
      <w:pPr>
        <w:pStyle w:val="16"/>
        <w:spacing w:before="31" w:after="31"/>
        <w:ind w:firstLine="480"/>
        <w:rPr>
          <w:rFonts w:hint="eastAsia"/>
          <w:szCs w:val="24"/>
        </w:rPr>
      </w:pPr>
      <w:r>
        <w:rPr>
          <w:rFonts w:hint="eastAsia"/>
          <w:szCs w:val="24"/>
        </w:rPr>
        <w:t>To prevent similar incidents, the following measures are recommended: (a) Strengthen supervision and control of stress relief heat treatment after cold stamping of heat exchanger plates. (b) Strictly control the formulation of the sealing adhesive, ensuring that the adhesive does not contain harmful elements such as Cl and S, or take measures to ensure that S and Cl will not precipitate under operating conditions, and consider using a new type of adhesive. (c) Choose stainless steel heat exchanger plates that are resistant to Cl and S stress corrosion, such as ferritic and duplex stainless steels. (d) Strictly monitor and control the Cl- content in steam condensate to avoid stress corrosion failure of the plates. Perform Cl- monitoring on desalinated water and steam condensate. (e) Adjust the gasket sealing pressure ratio and explore appropriate sealing face pressure or torque on the heat exchanger plate's sealing surface to avoid overtightening operations exceeding reasonable parameters.</w:t>
      </w:r>
    </w:p>
    <w:p w14:paraId="114E9248">
      <w:pPr>
        <w:pStyle w:val="16"/>
        <w:spacing w:before="31" w:after="31"/>
        <w:ind w:firstLine="480"/>
        <w:rPr>
          <w:rFonts w:hint="eastAsia"/>
          <w:szCs w:val="24"/>
        </w:rPr>
      </w:pPr>
    </w:p>
    <w:p w14:paraId="0D123075">
      <w:pPr>
        <w:pStyle w:val="16"/>
        <w:spacing w:before="31" w:after="31"/>
        <w:ind w:firstLine="0" w:firstLineChars="0"/>
        <w:rPr>
          <w:rFonts w:hint="eastAsia"/>
          <w:b/>
          <w:bCs/>
          <w:sz w:val="28"/>
          <w:szCs w:val="28"/>
          <w:lang w:val="en-US" w:eastAsia="zh-CN"/>
        </w:rPr>
      </w:pPr>
      <w:r>
        <w:rPr>
          <w:rFonts w:hint="eastAsia"/>
          <w:b/>
          <w:bCs/>
          <w:sz w:val="28"/>
          <w:szCs w:val="28"/>
          <w:lang w:val="en-US" w:eastAsia="zh-CN"/>
        </w:rPr>
        <w:t>2 Summary of Failure Cases in Nuclear Power/Thermal Power Industries</w:t>
      </w:r>
    </w:p>
    <w:p w14:paraId="0960ECAD">
      <w:pPr>
        <w:pStyle w:val="16"/>
        <w:spacing w:before="31" w:after="31"/>
        <w:ind w:firstLine="0" w:firstLineChars="0"/>
        <w:rPr>
          <w:rFonts w:hint="eastAsia"/>
          <w:b/>
          <w:bCs/>
          <w:szCs w:val="24"/>
          <w:lang w:val="en-US" w:eastAsia="zh-CN"/>
        </w:rPr>
      </w:pPr>
      <w:r>
        <w:rPr>
          <w:rFonts w:hint="eastAsia"/>
          <w:b/>
          <w:bCs/>
          <w:szCs w:val="24"/>
          <w:lang w:val="en-US" w:eastAsia="zh-CN"/>
        </w:rPr>
        <w:t>2.1 Case 2-12: Failure of BR Type Heat Exchanger in a Factory</w:t>
      </w:r>
    </w:p>
    <w:p w14:paraId="4A3B1E59">
      <w:pPr>
        <w:pStyle w:val="16"/>
        <w:spacing w:before="31" w:after="31"/>
        <w:ind w:firstLine="0" w:firstLineChars="0"/>
        <w:rPr>
          <w:szCs w:val="24"/>
        </w:rPr>
      </w:pPr>
      <w:r>
        <w:rPr>
          <w:rFonts w:hint="eastAsia"/>
          <w:szCs w:val="24"/>
        </w:rPr>
        <w:t>(1) Case Title</w:t>
      </w:r>
    </w:p>
    <w:p w14:paraId="4C600C8A">
      <w:pPr>
        <w:pStyle w:val="16"/>
        <w:spacing w:before="31" w:after="31"/>
        <w:ind w:firstLine="420" w:firstLineChars="0"/>
        <w:rPr>
          <w:szCs w:val="24"/>
        </w:rPr>
      </w:pPr>
      <w:r>
        <w:rPr>
          <w:rFonts w:hint="eastAsia"/>
          <w:szCs w:val="24"/>
        </w:rPr>
        <w:t>Failure of BR type plate heat exchanger in a factory</w:t>
      </w:r>
    </w:p>
    <w:p w14:paraId="0CD29A47">
      <w:pPr>
        <w:pStyle w:val="16"/>
        <w:spacing w:before="31" w:after="31"/>
        <w:ind w:firstLine="0" w:firstLineChars="0"/>
        <w:rPr>
          <w:szCs w:val="24"/>
        </w:rPr>
      </w:pPr>
      <w:r>
        <w:rPr>
          <w:rFonts w:hint="eastAsia"/>
          <w:szCs w:val="24"/>
        </w:rPr>
        <w:t>(2) Failure Process Description</w:t>
      </w:r>
    </w:p>
    <w:p w14:paraId="09112B60">
      <w:pPr>
        <w:pStyle w:val="16"/>
        <w:spacing w:before="31" w:after="31"/>
        <w:ind w:firstLine="420" w:firstLineChars="0"/>
        <w:rPr>
          <w:szCs w:val="24"/>
        </w:rPr>
      </w:pPr>
      <w:r>
        <w:rPr>
          <w:rFonts w:hint="eastAsia"/>
          <w:szCs w:val="24"/>
        </w:rPr>
        <w:t>The BR type plate heat exchanger was installed and commissioned in 1995. During the first disassembly inspection in 2006, it was observed that most of the corrugated raised portions of the plates exhibited localized point or block-like damage, with a certain regular pattern in their distribution. Penetrant testing revealed leakage at some damaged points.</w:t>
      </w:r>
    </w:p>
    <w:p w14:paraId="74DCD3FC">
      <w:pPr>
        <w:pStyle w:val="16"/>
        <w:spacing w:before="31" w:after="31"/>
        <w:ind w:firstLine="0" w:firstLineChars="0"/>
        <w:rPr>
          <w:szCs w:val="24"/>
        </w:rPr>
      </w:pPr>
      <w:r>
        <w:rPr>
          <w:rFonts w:hint="eastAsia"/>
          <w:szCs w:val="24"/>
        </w:rPr>
        <w:t>(3) Service Environment</w:t>
      </w:r>
    </w:p>
    <w:p w14:paraId="18D6DDD3">
      <w:pPr>
        <w:pStyle w:val="16"/>
        <w:spacing w:before="31" w:after="31"/>
        <w:ind w:firstLine="420" w:firstLineChars="0"/>
        <w:rPr>
          <w:szCs w:val="24"/>
        </w:rPr>
      </w:pPr>
      <w:r>
        <w:rPr>
          <w:rFonts w:hint="eastAsia"/>
          <w:szCs w:val="24"/>
        </w:rPr>
        <w:t>Null</w:t>
      </w:r>
    </w:p>
    <w:p w14:paraId="2EABA6E6">
      <w:pPr>
        <w:pStyle w:val="16"/>
        <w:spacing w:before="31" w:after="31"/>
        <w:ind w:firstLine="0" w:firstLineChars="0"/>
        <w:rPr>
          <w:szCs w:val="24"/>
        </w:rPr>
      </w:pPr>
      <w:r>
        <w:rPr>
          <w:rFonts w:hint="eastAsia"/>
          <w:szCs w:val="24"/>
        </w:rPr>
        <w:t>(4) Failed Component and Material</w:t>
      </w:r>
    </w:p>
    <w:p w14:paraId="54A7CF3C">
      <w:pPr>
        <w:pStyle w:val="16"/>
        <w:spacing w:before="31" w:after="31"/>
        <w:ind w:firstLine="420" w:firstLineChars="0"/>
        <w:rPr>
          <w:szCs w:val="24"/>
        </w:rPr>
      </w:pPr>
      <w:r>
        <w:rPr>
          <w:rFonts w:hint="eastAsia"/>
          <w:szCs w:val="24"/>
        </w:rPr>
        <w:t>The failed component is the BR type plate in the plate heat exchanger. The BR type plate heat exchanger is a heat exchange device composed of W-shaped or zigzag-shaped plates pressed from stainless steel and titanium alloy plates. The assembly structure of the plate heat exchanger, with adjacent plates installed in an inverted manner, forms a multitude of contact points in a staggered and evenly distributed pattern, providing high heat exchange efficiency and load-bearing capacity.</w:t>
      </w:r>
    </w:p>
    <w:p w14:paraId="78844EAD">
      <w:pPr>
        <w:pStyle w:val="16"/>
        <w:spacing w:before="31" w:after="31"/>
        <w:ind w:firstLine="0" w:firstLineChars="0"/>
        <w:rPr>
          <w:szCs w:val="24"/>
        </w:rPr>
      </w:pPr>
      <w:r>
        <w:rPr>
          <w:rFonts w:hint="eastAsia"/>
          <w:szCs w:val="24"/>
        </w:rPr>
        <w:t>(5) Component Failure Morphology</w:t>
      </w:r>
    </w:p>
    <w:p w14:paraId="573B5717">
      <w:pPr>
        <w:pStyle w:val="16"/>
        <w:spacing w:before="31" w:after="31"/>
        <w:ind w:firstLine="420" w:firstLineChars="0"/>
        <w:rPr>
          <w:szCs w:val="24"/>
        </w:rPr>
      </w:pPr>
      <w:r>
        <w:rPr>
          <w:rFonts w:hint="eastAsia"/>
          <w:szCs w:val="24"/>
        </w:rPr>
        <w:t>The damaged areas of the plates appear as point-like or elongated, all occurring at the corrugated protrusions of the heat exchange plates. The damaged points are distributed in straight lines, with longitude and latitude lines perpendicular to each other.</w:t>
      </w:r>
    </w:p>
    <w:p w14:paraId="6664AD66">
      <w:pPr>
        <w:pStyle w:val="16"/>
        <w:spacing w:before="31" w:after="31"/>
        <w:ind w:firstLine="0" w:firstLineChars="0"/>
        <w:rPr>
          <w:szCs w:val="24"/>
        </w:rPr>
      </w:pPr>
      <w:r>
        <w:rPr>
          <w:rFonts w:hint="eastAsia"/>
          <w:szCs w:val="24"/>
        </w:rPr>
        <w:t>(6) Failure Cause Analysis</w:t>
      </w:r>
    </w:p>
    <w:p w14:paraId="619D5587">
      <w:pPr>
        <w:pStyle w:val="16"/>
        <w:spacing w:before="31" w:after="31"/>
        <w:ind w:firstLine="420" w:firstLineChars="0"/>
        <w:rPr>
          <w:szCs w:val="24"/>
        </w:rPr>
      </w:pPr>
      <w:r>
        <w:rPr>
          <w:rFonts w:hint="eastAsia"/>
          <w:szCs w:val="24"/>
        </w:rPr>
        <w:t>The failure of the titanium plate heat exchanger is caused by micro-motion-induced micro-wear between the plates. The reasons may include:</w:t>
      </w:r>
    </w:p>
    <w:p w14:paraId="36B6F562">
      <w:pPr>
        <w:pStyle w:val="16"/>
        <w:spacing w:before="31" w:after="31"/>
        <w:ind w:firstLine="420" w:firstLineChars="0"/>
        <w:rPr>
          <w:szCs w:val="24"/>
        </w:rPr>
      </w:pPr>
      <w:r>
        <w:rPr>
          <w:rFonts w:hint="eastAsia"/>
          <w:szCs w:val="24"/>
        </w:rPr>
        <w:t>1. Frequent start-stop of equipment or unstable fluid flow on both sides of the plates. Changes in fluid flow and pressure result in alternating stress and deformation at the contact points between adjacent plates, potentially causing small displacements. This is the primary cause of micro-motion wear.</w:t>
      </w:r>
    </w:p>
    <w:p w14:paraId="32916874">
      <w:pPr>
        <w:pStyle w:val="16"/>
        <w:spacing w:before="31" w:after="31"/>
        <w:ind w:firstLine="420" w:firstLineChars="0"/>
        <w:rPr>
          <w:szCs w:val="24"/>
        </w:rPr>
      </w:pPr>
      <w:r>
        <w:rPr>
          <w:rFonts w:hint="eastAsia"/>
          <w:szCs w:val="24"/>
        </w:rPr>
        <w:t>2. Significant background vibrations in the environment. When there is a large vibration source in the environment, vibrations transmitted to the plate heat exchanger may generate slight friction between the plates, leading to plate wear.</w:t>
      </w:r>
    </w:p>
    <w:p w14:paraId="57BB1A9A">
      <w:pPr>
        <w:pStyle w:val="16"/>
        <w:spacing w:before="31" w:after="31"/>
        <w:ind w:firstLine="0" w:firstLineChars="0"/>
        <w:rPr>
          <w:szCs w:val="24"/>
        </w:rPr>
      </w:pPr>
      <w:r>
        <w:rPr>
          <w:rFonts w:hint="eastAsia"/>
          <w:szCs w:val="24"/>
        </w:rPr>
        <w:t>(7) Impact and Hazards</w:t>
      </w:r>
    </w:p>
    <w:p w14:paraId="64848DEA">
      <w:pPr>
        <w:pStyle w:val="16"/>
        <w:spacing w:before="31" w:after="31"/>
        <w:ind w:firstLine="420" w:firstLineChars="0"/>
        <w:rPr>
          <w:szCs w:val="24"/>
        </w:rPr>
      </w:pPr>
      <w:r>
        <w:rPr>
          <w:rFonts w:hint="eastAsia"/>
          <w:szCs w:val="24"/>
        </w:rPr>
        <w:t>Null</w:t>
      </w:r>
    </w:p>
    <w:p w14:paraId="2F3020F5">
      <w:pPr>
        <w:pStyle w:val="16"/>
        <w:spacing w:before="31" w:after="31"/>
        <w:ind w:firstLine="0" w:firstLineChars="0"/>
        <w:rPr>
          <w:szCs w:val="24"/>
        </w:rPr>
      </w:pPr>
      <w:r>
        <w:rPr>
          <w:rFonts w:hint="eastAsia"/>
          <w:szCs w:val="24"/>
        </w:rPr>
        <w:t>(8) Conclusion and Improvement Measures</w:t>
      </w:r>
    </w:p>
    <w:p w14:paraId="5180AE9D">
      <w:pPr>
        <w:pStyle w:val="16"/>
        <w:spacing w:before="31" w:after="31"/>
        <w:ind w:firstLine="420" w:firstLineChars="0"/>
        <w:rPr>
          <w:szCs w:val="24"/>
        </w:rPr>
      </w:pPr>
      <w:r>
        <w:rPr>
          <w:rFonts w:hint="eastAsia"/>
          <w:szCs w:val="24"/>
        </w:rPr>
        <w:t>To address the causes of plate failure and prevent or reduce failures due to micro-motion wear, improvement measures include refining the process flow and stabilizing process conditions. Smooth operation to reduce the frequency of equipment start-stop cycles and minimize fluctuations in fluid flow on both sides of the plates is essential. Additionally, mitigating the impact of environmental vibrations on the heat exchanger by placing it away from vibration sources or implementing damping measures, such as using rubber shock-absorbing foundations, is recommended.</w:t>
      </w:r>
    </w:p>
    <w:p w14:paraId="615FF9F1">
      <w:pPr>
        <w:pStyle w:val="16"/>
        <w:spacing w:before="31" w:after="31"/>
        <w:ind w:firstLine="0" w:firstLineChars="0"/>
        <w:rPr>
          <w:rFonts w:hint="eastAsia"/>
          <w:b/>
          <w:bCs/>
          <w:szCs w:val="24"/>
          <w:lang w:val="en-US" w:eastAsia="zh-CN"/>
        </w:rPr>
      </w:pPr>
      <w:r>
        <w:rPr>
          <w:rFonts w:hint="eastAsia"/>
          <w:b/>
          <w:bCs/>
          <w:szCs w:val="24"/>
          <w:lang w:val="en-US" w:eastAsia="zh-CN"/>
        </w:rPr>
        <w:t>2.2 Case 2-23: Ammonia Corrosion on the Steam Side of Copper Tubes in Liaocheng Power Plant Condenser</w:t>
      </w:r>
    </w:p>
    <w:p w14:paraId="12AA0E2D">
      <w:pPr>
        <w:pStyle w:val="16"/>
        <w:spacing w:before="31" w:after="31"/>
        <w:ind w:firstLine="0" w:firstLineChars="0"/>
        <w:rPr>
          <w:szCs w:val="24"/>
        </w:rPr>
      </w:pPr>
      <w:r>
        <w:rPr>
          <w:rFonts w:hint="eastAsia"/>
          <w:szCs w:val="24"/>
        </w:rPr>
        <w:t>(1) Case Name:</w:t>
      </w:r>
    </w:p>
    <w:p w14:paraId="5FEF092C">
      <w:pPr>
        <w:pStyle w:val="16"/>
        <w:spacing w:before="31" w:after="31"/>
        <w:ind w:firstLine="420" w:firstLineChars="0"/>
        <w:rPr>
          <w:szCs w:val="24"/>
        </w:rPr>
      </w:pPr>
      <w:r>
        <w:rPr>
          <w:rFonts w:hint="eastAsia"/>
          <w:szCs w:val="24"/>
        </w:rPr>
        <w:t>Ammonia Corrosion on the Steam Side of Copper Tubes in Liaocheng Power Plant Condenser</w:t>
      </w:r>
    </w:p>
    <w:p w14:paraId="67A3F7E5">
      <w:pPr>
        <w:pStyle w:val="16"/>
        <w:spacing w:before="31" w:after="31"/>
        <w:ind w:firstLine="0" w:firstLineChars="0"/>
        <w:rPr>
          <w:szCs w:val="24"/>
        </w:rPr>
      </w:pPr>
      <w:r>
        <w:rPr>
          <w:rFonts w:hint="eastAsia"/>
          <w:szCs w:val="24"/>
        </w:rPr>
        <w:t>(2) Failure Process Description:</w:t>
      </w:r>
    </w:p>
    <w:p w14:paraId="310EBF6B">
      <w:pPr>
        <w:pStyle w:val="16"/>
        <w:spacing w:before="31" w:after="31"/>
        <w:ind w:firstLine="420" w:firstLineChars="0"/>
        <w:rPr>
          <w:szCs w:val="24"/>
        </w:rPr>
      </w:pPr>
      <w:r>
        <w:rPr>
          <w:rFonts w:hint="eastAsia"/>
          <w:szCs w:val="24"/>
        </w:rPr>
        <w:t>In September 2002, Shandong Liaocheng Power Plant commissioned a 600MW subcritical, intermediate reheat, four-cylinder, four-row steam, single-axis, condensing steam turbine unit. In November 2005, during a leak inspection of the condenser, severe leakage was discovered in copper tubes, leading to a subsequent tube extraction inspection.</w:t>
      </w:r>
    </w:p>
    <w:p w14:paraId="3B2D91DE">
      <w:pPr>
        <w:pStyle w:val="16"/>
        <w:spacing w:before="31" w:after="31"/>
        <w:ind w:firstLine="0" w:firstLineChars="0"/>
        <w:rPr>
          <w:szCs w:val="24"/>
        </w:rPr>
      </w:pPr>
      <w:r>
        <w:rPr>
          <w:rFonts w:hint="eastAsia"/>
          <w:szCs w:val="24"/>
        </w:rPr>
        <w:t>(3) Service Environment:</w:t>
      </w:r>
    </w:p>
    <w:p w14:paraId="3E2D85D7">
      <w:pPr>
        <w:pStyle w:val="16"/>
        <w:spacing w:before="31" w:after="31"/>
        <w:ind w:firstLine="420" w:firstLineChars="0"/>
        <w:rPr>
          <w:szCs w:val="24"/>
        </w:rPr>
      </w:pPr>
      <w:r>
        <w:rPr>
          <w:rFonts w:hint="eastAsia"/>
          <w:szCs w:val="24"/>
        </w:rPr>
        <w:t>Null</w:t>
      </w:r>
    </w:p>
    <w:p w14:paraId="618F1EC5">
      <w:pPr>
        <w:pStyle w:val="16"/>
        <w:spacing w:before="31" w:after="31"/>
        <w:ind w:firstLine="0" w:firstLineChars="0"/>
        <w:rPr>
          <w:szCs w:val="24"/>
        </w:rPr>
      </w:pPr>
      <w:r>
        <w:rPr>
          <w:rFonts w:hint="eastAsia"/>
          <w:szCs w:val="24"/>
        </w:rPr>
        <w:t>(4) Failed Component and Material:</w:t>
      </w:r>
    </w:p>
    <w:p w14:paraId="6577A0A0">
      <w:pPr>
        <w:pStyle w:val="16"/>
        <w:spacing w:before="31" w:after="31"/>
        <w:ind w:firstLine="420" w:firstLineChars="0"/>
        <w:rPr>
          <w:szCs w:val="24"/>
        </w:rPr>
      </w:pPr>
      <w:r>
        <w:rPr>
          <w:rFonts w:hint="eastAsia"/>
          <w:szCs w:val="24"/>
        </w:rPr>
        <w:t>The extracted copper tubes in the withdrawal zone were made of B30 phosphor bronze, known for its high corrosion resistance. The remaining tubes were made of brass.</w:t>
      </w:r>
    </w:p>
    <w:p w14:paraId="3D654087">
      <w:pPr>
        <w:pStyle w:val="16"/>
        <w:spacing w:before="31" w:after="31"/>
        <w:ind w:firstLine="0" w:firstLineChars="0"/>
        <w:rPr>
          <w:szCs w:val="24"/>
        </w:rPr>
      </w:pPr>
      <w:r>
        <w:rPr>
          <w:rFonts w:hint="eastAsia"/>
          <w:szCs w:val="24"/>
        </w:rPr>
        <w:t>(5) Component Failure Appearance:</w:t>
      </w:r>
    </w:p>
    <w:p w14:paraId="729841B6">
      <w:pPr>
        <w:pStyle w:val="16"/>
        <w:spacing w:before="31" w:after="31"/>
        <w:ind w:firstLine="420" w:firstLineChars="0"/>
        <w:rPr>
          <w:szCs w:val="24"/>
        </w:rPr>
      </w:pPr>
      <w:r>
        <w:rPr>
          <w:rFonts w:hint="eastAsia"/>
          <w:szCs w:val="24"/>
        </w:rPr>
        <w:t>Null</w:t>
      </w:r>
    </w:p>
    <w:p w14:paraId="0B4814D0">
      <w:pPr>
        <w:pStyle w:val="16"/>
        <w:spacing w:before="31" w:after="31"/>
        <w:ind w:firstLine="0" w:firstLineChars="0"/>
        <w:rPr>
          <w:szCs w:val="24"/>
        </w:rPr>
      </w:pPr>
      <w:r>
        <w:rPr>
          <w:rFonts w:hint="eastAsia"/>
          <w:szCs w:val="24"/>
        </w:rPr>
        <w:t>(6) Failure Cause Analysis:</w:t>
      </w:r>
    </w:p>
    <w:p w14:paraId="6A5F7F58">
      <w:pPr>
        <w:pStyle w:val="16"/>
        <w:spacing w:before="31" w:after="31"/>
        <w:ind w:firstLine="420" w:firstLineChars="0"/>
        <w:rPr>
          <w:szCs w:val="24"/>
        </w:rPr>
      </w:pPr>
      <w:r>
        <w:rPr>
          <w:rFonts w:hint="eastAsia"/>
          <w:szCs w:val="24"/>
        </w:rPr>
        <w:t>The corrosion of the sampled copper tubes exhibited the following common characteristics: ① Corrosion occurred at the contact point between the outer wall of the copper tube and the baffle, generally in a streamlined shape with a wider bottom; ② Problematic copper tubes were mainly concentrated in the lower part of the withdrawal zone; ③ The corroded copper tube surfaces showed obvious verdigris. The corroded tubes experienced varying degrees of thinning. Water quality analysis revealed that, in the condenser's withdrawal zone, due to local enrichment and the influence of subcooling at the baffle, the ammonia concentration was tens or hundreds of times higher than in the main condensate water, possibly reaching thousands of times. Severe ammonia corrosion was observed in the copper tubes just below the withdrawal zone.</w:t>
      </w:r>
    </w:p>
    <w:p w14:paraId="7E31CBF9">
      <w:pPr>
        <w:pStyle w:val="16"/>
        <w:spacing w:before="31" w:after="31"/>
        <w:ind w:firstLine="0" w:firstLineChars="0"/>
        <w:rPr>
          <w:szCs w:val="24"/>
        </w:rPr>
      </w:pPr>
      <w:r>
        <w:rPr>
          <w:rFonts w:hint="eastAsia"/>
          <w:szCs w:val="24"/>
        </w:rPr>
        <w:t>(7) Impact and Harm Caused:</w:t>
      </w:r>
    </w:p>
    <w:p w14:paraId="2D0A3DD2">
      <w:pPr>
        <w:pStyle w:val="16"/>
        <w:spacing w:before="31" w:after="31"/>
        <w:ind w:firstLine="420" w:firstLineChars="0"/>
        <w:rPr>
          <w:szCs w:val="24"/>
        </w:rPr>
      </w:pPr>
      <w:r>
        <w:rPr>
          <w:rFonts w:hint="eastAsia"/>
          <w:szCs w:val="24"/>
        </w:rPr>
        <w:t>Null</w:t>
      </w:r>
    </w:p>
    <w:p w14:paraId="0B238004">
      <w:pPr>
        <w:pStyle w:val="16"/>
        <w:spacing w:before="31" w:after="31"/>
        <w:ind w:firstLine="0" w:firstLineChars="0"/>
        <w:rPr>
          <w:szCs w:val="24"/>
        </w:rPr>
      </w:pPr>
      <w:r>
        <w:rPr>
          <w:rFonts w:hint="eastAsia"/>
          <w:szCs w:val="24"/>
        </w:rPr>
        <w:t>(8) Conclusion and Improvement Measures:</w:t>
      </w:r>
    </w:p>
    <w:p w14:paraId="7003889E">
      <w:pPr>
        <w:pStyle w:val="16"/>
        <w:spacing w:before="31" w:after="31"/>
        <w:ind w:firstLine="420" w:firstLineChars="0"/>
        <w:rPr>
          <w:szCs w:val="24"/>
        </w:rPr>
      </w:pPr>
      <w:r>
        <w:rPr>
          <w:rFonts w:hint="eastAsia"/>
          <w:szCs w:val="24"/>
        </w:rPr>
        <w:t>1) Adjust the feedwater pH to maintain it within the range of 9.0 to 9.3; 2) During unit overhauls, replace the copper tubes below and near the withdrawal zone with ammonia-corrosion-resistant phosphor bronze tubes (B30) to eliminate potential hazards; 3) Enhance and complete the magnesium alloy anode protection in the condenser, maintaining the copper tubes and steel in a thermodynamically stable state, effectively preventing electrochemical corrosion such as impact, tension, galvanic corrosion, and electrochemical corrosion between the tube plate and the water chamber, gaps, bacteria, etc.; 4) In the procurement contract for the 2×600MW Phase II project condenser, replace all originally specified materials (BFe30-1-1, HSn70-1AB) with TP316L stainless steel tubes.</w:t>
      </w:r>
    </w:p>
    <w:p w14:paraId="65ECDCB4">
      <w:pPr>
        <w:pStyle w:val="16"/>
        <w:spacing w:before="31" w:after="31"/>
        <w:ind w:firstLine="0" w:firstLineChars="0"/>
        <w:rPr>
          <w:rFonts w:hint="eastAsia"/>
          <w:b/>
          <w:bCs/>
          <w:szCs w:val="24"/>
          <w:lang w:val="en-US" w:eastAsia="zh-CN"/>
        </w:rPr>
      </w:pPr>
      <w:r>
        <w:rPr>
          <w:rFonts w:hint="eastAsia"/>
          <w:b/>
          <w:bCs/>
          <w:szCs w:val="24"/>
          <w:lang w:val="en-US" w:eastAsia="zh-CN"/>
        </w:rPr>
        <w:t>2.3 Case 2-24: Copper Tube Corrosion in Condenser at Harbin Third Power Plant</w:t>
      </w:r>
    </w:p>
    <w:p w14:paraId="5C5C713F">
      <w:pPr>
        <w:pStyle w:val="16"/>
        <w:spacing w:before="31" w:after="31"/>
        <w:ind w:firstLine="0" w:firstLineChars="0"/>
        <w:rPr>
          <w:szCs w:val="24"/>
        </w:rPr>
      </w:pPr>
      <w:r>
        <w:rPr>
          <w:rFonts w:hint="eastAsia"/>
          <w:szCs w:val="24"/>
        </w:rPr>
        <w:t>(1) Case Name:</w:t>
      </w:r>
    </w:p>
    <w:p w14:paraId="71A0AD16">
      <w:pPr>
        <w:pStyle w:val="16"/>
        <w:spacing w:before="31" w:after="31"/>
        <w:ind w:firstLine="420" w:firstLineChars="0"/>
        <w:rPr>
          <w:szCs w:val="24"/>
        </w:rPr>
      </w:pPr>
      <w:r>
        <w:rPr>
          <w:rFonts w:hint="eastAsia"/>
          <w:szCs w:val="24"/>
        </w:rPr>
        <w:t>Copper Tube Corrosion in Condenser at Harbin Third Power Plant</w:t>
      </w:r>
    </w:p>
    <w:p w14:paraId="28CD95AC">
      <w:pPr>
        <w:pStyle w:val="16"/>
        <w:spacing w:before="31" w:after="31"/>
        <w:ind w:firstLine="0" w:firstLineChars="0"/>
        <w:rPr>
          <w:szCs w:val="24"/>
        </w:rPr>
      </w:pPr>
      <w:r>
        <w:rPr>
          <w:rFonts w:hint="eastAsia"/>
          <w:szCs w:val="24"/>
        </w:rPr>
        <w:t>(2) Failure Process Description:</w:t>
      </w:r>
    </w:p>
    <w:p w14:paraId="73F2B4A8">
      <w:pPr>
        <w:pStyle w:val="16"/>
        <w:spacing w:before="31" w:after="31"/>
        <w:ind w:firstLine="420" w:firstLineChars="0"/>
        <w:rPr>
          <w:szCs w:val="24"/>
        </w:rPr>
      </w:pPr>
      <w:r>
        <w:rPr>
          <w:rFonts w:hint="eastAsia"/>
          <w:szCs w:val="24"/>
        </w:rPr>
        <w:t>Unit 3 of Harbin Third Power Plant is the first domestically designed 600MW unit. Since the commissioning of the condenser in 1995, frequent leaks have occurred in the copper tubes, progressively worsening over time. During a major overhaul of Unit 3, it was discovered that approximately 3% of the leaking copper tubes had been identified and sealed. Severe corrosion damage to the copper tubes was observed during this overhaul, primarily in the form of localized pitting corrosion, with as many as 7 to 10 corrosion pits within a 1-meter length.</w:t>
      </w:r>
    </w:p>
    <w:p w14:paraId="4D2FB3DC">
      <w:pPr>
        <w:pStyle w:val="16"/>
        <w:spacing w:before="31" w:after="31"/>
        <w:ind w:firstLine="0" w:firstLineChars="0"/>
        <w:rPr>
          <w:szCs w:val="24"/>
        </w:rPr>
      </w:pPr>
      <w:r>
        <w:rPr>
          <w:rFonts w:hint="eastAsia"/>
          <w:szCs w:val="24"/>
        </w:rPr>
        <w:t>(3) Service Environment:</w:t>
      </w:r>
    </w:p>
    <w:p w14:paraId="5EA82858">
      <w:pPr>
        <w:pStyle w:val="16"/>
        <w:spacing w:before="31" w:after="31"/>
        <w:ind w:firstLine="420" w:firstLineChars="0"/>
        <w:rPr>
          <w:szCs w:val="24"/>
        </w:rPr>
      </w:pPr>
      <w:r>
        <w:rPr>
          <w:rFonts w:hint="eastAsia"/>
          <w:szCs w:val="24"/>
        </w:rPr>
        <w:t>Null</w:t>
      </w:r>
    </w:p>
    <w:p w14:paraId="6E6860F6">
      <w:pPr>
        <w:pStyle w:val="16"/>
        <w:spacing w:before="31" w:after="31"/>
        <w:ind w:firstLine="0" w:firstLineChars="0"/>
        <w:rPr>
          <w:szCs w:val="24"/>
        </w:rPr>
      </w:pPr>
      <w:r>
        <w:rPr>
          <w:rFonts w:hint="eastAsia"/>
          <w:szCs w:val="24"/>
        </w:rPr>
        <w:t>(4) Failed Component and Material:</w:t>
      </w:r>
    </w:p>
    <w:p w14:paraId="06664DBC">
      <w:pPr>
        <w:pStyle w:val="16"/>
        <w:spacing w:before="31" w:after="31"/>
        <w:ind w:firstLine="420" w:firstLineChars="0"/>
        <w:rPr>
          <w:szCs w:val="24"/>
        </w:rPr>
      </w:pPr>
      <w:r>
        <w:rPr>
          <w:rFonts w:hint="eastAsia"/>
          <w:szCs w:val="24"/>
        </w:rPr>
        <w:t>The copper tubes in the condenser's condensing section were made of HSn7021A brass, while those in the withdrawal zone were made of B30 phosphor bronze.</w:t>
      </w:r>
    </w:p>
    <w:p w14:paraId="4E98E18D">
      <w:pPr>
        <w:pStyle w:val="16"/>
        <w:spacing w:before="31" w:after="31"/>
        <w:ind w:firstLine="0" w:firstLineChars="0"/>
        <w:rPr>
          <w:szCs w:val="24"/>
        </w:rPr>
      </w:pPr>
      <w:r>
        <w:rPr>
          <w:rFonts w:hint="eastAsia"/>
          <w:szCs w:val="24"/>
        </w:rPr>
        <w:t>(5) Component Failure Appearance:</w:t>
      </w:r>
    </w:p>
    <w:p w14:paraId="5D20095D">
      <w:pPr>
        <w:pStyle w:val="16"/>
        <w:spacing w:before="31" w:after="31"/>
        <w:ind w:firstLine="420" w:firstLineChars="0"/>
        <w:rPr>
          <w:szCs w:val="24"/>
        </w:rPr>
      </w:pPr>
      <w:r>
        <w:rPr>
          <w:rFonts w:hint="eastAsia"/>
          <w:szCs w:val="24"/>
        </w:rPr>
        <w:t>Null</w:t>
      </w:r>
    </w:p>
    <w:p w14:paraId="7E34B692">
      <w:pPr>
        <w:pStyle w:val="16"/>
        <w:spacing w:before="31" w:after="31"/>
        <w:ind w:firstLine="0" w:firstLineChars="0"/>
        <w:rPr>
          <w:szCs w:val="24"/>
        </w:rPr>
      </w:pPr>
      <w:r>
        <w:rPr>
          <w:rFonts w:hint="eastAsia"/>
          <w:szCs w:val="24"/>
        </w:rPr>
        <w:t>(6) Failure Cause Analysis:</w:t>
      </w:r>
    </w:p>
    <w:p w14:paraId="44DC0828">
      <w:pPr>
        <w:pStyle w:val="16"/>
        <w:spacing w:before="31" w:after="31"/>
        <w:ind w:firstLine="420" w:firstLineChars="0"/>
        <w:rPr>
          <w:szCs w:val="24"/>
        </w:rPr>
      </w:pPr>
      <w:r>
        <w:rPr>
          <w:rFonts w:hint="eastAsia"/>
          <w:szCs w:val="24"/>
        </w:rPr>
        <w:t>Considering the distribution of corroded tubes, the inlet chamber exhibited more severe corrosion than the outlet chamber. Additionally, the lower parts were more affected than the upper parts, and the sides more than the center. Analyzing the specific shapes of the corrosion damage, the distribution of copper tube chemical compositions, it was concluded that: ① Corrosion in the copper tubes was primarily caused by sub-deposit corrosion. Differential oxygen supply and medium concentration caused by deposits led to localized corrosion and perforation; ② Defects in the material of the condenser's copper tubes resulted in preferential corrosion and perforation at these defect locations.</w:t>
      </w:r>
    </w:p>
    <w:p w14:paraId="182D6DE6">
      <w:pPr>
        <w:pStyle w:val="16"/>
        <w:spacing w:before="31" w:after="31"/>
        <w:ind w:firstLine="0" w:firstLineChars="0"/>
        <w:rPr>
          <w:szCs w:val="24"/>
        </w:rPr>
      </w:pPr>
      <w:r>
        <w:rPr>
          <w:rFonts w:hint="eastAsia"/>
          <w:szCs w:val="24"/>
        </w:rPr>
        <w:t>(7) Impact and Harm Caused:</w:t>
      </w:r>
    </w:p>
    <w:p w14:paraId="7706567A">
      <w:pPr>
        <w:pStyle w:val="16"/>
        <w:spacing w:before="31" w:after="31"/>
        <w:ind w:firstLine="420" w:firstLineChars="0"/>
        <w:rPr>
          <w:szCs w:val="24"/>
        </w:rPr>
      </w:pPr>
      <w:r>
        <w:rPr>
          <w:rFonts w:hint="eastAsia"/>
          <w:szCs w:val="24"/>
        </w:rPr>
        <w:t>Null</w:t>
      </w:r>
    </w:p>
    <w:p w14:paraId="21D07A7B">
      <w:pPr>
        <w:pStyle w:val="16"/>
        <w:spacing w:before="31" w:after="31"/>
        <w:ind w:firstLine="0" w:firstLineChars="0"/>
        <w:rPr>
          <w:szCs w:val="24"/>
        </w:rPr>
      </w:pPr>
      <w:r>
        <w:rPr>
          <w:rFonts w:hint="eastAsia"/>
          <w:szCs w:val="24"/>
        </w:rPr>
        <w:t>(8) Conclusion and Improvement Measures:</w:t>
      </w:r>
    </w:p>
    <w:p w14:paraId="16572696">
      <w:pPr>
        <w:pStyle w:val="16"/>
        <w:spacing w:before="31" w:after="31"/>
        <w:ind w:firstLine="420" w:firstLineChars="0"/>
        <w:rPr>
          <w:rFonts w:hint="eastAsia"/>
          <w:szCs w:val="24"/>
        </w:rPr>
      </w:pPr>
      <w:r>
        <w:rPr>
          <w:rFonts w:hint="eastAsia"/>
          <w:szCs w:val="24"/>
        </w:rPr>
        <w:t>1) Emphasize cleaning during the standby period to keep the inner surface of the copper tubes in a clean state, preventing corrosion during downtime; 2) Install filters in the circulating water system and conduct regular inspections. Promptly replace damaged filters to prevent foreign objects like stones from entering the condenser's plugged copper tubes. Address the corrosion on the tube plate and the tube ends with appropriate coating and corrosion protection when necessary; 3) Due to poor water quality in the circulating water system of Unit 3, which contains a high concentration of suspended solids, thorough cleaning of the jelly balls system during condenser operation is crucial. Ensure the jelly ball system operates normally, with a ball collection rate of over 95%, to minimize deposition on the inner surface of the copper tubes; 4) Strengthen supervision and management of the circulating water, adjust water quality reasonably, control concentration ratios, and choose anti-scaling agents economically and safely without causing scaling.</w:t>
      </w:r>
    </w:p>
    <w:p w14:paraId="7C4E3E21">
      <w:pPr>
        <w:pStyle w:val="16"/>
        <w:spacing w:before="31" w:after="31"/>
        <w:ind w:firstLine="420" w:firstLineChars="0"/>
        <w:rPr>
          <w:rFonts w:hint="eastAsia"/>
          <w:szCs w:val="24"/>
        </w:rPr>
      </w:pPr>
    </w:p>
    <w:p w14:paraId="565E1463">
      <w:pPr>
        <w:pStyle w:val="16"/>
        <w:spacing w:before="31" w:after="31"/>
        <w:ind w:firstLine="0" w:firstLineChars="0"/>
        <w:rPr>
          <w:rFonts w:hint="eastAsia"/>
          <w:b/>
          <w:bCs/>
          <w:sz w:val="28"/>
          <w:szCs w:val="28"/>
          <w:lang w:val="en-US" w:eastAsia="zh-CN"/>
        </w:rPr>
      </w:pPr>
      <w:r>
        <w:rPr>
          <w:rFonts w:hint="eastAsia"/>
          <w:b/>
          <w:bCs/>
          <w:sz w:val="28"/>
          <w:szCs w:val="28"/>
          <w:lang w:val="en-US" w:eastAsia="zh-CN"/>
        </w:rPr>
        <w:t>3 Summary of Marine Engineering Failure Cases</w:t>
      </w:r>
    </w:p>
    <w:p w14:paraId="2B8FC296">
      <w:pPr>
        <w:pStyle w:val="16"/>
        <w:spacing w:before="31" w:after="31"/>
        <w:ind w:firstLine="0" w:firstLineChars="0"/>
        <w:rPr>
          <w:b/>
          <w:bCs/>
          <w:szCs w:val="24"/>
        </w:rPr>
      </w:pPr>
      <w:r>
        <w:rPr>
          <w:rFonts w:hint="eastAsia"/>
          <w:b/>
          <w:bCs/>
          <w:szCs w:val="24"/>
          <w:lang w:val="en-US" w:eastAsia="zh-CN"/>
        </w:rPr>
        <w:t>3</w:t>
      </w:r>
      <w:r>
        <w:rPr>
          <w:b/>
          <w:bCs/>
          <w:szCs w:val="24"/>
        </w:rPr>
        <w:t>.</w:t>
      </w:r>
      <w:r>
        <w:rPr>
          <w:rFonts w:hint="eastAsia"/>
          <w:b/>
          <w:bCs/>
          <w:szCs w:val="24"/>
          <w:lang w:val="en-US" w:eastAsia="zh-CN"/>
        </w:rPr>
        <w:t>1</w:t>
      </w:r>
      <w:r>
        <w:rPr>
          <w:b/>
          <w:bCs/>
          <w:szCs w:val="24"/>
        </w:rPr>
        <w:t xml:space="preserve">Case </w:t>
      </w:r>
      <w:r>
        <w:rPr>
          <w:rFonts w:hint="eastAsia"/>
          <w:b/>
          <w:bCs/>
          <w:szCs w:val="24"/>
          <w:lang w:val="en-US" w:eastAsia="zh-CN"/>
        </w:rPr>
        <w:t>3</w:t>
      </w:r>
      <w:r>
        <w:rPr>
          <w:b/>
          <w:bCs/>
          <w:szCs w:val="24"/>
        </w:rPr>
        <w:t>-7 Failure of the Bohai Anti-Icing Conductor Frame Platform</w:t>
      </w:r>
    </w:p>
    <w:p w14:paraId="05910614">
      <w:pPr>
        <w:pStyle w:val="16"/>
        <w:spacing w:before="31" w:after="31"/>
        <w:ind w:firstLine="0" w:firstLineChars="0"/>
        <w:rPr>
          <w:szCs w:val="24"/>
        </w:rPr>
      </w:pPr>
      <w:r>
        <w:rPr>
          <w:szCs w:val="24"/>
        </w:rPr>
        <w:t>(1) Case Name</w:t>
      </w:r>
    </w:p>
    <w:p w14:paraId="31686700">
      <w:pPr>
        <w:pStyle w:val="16"/>
        <w:spacing w:before="31" w:after="31"/>
        <w:ind w:firstLine="480"/>
        <w:rPr>
          <w:szCs w:val="24"/>
        </w:rPr>
      </w:pPr>
      <w:r>
        <w:rPr>
          <w:szCs w:val="24"/>
        </w:rPr>
        <w:t>Failure of the Bohai Anti-Icing Conductor Frame Platform</w:t>
      </w:r>
    </w:p>
    <w:p w14:paraId="7C503615">
      <w:pPr>
        <w:pStyle w:val="16"/>
        <w:spacing w:before="31" w:after="31"/>
        <w:ind w:firstLine="0" w:firstLineChars="0"/>
        <w:rPr>
          <w:szCs w:val="24"/>
        </w:rPr>
      </w:pPr>
      <w:r>
        <w:rPr>
          <w:szCs w:val="24"/>
        </w:rPr>
        <w:t xml:space="preserve">(2) </w:t>
      </w:r>
      <w:r>
        <w:rPr>
          <w:rFonts w:hint="eastAsia"/>
          <w:szCs w:val="24"/>
        </w:rPr>
        <w:t>Failure Process Description:</w:t>
      </w:r>
    </w:p>
    <w:p w14:paraId="66ADB7E0">
      <w:pPr>
        <w:pStyle w:val="16"/>
        <w:spacing w:before="31" w:after="31"/>
        <w:ind w:firstLine="480"/>
        <w:rPr>
          <w:szCs w:val="24"/>
        </w:rPr>
      </w:pPr>
      <w:r>
        <w:rPr>
          <w:szCs w:val="24"/>
        </w:rPr>
        <w:t>Since the late 1980s, several platforms constructed in the Bohai and Liaodong Bay regions of China have experienced significant ice-induced vibration phenomena.</w:t>
      </w:r>
    </w:p>
    <w:p w14:paraId="2F8E83AF">
      <w:pPr>
        <w:pStyle w:val="16"/>
        <w:spacing w:before="31" w:after="31"/>
        <w:ind w:firstLine="0" w:firstLineChars="0"/>
        <w:rPr>
          <w:szCs w:val="24"/>
        </w:rPr>
      </w:pPr>
      <w:bookmarkStart w:id="0" w:name="_Hlk156169014"/>
      <w:r>
        <w:rPr>
          <w:rFonts w:hint="eastAsia"/>
          <w:szCs w:val="24"/>
        </w:rPr>
        <w:t>(3) Service Environment:</w:t>
      </w:r>
    </w:p>
    <w:p w14:paraId="6553D307">
      <w:pPr>
        <w:pStyle w:val="16"/>
        <w:spacing w:before="31" w:after="31"/>
        <w:ind w:firstLine="420" w:firstLineChars="0"/>
        <w:rPr>
          <w:szCs w:val="24"/>
        </w:rPr>
      </w:pPr>
      <w:r>
        <w:rPr>
          <w:rFonts w:hint="eastAsia"/>
          <w:szCs w:val="24"/>
        </w:rPr>
        <w:t>Null</w:t>
      </w:r>
    </w:p>
    <w:p w14:paraId="41B90BD1">
      <w:pPr>
        <w:pStyle w:val="16"/>
        <w:spacing w:before="31" w:after="31"/>
        <w:ind w:firstLine="0" w:firstLineChars="0"/>
        <w:rPr>
          <w:szCs w:val="24"/>
        </w:rPr>
      </w:pPr>
      <w:r>
        <w:rPr>
          <w:rFonts w:hint="eastAsia"/>
          <w:szCs w:val="24"/>
        </w:rPr>
        <w:t>(4) Failed Components and Material:</w:t>
      </w:r>
    </w:p>
    <w:p w14:paraId="26E8E88E">
      <w:pPr>
        <w:pStyle w:val="16"/>
        <w:spacing w:before="31" w:after="31"/>
        <w:ind w:firstLine="420" w:firstLineChars="0"/>
        <w:rPr>
          <w:szCs w:val="24"/>
        </w:rPr>
      </w:pPr>
      <w:r>
        <w:rPr>
          <w:rFonts w:hint="eastAsia"/>
          <w:szCs w:val="24"/>
        </w:rPr>
        <w:t>Null</w:t>
      </w:r>
    </w:p>
    <w:p w14:paraId="78D1B42B">
      <w:pPr>
        <w:pStyle w:val="16"/>
        <w:spacing w:before="31" w:after="31"/>
        <w:ind w:firstLine="0" w:firstLineChars="0"/>
        <w:rPr>
          <w:szCs w:val="24"/>
        </w:rPr>
      </w:pPr>
      <w:r>
        <w:rPr>
          <w:rFonts w:hint="eastAsia"/>
          <w:szCs w:val="24"/>
        </w:rPr>
        <w:t>(5) Failed Component Morphology:</w:t>
      </w:r>
    </w:p>
    <w:p w14:paraId="3284E458">
      <w:pPr>
        <w:pStyle w:val="16"/>
        <w:spacing w:before="31" w:after="31"/>
        <w:ind w:firstLine="420" w:firstLineChars="0"/>
        <w:rPr>
          <w:szCs w:val="24"/>
        </w:rPr>
      </w:pPr>
      <w:r>
        <w:rPr>
          <w:rFonts w:hint="eastAsia"/>
          <w:szCs w:val="24"/>
        </w:rPr>
        <w:t>Null</w:t>
      </w:r>
    </w:p>
    <w:bookmarkEnd w:id="0"/>
    <w:p w14:paraId="764ECCC9">
      <w:pPr>
        <w:pStyle w:val="16"/>
        <w:spacing w:before="31" w:after="31"/>
        <w:ind w:firstLine="0" w:firstLineChars="0"/>
        <w:rPr>
          <w:szCs w:val="24"/>
        </w:rPr>
      </w:pPr>
      <w:r>
        <w:rPr>
          <w:rFonts w:hint="eastAsia"/>
          <w:szCs w:val="24"/>
        </w:rPr>
        <w:t>(6) Failure Cause Analysis:</w:t>
      </w:r>
    </w:p>
    <w:p w14:paraId="493946DB">
      <w:pPr>
        <w:pStyle w:val="16"/>
        <w:spacing w:before="31" w:after="31"/>
        <w:ind w:firstLine="480"/>
        <w:rPr>
          <w:szCs w:val="24"/>
        </w:rPr>
      </w:pPr>
      <w:r>
        <w:rPr>
          <w:szCs w:val="24"/>
        </w:rPr>
        <w:t>(a) Analysis of Failure Modes of Anti-Icing Structures</w:t>
      </w:r>
    </w:p>
    <w:p w14:paraId="57DBE9BD">
      <w:pPr>
        <w:pStyle w:val="16"/>
        <w:spacing w:before="31" w:after="31"/>
        <w:ind w:firstLine="480"/>
        <w:rPr>
          <w:szCs w:val="24"/>
        </w:rPr>
      </w:pPr>
      <w:r>
        <w:rPr>
          <w:szCs w:val="24"/>
        </w:rPr>
        <w:t>Based on on-site monitoring of the prototype structure, it was observed that the Bohai anti-icing conductor frame platform had minimal deformation under extreme static ice loads, indicating a significant safety margin. However, under alternating ice loads, both upright and conical structures exhibited ice-induced resonance, causing a significant dynamic amplification of forces. Therefore, structures like the Bohai anti-icing conductor frame belong to flexible structures. In the assessment and optimal design of these structures, static failure, i.e., safety failure under extreme static ice loads as specified by regulations, needs to be considered, as well as dynamic failure, i.e., structural failure caused by ice-induced conductor frame platform vibrations. In ice-covered areas, ice loads are much larger than traditional environmental loads such as waves, currents, wind, and earthquakes. Therefore, the analysis of failure modes for anti-icing conductor frame platforms in this region focuses mainly on ice loads.</w:t>
      </w:r>
    </w:p>
    <w:p w14:paraId="5E3A0DA7">
      <w:pPr>
        <w:pStyle w:val="16"/>
        <w:spacing w:before="31" w:after="31"/>
        <w:ind w:firstLine="480"/>
        <w:rPr>
          <w:szCs w:val="24"/>
        </w:rPr>
      </w:pPr>
      <w:r>
        <w:rPr>
          <w:szCs w:val="24"/>
        </w:rPr>
        <w:t>(b) Failure under Extreme Static Ice Loads</w:t>
      </w:r>
    </w:p>
    <w:p w14:paraId="67340329">
      <w:pPr>
        <w:pStyle w:val="16"/>
        <w:spacing w:before="31" w:after="31"/>
        <w:ind w:firstLine="480"/>
        <w:rPr>
          <w:szCs w:val="24"/>
        </w:rPr>
      </w:pPr>
      <w:r>
        <w:rPr>
          <w:szCs w:val="24"/>
        </w:rPr>
        <w:t>In current offshore platform design codes, considerations generally include seismic, wave, current, wind, and sea ice actions, which are converted into equivalent static loads for analysis. The evaluation of structural or component safety under various load combinations is mainly based on strength and stiffness requirements. Strength requirements specify that the design stress of components under design loads should be less than the allowable stress, i.e., б&lt;[б], while stiffness requirements stipulate that the maximum deformation of the structure should be less than the specified allowable value, i.e., λ&lt;[λ]. For anti-icing offshore platforms, the focus is on ensuring the strength and stiffness requirements of the structure under extreme static ice loads.</w:t>
      </w:r>
    </w:p>
    <w:p w14:paraId="7C787773">
      <w:pPr>
        <w:pStyle w:val="16"/>
        <w:spacing w:before="31" w:after="31"/>
        <w:ind w:firstLine="480"/>
        <w:rPr>
          <w:szCs w:val="24"/>
        </w:rPr>
      </w:pPr>
      <w:r>
        <w:rPr>
          <w:szCs w:val="24"/>
        </w:rPr>
        <w:t>Four typical anti-icing platforms in the Bohai region were selected, and based on research results on extreme static ice loads, the deformations and stresses of the JZ20-2MUQ, JZ20-2NW, JZ20-2MSW, and JZ9-3GCP platforms under extreme ice loads were analyzed. The calculated results are shown in Table 4-9.</w:t>
      </w:r>
    </w:p>
    <w:p w14:paraId="2A296A4C">
      <w:pPr>
        <w:pStyle w:val="16"/>
        <w:spacing w:before="31" w:after="31"/>
        <w:ind w:firstLine="482"/>
        <w:jc w:val="center"/>
        <w:rPr>
          <w:b/>
          <w:bCs/>
          <w:szCs w:val="24"/>
        </w:rPr>
      </w:pPr>
      <w:r>
        <w:rPr>
          <w:b/>
          <w:bCs/>
          <w:szCs w:val="24"/>
        </w:rPr>
        <w:t>Table 4-9 Response of Platform Structure under Extreme Ice Loads</w:t>
      </w:r>
    </w:p>
    <w:tbl>
      <w:tblPr>
        <w:tblStyle w:val="9"/>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8"/>
        <w:gridCol w:w="1359"/>
        <w:gridCol w:w="1359"/>
        <w:gridCol w:w="1359"/>
        <w:gridCol w:w="1359"/>
      </w:tblGrid>
      <w:tr w14:paraId="213861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8" w:type="dxa"/>
            <w:vMerge w:val="restart"/>
            <w:tcBorders>
              <w:top w:val="single" w:color="auto" w:sz="12" w:space="0"/>
              <w:bottom w:val="nil"/>
            </w:tcBorders>
            <w:vAlign w:val="center"/>
          </w:tcPr>
          <w:p w14:paraId="5E03D552">
            <w:pPr>
              <w:autoSpaceDE w:val="0"/>
              <w:autoSpaceDN w:val="0"/>
              <w:adjustRightInd w:val="0"/>
              <w:spacing w:line="312" w:lineRule="auto"/>
              <w:jc w:val="center"/>
              <w:rPr>
                <w:szCs w:val="21"/>
              </w:rPr>
            </w:pPr>
            <w:r>
              <w:t>Platform</w:t>
            </w:r>
          </w:p>
        </w:tc>
        <w:tc>
          <w:tcPr>
            <w:tcW w:w="2718" w:type="dxa"/>
            <w:gridSpan w:val="2"/>
            <w:tcBorders>
              <w:top w:val="single" w:color="auto" w:sz="12" w:space="0"/>
              <w:bottom w:val="single" w:color="auto" w:sz="12" w:space="0"/>
            </w:tcBorders>
            <w:vAlign w:val="center"/>
          </w:tcPr>
          <w:p w14:paraId="61A70540">
            <w:pPr>
              <w:autoSpaceDE w:val="0"/>
              <w:autoSpaceDN w:val="0"/>
              <w:adjustRightInd w:val="0"/>
              <w:spacing w:line="312" w:lineRule="auto"/>
              <w:jc w:val="center"/>
              <w:rPr>
                <w:szCs w:val="21"/>
              </w:rPr>
            </w:pPr>
            <w:r>
              <w:t>Maximum Displacement</w:t>
            </w:r>
            <w:r>
              <w:rPr>
                <w:rFonts w:hint="eastAsia"/>
                <w:szCs w:val="21"/>
              </w:rPr>
              <w:t xml:space="preserve"> /mm</w:t>
            </w:r>
          </w:p>
        </w:tc>
        <w:tc>
          <w:tcPr>
            <w:tcW w:w="2718" w:type="dxa"/>
            <w:gridSpan w:val="2"/>
            <w:tcBorders>
              <w:top w:val="single" w:color="auto" w:sz="12" w:space="0"/>
              <w:bottom w:val="single" w:color="auto" w:sz="12" w:space="0"/>
            </w:tcBorders>
            <w:vAlign w:val="center"/>
          </w:tcPr>
          <w:p w14:paraId="53AFBC9D">
            <w:pPr>
              <w:autoSpaceDE w:val="0"/>
              <w:autoSpaceDN w:val="0"/>
              <w:adjustRightInd w:val="0"/>
              <w:spacing w:line="312" w:lineRule="auto"/>
              <w:jc w:val="center"/>
              <w:rPr>
                <w:szCs w:val="21"/>
              </w:rPr>
            </w:pPr>
            <w:r>
              <w:t>Maximum Nominal Stress</w:t>
            </w:r>
            <w:r>
              <w:rPr>
                <w:rFonts w:hint="eastAsia"/>
                <w:szCs w:val="21"/>
              </w:rPr>
              <w:t xml:space="preserve"> /Mpa</w:t>
            </w:r>
          </w:p>
        </w:tc>
      </w:tr>
      <w:tr w14:paraId="0FB23C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8" w:type="dxa"/>
            <w:vMerge w:val="continue"/>
            <w:tcBorders>
              <w:top w:val="nil"/>
              <w:bottom w:val="single" w:color="auto" w:sz="12" w:space="0"/>
            </w:tcBorders>
            <w:vAlign w:val="center"/>
          </w:tcPr>
          <w:p w14:paraId="726D0168">
            <w:pPr>
              <w:autoSpaceDE w:val="0"/>
              <w:autoSpaceDN w:val="0"/>
              <w:adjustRightInd w:val="0"/>
              <w:spacing w:line="312" w:lineRule="auto"/>
              <w:jc w:val="center"/>
              <w:rPr>
                <w:szCs w:val="21"/>
              </w:rPr>
            </w:pPr>
          </w:p>
        </w:tc>
        <w:tc>
          <w:tcPr>
            <w:tcW w:w="1359" w:type="dxa"/>
            <w:tcBorders>
              <w:top w:val="single" w:color="auto" w:sz="12" w:space="0"/>
              <w:bottom w:val="single" w:color="auto" w:sz="12" w:space="0"/>
            </w:tcBorders>
            <w:vAlign w:val="center"/>
          </w:tcPr>
          <w:p w14:paraId="5749A7B8">
            <w:pPr>
              <w:autoSpaceDE w:val="0"/>
              <w:autoSpaceDN w:val="0"/>
              <w:adjustRightInd w:val="0"/>
              <w:spacing w:line="312" w:lineRule="auto"/>
              <w:jc w:val="center"/>
              <w:rPr>
                <w:szCs w:val="21"/>
              </w:rPr>
            </w:pPr>
            <w:r>
              <w:t>Calculated Value</w:t>
            </w:r>
          </w:p>
        </w:tc>
        <w:tc>
          <w:tcPr>
            <w:tcW w:w="1359" w:type="dxa"/>
            <w:tcBorders>
              <w:top w:val="single" w:color="auto" w:sz="12" w:space="0"/>
              <w:bottom w:val="single" w:color="auto" w:sz="12" w:space="0"/>
            </w:tcBorders>
            <w:vAlign w:val="center"/>
          </w:tcPr>
          <w:p w14:paraId="035498E4">
            <w:pPr>
              <w:autoSpaceDE w:val="0"/>
              <w:autoSpaceDN w:val="0"/>
              <w:adjustRightInd w:val="0"/>
              <w:spacing w:line="312" w:lineRule="auto"/>
              <w:jc w:val="center"/>
              <w:rPr>
                <w:szCs w:val="21"/>
              </w:rPr>
            </w:pPr>
            <w:r>
              <w:t>Allowable Value</w:t>
            </w:r>
          </w:p>
        </w:tc>
        <w:tc>
          <w:tcPr>
            <w:tcW w:w="1359" w:type="dxa"/>
            <w:tcBorders>
              <w:top w:val="single" w:color="auto" w:sz="12" w:space="0"/>
              <w:bottom w:val="single" w:color="auto" w:sz="12" w:space="0"/>
            </w:tcBorders>
            <w:vAlign w:val="center"/>
          </w:tcPr>
          <w:p w14:paraId="43B285CB">
            <w:pPr>
              <w:autoSpaceDE w:val="0"/>
              <w:autoSpaceDN w:val="0"/>
              <w:adjustRightInd w:val="0"/>
              <w:spacing w:line="312" w:lineRule="auto"/>
              <w:jc w:val="center"/>
              <w:rPr>
                <w:szCs w:val="21"/>
              </w:rPr>
            </w:pPr>
            <w:r>
              <w:t>Calculated Value</w:t>
            </w:r>
          </w:p>
        </w:tc>
        <w:tc>
          <w:tcPr>
            <w:tcW w:w="1359" w:type="dxa"/>
            <w:tcBorders>
              <w:top w:val="single" w:color="auto" w:sz="12" w:space="0"/>
              <w:bottom w:val="single" w:color="auto" w:sz="12" w:space="0"/>
            </w:tcBorders>
            <w:vAlign w:val="center"/>
          </w:tcPr>
          <w:p w14:paraId="63FF204E">
            <w:pPr>
              <w:autoSpaceDE w:val="0"/>
              <w:autoSpaceDN w:val="0"/>
              <w:adjustRightInd w:val="0"/>
              <w:spacing w:line="312" w:lineRule="auto"/>
              <w:jc w:val="center"/>
              <w:rPr>
                <w:szCs w:val="21"/>
              </w:rPr>
            </w:pPr>
            <w:r>
              <w:t>Allowable Value</w:t>
            </w:r>
          </w:p>
        </w:tc>
      </w:tr>
      <w:tr w14:paraId="0B5207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8" w:type="dxa"/>
            <w:tcBorders>
              <w:top w:val="single" w:color="auto" w:sz="12" w:space="0"/>
              <w:bottom w:val="nil"/>
            </w:tcBorders>
            <w:vAlign w:val="center"/>
          </w:tcPr>
          <w:p w14:paraId="655AE60C">
            <w:pPr>
              <w:autoSpaceDE w:val="0"/>
              <w:autoSpaceDN w:val="0"/>
              <w:adjustRightInd w:val="0"/>
              <w:spacing w:line="312" w:lineRule="auto"/>
              <w:jc w:val="center"/>
              <w:rPr>
                <w:szCs w:val="21"/>
              </w:rPr>
            </w:pPr>
            <w:r>
              <w:rPr>
                <w:rFonts w:hint="eastAsia"/>
                <w:szCs w:val="21"/>
              </w:rPr>
              <w:t>JZ20-2MUQ</w:t>
            </w:r>
          </w:p>
        </w:tc>
        <w:tc>
          <w:tcPr>
            <w:tcW w:w="1359" w:type="dxa"/>
            <w:tcBorders>
              <w:top w:val="single" w:color="auto" w:sz="12" w:space="0"/>
              <w:bottom w:val="nil"/>
            </w:tcBorders>
            <w:vAlign w:val="center"/>
          </w:tcPr>
          <w:p w14:paraId="57467B90">
            <w:pPr>
              <w:autoSpaceDE w:val="0"/>
              <w:autoSpaceDN w:val="0"/>
              <w:adjustRightInd w:val="0"/>
              <w:spacing w:line="312" w:lineRule="auto"/>
              <w:jc w:val="center"/>
              <w:rPr>
                <w:szCs w:val="21"/>
              </w:rPr>
            </w:pPr>
            <w:r>
              <w:rPr>
                <w:rFonts w:hint="eastAsia"/>
                <w:szCs w:val="21"/>
              </w:rPr>
              <w:t>15</w:t>
            </w:r>
          </w:p>
        </w:tc>
        <w:tc>
          <w:tcPr>
            <w:tcW w:w="1359" w:type="dxa"/>
            <w:tcBorders>
              <w:top w:val="single" w:color="auto" w:sz="12" w:space="0"/>
              <w:bottom w:val="nil"/>
            </w:tcBorders>
            <w:vAlign w:val="center"/>
          </w:tcPr>
          <w:p w14:paraId="42DCF6F0">
            <w:pPr>
              <w:autoSpaceDE w:val="0"/>
              <w:autoSpaceDN w:val="0"/>
              <w:adjustRightInd w:val="0"/>
              <w:spacing w:line="312" w:lineRule="auto"/>
              <w:jc w:val="center"/>
              <w:rPr>
                <w:szCs w:val="21"/>
              </w:rPr>
            </w:pPr>
            <w:r>
              <w:rPr>
                <w:rFonts w:hint="eastAsia"/>
                <w:szCs w:val="21"/>
              </w:rPr>
              <w:t>168</w:t>
            </w:r>
          </w:p>
        </w:tc>
        <w:tc>
          <w:tcPr>
            <w:tcW w:w="1359" w:type="dxa"/>
            <w:tcBorders>
              <w:top w:val="single" w:color="auto" w:sz="12" w:space="0"/>
              <w:bottom w:val="nil"/>
            </w:tcBorders>
            <w:vAlign w:val="center"/>
          </w:tcPr>
          <w:p w14:paraId="3DD5329B">
            <w:pPr>
              <w:autoSpaceDE w:val="0"/>
              <w:autoSpaceDN w:val="0"/>
              <w:adjustRightInd w:val="0"/>
              <w:spacing w:line="312" w:lineRule="auto"/>
              <w:jc w:val="center"/>
              <w:rPr>
                <w:szCs w:val="21"/>
              </w:rPr>
            </w:pPr>
            <w:r>
              <w:rPr>
                <w:rFonts w:hint="eastAsia"/>
                <w:szCs w:val="21"/>
              </w:rPr>
              <w:t>23</w:t>
            </w:r>
          </w:p>
        </w:tc>
        <w:tc>
          <w:tcPr>
            <w:tcW w:w="1359" w:type="dxa"/>
            <w:tcBorders>
              <w:top w:val="single" w:color="auto" w:sz="12" w:space="0"/>
              <w:bottom w:val="nil"/>
            </w:tcBorders>
            <w:vAlign w:val="center"/>
          </w:tcPr>
          <w:p w14:paraId="73BCA81A">
            <w:pPr>
              <w:autoSpaceDE w:val="0"/>
              <w:autoSpaceDN w:val="0"/>
              <w:adjustRightInd w:val="0"/>
              <w:spacing w:line="312" w:lineRule="auto"/>
              <w:jc w:val="center"/>
              <w:rPr>
                <w:szCs w:val="21"/>
              </w:rPr>
            </w:pPr>
            <w:r>
              <w:rPr>
                <w:rFonts w:hint="eastAsia"/>
                <w:szCs w:val="21"/>
              </w:rPr>
              <w:t>225</w:t>
            </w:r>
          </w:p>
        </w:tc>
      </w:tr>
      <w:tr w14:paraId="6E4D7C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8" w:type="dxa"/>
            <w:tcBorders>
              <w:top w:val="nil"/>
              <w:bottom w:val="nil"/>
            </w:tcBorders>
            <w:vAlign w:val="center"/>
          </w:tcPr>
          <w:p w14:paraId="38463764">
            <w:pPr>
              <w:autoSpaceDE w:val="0"/>
              <w:autoSpaceDN w:val="0"/>
              <w:adjustRightInd w:val="0"/>
              <w:spacing w:line="312" w:lineRule="auto"/>
              <w:jc w:val="center"/>
              <w:rPr>
                <w:szCs w:val="21"/>
              </w:rPr>
            </w:pPr>
            <w:r>
              <w:rPr>
                <w:rFonts w:hint="eastAsia"/>
                <w:szCs w:val="21"/>
              </w:rPr>
              <w:t>JZ20-2MSW</w:t>
            </w:r>
          </w:p>
        </w:tc>
        <w:tc>
          <w:tcPr>
            <w:tcW w:w="1359" w:type="dxa"/>
            <w:tcBorders>
              <w:top w:val="nil"/>
              <w:bottom w:val="nil"/>
            </w:tcBorders>
            <w:vAlign w:val="center"/>
          </w:tcPr>
          <w:p w14:paraId="1DEE64F0">
            <w:pPr>
              <w:autoSpaceDE w:val="0"/>
              <w:autoSpaceDN w:val="0"/>
              <w:adjustRightInd w:val="0"/>
              <w:spacing w:line="312" w:lineRule="auto"/>
              <w:jc w:val="center"/>
              <w:rPr>
                <w:szCs w:val="21"/>
              </w:rPr>
            </w:pPr>
            <w:r>
              <w:rPr>
                <w:rFonts w:hint="eastAsia"/>
                <w:szCs w:val="21"/>
              </w:rPr>
              <w:t>24</w:t>
            </w:r>
          </w:p>
        </w:tc>
        <w:tc>
          <w:tcPr>
            <w:tcW w:w="1359" w:type="dxa"/>
            <w:tcBorders>
              <w:top w:val="nil"/>
              <w:bottom w:val="nil"/>
            </w:tcBorders>
            <w:vAlign w:val="center"/>
          </w:tcPr>
          <w:p w14:paraId="2542234C">
            <w:pPr>
              <w:autoSpaceDE w:val="0"/>
              <w:autoSpaceDN w:val="0"/>
              <w:adjustRightInd w:val="0"/>
              <w:spacing w:line="312" w:lineRule="auto"/>
              <w:jc w:val="center"/>
              <w:rPr>
                <w:szCs w:val="21"/>
              </w:rPr>
            </w:pPr>
            <w:r>
              <w:rPr>
                <w:rFonts w:hint="eastAsia"/>
                <w:szCs w:val="21"/>
              </w:rPr>
              <w:t>130</w:t>
            </w:r>
          </w:p>
        </w:tc>
        <w:tc>
          <w:tcPr>
            <w:tcW w:w="1359" w:type="dxa"/>
            <w:tcBorders>
              <w:top w:val="nil"/>
              <w:bottom w:val="nil"/>
            </w:tcBorders>
            <w:vAlign w:val="center"/>
          </w:tcPr>
          <w:p w14:paraId="71C67631">
            <w:pPr>
              <w:autoSpaceDE w:val="0"/>
              <w:autoSpaceDN w:val="0"/>
              <w:adjustRightInd w:val="0"/>
              <w:spacing w:line="312" w:lineRule="auto"/>
              <w:jc w:val="center"/>
              <w:rPr>
                <w:szCs w:val="21"/>
              </w:rPr>
            </w:pPr>
            <w:r>
              <w:rPr>
                <w:rFonts w:hint="eastAsia"/>
                <w:szCs w:val="21"/>
              </w:rPr>
              <w:t>61</w:t>
            </w:r>
          </w:p>
        </w:tc>
        <w:tc>
          <w:tcPr>
            <w:tcW w:w="1359" w:type="dxa"/>
            <w:tcBorders>
              <w:top w:val="nil"/>
              <w:bottom w:val="nil"/>
            </w:tcBorders>
            <w:vAlign w:val="center"/>
          </w:tcPr>
          <w:p w14:paraId="45170ECA">
            <w:pPr>
              <w:autoSpaceDE w:val="0"/>
              <w:autoSpaceDN w:val="0"/>
              <w:adjustRightInd w:val="0"/>
              <w:spacing w:line="312" w:lineRule="auto"/>
              <w:jc w:val="center"/>
              <w:rPr>
                <w:szCs w:val="21"/>
              </w:rPr>
            </w:pPr>
            <w:r>
              <w:rPr>
                <w:rFonts w:hint="eastAsia"/>
                <w:szCs w:val="21"/>
              </w:rPr>
              <w:t>225</w:t>
            </w:r>
          </w:p>
        </w:tc>
      </w:tr>
      <w:tr w14:paraId="484F0B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8" w:type="dxa"/>
            <w:tcBorders>
              <w:top w:val="nil"/>
              <w:bottom w:val="nil"/>
            </w:tcBorders>
            <w:vAlign w:val="center"/>
          </w:tcPr>
          <w:p w14:paraId="127E8EBC">
            <w:pPr>
              <w:autoSpaceDE w:val="0"/>
              <w:autoSpaceDN w:val="0"/>
              <w:adjustRightInd w:val="0"/>
              <w:spacing w:line="312" w:lineRule="auto"/>
              <w:jc w:val="center"/>
              <w:rPr>
                <w:szCs w:val="21"/>
              </w:rPr>
            </w:pPr>
            <w:r>
              <w:rPr>
                <w:rFonts w:hint="eastAsia"/>
                <w:szCs w:val="21"/>
              </w:rPr>
              <w:t>JZ20-2NW</w:t>
            </w:r>
          </w:p>
        </w:tc>
        <w:tc>
          <w:tcPr>
            <w:tcW w:w="1359" w:type="dxa"/>
            <w:tcBorders>
              <w:top w:val="nil"/>
              <w:bottom w:val="nil"/>
            </w:tcBorders>
            <w:vAlign w:val="center"/>
          </w:tcPr>
          <w:p w14:paraId="177D5688">
            <w:pPr>
              <w:autoSpaceDE w:val="0"/>
              <w:autoSpaceDN w:val="0"/>
              <w:adjustRightInd w:val="0"/>
              <w:spacing w:line="312" w:lineRule="auto"/>
              <w:jc w:val="center"/>
              <w:rPr>
                <w:szCs w:val="21"/>
              </w:rPr>
            </w:pPr>
            <w:r>
              <w:rPr>
                <w:rFonts w:hint="eastAsia"/>
                <w:szCs w:val="21"/>
              </w:rPr>
              <w:t>12</w:t>
            </w:r>
          </w:p>
        </w:tc>
        <w:tc>
          <w:tcPr>
            <w:tcW w:w="1359" w:type="dxa"/>
            <w:tcBorders>
              <w:top w:val="nil"/>
              <w:bottom w:val="nil"/>
            </w:tcBorders>
            <w:vAlign w:val="center"/>
          </w:tcPr>
          <w:p w14:paraId="5685D7C4">
            <w:pPr>
              <w:autoSpaceDE w:val="0"/>
              <w:autoSpaceDN w:val="0"/>
              <w:adjustRightInd w:val="0"/>
              <w:spacing w:line="312" w:lineRule="auto"/>
              <w:jc w:val="center"/>
              <w:rPr>
                <w:szCs w:val="21"/>
              </w:rPr>
            </w:pPr>
            <w:r>
              <w:rPr>
                <w:rFonts w:hint="eastAsia"/>
                <w:szCs w:val="21"/>
              </w:rPr>
              <w:t>118</w:t>
            </w:r>
          </w:p>
        </w:tc>
        <w:tc>
          <w:tcPr>
            <w:tcW w:w="1359" w:type="dxa"/>
            <w:tcBorders>
              <w:top w:val="nil"/>
              <w:bottom w:val="nil"/>
            </w:tcBorders>
            <w:vAlign w:val="center"/>
          </w:tcPr>
          <w:p w14:paraId="5F513B57">
            <w:pPr>
              <w:autoSpaceDE w:val="0"/>
              <w:autoSpaceDN w:val="0"/>
              <w:adjustRightInd w:val="0"/>
              <w:spacing w:line="312" w:lineRule="auto"/>
              <w:jc w:val="center"/>
              <w:rPr>
                <w:szCs w:val="21"/>
              </w:rPr>
            </w:pPr>
            <w:r>
              <w:rPr>
                <w:rFonts w:hint="eastAsia"/>
                <w:szCs w:val="21"/>
              </w:rPr>
              <w:t>32</w:t>
            </w:r>
          </w:p>
        </w:tc>
        <w:tc>
          <w:tcPr>
            <w:tcW w:w="1359" w:type="dxa"/>
            <w:tcBorders>
              <w:top w:val="nil"/>
              <w:bottom w:val="nil"/>
            </w:tcBorders>
            <w:vAlign w:val="center"/>
          </w:tcPr>
          <w:p w14:paraId="6D187829">
            <w:pPr>
              <w:autoSpaceDE w:val="0"/>
              <w:autoSpaceDN w:val="0"/>
              <w:adjustRightInd w:val="0"/>
              <w:spacing w:line="312" w:lineRule="auto"/>
              <w:jc w:val="center"/>
              <w:rPr>
                <w:szCs w:val="21"/>
              </w:rPr>
            </w:pPr>
            <w:r>
              <w:rPr>
                <w:rFonts w:hint="eastAsia"/>
                <w:szCs w:val="21"/>
              </w:rPr>
              <w:t>225</w:t>
            </w:r>
          </w:p>
        </w:tc>
      </w:tr>
      <w:tr w14:paraId="625640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8" w:type="dxa"/>
            <w:tcBorders>
              <w:top w:val="nil"/>
              <w:bottom w:val="single" w:color="auto" w:sz="12" w:space="0"/>
            </w:tcBorders>
            <w:vAlign w:val="center"/>
          </w:tcPr>
          <w:p w14:paraId="637487A8">
            <w:pPr>
              <w:autoSpaceDE w:val="0"/>
              <w:autoSpaceDN w:val="0"/>
              <w:adjustRightInd w:val="0"/>
              <w:spacing w:line="312" w:lineRule="auto"/>
              <w:jc w:val="center"/>
              <w:rPr>
                <w:szCs w:val="21"/>
              </w:rPr>
            </w:pPr>
            <w:r>
              <w:rPr>
                <w:rFonts w:hint="eastAsia"/>
                <w:szCs w:val="21"/>
              </w:rPr>
              <w:t>JZ20-3GCP</w:t>
            </w:r>
          </w:p>
        </w:tc>
        <w:tc>
          <w:tcPr>
            <w:tcW w:w="1359" w:type="dxa"/>
            <w:tcBorders>
              <w:top w:val="nil"/>
              <w:bottom w:val="single" w:color="auto" w:sz="12" w:space="0"/>
            </w:tcBorders>
            <w:vAlign w:val="center"/>
          </w:tcPr>
          <w:p w14:paraId="234EF2C8">
            <w:pPr>
              <w:autoSpaceDE w:val="0"/>
              <w:autoSpaceDN w:val="0"/>
              <w:adjustRightInd w:val="0"/>
              <w:spacing w:line="312" w:lineRule="auto"/>
              <w:jc w:val="center"/>
              <w:rPr>
                <w:szCs w:val="21"/>
              </w:rPr>
            </w:pPr>
            <w:r>
              <w:rPr>
                <w:rFonts w:hint="eastAsia"/>
                <w:szCs w:val="21"/>
              </w:rPr>
              <w:t>24</w:t>
            </w:r>
          </w:p>
        </w:tc>
        <w:tc>
          <w:tcPr>
            <w:tcW w:w="1359" w:type="dxa"/>
            <w:tcBorders>
              <w:top w:val="nil"/>
              <w:bottom w:val="single" w:color="auto" w:sz="12" w:space="0"/>
            </w:tcBorders>
            <w:vAlign w:val="center"/>
          </w:tcPr>
          <w:p w14:paraId="23B3A28C">
            <w:pPr>
              <w:autoSpaceDE w:val="0"/>
              <w:autoSpaceDN w:val="0"/>
              <w:adjustRightInd w:val="0"/>
              <w:spacing w:line="312" w:lineRule="auto"/>
              <w:jc w:val="center"/>
              <w:rPr>
                <w:szCs w:val="21"/>
              </w:rPr>
            </w:pPr>
            <w:r>
              <w:rPr>
                <w:rFonts w:hint="eastAsia"/>
                <w:szCs w:val="21"/>
              </w:rPr>
              <w:t>88</w:t>
            </w:r>
          </w:p>
        </w:tc>
        <w:tc>
          <w:tcPr>
            <w:tcW w:w="1359" w:type="dxa"/>
            <w:tcBorders>
              <w:top w:val="nil"/>
              <w:bottom w:val="single" w:color="auto" w:sz="12" w:space="0"/>
            </w:tcBorders>
            <w:vAlign w:val="center"/>
          </w:tcPr>
          <w:p w14:paraId="024AD734">
            <w:pPr>
              <w:autoSpaceDE w:val="0"/>
              <w:autoSpaceDN w:val="0"/>
              <w:adjustRightInd w:val="0"/>
              <w:spacing w:line="312" w:lineRule="auto"/>
              <w:jc w:val="center"/>
              <w:rPr>
                <w:szCs w:val="21"/>
              </w:rPr>
            </w:pPr>
            <w:r>
              <w:rPr>
                <w:rFonts w:hint="eastAsia"/>
                <w:szCs w:val="21"/>
              </w:rPr>
              <w:t>36</w:t>
            </w:r>
          </w:p>
        </w:tc>
        <w:tc>
          <w:tcPr>
            <w:tcW w:w="1359" w:type="dxa"/>
            <w:tcBorders>
              <w:top w:val="nil"/>
              <w:bottom w:val="single" w:color="auto" w:sz="12" w:space="0"/>
            </w:tcBorders>
            <w:vAlign w:val="center"/>
          </w:tcPr>
          <w:p w14:paraId="76A3225C">
            <w:pPr>
              <w:autoSpaceDE w:val="0"/>
              <w:autoSpaceDN w:val="0"/>
              <w:adjustRightInd w:val="0"/>
              <w:spacing w:line="312" w:lineRule="auto"/>
              <w:jc w:val="center"/>
              <w:rPr>
                <w:szCs w:val="21"/>
              </w:rPr>
            </w:pPr>
            <w:r>
              <w:rPr>
                <w:rFonts w:hint="eastAsia"/>
                <w:szCs w:val="21"/>
              </w:rPr>
              <w:t>225</w:t>
            </w:r>
          </w:p>
        </w:tc>
      </w:tr>
    </w:tbl>
    <w:p w14:paraId="3B7B9B5B">
      <w:pPr>
        <w:pStyle w:val="16"/>
        <w:spacing w:before="31" w:after="31"/>
        <w:ind w:firstLine="480"/>
        <w:rPr>
          <w:szCs w:val="24"/>
        </w:rPr>
      </w:pPr>
      <w:r>
        <w:rPr>
          <w:szCs w:val="24"/>
        </w:rPr>
        <w:t>It can be observed that under extreme static ice loads, the maximum displacements and stresses of various typical anti-icing conductor frame platforms in the Bohai region are relatively small, indicating a significant static safety margin. Nevertheless, the safety failure of the structure under extreme static ice loads remains one of the key issues to be considered in the design of flexible anti-icing platforms.</w:t>
      </w:r>
    </w:p>
    <w:p w14:paraId="6CF215D6">
      <w:pPr>
        <w:pStyle w:val="16"/>
        <w:spacing w:before="31" w:after="31"/>
        <w:ind w:firstLine="480"/>
        <w:rPr>
          <w:szCs w:val="24"/>
        </w:rPr>
      </w:pPr>
      <w:r>
        <w:rPr>
          <w:szCs w:val="24"/>
        </w:rPr>
        <w:t>(c) Fatigue Failure of Conductor Frame Pipe Nodes under Dynamic Ice Loads</w:t>
      </w:r>
    </w:p>
    <w:p w14:paraId="7F805C18">
      <w:pPr>
        <w:pStyle w:val="16"/>
        <w:spacing w:before="31" w:after="31"/>
        <w:ind w:firstLine="480"/>
        <w:rPr>
          <w:szCs w:val="24"/>
        </w:rPr>
      </w:pPr>
      <w:r>
        <w:rPr>
          <w:szCs w:val="24"/>
        </w:rPr>
        <w:t>To illustrate the possibility of fatigue failure of anti-icing conductor frame platforms in the Bohai region due to ice-induced vibrations, a quantitative analysis is needed to determine whether the hot spot stresses at the pipe nodes under conventional dynamic ice loads exceed the material's fatigue limit. The fatigue damage to platform structures is caused by the repeated action of hot spot stresses at pipe nodes. Using measured ice-induced deck vibration responses (selecting a relatively typical schedule) and finite element numerical simulation, the fatigue stresses of the conductor frame structure were analyzed.</w:t>
      </w:r>
    </w:p>
    <w:p w14:paraId="6ECAFD9A">
      <w:pPr>
        <w:pStyle w:val="16"/>
        <w:spacing w:before="31" w:after="31"/>
        <w:ind w:firstLine="480"/>
        <w:rPr>
          <w:szCs w:val="24"/>
        </w:rPr>
      </w:pPr>
      <w:r>
        <w:rPr>
          <w:szCs w:val="24"/>
        </w:rPr>
        <w:t>Referring to DNV specifications and considering the stress concentration factor of conductor frame pipe nodes, and based on the S-N curve provided by API, the fatigue limit stress is 41 MPa when the infinite life is set at N=10^8 cycles. It can be seen that under this condition, the dynamic stress caused by ice-induced vibration is much greater than the fatigue limit stress. In other words, ice-induced vibration has a significant impact on the fatigue life of the platform and may lead to fatigue failure of pipe nodes.</w:t>
      </w:r>
    </w:p>
    <w:p w14:paraId="5E3EEC06">
      <w:pPr>
        <w:pStyle w:val="16"/>
        <w:spacing w:before="31" w:after="31"/>
        <w:ind w:firstLine="480"/>
        <w:rPr>
          <w:szCs w:val="24"/>
        </w:rPr>
      </w:pPr>
      <w:r>
        <w:rPr>
          <w:szCs w:val="24"/>
        </w:rPr>
        <w:t>(d) Failure caused by Acceleration Response of Platform Deck under Dynamic Ice Loads</w:t>
      </w:r>
    </w:p>
    <w:p w14:paraId="1DF18B9D">
      <w:pPr>
        <w:pStyle w:val="16"/>
        <w:spacing w:before="31" w:after="31"/>
        <w:ind w:firstLine="480"/>
        <w:rPr>
          <w:szCs w:val="24"/>
        </w:rPr>
      </w:pPr>
      <w:r>
        <w:rPr>
          <w:szCs w:val="24"/>
        </w:rPr>
        <w:t>Monitoring has revealed that when sea ice acts on the platform, it can induce significant acceleration responses on the platform. Especially for platforms producing natural gas, the upper part is equipped with a complex network of natural gas pipelines. Under long-term ice-induced vibrations, these pipelines may lead to accidents such as fractures and loosening of flanges, posing potential hazards of gas leakage. At the same time, the continuous intense vibration of the platform deck has a significant impact on the life and health of workers. The vibration phenomenon of the upper facilities and workers on the ice-resistant platform is similar to the vibration problem caused by seismic loads. The interaction of ice with the structure induces vibrations in the platform deck, and the acceleration response of the deck imposes inertial forces on the upper structural foundation. Unlike seismic excitation, ice-induced platform vibration lasts for a relatively long time and is a narrow-band random process.</w:t>
      </w:r>
    </w:p>
    <w:p w14:paraId="6B45B290">
      <w:pPr>
        <w:pStyle w:val="16"/>
        <w:spacing w:before="31" w:after="31"/>
        <w:ind w:firstLine="480"/>
        <w:rPr>
          <w:szCs w:val="24"/>
        </w:rPr>
      </w:pPr>
      <w:r>
        <w:rPr>
          <w:szCs w:val="24"/>
        </w:rPr>
        <w:t>In the winter of 2000, the vent line on the upper part of the JZ20-2MSW platform broke due to severe ice-induced vibrations, causing violent shaking. A single flow valve flange connected to the vent line became loose, resulting in a gas leak. At the accident scene.</w:t>
      </w:r>
    </w:p>
    <w:p w14:paraId="21E77ACE">
      <w:pPr>
        <w:pStyle w:val="16"/>
        <w:spacing w:before="31" w:after="31"/>
        <w:ind w:firstLine="480"/>
        <w:rPr>
          <w:szCs w:val="24"/>
        </w:rPr>
      </w:pPr>
      <w:r>
        <w:rPr>
          <w:szCs w:val="24"/>
        </w:rPr>
        <w:t>Through observation of the local structure of the vent line, it can be seen that the fixation form of the vent line belongs to a cantilever beam structure. Its fixation is connected to the platform deck, and ice-induced vibrations cause horizontal vibrations of the platform deck, equivalent to seismic loads applied at the fixed support of the vent line, leading to bending vibrations of the vent line, which can easily induce a whip effect. Through the analysis of the vent line fracture V1, it can be concluded that the fracture of the vent line exhibits clear characteristics of fatigue fracture, indicating significant fatigue damage under bending loads. To further verify the impact of ice-induced vibrations on the upper facilities of the platform, especially the flange connections of the pipelines, a platform flange torque wrench was designed. By statistically analyzing the loosening of flanges during the platform's spring maintenance, it was found that 47% of the bolts in systems using graphite-wrapped gaskets (most of the measurement systems) were loose after the system was completely depressurized, with a minimum remaining preload force of 50 n·m. Basic physical phenomena also indicate that only bolts subjected to lateral inertial forces will experience nut loosening. To further illustrate this issue, a vibration-induced flange loosening test was designed. As a component unit of the pipeline system, the flange is subjected to lateral loads, and a "four-point bending" test was used to simulate the loosening problem of the flange system under vibration. Here, a small section of the pipeline flange system was used, and the actuator (controlled amplitude and frequency) was used to generate bending stresses at the flange, making the vibration loads on the flange connection bolts consistent with the actual situation. This ensured the rationality of the indoor test.</w:t>
      </w:r>
    </w:p>
    <w:p w14:paraId="3195EAF2">
      <w:pPr>
        <w:pStyle w:val="16"/>
        <w:spacing w:before="31" w:after="31"/>
        <w:ind w:firstLine="0" w:firstLineChars="0"/>
        <w:rPr>
          <w:szCs w:val="24"/>
        </w:rPr>
      </w:pPr>
      <w:r>
        <w:rPr>
          <w:szCs w:val="24"/>
        </w:rPr>
        <w:t>(7) Impact and Harm Caused</w:t>
      </w:r>
    </w:p>
    <w:p w14:paraId="3025791D">
      <w:pPr>
        <w:pStyle w:val="16"/>
        <w:spacing w:before="31" w:after="31"/>
        <w:ind w:firstLine="480"/>
        <w:rPr>
          <w:szCs w:val="24"/>
        </w:rPr>
      </w:pPr>
      <w:r>
        <w:rPr>
          <w:szCs w:val="24"/>
        </w:rPr>
        <w:t>Through mechanical analysis of the failed pipelines, statistics on flange loosening failures, and vibration-induced flange connection system loosening tests, it can be seen that intense deck acceleration responses under ice-induced vibrations accelerate the fatigue of pipelines and flanges on the upper platform, leading to potential hazards of pipeline fractures and loose flanges.</w:t>
      </w:r>
    </w:p>
    <w:p w14:paraId="2D9B701B">
      <w:pPr>
        <w:pStyle w:val="16"/>
        <w:spacing w:before="31" w:after="31"/>
        <w:ind w:firstLine="480"/>
        <w:rPr>
          <w:szCs w:val="24"/>
        </w:rPr>
      </w:pPr>
      <w:r>
        <w:rPr>
          <w:szCs w:val="24"/>
        </w:rPr>
        <w:t>For workers who work and live in a vibrating environment for an extended period, physiological and psychological discomfort may occur. This vibration, when severe, can lead to physical harm to workers. Numerous studies have shown that the impact of vibration on the human body depends mainly on four factors: acceleration amplitude, frequency of vibration, duration of vibration, and direction of vibration. Based on these factors, three limits for evaluating the impact of vibration on the human body have been established: comfort reduction limit, efficiency reduction limit, and exposure limit. According to national standards for the evaluation of whole-body vibration exposure of the human body (GB/T 13442-92), the critical values of acceleration at various stages perceived by the human body under horizontal vibration at frequencies below 2 Hz for different exposure times are given in Table 4-10.</w:t>
      </w:r>
    </w:p>
    <w:p w14:paraId="53E864C0">
      <w:pPr>
        <w:pStyle w:val="16"/>
        <w:spacing w:before="31" w:after="31"/>
        <w:ind w:firstLine="482"/>
        <w:jc w:val="center"/>
        <w:rPr>
          <w:b/>
          <w:bCs/>
          <w:szCs w:val="24"/>
        </w:rPr>
      </w:pPr>
      <w:r>
        <w:rPr>
          <w:b/>
          <w:bCs/>
          <w:szCs w:val="24"/>
        </w:rPr>
        <w:t>Table 4-10 Critical Values of Acceleration Perceived by the Human Body under</w:t>
      </w:r>
    </w:p>
    <w:tbl>
      <w:tblPr>
        <w:tblStyle w:val="9"/>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5"/>
        <w:gridCol w:w="815"/>
        <w:gridCol w:w="815"/>
        <w:gridCol w:w="815"/>
        <w:gridCol w:w="815"/>
        <w:gridCol w:w="815"/>
        <w:gridCol w:w="815"/>
        <w:gridCol w:w="816"/>
        <w:gridCol w:w="816"/>
        <w:gridCol w:w="816"/>
      </w:tblGrid>
      <w:tr w14:paraId="17C701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5" w:type="dxa"/>
            <w:vMerge w:val="restart"/>
            <w:vAlign w:val="center"/>
          </w:tcPr>
          <w:p w14:paraId="53AA06D0">
            <w:pPr>
              <w:autoSpaceDE w:val="0"/>
              <w:autoSpaceDN w:val="0"/>
              <w:adjustRightInd w:val="0"/>
              <w:spacing w:line="312" w:lineRule="auto"/>
              <w:jc w:val="center"/>
              <w:rPr>
                <w:szCs w:val="21"/>
              </w:rPr>
            </w:pPr>
            <w:r>
              <w:t>Item</w:t>
            </w:r>
          </w:p>
        </w:tc>
        <w:tc>
          <w:tcPr>
            <w:tcW w:w="7338" w:type="dxa"/>
            <w:gridSpan w:val="9"/>
            <w:tcBorders>
              <w:top w:val="single" w:color="auto" w:sz="12" w:space="0"/>
              <w:bottom w:val="single" w:color="auto" w:sz="12" w:space="0"/>
            </w:tcBorders>
            <w:vAlign w:val="center"/>
          </w:tcPr>
          <w:p w14:paraId="1414F469">
            <w:pPr>
              <w:autoSpaceDE w:val="0"/>
              <w:autoSpaceDN w:val="0"/>
              <w:adjustRightInd w:val="0"/>
              <w:spacing w:line="312" w:lineRule="auto"/>
              <w:jc w:val="center"/>
              <w:rPr>
                <w:szCs w:val="21"/>
              </w:rPr>
            </w:pPr>
            <w:r>
              <w:t>Time</w:t>
            </w:r>
          </w:p>
        </w:tc>
      </w:tr>
      <w:tr w14:paraId="2B51EF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5" w:type="dxa"/>
            <w:vMerge w:val="continue"/>
            <w:tcBorders>
              <w:bottom w:val="single" w:color="auto" w:sz="12" w:space="0"/>
            </w:tcBorders>
            <w:vAlign w:val="center"/>
          </w:tcPr>
          <w:p w14:paraId="58FBE18B">
            <w:pPr>
              <w:autoSpaceDE w:val="0"/>
              <w:autoSpaceDN w:val="0"/>
              <w:adjustRightInd w:val="0"/>
              <w:spacing w:line="312" w:lineRule="auto"/>
              <w:jc w:val="center"/>
              <w:rPr>
                <w:szCs w:val="21"/>
              </w:rPr>
            </w:pPr>
          </w:p>
        </w:tc>
        <w:tc>
          <w:tcPr>
            <w:tcW w:w="815" w:type="dxa"/>
            <w:tcBorders>
              <w:top w:val="single" w:color="auto" w:sz="12" w:space="0"/>
              <w:bottom w:val="single" w:color="auto" w:sz="12" w:space="0"/>
            </w:tcBorders>
            <w:vAlign w:val="center"/>
          </w:tcPr>
          <w:p w14:paraId="2E3DF0DD">
            <w:pPr>
              <w:autoSpaceDE w:val="0"/>
              <w:autoSpaceDN w:val="0"/>
              <w:adjustRightInd w:val="0"/>
              <w:spacing w:line="312" w:lineRule="auto"/>
              <w:jc w:val="center"/>
              <w:rPr>
                <w:szCs w:val="21"/>
              </w:rPr>
            </w:pPr>
            <w:r>
              <w:rPr>
                <w:szCs w:val="21"/>
              </w:rPr>
              <w:t>24h</w:t>
            </w:r>
          </w:p>
        </w:tc>
        <w:tc>
          <w:tcPr>
            <w:tcW w:w="815" w:type="dxa"/>
            <w:tcBorders>
              <w:top w:val="single" w:color="auto" w:sz="12" w:space="0"/>
              <w:bottom w:val="single" w:color="auto" w:sz="12" w:space="0"/>
            </w:tcBorders>
            <w:vAlign w:val="center"/>
          </w:tcPr>
          <w:p w14:paraId="416C08C9">
            <w:pPr>
              <w:autoSpaceDE w:val="0"/>
              <w:autoSpaceDN w:val="0"/>
              <w:adjustRightInd w:val="0"/>
              <w:spacing w:line="312" w:lineRule="auto"/>
              <w:jc w:val="center"/>
              <w:rPr>
                <w:szCs w:val="21"/>
              </w:rPr>
            </w:pPr>
            <w:r>
              <w:rPr>
                <w:szCs w:val="21"/>
              </w:rPr>
              <w:t>16h</w:t>
            </w:r>
          </w:p>
        </w:tc>
        <w:tc>
          <w:tcPr>
            <w:tcW w:w="815" w:type="dxa"/>
            <w:tcBorders>
              <w:top w:val="single" w:color="auto" w:sz="12" w:space="0"/>
              <w:bottom w:val="single" w:color="auto" w:sz="12" w:space="0"/>
            </w:tcBorders>
            <w:vAlign w:val="center"/>
          </w:tcPr>
          <w:p w14:paraId="030649A2">
            <w:pPr>
              <w:autoSpaceDE w:val="0"/>
              <w:autoSpaceDN w:val="0"/>
              <w:adjustRightInd w:val="0"/>
              <w:spacing w:line="312" w:lineRule="auto"/>
              <w:jc w:val="center"/>
              <w:rPr>
                <w:szCs w:val="21"/>
              </w:rPr>
            </w:pPr>
            <w:r>
              <w:rPr>
                <w:szCs w:val="21"/>
              </w:rPr>
              <w:t>8h</w:t>
            </w:r>
          </w:p>
        </w:tc>
        <w:tc>
          <w:tcPr>
            <w:tcW w:w="815" w:type="dxa"/>
            <w:tcBorders>
              <w:top w:val="single" w:color="auto" w:sz="12" w:space="0"/>
              <w:bottom w:val="single" w:color="auto" w:sz="12" w:space="0"/>
            </w:tcBorders>
            <w:vAlign w:val="center"/>
          </w:tcPr>
          <w:p w14:paraId="2B9851DF">
            <w:pPr>
              <w:autoSpaceDE w:val="0"/>
              <w:autoSpaceDN w:val="0"/>
              <w:adjustRightInd w:val="0"/>
              <w:spacing w:line="312" w:lineRule="auto"/>
              <w:jc w:val="center"/>
              <w:rPr>
                <w:szCs w:val="21"/>
              </w:rPr>
            </w:pPr>
            <w:r>
              <w:rPr>
                <w:szCs w:val="21"/>
              </w:rPr>
              <w:t>4h</w:t>
            </w:r>
          </w:p>
        </w:tc>
        <w:tc>
          <w:tcPr>
            <w:tcW w:w="815" w:type="dxa"/>
            <w:tcBorders>
              <w:top w:val="single" w:color="auto" w:sz="12" w:space="0"/>
              <w:bottom w:val="single" w:color="auto" w:sz="12" w:space="0"/>
            </w:tcBorders>
            <w:vAlign w:val="center"/>
          </w:tcPr>
          <w:p w14:paraId="79E5E225">
            <w:pPr>
              <w:autoSpaceDE w:val="0"/>
              <w:autoSpaceDN w:val="0"/>
              <w:adjustRightInd w:val="0"/>
              <w:spacing w:line="312" w:lineRule="auto"/>
              <w:jc w:val="center"/>
              <w:rPr>
                <w:szCs w:val="21"/>
              </w:rPr>
            </w:pPr>
            <w:r>
              <w:rPr>
                <w:szCs w:val="21"/>
              </w:rPr>
              <w:t>2.5h</w:t>
            </w:r>
          </w:p>
        </w:tc>
        <w:tc>
          <w:tcPr>
            <w:tcW w:w="815" w:type="dxa"/>
            <w:tcBorders>
              <w:top w:val="single" w:color="auto" w:sz="12" w:space="0"/>
              <w:bottom w:val="single" w:color="auto" w:sz="12" w:space="0"/>
            </w:tcBorders>
            <w:vAlign w:val="center"/>
          </w:tcPr>
          <w:p w14:paraId="50E2ADA4">
            <w:pPr>
              <w:autoSpaceDE w:val="0"/>
              <w:autoSpaceDN w:val="0"/>
              <w:adjustRightInd w:val="0"/>
              <w:spacing w:line="312" w:lineRule="auto"/>
              <w:jc w:val="center"/>
              <w:rPr>
                <w:szCs w:val="21"/>
              </w:rPr>
            </w:pPr>
            <w:r>
              <w:rPr>
                <w:szCs w:val="21"/>
              </w:rPr>
              <w:t>1h</w:t>
            </w:r>
          </w:p>
        </w:tc>
        <w:tc>
          <w:tcPr>
            <w:tcW w:w="816" w:type="dxa"/>
            <w:tcBorders>
              <w:top w:val="single" w:color="auto" w:sz="12" w:space="0"/>
              <w:bottom w:val="single" w:color="auto" w:sz="12" w:space="0"/>
            </w:tcBorders>
            <w:vAlign w:val="center"/>
          </w:tcPr>
          <w:p w14:paraId="3F965931">
            <w:pPr>
              <w:autoSpaceDE w:val="0"/>
              <w:autoSpaceDN w:val="0"/>
              <w:adjustRightInd w:val="0"/>
              <w:spacing w:line="312" w:lineRule="auto"/>
              <w:jc w:val="center"/>
              <w:rPr>
                <w:szCs w:val="21"/>
              </w:rPr>
            </w:pPr>
            <w:r>
              <w:rPr>
                <w:szCs w:val="21"/>
              </w:rPr>
              <w:t>25min</w:t>
            </w:r>
          </w:p>
        </w:tc>
        <w:tc>
          <w:tcPr>
            <w:tcW w:w="816" w:type="dxa"/>
            <w:tcBorders>
              <w:top w:val="single" w:color="auto" w:sz="12" w:space="0"/>
              <w:bottom w:val="single" w:color="auto" w:sz="12" w:space="0"/>
            </w:tcBorders>
            <w:vAlign w:val="center"/>
          </w:tcPr>
          <w:p w14:paraId="6606B0EB">
            <w:pPr>
              <w:autoSpaceDE w:val="0"/>
              <w:autoSpaceDN w:val="0"/>
              <w:adjustRightInd w:val="0"/>
              <w:spacing w:line="312" w:lineRule="auto"/>
              <w:jc w:val="center"/>
              <w:rPr>
                <w:szCs w:val="21"/>
              </w:rPr>
            </w:pPr>
            <w:r>
              <w:rPr>
                <w:szCs w:val="21"/>
              </w:rPr>
              <w:t>16min</w:t>
            </w:r>
          </w:p>
        </w:tc>
        <w:tc>
          <w:tcPr>
            <w:tcW w:w="816" w:type="dxa"/>
            <w:tcBorders>
              <w:top w:val="single" w:color="auto" w:sz="12" w:space="0"/>
              <w:bottom w:val="single" w:color="auto" w:sz="12" w:space="0"/>
            </w:tcBorders>
            <w:vAlign w:val="center"/>
          </w:tcPr>
          <w:p w14:paraId="54864D33">
            <w:pPr>
              <w:autoSpaceDE w:val="0"/>
              <w:autoSpaceDN w:val="0"/>
              <w:adjustRightInd w:val="0"/>
              <w:spacing w:line="312" w:lineRule="auto"/>
              <w:jc w:val="center"/>
              <w:rPr>
                <w:szCs w:val="21"/>
              </w:rPr>
            </w:pPr>
            <w:r>
              <w:rPr>
                <w:szCs w:val="21"/>
              </w:rPr>
              <w:t>1min</w:t>
            </w:r>
          </w:p>
        </w:tc>
      </w:tr>
      <w:tr w14:paraId="33BD7C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5" w:type="dxa"/>
            <w:tcBorders>
              <w:top w:val="single" w:color="auto" w:sz="12" w:space="0"/>
              <w:bottom w:val="nil"/>
            </w:tcBorders>
            <w:vAlign w:val="center"/>
          </w:tcPr>
          <w:p w14:paraId="7E7B0D33">
            <w:pPr>
              <w:autoSpaceDE w:val="0"/>
              <w:autoSpaceDN w:val="0"/>
              <w:adjustRightInd w:val="0"/>
              <w:spacing w:line="312" w:lineRule="auto"/>
              <w:jc w:val="center"/>
              <w:rPr>
                <w:szCs w:val="21"/>
              </w:rPr>
            </w:pPr>
            <w:r>
              <w:rPr>
                <w:szCs w:val="21"/>
              </w:rPr>
              <w:t>I</w:t>
            </w:r>
          </w:p>
        </w:tc>
        <w:tc>
          <w:tcPr>
            <w:tcW w:w="815" w:type="dxa"/>
            <w:tcBorders>
              <w:top w:val="single" w:color="auto" w:sz="12" w:space="0"/>
              <w:bottom w:val="nil"/>
            </w:tcBorders>
            <w:vAlign w:val="center"/>
          </w:tcPr>
          <w:p w14:paraId="12BA555D">
            <w:pPr>
              <w:autoSpaceDE w:val="0"/>
              <w:autoSpaceDN w:val="0"/>
              <w:adjustRightInd w:val="0"/>
              <w:spacing w:line="312" w:lineRule="auto"/>
              <w:jc w:val="center"/>
              <w:rPr>
                <w:szCs w:val="21"/>
              </w:rPr>
            </w:pPr>
            <w:r>
              <w:rPr>
                <w:rFonts w:hint="eastAsia"/>
                <w:szCs w:val="21"/>
              </w:rPr>
              <w:t>0.030</w:t>
            </w:r>
          </w:p>
        </w:tc>
        <w:tc>
          <w:tcPr>
            <w:tcW w:w="815" w:type="dxa"/>
            <w:tcBorders>
              <w:top w:val="single" w:color="auto" w:sz="12" w:space="0"/>
              <w:bottom w:val="nil"/>
            </w:tcBorders>
            <w:vAlign w:val="center"/>
          </w:tcPr>
          <w:p w14:paraId="1927691D">
            <w:pPr>
              <w:autoSpaceDE w:val="0"/>
              <w:autoSpaceDN w:val="0"/>
              <w:adjustRightInd w:val="0"/>
              <w:spacing w:line="312" w:lineRule="auto"/>
              <w:jc w:val="center"/>
              <w:rPr>
                <w:szCs w:val="21"/>
              </w:rPr>
            </w:pPr>
            <w:r>
              <w:rPr>
                <w:rFonts w:hint="eastAsia"/>
                <w:szCs w:val="21"/>
              </w:rPr>
              <w:t>0.050</w:t>
            </w:r>
          </w:p>
        </w:tc>
        <w:tc>
          <w:tcPr>
            <w:tcW w:w="815" w:type="dxa"/>
            <w:tcBorders>
              <w:top w:val="single" w:color="auto" w:sz="12" w:space="0"/>
              <w:bottom w:val="nil"/>
            </w:tcBorders>
            <w:vAlign w:val="center"/>
          </w:tcPr>
          <w:p w14:paraId="0885C729">
            <w:pPr>
              <w:autoSpaceDE w:val="0"/>
              <w:autoSpaceDN w:val="0"/>
              <w:adjustRightInd w:val="0"/>
              <w:spacing w:line="312" w:lineRule="auto"/>
              <w:jc w:val="center"/>
              <w:rPr>
                <w:szCs w:val="21"/>
              </w:rPr>
            </w:pPr>
            <w:r>
              <w:rPr>
                <w:rFonts w:hint="eastAsia"/>
                <w:szCs w:val="21"/>
              </w:rPr>
              <w:t>0.070</w:t>
            </w:r>
          </w:p>
        </w:tc>
        <w:tc>
          <w:tcPr>
            <w:tcW w:w="815" w:type="dxa"/>
            <w:tcBorders>
              <w:top w:val="single" w:color="auto" w:sz="12" w:space="0"/>
              <w:bottom w:val="nil"/>
            </w:tcBorders>
            <w:vAlign w:val="center"/>
          </w:tcPr>
          <w:p w14:paraId="45E719F2">
            <w:pPr>
              <w:autoSpaceDE w:val="0"/>
              <w:autoSpaceDN w:val="0"/>
              <w:adjustRightInd w:val="0"/>
              <w:spacing w:line="312" w:lineRule="auto"/>
              <w:jc w:val="center"/>
              <w:rPr>
                <w:szCs w:val="21"/>
              </w:rPr>
            </w:pPr>
            <w:r>
              <w:rPr>
                <w:rFonts w:hint="eastAsia"/>
                <w:szCs w:val="21"/>
              </w:rPr>
              <w:t>0.110</w:t>
            </w:r>
          </w:p>
        </w:tc>
        <w:tc>
          <w:tcPr>
            <w:tcW w:w="815" w:type="dxa"/>
            <w:tcBorders>
              <w:top w:val="single" w:color="auto" w:sz="12" w:space="0"/>
              <w:bottom w:val="nil"/>
            </w:tcBorders>
            <w:vAlign w:val="center"/>
          </w:tcPr>
          <w:p w14:paraId="08908DCE">
            <w:pPr>
              <w:autoSpaceDE w:val="0"/>
              <w:autoSpaceDN w:val="0"/>
              <w:adjustRightInd w:val="0"/>
              <w:spacing w:line="312" w:lineRule="auto"/>
              <w:jc w:val="center"/>
              <w:rPr>
                <w:szCs w:val="21"/>
              </w:rPr>
            </w:pPr>
            <w:r>
              <w:rPr>
                <w:rFonts w:hint="eastAsia"/>
                <w:szCs w:val="21"/>
              </w:rPr>
              <w:t>0.160</w:t>
            </w:r>
          </w:p>
        </w:tc>
        <w:tc>
          <w:tcPr>
            <w:tcW w:w="815" w:type="dxa"/>
            <w:tcBorders>
              <w:top w:val="single" w:color="auto" w:sz="12" w:space="0"/>
              <w:bottom w:val="nil"/>
            </w:tcBorders>
            <w:vAlign w:val="center"/>
          </w:tcPr>
          <w:p w14:paraId="4E7565B8">
            <w:pPr>
              <w:autoSpaceDE w:val="0"/>
              <w:autoSpaceDN w:val="0"/>
              <w:adjustRightInd w:val="0"/>
              <w:spacing w:line="312" w:lineRule="auto"/>
              <w:jc w:val="center"/>
              <w:rPr>
                <w:szCs w:val="21"/>
              </w:rPr>
            </w:pPr>
            <w:r>
              <w:rPr>
                <w:rFonts w:hint="eastAsia"/>
                <w:szCs w:val="21"/>
              </w:rPr>
              <w:t>0.270</w:t>
            </w:r>
          </w:p>
        </w:tc>
        <w:tc>
          <w:tcPr>
            <w:tcW w:w="816" w:type="dxa"/>
            <w:tcBorders>
              <w:top w:val="single" w:color="auto" w:sz="12" w:space="0"/>
              <w:bottom w:val="nil"/>
            </w:tcBorders>
            <w:vAlign w:val="center"/>
          </w:tcPr>
          <w:p w14:paraId="077B817B">
            <w:pPr>
              <w:autoSpaceDE w:val="0"/>
              <w:autoSpaceDN w:val="0"/>
              <w:adjustRightInd w:val="0"/>
              <w:spacing w:line="312" w:lineRule="auto"/>
              <w:jc w:val="center"/>
              <w:rPr>
                <w:szCs w:val="21"/>
              </w:rPr>
            </w:pPr>
            <w:r>
              <w:rPr>
                <w:rFonts w:hint="eastAsia"/>
                <w:szCs w:val="21"/>
              </w:rPr>
              <w:t>0.400</w:t>
            </w:r>
          </w:p>
        </w:tc>
        <w:tc>
          <w:tcPr>
            <w:tcW w:w="816" w:type="dxa"/>
            <w:tcBorders>
              <w:top w:val="single" w:color="auto" w:sz="12" w:space="0"/>
              <w:bottom w:val="nil"/>
            </w:tcBorders>
            <w:vAlign w:val="center"/>
          </w:tcPr>
          <w:p w14:paraId="5E26C695">
            <w:pPr>
              <w:autoSpaceDE w:val="0"/>
              <w:autoSpaceDN w:val="0"/>
              <w:adjustRightInd w:val="0"/>
              <w:spacing w:line="312" w:lineRule="auto"/>
              <w:jc w:val="center"/>
              <w:rPr>
                <w:szCs w:val="21"/>
              </w:rPr>
            </w:pPr>
            <w:r>
              <w:rPr>
                <w:rFonts w:hint="eastAsia"/>
                <w:szCs w:val="21"/>
              </w:rPr>
              <w:t>0.480</w:t>
            </w:r>
          </w:p>
        </w:tc>
        <w:tc>
          <w:tcPr>
            <w:tcW w:w="816" w:type="dxa"/>
            <w:tcBorders>
              <w:top w:val="single" w:color="auto" w:sz="12" w:space="0"/>
              <w:bottom w:val="nil"/>
            </w:tcBorders>
            <w:vAlign w:val="center"/>
          </w:tcPr>
          <w:p w14:paraId="231E3C5C">
            <w:pPr>
              <w:autoSpaceDE w:val="0"/>
              <w:autoSpaceDN w:val="0"/>
              <w:adjustRightInd w:val="0"/>
              <w:spacing w:line="312" w:lineRule="auto"/>
              <w:jc w:val="center"/>
              <w:rPr>
                <w:szCs w:val="21"/>
              </w:rPr>
            </w:pPr>
            <w:r>
              <w:rPr>
                <w:rFonts w:hint="eastAsia"/>
                <w:szCs w:val="21"/>
              </w:rPr>
              <w:t>0.630</w:t>
            </w:r>
          </w:p>
        </w:tc>
      </w:tr>
      <w:tr w14:paraId="7AECDB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5" w:type="dxa"/>
            <w:tcBorders>
              <w:top w:val="nil"/>
            </w:tcBorders>
            <w:vAlign w:val="center"/>
          </w:tcPr>
          <w:p w14:paraId="5F90A3B0">
            <w:pPr>
              <w:autoSpaceDE w:val="0"/>
              <w:autoSpaceDN w:val="0"/>
              <w:adjustRightInd w:val="0"/>
              <w:spacing w:line="312" w:lineRule="auto"/>
              <w:jc w:val="center"/>
              <w:rPr>
                <w:szCs w:val="21"/>
              </w:rPr>
            </w:pPr>
            <w:r>
              <w:rPr>
                <w:szCs w:val="21"/>
              </w:rPr>
              <w:t>II</w:t>
            </w:r>
          </w:p>
        </w:tc>
        <w:tc>
          <w:tcPr>
            <w:tcW w:w="815" w:type="dxa"/>
            <w:tcBorders>
              <w:top w:val="nil"/>
            </w:tcBorders>
            <w:vAlign w:val="center"/>
          </w:tcPr>
          <w:p w14:paraId="7B4ED866">
            <w:pPr>
              <w:autoSpaceDE w:val="0"/>
              <w:autoSpaceDN w:val="0"/>
              <w:adjustRightInd w:val="0"/>
              <w:spacing w:line="312" w:lineRule="auto"/>
              <w:jc w:val="center"/>
              <w:rPr>
                <w:szCs w:val="21"/>
              </w:rPr>
            </w:pPr>
            <w:r>
              <w:rPr>
                <w:rFonts w:hint="eastAsia"/>
                <w:szCs w:val="21"/>
              </w:rPr>
              <w:t>0.095</w:t>
            </w:r>
          </w:p>
        </w:tc>
        <w:tc>
          <w:tcPr>
            <w:tcW w:w="815" w:type="dxa"/>
            <w:tcBorders>
              <w:top w:val="nil"/>
            </w:tcBorders>
            <w:vAlign w:val="center"/>
          </w:tcPr>
          <w:p w14:paraId="15992202">
            <w:pPr>
              <w:autoSpaceDE w:val="0"/>
              <w:autoSpaceDN w:val="0"/>
              <w:adjustRightInd w:val="0"/>
              <w:spacing w:line="312" w:lineRule="auto"/>
              <w:jc w:val="center"/>
              <w:rPr>
                <w:szCs w:val="21"/>
              </w:rPr>
            </w:pPr>
            <w:r>
              <w:rPr>
                <w:rFonts w:hint="eastAsia"/>
                <w:szCs w:val="21"/>
              </w:rPr>
              <w:t>0.158</w:t>
            </w:r>
          </w:p>
        </w:tc>
        <w:tc>
          <w:tcPr>
            <w:tcW w:w="815" w:type="dxa"/>
            <w:tcBorders>
              <w:top w:val="nil"/>
            </w:tcBorders>
            <w:vAlign w:val="center"/>
          </w:tcPr>
          <w:p w14:paraId="7C8F123E">
            <w:pPr>
              <w:autoSpaceDE w:val="0"/>
              <w:autoSpaceDN w:val="0"/>
              <w:adjustRightInd w:val="0"/>
              <w:spacing w:line="312" w:lineRule="auto"/>
              <w:jc w:val="center"/>
              <w:rPr>
                <w:szCs w:val="21"/>
              </w:rPr>
            </w:pPr>
            <w:r>
              <w:rPr>
                <w:rFonts w:hint="eastAsia"/>
                <w:szCs w:val="21"/>
              </w:rPr>
              <w:t>0.221</w:t>
            </w:r>
          </w:p>
        </w:tc>
        <w:tc>
          <w:tcPr>
            <w:tcW w:w="815" w:type="dxa"/>
            <w:tcBorders>
              <w:top w:val="nil"/>
            </w:tcBorders>
            <w:vAlign w:val="center"/>
          </w:tcPr>
          <w:p w14:paraId="66618695">
            <w:pPr>
              <w:autoSpaceDE w:val="0"/>
              <w:autoSpaceDN w:val="0"/>
              <w:adjustRightInd w:val="0"/>
              <w:spacing w:line="312" w:lineRule="auto"/>
              <w:jc w:val="center"/>
              <w:rPr>
                <w:szCs w:val="21"/>
              </w:rPr>
            </w:pPr>
            <w:r>
              <w:rPr>
                <w:rFonts w:hint="eastAsia"/>
                <w:szCs w:val="21"/>
              </w:rPr>
              <w:t>0.347</w:t>
            </w:r>
          </w:p>
        </w:tc>
        <w:tc>
          <w:tcPr>
            <w:tcW w:w="815" w:type="dxa"/>
            <w:tcBorders>
              <w:top w:val="nil"/>
            </w:tcBorders>
            <w:vAlign w:val="center"/>
          </w:tcPr>
          <w:p w14:paraId="3B9FB6B9">
            <w:pPr>
              <w:autoSpaceDE w:val="0"/>
              <w:autoSpaceDN w:val="0"/>
              <w:adjustRightInd w:val="0"/>
              <w:spacing w:line="312" w:lineRule="auto"/>
              <w:jc w:val="center"/>
              <w:rPr>
                <w:szCs w:val="21"/>
              </w:rPr>
            </w:pPr>
            <w:r>
              <w:rPr>
                <w:rFonts w:hint="eastAsia"/>
                <w:szCs w:val="21"/>
              </w:rPr>
              <w:t>0.504</w:t>
            </w:r>
          </w:p>
        </w:tc>
        <w:tc>
          <w:tcPr>
            <w:tcW w:w="815" w:type="dxa"/>
            <w:tcBorders>
              <w:top w:val="nil"/>
            </w:tcBorders>
            <w:vAlign w:val="center"/>
          </w:tcPr>
          <w:p w14:paraId="07EE11FA">
            <w:pPr>
              <w:autoSpaceDE w:val="0"/>
              <w:autoSpaceDN w:val="0"/>
              <w:adjustRightInd w:val="0"/>
              <w:spacing w:line="312" w:lineRule="auto"/>
              <w:jc w:val="center"/>
              <w:rPr>
                <w:szCs w:val="21"/>
              </w:rPr>
            </w:pPr>
            <w:r>
              <w:rPr>
                <w:rFonts w:hint="eastAsia"/>
                <w:szCs w:val="21"/>
              </w:rPr>
              <w:t>0.851</w:t>
            </w:r>
          </w:p>
        </w:tc>
        <w:tc>
          <w:tcPr>
            <w:tcW w:w="816" w:type="dxa"/>
            <w:tcBorders>
              <w:top w:val="nil"/>
            </w:tcBorders>
            <w:vAlign w:val="center"/>
          </w:tcPr>
          <w:p w14:paraId="4D2D1079">
            <w:pPr>
              <w:autoSpaceDE w:val="0"/>
              <w:autoSpaceDN w:val="0"/>
              <w:adjustRightInd w:val="0"/>
              <w:spacing w:line="312" w:lineRule="auto"/>
              <w:jc w:val="center"/>
              <w:rPr>
                <w:szCs w:val="21"/>
              </w:rPr>
            </w:pPr>
            <w:r>
              <w:rPr>
                <w:rFonts w:hint="eastAsia"/>
                <w:szCs w:val="21"/>
              </w:rPr>
              <w:t>1.260</w:t>
            </w:r>
          </w:p>
        </w:tc>
        <w:tc>
          <w:tcPr>
            <w:tcW w:w="816" w:type="dxa"/>
            <w:tcBorders>
              <w:top w:val="nil"/>
            </w:tcBorders>
            <w:vAlign w:val="center"/>
          </w:tcPr>
          <w:p w14:paraId="5A5B8E5F">
            <w:pPr>
              <w:autoSpaceDE w:val="0"/>
              <w:autoSpaceDN w:val="0"/>
              <w:adjustRightInd w:val="0"/>
              <w:spacing w:line="312" w:lineRule="auto"/>
              <w:jc w:val="center"/>
              <w:rPr>
                <w:szCs w:val="21"/>
              </w:rPr>
            </w:pPr>
            <w:r>
              <w:rPr>
                <w:rFonts w:hint="eastAsia"/>
                <w:szCs w:val="21"/>
              </w:rPr>
              <w:t>1.512</w:t>
            </w:r>
          </w:p>
        </w:tc>
        <w:tc>
          <w:tcPr>
            <w:tcW w:w="816" w:type="dxa"/>
            <w:tcBorders>
              <w:top w:val="nil"/>
            </w:tcBorders>
            <w:vAlign w:val="center"/>
          </w:tcPr>
          <w:p w14:paraId="4A33073D">
            <w:pPr>
              <w:autoSpaceDE w:val="0"/>
              <w:autoSpaceDN w:val="0"/>
              <w:adjustRightInd w:val="0"/>
              <w:spacing w:line="312" w:lineRule="auto"/>
              <w:jc w:val="center"/>
              <w:rPr>
                <w:szCs w:val="21"/>
              </w:rPr>
            </w:pPr>
            <w:r>
              <w:rPr>
                <w:rFonts w:hint="eastAsia"/>
                <w:szCs w:val="21"/>
              </w:rPr>
              <w:t>1.985</w:t>
            </w:r>
          </w:p>
        </w:tc>
      </w:tr>
      <w:tr w14:paraId="609676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5" w:type="dxa"/>
            <w:vAlign w:val="center"/>
          </w:tcPr>
          <w:p w14:paraId="52242E43">
            <w:pPr>
              <w:autoSpaceDE w:val="0"/>
              <w:autoSpaceDN w:val="0"/>
              <w:adjustRightInd w:val="0"/>
              <w:spacing w:line="312" w:lineRule="auto"/>
              <w:jc w:val="center"/>
              <w:rPr>
                <w:szCs w:val="21"/>
              </w:rPr>
            </w:pPr>
            <w:r>
              <w:rPr>
                <w:szCs w:val="21"/>
              </w:rPr>
              <w:t>III</w:t>
            </w:r>
          </w:p>
        </w:tc>
        <w:tc>
          <w:tcPr>
            <w:tcW w:w="815" w:type="dxa"/>
            <w:vAlign w:val="center"/>
          </w:tcPr>
          <w:p w14:paraId="4D1BED64">
            <w:pPr>
              <w:autoSpaceDE w:val="0"/>
              <w:autoSpaceDN w:val="0"/>
              <w:adjustRightInd w:val="0"/>
              <w:spacing w:line="312" w:lineRule="auto"/>
              <w:jc w:val="center"/>
              <w:rPr>
                <w:szCs w:val="21"/>
              </w:rPr>
            </w:pPr>
            <w:r>
              <w:rPr>
                <w:rFonts w:hint="eastAsia"/>
                <w:szCs w:val="21"/>
              </w:rPr>
              <w:t>0.190</w:t>
            </w:r>
          </w:p>
        </w:tc>
        <w:tc>
          <w:tcPr>
            <w:tcW w:w="815" w:type="dxa"/>
            <w:vAlign w:val="center"/>
          </w:tcPr>
          <w:p w14:paraId="52AD0758">
            <w:pPr>
              <w:autoSpaceDE w:val="0"/>
              <w:autoSpaceDN w:val="0"/>
              <w:adjustRightInd w:val="0"/>
              <w:spacing w:line="312" w:lineRule="auto"/>
              <w:jc w:val="center"/>
              <w:rPr>
                <w:szCs w:val="21"/>
              </w:rPr>
            </w:pPr>
            <w:r>
              <w:rPr>
                <w:rFonts w:hint="eastAsia"/>
                <w:szCs w:val="21"/>
              </w:rPr>
              <w:t>0.316</w:t>
            </w:r>
          </w:p>
        </w:tc>
        <w:tc>
          <w:tcPr>
            <w:tcW w:w="815" w:type="dxa"/>
            <w:vAlign w:val="center"/>
          </w:tcPr>
          <w:p w14:paraId="5FCCFCC9">
            <w:pPr>
              <w:autoSpaceDE w:val="0"/>
              <w:autoSpaceDN w:val="0"/>
              <w:adjustRightInd w:val="0"/>
              <w:spacing w:line="312" w:lineRule="auto"/>
              <w:jc w:val="center"/>
              <w:rPr>
                <w:szCs w:val="21"/>
              </w:rPr>
            </w:pPr>
            <w:r>
              <w:rPr>
                <w:rFonts w:hint="eastAsia"/>
                <w:szCs w:val="21"/>
              </w:rPr>
              <w:t>0.442</w:t>
            </w:r>
          </w:p>
        </w:tc>
        <w:tc>
          <w:tcPr>
            <w:tcW w:w="815" w:type="dxa"/>
            <w:vAlign w:val="center"/>
          </w:tcPr>
          <w:p w14:paraId="2017B935">
            <w:pPr>
              <w:autoSpaceDE w:val="0"/>
              <w:autoSpaceDN w:val="0"/>
              <w:adjustRightInd w:val="0"/>
              <w:spacing w:line="312" w:lineRule="auto"/>
              <w:jc w:val="center"/>
              <w:rPr>
                <w:szCs w:val="21"/>
              </w:rPr>
            </w:pPr>
            <w:r>
              <w:rPr>
                <w:rFonts w:hint="eastAsia"/>
                <w:szCs w:val="21"/>
              </w:rPr>
              <w:t>0.694</w:t>
            </w:r>
          </w:p>
        </w:tc>
        <w:tc>
          <w:tcPr>
            <w:tcW w:w="815" w:type="dxa"/>
            <w:vAlign w:val="center"/>
          </w:tcPr>
          <w:p w14:paraId="62CAA93D">
            <w:pPr>
              <w:autoSpaceDE w:val="0"/>
              <w:autoSpaceDN w:val="0"/>
              <w:adjustRightInd w:val="0"/>
              <w:spacing w:line="312" w:lineRule="auto"/>
              <w:jc w:val="center"/>
              <w:rPr>
                <w:szCs w:val="21"/>
              </w:rPr>
            </w:pPr>
            <w:r>
              <w:rPr>
                <w:rFonts w:hint="eastAsia"/>
                <w:szCs w:val="21"/>
              </w:rPr>
              <w:t>1.008</w:t>
            </w:r>
          </w:p>
        </w:tc>
        <w:tc>
          <w:tcPr>
            <w:tcW w:w="815" w:type="dxa"/>
            <w:vAlign w:val="center"/>
          </w:tcPr>
          <w:p w14:paraId="7FD7DB0F">
            <w:pPr>
              <w:autoSpaceDE w:val="0"/>
              <w:autoSpaceDN w:val="0"/>
              <w:adjustRightInd w:val="0"/>
              <w:spacing w:line="312" w:lineRule="auto"/>
              <w:jc w:val="center"/>
              <w:rPr>
                <w:szCs w:val="21"/>
              </w:rPr>
            </w:pPr>
            <w:r>
              <w:rPr>
                <w:rFonts w:hint="eastAsia"/>
                <w:szCs w:val="21"/>
              </w:rPr>
              <w:t>1.702</w:t>
            </w:r>
          </w:p>
        </w:tc>
        <w:tc>
          <w:tcPr>
            <w:tcW w:w="816" w:type="dxa"/>
            <w:vAlign w:val="center"/>
          </w:tcPr>
          <w:p w14:paraId="53A6C40D">
            <w:pPr>
              <w:autoSpaceDE w:val="0"/>
              <w:autoSpaceDN w:val="0"/>
              <w:adjustRightInd w:val="0"/>
              <w:spacing w:line="312" w:lineRule="auto"/>
              <w:jc w:val="center"/>
              <w:rPr>
                <w:szCs w:val="21"/>
              </w:rPr>
            </w:pPr>
            <w:r>
              <w:rPr>
                <w:rFonts w:hint="eastAsia"/>
                <w:szCs w:val="21"/>
              </w:rPr>
              <w:t>2.520</w:t>
            </w:r>
          </w:p>
        </w:tc>
        <w:tc>
          <w:tcPr>
            <w:tcW w:w="816" w:type="dxa"/>
            <w:vAlign w:val="center"/>
          </w:tcPr>
          <w:p w14:paraId="7F91B735">
            <w:pPr>
              <w:autoSpaceDE w:val="0"/>
              <w:autoSpaceDN w:val="0"/>
              <w:adjustRightInd w:val="0"/>
              <w:spacing w:line="312" w:lineRule="auto"/>
              <w:jc w:val="center"/>
              <w:rPr>
                <w:szCs w:val="21"/>
              </w:rPr>
            </w:pPr>
            <w:r>
              <w:rPr>
                <w:rFonts w:hint="eastAsia"/>
                <w:szCs w:val="21"/>
              </w:rPr>
              <w:t>3.024</w:t>
            </w:r>
          </w:p>
        </w:tc>
        <w:tc>
          <w:tcPr>
            <w:tcW w:w="816" w:type="dxa"/>
            <w:vAlign w:val="center"/>
          </w:tcPr>
          <w:p w14:paraId="6025209C">
            <w:pPr>
              <w:autoSpaceDE w:val="0"/>
              <w:autoSpaceDN w:val="0"/>
              <w:adjustRightInd w:val="0"/>
              <w:spacing w:line="312" w:lineRule="auto"/>
              <w:jc w:val="center"/>
              <w:rPr>
                <w:szCs w:val="21"/>
              </w:rPr>
            </w:pPr>
            <w:r>
              <w:rPr>
                <w:rFonts w:hint="eastAsia"/>
                <w:szCs w:val="21"/>
              </w:rPr>
              <w:t>3.970</w:t>
            </w:r>
          </w:p>
        </w:tc>
      </w:tr>
    </w:tbl>
    <w:p w14:paraId="2F7BB744">
      <w:pPr>
        <w:pStyle w:val="16"/>
        <w:spacing w:before="31" w:after="31"/>
        <w:ind w:firstLine="480"/>
        <w:rPr>
          <w:szCs w:val="24"/>
        </w:rPr>
      </w:pPr>
      <w:r>
        <w:rPr>
          <w:szCs w:val="24"/>
        </w:rPr>
        <w:t>Note: I represents the comfort limit, II represents the efficiency reduction limit, and III represents the exposure limit. The relationship between numerical values is II is 3.15 times I, and III is 2 times II.</w:t>
      </w:r>
    </w:p>
    <w:p w14:paraId="4A6F9351">
      <w:pPr>
        <w:pStyle w:val="16"/>
        <w:spacing w:before="31" w:after="31"/>
        <w:ind w:firstLine="480"/>
        <w:rPr>
          <w:szCs w:val="24"/>
        </w:rPr>
      </w:pPr>
      <w:r>
        <w:rPr>
          <w:szCs w:val="24"/>
        </w:rPr>
        <w:t>Monitoring shows that the platform vibrates mainly in the horizontal direction under ice-induced actions, and the platform vibration response is mainly concentrated at the structural fundamental frequency. What workers mainly feel should be the acceleration of the structural fundamental frequency. For flexible conductor frame platforms in the Bohai Sea, their fundamental frequency is generally around 1 Hz. Based on the above analysis, as long as the vibration acceleration amplitude and duration are clear, the impact of ice-induced vibrations on the workers on the platform can be evaluated in combination with the standards. According to the winter monitoring data of JZ20-2MUQ and MSW anti-icing platforms, the average equivalent exposure times are 4.1 hours and 4.33 hours, and the average equivalent exposure accelerations are 0.29 m/s2 and 0.37 m/s2, respectively.</w:t>
      </w:r>
    </w:p>
    <w:p w14:paraId="1CC0429A">
      <w:pPr>
        <w:pStyle w:val="16"/>
        <w:spacing w:before="31" w:after="31"/>
        <w:ind w:firstLine="480"/>
        <w:rPr>
          <w:szCs w:val="24"/>
        </w:rPr>
      </w:pPr>
      <w:r>
        <w:rPr>
          <w:szCs w:val="24"/>
        </w:rPr>
        <w:t>From the results of data processing and comparison with national standards, the following conclusions can be drawn: under normal ice vibration conditions, for the JZ20-MUQ platform, the equivalent vibration duration of 4 hours exceeds the comfort limit for personnel, while the equivalent exposure acceleration value for the JZ20-2MSW platform has already exceeded the efficiency reduction limit. It can be seen that during ice vibration periods, workers on the anti-icing platform may experience discomfort due to ice-induced vibrations, and it may even reduce the efficiency of personnel.</w:t>
      </w:r>
    </w:p>
    <w:p w14:paraId="74395A19">
      <w:pPr>
        <w:pStyle w:val="16"/>
        <w:spacing w:before="31" w:after="31"/>
        <w:ind w:firstLine="0" w:firstLineChars="0"/>
        <w:rPr>
          <w:szCs w:val="24"/>
        </w:rPr>
      </w:pPr>
      <w:r>
        <w:rPr>
          <w:szCs w:val="24"/>
        </w:rPr>
        <w:t>(8) Conclusion and Improvement Measures</w:t>
      </w:r>
    </w:p>
    <w:p w14:paraId="675370CA">
      <w:pPr>
        <w:pStyle w:val="16"/>
        <w:spacing w:before="31" w:after="31"/>
        <w:ind w:firstLine="480"/>
        <w:rPr>
          <w:szCs w:val="24"/>
        </w:rPr>
      </w:pPr>
      <w:r>
        <w:rPr>
          <w:szCs w:val="24"/>
        </w:rPr>
        <w:t>Based on the above analysis, the main failure modes of ice-resistant offshore platforms can be summarized into three types:</w:t>
      </w:r>
    </w:p>
    <w:p w14:paraId="7518722D">
      <w:pPr>
        <w:pStyle w:val="16"/>
        <w:spacing w:before="31" w:after="31"/>
        <w:ind w:firstLine="480"/>
        <w:rPr>
          <w:szCs w:val="24"/>
        </w:rPr>
      </w:pPr>
      <w:r>
        <w:rPr>
          <w:szCs w:val="24"/>
        </w:rPr>
        <w:t>Structural failure mode, including overall structural failure under extreme ice loads, such as maximum deformation or strength exceeding the limit value under extreme static ice loads, leading to structural failure; fatigue failure of conductor frame structure under conventional dynamic ice loads.</w:t>
      </w:r>
    </w:p>
    <w:p w14:paraId="35E6D915">
      <w:pPr>
        <w:pStyle w:val="16"/>
        <w:spacing w:before="31" w:after="31"/>
        <w:ind w:firstLine="480"/>
        <w:rPr>
          <w:szCs w:val="24"/>
        </w:rPr>
      </w:pPr>
      <w:r>
        <w:rPr>
          <w:szCs w:val="24"/>
        </w:rPr>
        <w:t>Personnel perception failure mode, mainly the discomfort felt by workers due to platform deck vibration under dynamic ice loads, affecting work efficiency and even damaging human health.</w:t>
      </w:r>
    </w:p>
    <w:p w14:paraId="4916D9A0">
      <w:pPr>
        <w:pStyle w:val="16"/>
        <w:spacing w:before="31" w:after="31"/>
        <w:ind w:firstLine="480"/>
        <w:rPr>
          <w:szCs w:val="24"/>
        </w:rPr>
      </w:pPr>
      <w:r>
        <w:rPr>
          <w:szCs w:val="24"/>
        </w:rPr>
        <w:t>Upper facility failure mode, where intense and sustained vibrations of the platform under dynamic ice loads cause pipeline fractures and flange loosening, affecting the normal performance of facilities.</w:t>
      </w:r>
    </w:p>
    <w:p w14:paraId="7D0300EF">
      <w:pPr>
        <w:pStyle w:val="16"/>
        <w:spacing w:before="31" w:after="31"/>
        <w:ind w:firstLine="480"/>
        <w:rPr>
          <w:szCs w:val="24"/>
        </w:rPr>
      </w:pPr>
      <w:r>
        <w:rPr>
          <w:szCs w:val="24"/>
        </w:rPr>
        <w:t>Various failure modes and discrimination indicators are summarized in Table 4-11.</w:t>
      </w:r>
    </w:p>
    <w:p w14:paraId="4A7FBA60">
      <w:pPr>
        <w:pStyle w:val="16"/>
        <w:spacing w:before="31" w:after="31"/>
        <w:ind w:firstLine="482"/>
        <w:jc w:val="center"/>
        <w:rPr>
          <w:b/>
          <w:bCs/>
          <w:szCs w:val="24"/>
        </w:rPr>
      </w:pPr>
      <w:r>
        <w:rPr>
          <w:b/>
          <w:bCs/>
          <w:szCs w:val="24"/>
        </w:rPr>
        <w:t>Table 4-11 Discrimination Indicators for Various Failure Modes of Ice Zone Offshore Platforms</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6"/>
        <w:gridCol w:w="4051"/>
        <w:gridCol w:w="2718"/>
      </w:tblGrid>
      <w:tr w14:paraId="314878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tcBorders>
              <w:top w:val="single" w:color="auto" w:sz="12" w:space="0"/>
              <w:bottom w:val="single" w:color="auto" w:sz="12" w:space="0"/>
            </w:tcBorders>
            <w:vAlign w:val="center"/>
          </w:tcPr>
          <w:p w14:paraId="1F111B7C">
            <w:pPr>
              <w:autoSpaceDE w:val="0"/>
              <w:autoSpaceDN w:val="0"/>
              <w:adjustRightInd w:val="0"/>
              <w:spacing w:line="360" w:lineRule="auto"/>
              <w:jc w:val="center"/>
              <w:rPr>
                <w:szCs w:val="21"/>
              </w:rPr>
            </w:pPr>
            <w:r>
              <w:t>Failure Type</w:t>
            </w:r>
          </w:p>
        </w:tc>
        <w:tc>
          <w:tcPr>
            <w:tcW w:w="4051" w:type="dxa"/>
            <w:tcBorders>
              <w:top w:val="single" w:color="auto" w:sz="12" w:space="0"/>
              <w:bottom w:val="single" w:color="auto" w:sz="12" w:space="0"/>
            </w:tcBorders>
            <w:vAlign w:val="center"/>
          </w:tcPr>
          <w:p w14:paraId="77CB3683">
            <w:pPr>
              <w:autoSpaceDE w:val="0"/>
              <w:autoSpaceDN w:val="0"/>
              <w:adjustRightInd w:val="0"/>
              <w:spacing w:line="360" w:lineRule="auto"/>
              <w:jc w:val="center"/>
              <w:rPr>
                <w:szCs w:val="21"/>
              </w:rPr>
            </w:pPr>
            <w:r>
              <w:t>Functional Description</w:t>
            </w:r>
          </w:p>
        </w:tc>
        <w:tc>
          <w:tcPr>
            <w:tcW w:w="2718" w:type="dxa"/>
            <w:tcBorders>
              <w:top w:val="single" w:color="auto" w:sz="12" w:space="0"/>
              <w:bottom w:val="single" w:color="auto" w:sz="12" w:space="0"/>
            </w:tcBorders>
            <w:vAlign w:val="center"/>
          </w:tcPr>
          <w:p w14:paraId="7E763586">
            <w:pPr>
              <w:autoSpaceDE w:val="0"/>
              <w:autoSpaceDN w:val="0"/>
              <w:adjustRightInd w:val="0"/>
              <w:spacing w:line="360" w:lineRule="auto"/>
              <w:jc w:val="center"/>
              <w:rPr>
                <w:szCs w:val="21"/>
              </w:rPr>
            </w:pPr>
            <w:r>
              <w:t>Failure Discrimination Indicator</w:t>
            </w:r>
          </w:p>
        </w:tc>
      </w:tr>
      <w:tr w14:paraId="0D66BD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tcBorders>
              <w:top w:val="single" w:color="auto" w:sz="12" w:space="0"/>
            </w:tcBorders>
            <w:vAlign w:val="center"/>
          </w:tcPr>
          <w:p w14:paraId="09640328">
            <w:pPr>
              <w:autoSpaceDE w:val="0"/>
              <w:autoSpaceDN w:val="0"/>
              <w:adjustRightInd w:val="0"/>
              <w:spacing w:line="360" w:lineRule="auto"/>
              <w:jc w:val="center"/>
              <w:rPr>
                <w:szCs w:val="21"/>
              </w:rPr>
            </w:pPr>
            <w:r>
              <w:t>Structural Failure</w:t>
            </w:r>
          </w:p>
        </w:tc>
        <w:tc>
          <w:tcPr>
            <w:tcW w:w="4051" w:type="dxa"/>
            <w:tcBorders>
              <w:top w:val="single" w:color="auto" w:sz="12" w:space="0"/>
            </w:tcBorders>
            <w:vAlign w:val="center"/>
          </w:tcPr>
          <w:p w14:paraId="325611C3">
            <w:pPr>
              <w:autoSpaceDE w:val="0"/>
              <w:autoSpaceDN w:val="0"/>
              <w:adjustRightInd w:val="0"/>
              <w:spacing w:line="360" w:lineRule="auto"/>
              <w:jc w:val="center"/>
              <w:rPr>
                <w:szCs w:val="21"/>
              </w:rPr>
            </w:pPr>
            <w:r>
              <w:t>Overall structural failure under extreme ice loads</w:t>
            </w:r>
          </w:p>
        </w:tc>
        <w:tc>
          <w:tcPr>
            <w:tcW w:w="2718" w:type="dxa"/>
            <w:tcBorders>
              <w:top w:val="single" w:color="auto" w:sz="12" w:space="0"/>
            </w:tcBorders>
            <w:vAlign w:val="center"/>
          </w:tcPr>
          <w:p w14:paraId="43C9CBAF">
            <w:pPr>
              <w:autoSpaceDE w:val="0"/>
              <w:autoSpaceDN w:val="0"/>
              <w:adjustRightInd w:val="0"/>
              <w:spacing w:line="360" w:lineRule="auto"/>
              <w:jc w:val="center"/>
              <w:rPr>
                <w:szCs w:val="21"/>
              </w:rPr>
            </w:pPr>
            <w:r>
              <w:t>Structural stress or equivalent</w:t>
            </w:r>
          </w:p>
        </w:tc>
      </w:tr>
      <w:tr w14:paraId="418778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vAlign w:val="center"/>
          </w:tcPr>
          <w:p w14:paraId="65DA22D5">
            <w:pPr>
              <w:autoSpaceDE w:val="0"/>
              <w:autoSpaceDN w:val="0"/>
              <w:adjustRightInd w:val="0"/>
              <w:spacing w:line="360" w:lineRule="auto"/>
              <w:rPr>
                <w:szCs w:val="21"/>
              </w:rPr>
            </w:pPr>
          </w:p>
        </w:tc>
        <w:tc>
          <w:tcPr>
            <w:tcW w:w="4051" w:type="dxa"/>
          </w:tcPr>
          <w:p w14:paraId="19CB28F4">
            <w:pPr>
              <w:autoSpaceDE w:val="0"/>
              <w:autoSpaceDN w:val="0"/>
              <w:adjustRightInd w:val="0"/>
              <w:spacing w:line="360" w:lineRule="auto"/>
              <w:jc w:val="center"/>
              <w:rPr>
                <w:szCs w:val="21"/>
              </w:rPr>
            </w:pPr>
            <w:r>
              <w:t>deformation under conventional dynamic ice loads, conductor frame pipe node strain stress</w:t>
            </w:r>
          </w:p>
        </w:tc>
        <w:tc>
          <w:tcPr>
            <w:tcW w:w="2718" w:type="dxa"/>
          </w:tcPr>
          <w:p w14:paraId="0F297EB1">
            <w:pPr>
              <w:autoSpaceDE w:val="0"/>
              <w:autoSpaceDN w:val="0"/>
              <w:adjustRightInd w:val="0"/>
              <w:spacing w:line="360" w:lineRule="auto"/>
              <w:jc w:val="center"/>
              <w:rPr>
                <w:szCs w:val="21"/>
              </w:rPr>
            </w:pPr>
            <w:r>
              <w:t>deformation under conventional dynamic ice loads, conductor frame pipe node strain stress</w:t>
            </w:r>
          </w:p>
        </w:tc>
      </w:tr>
      <w:tr w14:paraId="31F0B1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vAlign w:val="center"/>
          </w:tcPr>
          <w:p w14:paraId="13AAD096">
            <w:pPr>
              <w:autoSpaceDE w:val="0"/>
              <w:autoSpaceDN w:val="0"/>
              <w:adjustRightInd w:val="0"/>
              <w:spacing w:line="360" w:lineRule="auto"/>
              <w:jc w:val="center"/>
              <w:rPr>
                <w:szCs w:val="21"/>
              </w:rPr>
            </w:pPr>
            <w:r>
              <w:t>Non-Structural Failure</w:t>
            </w:r>
          </w:p>
        </w:tc>
        <w:tc>
          <w:tcPr>
            <w:tcW w:w="4051" w:type="dxa"/>
            <w:vAlign w:val="center"/>
          </w:tcPr>
          <w:p w14:paraId="1DD5CA49">
            <w:pPr>
              <w:autoSpaceDE w:val="0"/>
              <w:autoSpaceDN w:val="0"/>
              <w:adjustRightInd w:val="0"/>
              <w:spacing w:line="360" w:lineRule="auto"/>
              <w:jc w:val="center"/>
              <w:rPr>
                <w:szCs w:val="21"/>
              </w:rPr>
            </w:pPr>
            <w:r>
              <w:t>Impact of platform deck vibration on workers under dynamic ice loads</w:t>
            </w:r>
          </w:p>
        </w:tc>
        <w:tc>
          <w:tcPr>
            <w:tcW w:w="2718" w:type="dxa"/>
            <w:vAlign w:val="center"/>
          </w:tcPr>
          <w:p w14:paraId="215BBF60">
            <w:pPr>
              <w:pStyle w:val="16"/>
              <w:spacing w:before="31" w:after="31"/>
              <w:ind w:firstLine="480"/>
              <w:rPr>
                <w:szCs w:val="24"/>
              </w:rPr>
            </w:pPr>
            <w:r>
              <w:rPr>
                <w:szCs w:val="24"/>
              </w:rPr>
              <w:t>Deck vibration acceleration effective value, vibration direction, frequency, equivalent duration</w:t>
            </w:r>
          </w:p>
          <w:p w14:paraId="160110D8">
            <w:pPr>
              <w:autoSpaceDE w:val="0"/>
              <w:autoSpaceDN w:val="0"/>
              <w:adjustRightInd w:val="0"/>
              <w:spacing w:line="360" w:lineRule="auto"/>
              <w:jc w:val="center"/>
              <w:rPr>
                <w:szCs w:val="21"/>
              </w:rPr>
            </w:pPr>
          </w:p>
        </w:tc>
      </w:tr>
      <w:tr w14:paraId="7C189A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vAlign w:val="center"/>
          </w:tcPr>
          <w:p w14:paraId="3E7B7C96">
            <w:pPr>
              <w:autoSpaceDE w:val="0"/>
              <w:autoSpaceDN w:val="0"/>
              <w:adjustRightInd w:val="0"/>
              <w:spacing w:line="360" w:lineRule="auto"/>
              <w:jc w:val="center"/>
              <w:rPr>
                <w:szCs w:val="21"/>
              </w:rPr>
            </w:pPr>
          </w:p>
        </w:tc>
        <w:tc>
          <w:tcPr>
            <w:tcW w:w="4051" w:type="dxa"/>
            <w:vAlign w:val="center"/>
          </w:tcPr>
          <w:p w14:paraId="77B48C6F">
            <w:pPr>
              <w:autoSpaceDE w:val="0"/>
              <w:autoSpaceDN w:val="0"/>
              <w:adjustRightInd w:val="0"/>
              <w:spacing w:line="360" w:lineRule="auto"/>
              <w:jc w:val="center"/>
              <w:rPr>
                <w:szCs w:val="21"/>
              </w:rPr>
            </w:pPr>
            <w:r>
              <w:t>Impact of platform deck vibration on upper facilities under dynamic ice loads</w:t>
            </w:r>
          </w:p>
        </w:tc>
        <w:tc>
          <w:tcPr>
            <w:tcW w:w="2718" w:type="dxa"/>
            <w:vAlign w:val="center"/>
          </w:tcPr>
          <w:p w14:paraId="48A13592">
            <w:pPr>
              <w:autoSpaceDE w:val="0"/>
              <w:autoSpaceDN w:val="0"/>
              <w:adjustRightInd w:val="0"/>
              <w:spacing w:line="360" w:lineRule="auto"/>
              <w:jc w:val="center"/>
              <w:rPr>
                <w:szCs w:val="21"/>
              </w:rPr>
            </w:pPr>
            <w:r>
              <w:t>Deck vibration acceleration effective value</w:t>
            </w:r>
          </w:p>
        </w:tc>
      </w:tr>
    </w:tbl>
    <w:p w14:paraId="3EE4E589">
      <w:pPr>
        <w:pStyle w:val="16"/>
        <w:spacing w:before="31" w:after="31"/>
        <w:ind w:firstLine="0" w:firstLineChars="0"/>
        <w:rPr>
          <w:szCs w:val="24"/>
        </w:rPr>
      </w:pPr>
    </w:p>
    <w:p w14:paraId="1EFD167F">
      <w:pPr>
        <w:pStyle w:val="16"/>
        <w:spacing w:before="31" w:after="31"/>
        <w:ind w:firstLine="480"/>
        <w:rPr>
          <w:szCs w:val="24"/>
        </w:rPr>
      </w:pPr>
      <w:r>
        <w:rPr>
          <w:szCs w:val="24"/>
        </w:rPr>
        <w:t>Under ice-induced dynamic force response, anti-icing structures can be classified into two types of failures: one is fatigue failure of structural pipe nodes caused by alternating stresses, and the other is the intense acceleration hazard to upper facilities caused by platform deck vibrations, reducing work efficiency for personnel.</w:t>
      </w:r>
    </w:p>
    <w:p w14:paraId="781E7A44">
      <w:pPr>
        <w:pStyle w:val="16"/>
        <w:spacing w:before="31" w:after="31"/>
        <w:ind w:firstLine="0" w:firstLineChars="0"/>
        <w:rPr>
          <w:b/>
          <w:bCs/>
          <w:szCs w:val="24"/>
        </w:rPr>
      </w:pPr>
      <w:r>
        <w:rPr>
          <w:rFonts w:hint="eastAsia"/>
          <w:b/>
          <w:bCs/>
          <w:szCs w:val="24"/>
          <w:lang w:val="en-US" w:eastAsia="zh-CN"/>
        </w:rPr>
        <w:t>3</w:t>
      </w:r>
      <w:r>
        <w:rPr>
          <w:b/>
          <w:bCs/>
          <w:szCs w:val="24"/>
        </w:rPr>
        <w:t xml:space="preserve">8 Case </w:t>
      </w:r>
      <w:r>
        <w:rPr>
          <w:rFonts w:hint="eastAsia"/>
          <w:b/>
          <w:bCs/>
          <w:szCs w:val="24"/>
          <w:lang w:val="en-US" w:eastAsia="zh-CN"/>
        </w:rPr>
        <w:t>3</w:t>
      </w:r>
      <w:r>
        <w:rPr>
          <w:b/>
          <w:bCs/>
          <w:szCs w:val="24"/>
        </w:rPr>
        <w:t>-8 Failure of Offshore Platform Lifting Points</w:t>
      </w:r>
    </w:p>
    <w:p w14:paraId="09887B02">
      <w:pPr>
        <w:pStyle w:val="16"/>
        <w:spacing w:before="31" w:after="31"/>
        <w:ind w:firstLine="0" w:firstLineChars="0"/>
        <w:rPr>
          <w:szCs w:val="24"/>
        </w:rPr>
      </w:pPr>
      <w:r>
        <w:rPr>
          <w:szCs w:val="24"/>
        </w:rPr>
        <w:t>(1) Case Name</w:t>
      </w:r>
    </w:p>
    <w:p w14:paraId="41C2426E">
      <w:pPr>
        <w:pStyle w:val="16"/>
        <w:spacing w:before="31" w:after="31"/>
        <w:ind w:firstLine="480"/>
        <w:rPr>
          <w:szCs w:val="24"/>
        </w:rPr>
      </w:pPr>
      <w:r>
        <w:rPr>
          <w:szCs w:val="24"/>
        </w:rPr>
        <w:t>Failure of Offshore Platform Lifting Points</w:t>
      </w:r>
    </w:p>
    <w:p w14:paraId="584415EA">
      <w:pPr>
        <w:pStyle w:val="16"/>
        <w:spacing w:before="31" w:after="31"/>
        <w:ind w:firstLine="0" w:firstLineChars="0"/>
        <w:rPr>
          <w:rFonts w:hint="eastAsia"/>
          <w:szCs w:val="24"/>
        </w:rPr>
      </w:pPr>
      <w:r>
        <w:rPr>
          <w:szCs w:val="24"/>
        </w:rPr>
        <w:t>(2) Description of Failure Process</w:t>
      </w:r>
    </w:p>
    <w:p w14:paraId="6085FEFA">
      <w:pPr>
        <w:pStyle w:val="16"/>
        <w:spacing w:before="31" w:after="31"/>
        <w:ind w:firstLine="480"/>
        <w:rPr>
          <w:szCs w:val="24"/>
        </w:rPr>
      </w:pPr>
      <w:r>
        <w:rPr>
          <w:szCs w:val="24"/>
        </w:rPr>
        <w:t>The lifting points are critical components ensuring the safe transportation of offshore platform conductor frames, and the quality of their welding is crucial. In the past, China used imported steel for welding this critical component, and no quality issues were identified. However, during the transition to using domestically produced steel to replace imported steel, cracks of varying depths (up to 12mm) and lengths (up to 800mm) were discovered in the welds of the ring plate to the conductor frame and the cover plate to the conductor frame after the welding of the lifting points. This significantly impacted the welding quality and safety of the lifting points.</w:t>
      </w:r>
    </w:p>
    <w:p w14:paraId="6539D5DF">
      <w:pPr>
        <w:pStyle w:val="16"/>
        <w:spacing w:before="31" w:after="31"/>
        <w:ind w:firstLine="0" w:firstLineChars="0"/>
        <w:rPr>
          <w:szCs w:val="24"/>
        </w:rPr>
      </w:pPr>
      <w:r>
        <w:rPr>
          <w:szCs w:val="24"/>
        </w:rPr>
        <w:t>(3) Service Environment:</w:t>
      </w:r>
    </w:p>
    <w:p w14:paraId="5D5C5EDD">
      <w:pPr>
        <w:pStyle w:val="16"/>
        <w:spacing w:before="31" w:after="31"/>
        <w:ind w:firstLine="420" w:firstLineChars="0"/>
        <w:rPr>
          <w:szCs w:val="24"/>
        </w:rPr>
      </w:pPr>
      <w:r>
        <w:rPr>
          <w:szCs w:val="24"/>
        </w:rPr>
        <w:t>Null</w:t>
      </w:r>
    </w:p>
    <w:p w14:paraId="74025C8A">
      <w:pPr>
        <w:pStyle w:val="16"/>
        <w:spacing w:before="31" w:after="31"/>
        <w:ind w:firstLine="0" w:firstLineChars="0"/>
        <w:rPr>
          <w:szCs w:val="24"/>
        </w:rPr>
      </w:pPr>
      <w:r>
        <w:rPr>
          <w:szCs w:val="24"/>
        </w:rPr>
        <w:t>(4) Failed Components and Material:</w:t>
      </w:r>
    </w:p>
    <w:p w14:paraId="1AD1FA9D">
      <w:pPr>
        <w:pStyle w:val="16"/>
        <w:spacing w:before="31" w:after="31"/>
        <w:ind w:firstLine="420" w:firstLineChars="0"/>
        <w:rPr>
          <w:szCs w:val="24"/>
        </w:rPr>
      </w:pPr>
      <w:r>
        <w:rPr>
          <w:szCs w:val="24"/>
        </w:rPr>
        <w:t>Null</w:t>
      </w:r>
    </w:p>
    <w:p w14:paraId="0AD82DD9">
      <w:pPr>
        <w:pStyle w:val="16"/>
        <w:spacing w:before="31" w:after="31"/>
        <w:ind w:firstLine="0" w:firstLineChars="0"/>
        <w:rPr>
          <w:szCs w:val="24"/>
        </w:rPr>
      </w:pPr>
      <w:r>
        <w:rPr>
          <w:szCs w:val="24"/>
        </w:rPr>
        <w:t>(5) Failed Component Morphology:</w:t>
      </w:r>
    </w:p>
    <w:p w14:paraId="46A5D5EE">
      <w:pPr>
        <w:pStyle w:val="16"/>
        <w:spacing w:before="31" w:after="31"/>
        <w:ind w:firstLine="420" w:firstLineChars="0"/>
        <w:rPr>
          <w:szCs w:val="24"/>
        </w:rPr>
      </w:pPr>
      <w:r>
        <w:rPr>
          <w:szCs w:val="24"/>
        </w:rPr>
        <w:t>Null</w:t>
      </w:r>
    </w:p>
    <w:p w14:paraId="34900D3D">
      <w:pPr>
        <w:pStyle w:val="16"/>
        <w:spacing w:before="31" w:after="31"/>
        <w:ind w:firstLine="0" w:firstLineChars="0"/>
        <w:rPr>
          <w:szCs w:val="24"/>
        </w:rPr>
      </w:pPr>
      <w:r>
        <w:rPr>
          <w:szCs w:val="24"/>
        </w:rPr>
        <w:t>(6) Analysis of Failure Causes</w:t>
      </w:r>
    </w:p>
    <w:p w14:paraId="7B1B528F">
      <w:pPr>
        <w:pStyle w:val="16"/>
        <w:spacing w:before="31" w:after="31"/>
        <w:ind w:firstLine="480"/>
        <w:rPr>
          <w:szCs w:val="24"/>
        </w:rPr>
      </w:pPr>
      <w:r>
        <w:rPr>
          <w:szCs w:val="24"/>
        </w:rPr>
        <w:t>(a) Static Analysis of Detailed Structure of Offshore Platform Lifting Points</w:t>
      </w:r>
    </w:p>
    <w:p w14:paraId="3DB47E93">
      <w:pPr>
        <w:pStyle w:val="16"/>
        <w:spacing w:before="31" w:after="31"/>
        <w:ind w:firstLine="480"/>
        <w:rPr>
          <w:szCs w:val="24"/>
        </w:rPr>
      </w:pPr>
      <w:r>
        <w:rPr>
          <w:szCs w:val="24"/>
        </w:rPr>
        <w:t>The lifting points are auxiliary structures during the hoisting process of offshore platforms and are cut off after the installation of the conductor frame. The structure of the lifting points is located at the upper part of the simplified structure of the offshore platform conductor frame, with the lifting lug plate connected to the cylindrical body through longitudinal welds. Additionally, there are rib plates connecting the vertical lifting lug plate to the simplified structure and lifting lug plate, respectively. To ensure stability during the lifting process, there are reinforcement rib plates on the lifting lug plate outside the simplified structure, which are welded to the cover plate at the top of the cylindrical body..</w:t>
      </w:r>
    </w:p>
    <w:p w14:paraId="2F67F64E">
      <w:pPr>
        <w:pStyle w:val="16"/>
        <w:spacing w:before="31" w:after="31"/>
        <w:ind w:firstLine="480"/>
        <w:rPr>
          <w:szCs w:val="24"/>
        </w:rPr>
      </w:pPr>
      <w:r>
        <w:rPr>
          <w:szCs w:val="24"/>
        </w:rPr>
        <w:t>During the actual welding process, due to the need to weld the cover plate and the simplified structure, and the welding between the cylindrical body and the ring plate connected to the girder, significant constraints during welding can lead to tearing of the previously welded seams from the cylindrical body.</w:t>
      </w:r>
    </w:p>
    <w:p w14:paraId="25BD4F5F">
      <w:pPr>
        <w:pStyle w:val="16"/>
        <w:spacing w:before="31" w:after="31"/>
        <w:ind w:firstLine="480"/>
        <w:rPr>
          <w:szCs w:val="24"/>
        </w:rPr>
      </w:pPr>
      <w:r>
        <w:rPr>
          <w:szCs w:val="24"/>
        </w:rPr>
        <w:t>The load condition of the detailed structure of the lifting points involves applying the maximum diagonal tensile force of 10804kN on the lifting lug of the lifting points, decomposing it into vertical and horizontal components during loading. The boundary conditions assume that the lower part of the simplified structure is rigidly constrained, and other parts connected to the lifting points are simplified into corresponding boundary constraint conditions. A finite element analysis model was established, dividing the structure into 5418 4-node tetrahedral solid elements and 19125 nodes, and using the ANSYS finite element analysis software to conduct static analysis of the structure.</w:t>
      </w:r>
      <w:r>
        <w:rPr>
          <w:rFonts w:hint="eastAsia"/>
          <w:szCs w:val="24"/>
          <w:lang w:val="en-US" w:eastAsia="zh-CN"/>
        </w:rPr>
        <w:t xml:space="preserve"> T</w:t>
      </w:r>
      <w:r>
        <w:rPr>
          <w:szCs w:val="24"/>
        </w:rPr>
        <w:t>he sectional view of the lifting points structure, large arrows indicate the direction of the diagonal tensile force of the lifting points, and points A, B, C, and D are on the weld seams. The calculation results are shown in Table 4-12. As seen from the table, the maximum equivalent stress in the lifting points structure appears at the lower end of the longitudinal weld seam between the lifting lug plate and the simplified structure, with a maximum stress value of 436MPa. This value has exceeded the yield strength of the steel used for the lifting points (approximately 370MPa).</w:t>
      </w:r>
    </w:p>
    <w:p w14:paraId="6A501DCB">
      <w:pPr>
        <w:pStyle w:val="16"/>
        <w:spacing w:before="31" w:after="31"/>
        <w:ind w:firstLine="482"/>
        <w:jc w:val="center"/>
        <w:rPr>
          <w:b/>
          <w:bCs/>
          <w:szCs w:val="24"/>
        </w:rPr>
      </w:pPr>
      <w:r>
        <w:rPr>
          <w:b/>
          <w:bCs/>
          <w:szCs w:val="24"/>
        </w:rPr>
        <w:t>Table 4-12 Calculated von Mises equivalent stresses at key points in the structure</w:t>
      </w:r>
    </w:p>
    <w:tbl>
      <w:tblPr>
        <w:tblStyle w:val="9"/>
        <w:tblW w:w="0" w:type="auto"/>
        <w:jc w:val="center"/>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1626"/>
        <w:gridCol w:w="1626"/>
        <w:gridCol w:w="1627"/>
        <w:gridCol w:w="1627"/>
        <w:gridCol w:w="1627"/>
      </w:tblGrid>
      <w:tr w14:paraId="46500474">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409" w:hRule="atLeast"/>
          <w:jc w:val="center"/>
        </w:trPr>
        <w:tc>
          <w:tcPr>
            <w:tcW w:w="1626" w:type="dxa"/>
            <w:tcBorders>
              <w:top w:val="single" w:color="auto" w:sz="12" w:space="0"/>
              <w:left w:val="nil"/>
              <w:bottom w:val="single" w:color="auto" w:sz="12" w:space="0"/>
              <w:right w:val="nil"/>
            </w:tcBorders>
            <w:vAlign w:val="center"/>
          </w:tcPr>
          <w:p w14:paraId="5FA3A5F0">
            <w:pPr>
              <w:pStyle w:val="16"/>
              <w:spacing w:before="31" w:after="31"/>
              <w:ind w:firstLine="480"/>
              <w:rPr>
                <w:szCs w:val="24"/>
              </w:rPr>
            </w:pPr>
            <w:r>
              <w:rPr>
                <w:szCs w:val="24"/>
              </w:rPr>
              <w:t>Stress MPa | Point</w:t>
            </w:r>
          </w:p>
          <w:p w14:paraId="5703006E">
            <w:pPr>
              <w:autoSpaceDE w:val="0"/>
              <w:autoSpaceDN w:val="0"/>
              <w:adjustRightInd w:val="0"/>
              <w:spacing w:line="360" w:lineRule="auto"/>
              <w:jc w:val="center"/>
              <w:rPr>
                <w:kern w:val="0"/>
                <w:szCs w:val="21"/>
              </w:rPr>
            </w:pPr>
          </w:p>
        </w:tc>
        <w:tc>
          <w:tcPr>
            <w:tcW w:w="1626" w:type="dxa"/>
            <w:tcBorders>
              <w:top w:val="single" w:color="auto" w:sz="12" w:space="0"/>
              <w:left w:val="nil"/>
              <w:bottom w:val="single" w:color="auto" w:sz="12" w:space="0"/>
              <w:right w:val="nil"/>
            </w:tcBorders>
            <w:vAlign w:val="center"/>
          </w:tcPr>
          <w:p w14:paraId="5966E2E1">
            <w:pPr>
              <w:autoSpaceDE w:val="0"/>
              <w:autoSpaceDN w:val="0"/>
              <w:adjustRightInd w:val="0"/>
              <w:spacing w:line="360" w:lineRule="auto"/>
              <w:jc w:val="center"/>
              <w:rPr>
                <w:kern w:val="0"/>
                <w:szCs w:val="21"/>
              </w:rPr>
            </w:pPr>
            <w:r>
              <w:rPr>
                <w:kern w:val="0"/>
                <w:szCs w:val="21"/>
              </w:rPr>
              <w:t>A</w:t>
            </w:r>
          </w:p>
        </w:tc>
        <w:tc>
          <w:tcPr>
            <w:tcW w:w="1627" w:type="dxa"/>
            <w:tcBorders>
              <w:top w:val="single" w:color="auto" w:sz="12" w:space="0"/>
              <w:left w:val="nil"/>
              <w:bottom w:val="single" w:color="auto" w:sz="12" w:space="0"/>
              <w:right w:val="nil"/>
            </w:tcBorders>
            <w:vAlign w:val="center"/>
          </w:tcPr>
          <w:p w14:paraId="58395D27">
            <w:pPr>
              <w:autoSpaceDE w:val="0"/>
              <w:autoSpaceDN w:val="0"/>
              <w:adjustRightInd w:val="0"/>
              <w:spacing w:line="360" w:lineRule="auto"/>
              <w:jc w:val="center"/>
              <w:rPr>
                <w:kern w:val="0"/>
                <w:szCs w:val="21"/>
              </w:rPr>
            </w:pPr>
            <w:r>
              <w:rPr>
                <w:kern w:val="0"/>
                <w:szCs w:val="21"/>
              </w:rPr>
              <w:t>B</w:t>
            </w:r>
          </w:p>
        </w:tc>
        <w:tc>
          <w:tcPr>
            <w:tcW w:w="1627" w:type="dxa"/>
            <w:tcBorders>
              <w:top w:val="single" w:color="auto" w:sz="12" w:space="0"/>
              <w:left w:val="nil"/>
              <w:bottom w:val="single" w:color="auto" w:sz="12" w:space="0"/>
              <w:right w:val="nil"/>
            </w:tcBorders>
            <w:vAlign w:val="center"/>
          </w:tcPr>
          <w:p w14:paraId="20D4B647">
            <w:pPr>
              <w:autoSpaceDE w:val="0"/>
              <w:autoSpaceDN w:val="0"/>
              <w:adjustRightInd w:val="0"/>
              <w:spacing w:line="360" w:lineRule="auto"/>
              <w:jc w:val="center"/>
              <w:rPr>
                <w:kern w:val="0"/>
                <w:szCs w:val="21"/>
              </w:rPr>
            </w:pPr>
            <w:r>
              <w:rPr>
                <w:kern w:val="0"/>
                <w:szCs w:val="21"/>
              </w:rPr>
              <w:t>C</w:t>
            </w:r>
          </w:p>
        </w:tc>
        <w:tc>
          <w:tcPr>
            <w:tcW w:w="1627" w:type="dxa"/>
            <w:tcBorders>
              <w:top w:val="single" w:color="auto" w:sz="12" w:space="0"/>
              <w:left w:val="nil"/>
              <w:bottom w:val="single" w:color="auto" w:sz="12" w:space="0"/>
              <w:right w:val="nil"/>
            </w:tcBorders>
            <w:vAlign w:val="center"/>
          </w:tcPr>
          <w:p w14:paraId="248B7BAE">
            <w:pPr>
              <w:autoSpaceDE w:val="0"/>
              <w:autoSpaceDN w:val="0"/>
              <w:adjustRightInd w:val="0"/>
              <w:spacing w:line="360" w:lineRule="auto"/>
              <w:jc w:val="center"/>
              <w:rPr>
                <w:kern w:val="0"/>
                <w:szCs w:val="21"/>
              </w:rPr>
            </w:pPr>
            <w:r>
              <w:rPr>
                <w:kern w:val="0"/>
                <w:szCs w:val="21"/>
              </w:rPr>
              <w:t>D</w:t>
            </w:r>
          </w:p>
        </w:tc>
      </w:tr>
      <w:tr w14:paraId="3D77FD1B">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427" w:hRule="atLeast"/>
          <w:jc w:val="center"/>
        </w:trPr>
        <w:tc>
          <w:tcPr>
            <w:tcW w:w="1626" w:type="dxa"/>
            <w:tcBorders>
              <w:top w:val="single" w:color="auto" w:sz="12" w:space="0"/>
              <w:left w:val="nil"/>
              <w:bottom w:val="single" w:color="auto" w:sz="12" w:space="0"/>
              <w:right w:val="nil"/>
            </w:tcBorders>
            <w:vAlign w:val="center"/>
          </w:tcPr>
          <w:p w14:paraId="7562D978">
            <w:pPr>
              <w:autoSpaceDE w:val="0"/>
              <w:autoSpaceDN w:val="0"/>
              <w:adjustRightInd w:val="0"/>
              <w:spacing w:line="360" w:lineRule="auto"/>
              <w:jc w:val="center"/>
              <w:rPr>
                <w:kern w:val="0"/>
                <w:szCs w:val="21"/>
              </w:rPr>
            </w:pPr>
            <w:r>
              <w:t>Structure</w:t>
            </w:r>
          </w:p>
        </w:tc>
        <w:tc>
          <w:tcPr>
            <w:tcW w:w="1626" w:type="dxa"/>
            <w:tcBorders>
              <w:top w:val="single" w:color="auto" w:sz="12" w:space="0"/>
              <w:left w:val="nil"/>
              <w:bottom w:val="single" w:color="auto" w:sz="12" w:space="0"/>
              <w:right w:val="nil"/>
            </w:tcBorders>
            <w:vAlign w:val="center"/>
          </w:tcPr>
          <w:p w14:paraId="4CFE398C">
            <w:pPr>
              <w:autoSpaceDE w:val="0"/>
              <w:autoSpaceDN w:val="0"/>
              <w:adjustRightInd w:val="0"/>
              <w:spacing w:line="360" w:lineRule="auto"/>
              <w:jc w:val="center"/>
              <w:rPr>
                <w:kern w:val="0"/>
                <w:szCs w:val="21"/>
              </w:rPr>
            </w:pPr>
            <w:r>
              <w:rPr>
                <w:kern w:val="0"/>
                <w:szCs w:val="21"/>
              </w:rPr>
              <w:t>339</w:t>
            </w:r>
          </w:p>
        </w:tc>
        <w:tc>
          <w:tcPr>
            <w:tcW w:w="1627" w:type="dxa"/>
            <w:tcBorders>
              <w:top w:val="single" w:color="auto" w:sz="12" w:space="0"/>
              <w:left w:val="nil"/>
              <w:bottom w:val="single" w:color="auto" w:sz="12" w:space="0"/>
              <w:right w:val="nil"/>
            </w:tcBorders>
            <w:vAlign w:val="center"/>
          </w:tcPr>
          <w:p w14:paraId="715B2EDB">
            <w:pPr>
              <w:autoSpaceDE w:val="0"/>
              <w:autoSpaceDN w:val="0"/>
              <w:adjustRightInd w:val="0"/>
              <w:spacing w:line="360" w:lineRule="auto"/>
              <w:jc w:val="center"/>
              <w:rPr>
                <w:kern w:val="0"/>
                <w:szCs w:val="21"/>
              </w:rPr>
            </w:pPr>
            <w:r>
              <w:rPr>
                <w:kern w:val="0"/>
                <w:szCs w:val="21"/>
              </w:rPr>
              <w:t>436</w:t>
            </w:r>
          </w:p>
        </w:tc>
        <w:tc>
          <w:tcPr>
            <w:tcW w:w="1627" w:type="dxa"/>
            <w:tcBorders>
              <w:top w:val="single" w:color="auto" w:sz="12" w:space="0"/>
              <w:left w:val="nil"/>
              <w:bottom w:val="single" w:color="auto" w:sz="12" w:space="0"/>
              <w:right w:val="nil"/>
            </w:tcBorders>
            <w:vAlign w:val="center"/>
          </w:tcPr>
          <w:p w14:paraId="5EE89051">
            <w:pPr>
              <w:autoSpaceDE w:val="0"/>
              <w:autoSpaceDN w:val="0"/>
              <w:adjustRightInd w:val="0"/>
              <w:spacing w:line="360" w:lineRule="auto"/>
              <w:jc w:val="center"/>
              <w:rPr>
                <w:kern w:val="0"/>
                <w:szCs w:val="21"/>
              </w:rPr>
            </w:pPr>
            <w:r>
              <w:rPr>
                <w:kern w:val="0"/>
                <w:szCs w:val="21"/>
              </w:rPr>
              <w:t>397</w:t>
            </w:r>
          </w:p>
        </w:tc>
        <w:tc>
          <w:tcPr>
            <w:tcW w:w="1627" w:type="dxa"/>
            <w:tcBorders>
              <w:top w:val="single" w:color="auto" w:sz="12" w:space="0"/>
              <w:left w:val="nil"/>
              <w:bottom w:val="single" w:color="auto" w:sz="12" w:space="0"/>
              <w:right w:val="nil"/>
            </w:tcBorders>
            <w:vAlign w:val="center"/>
          </w:tcPr>
          <w:p w14:paraId="72ECBAC5">
            <w:pPr>
              <w:autoSpaceDE w:val="0"/>
              <w:autoSpaceDN w:val="0"/>
              <w:adjustRightInd w:val="0"/>
              <w:spacing w:line="360" w:lineRule="auto"/>
              <w:jc w:val="center"/>
              <w:rPr>
                <w:kern w:val="0"/>
                <w:szCs w:val="21"/>
              </w:rPr>
            </w:pPr>
            <w:r>
              <w:rPr>
                <w:kern w:val="0"/>
                <w:szCs w:val="21"/>
              </w:rPr>
              <w:t>246</w:t>
            </w:r>
          </w:p>
        </w:tc>
      </w:tr>
    </w:tbl>
    <w:p w14:paraId="3447A095">
      <w:pPr>
        <w:pStyle w:val="16"/>
        <w:spacing w:before="31" w:after="31"/>
        <w:ind w:firstLine="480"/>
        <w:rPr>
          <w:szCs w:val="24"/>
        </w:rPr>
      </w:pPr>
      <w:r>
        <w:rPr>
          <w:szCs w:val="24"/>
        </w:rPr>
        <w:t>(b) Sensitivity Analysis of Welded Joint Cracking in Lifting Points</w:t>
      </w:r>
    </w:p>
    <w:p w14:paraId="31190619">
      <w:pPr>
        <w:pStyle w:val="16"/>
        <w:spacing w:before="31" w:after="31"/>
        <w:ind w:firstLine="480"/>
        <w:rPr>
          <w:szCs w:val="24"/>
        </w:rPr>
      </w:pPr>
      <w:r>
        <w:rPr>
          <w:szCs w:val="24"/>
        </w:rPr>
        <w:t>This study focused on the 50mm-thick steel used for the lifting points, employing the "carbon equivalent" method, the slant Y-groove welding crack test method, and the rigid restraint welding crack test method. This was done to analyze the cold cracking sensitivity and conduct experimental research on the lifting points' welded joints using the CHE58-1 high-toughness carbon steel welding rod. The chemical composition and carbon equivalent Ceq of the lifting points steel for supply and reinspection are shown in Table 4-13.</w:t>
      </w:r>
    </w:p>
    <w:p w14:paraId="21743EB5">
      <w:pPr>
        <w:pStyle w:val="16"/>
        <w:spacing w:before="31" w:after="31"/>
        <w:ind w:firstLine="480"/>
        <w:rPr>
          <w:szCs w:val="24"/>
        </w:rPr>
      </w:pPr>
      <w:r>
        <w:rPr>
          <w:szCs w:val="24"/>
        </w:rPr>
        <w:t>The slant Y-groove welding crack test results showed that for the 50mm-thick lifting points steel using the CHE58-1 welding rod, whether preheated at 66°C before welding or not preheated and welded at 4°C, the fracture crack rate was zero. Similarly, the fracture crack rate in the rigid restraint welding crack test was also zero.</w:t>
      </w:r>
    </w:p>
    <w:p w14:paraId="58B69476">
      <w:pPr>
        <w:pStyle w:val="16"/>
        <w:spacing w:before="31" w:after="31"/>
        <w:ind w:firstLine="482"/>
        <w:jc w:val="center"/>
        <w:rPr>
          <w:b/>
          <w:bCs/>
          <w:szCs w:val="24"/>
        </w:rPr>
      </w:pPr>
      <w:r>
        <w:rPr>
          <w:b/>
          <w:bCs/>
          <w:szCs w:val="24"/>
        </w:rPr>
        <w:t>Table 4-13 Chemical composition and carbon equivalent of 50mm-thick lifting points steel</w:t>
      </w:r>
    </w:p>
    <w:tbl>
      <w:tblPr>
        <w:tblStyle w:val="9"/>
        <w:tblW w:w="8625" w:type="dxa"/>
        <w:jc w:val="center"/>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fixed"/>
        <w:tblCellMar>
          <w:top w:w="0" w:type="dxa"/>
          <w:left w:w="108" w:type="dxa"/>
          <w:bottom w:w="0" w:type="dxa"/>
          <w:right w:w="108" w:type="dxa"/>
        </w:tblCellMar>
      </w:tblPr>
      <w:tblGrid>
        <w:gridCol w:w="881"/>
        <w:gridCol w:w="687"/>
        <w:gridCol w:w="667"/>
        <w:gridCol w:w="597"/>
        <w:gridCol w:w="820"/>
        <w:gridCol w:w="708"/>
        <w:gridCol w:w="708"/>
        <w:gridCol w:w="707"/>
        <w:gridCol w:w="708"/>
        <w:gridCol w:w="726"/>
        <w:gridCol w:w="708"/>
        <w:gridCol w:w="708"/>
      </w:tblGrid>
      <w:tr w14:paraId="4D840731">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881" w:type="dxa"/>
            <w:tcBorders>
              <w:top w:val="single" w:color="auto" w:sz="12" w:space="0"/>
              <w:left w:val="nil"/>
              <w:bottom w:val="single" w:color="auto" w:sz="12" w:space="0"/>
              <w:right w:val="nil"/>
            </w:tcBorders>
            <w:vAlign w:val="center"/>
          </w:tcPr>
          <w:p w14:paraId="3038BE7A">
            <w:pPr>
              <w:pStyle w:val="20"/>
              <w:spacing w:before="468" w:after="156" w:line="312" w:lineRule="auto"/>
              <w:rPr>
                <w:b w:val="0"/>
              </w:rPr>
            </w:pPr>
          </w:p>
        </w:tc>
        <w:tc>
          <w:tcPr>
            <w:tcW w:w="687" w:type="dxa"/>
            <w:tcBorders>
              <w:top w:val="single" w:color="auto" w:sz="12" w:space="0"/>
              <w:left w:val="nil"/>
              <w:bottom w:val="single" w:color="auto" w:sz="12" w:space="0"/>
              <w:right w:val="nil"/>
            </w:tcBorders>
            <w:vAlign w:val="center"/>
          </w:tcPr>
          <w:p w14:paraId="2C57B0A1">
            <w:pPr>
              <w:pStyle w:val="20"/>
              <w:spacing w:before="468" w:after="156" w:line="312" w:lineRule="auto"/>
              <w:rPr>
                <w:b w:val="0"/>
              </w:rPr>
            </w:pPr>
            <w:r>
              <w:rPr>
                <w:b w:val="0"/>
              </w:rPr>
              <w:t>C</w:t>
            </w:r>
          </w:p>
        </w:tc>
        <w:tc>
          <w:tcPr>
            <w:tcW w:w="667" w:type="dxa"/>
            <w:tcBorders>
              <w:top w:val="single" w:color="auto" w:sz="12" w:space="0"/>
              <w:left w:val="nil"/>
              <w:bottom w:val="single" w:color="auto" w:sz="12" w:space="0"/>
              <w:right w:val="nil"/>
            </w:tcBorders>
            <w:vAlign w:val="center"/>
          </w:tcPr>
          <w:p w14:paraId="2913B57E">
            <w:pPr>
              <w:pStyle w:val="20"/>
              <w:spacing w:before="468" w:after="156" w:line="312" w:lineRule="auto"/>
              <w:rPr>
                <w:b w:val="0"/>
              </w:rPr>
            </w:pPr>
            <w:r>
              <w:rPr>
                <w:b w:val="0"/>
              </w:rPr>
              <w:t>Si</w:t>
            </w:r>
          </w:p>
        </w:tc>
        <w:tc>
          <w:tcPr>
            <w:tcW w:w="596" w:type="dxa"/>
            <w:tcBorders>
              <w:top w:val="single" w:color="auto" w:sz="12" w:space="0"/>
              <w:left w:val="nil"/>
              <w:bottom w:val="single" w:color="auto" w:sz="12" w:space="0"/>
              <w:right w:val="nil"/>
            </w:tcBorders>
            <w:vAlign w:val="center"/>
          </w:tcPr>
          <w:p w14:paraId="17059F97">
            <w:pPr>
              <w:pStyle w:val="20"/>
              <w:spacing w:before="468" w:after="156" w:line="312" w:lineRule="auto"/>
              <w:rPr>
                <w:b w:val="0"/>
              </w:rPr>
            </w:pPr>
            <w:r>
              <w:rPr>
                <w:b w:val="0"/>
              </w:rPr>
              <w:t>Mn</w:t>
            </w:r>
          </w:p>
        </w:tc>
        <w:tc>
          <w:tcPr>
            <w:tcW w:w="821" w:type="dxa"/>
            <w:tcBorders>
              <w:top w:val="single" w:color="auto" w:sz="12" w:space="0"/>
              <w:left w:val="nil"/>
              <w:bottom w:val="single" w:color="auto" w:sz="12" w:space="0"/>
              <w:right w:val="nil"/>
            </w:tcBorders>
            <w:vAlign w:val="center"/>
          </w:tcPr>
          <w:p w14:paraId="619C479D">
            <w:pPr>
              <w:pStyle w:val="20"/>
              <w:spacing w:before="468" w:after="156" w:line="312" w:lineRule="auto"/>
              <w:rPr>
                <w:b w:val="0"/>
              </w:rPr>
            </w:pPr>
            <w:r>
              <w:rPr>
                <w:b w:val="0"/>
              </w:rPr>
              <w:t>P</w:t>
            </w:r>
          </w:p>
        </w:tc>
        <w:tc>
          <w:tcPr>
            <w:tcW w:w="709" w:type="dxa"/>
            <w:tcBorders>
              <w:top w:val="single" w:color="auto" w:sz="12" w:space="0"/>
              <w:left w:val="nil"/>
              <w:bottom w:val="single" w:color="auto" w:sz="12" w:space="0"/>
              <w:right w:val="nil"/>
            </w:tcBorders>
            <w:vAlign w:val="center"/>
          </w:tcPr>
          <w:p w14:paraId="6C9319A2">
            <w:pPr>
              <w:pStyle w:val="20"/>
              <w:spacing w:before="468" w:after="156" w:line="312" w:lineRule="auto"/>
              <w:rPr>
                <w:b w:val="0"/>
              </w:rPr>
            </w:pPr>
            <w:r>
              <w:rPr>
                <w:b w:val="0"/>
              </w:rPr>
              <w:t>S</w:t>
            </w:r>
          </w:p>
        </w:tc>
        <w:tc>
          <w:tcPr>
            <w:tcW w:w="709" w:type="dxa"/>
            <w:tcBorders>
              <w:top w:val="single" w:color="auto" w:sz="12" w:space="0"/>
              <w:left w:val="nil"/>
              <w:bottom w:val="single" w:color="auto" w:sz="12" w:space="0"/>
              <w:right w:val="nil"/>
            </w:tcBorders>
            <w:vAlign w:val="center"/>
          </w:tcPr>
          <w:p w14:paraId="52F116E5">
            <w:pPr>
              <w:pStyle w:val="20"/>
              <w:spacing w:before="468" w:after="156" w:line="312" w:lineRule="auto"/>
              <w:rPr>
                <w:b w:val="0"/>
              </w:rPr>
            </w:pPr>
            <w:r>
              <w:rPr>
                <w:b w:val="0"/>
              </w:rPr>
              <w:t>Cr</w:t>
            </w:r>
          </w:p>
        </w:tc>
        <w:tc>
          <w:tcPr>
            <w:tcW w:w="708" w:type="dxa"/>
            <w:tcBorders>
              <w:top w:val="single" w:color="auto" w:sz="12" w:space="0"/>
              <w:left w:val="nil"/>
              <w:bottom w:val="single" w:color="auto" w:sz="12" w:space="0"/>
              <w:right w:val="nil"/>
            </w:tcBorders>
            <w:vAlign w:val="center"/>
          </w:tcPr>
          <w:p w14:paraId="1AA18959">
            <w:pPr>
              <w:pStyle w:val="20"/>
              <w:spacing w:before="468" w:after="156" w:line="312" w:lineRule="auto"/>
              <w:rPr>
                <w:b w:val="0"/>
              </w:rPr>
            </w:pPr>
            <w:r>
              <w:rPr>
                <w:b w:val="0"/>
              </w:rPr>
              <w:t>Ni</w:t>
            </w:r>
          </w:p>
        </w:tc>
        <w:tc>
          <w:tcPr>
            <w:tcW w:w="709" w:type="dxa"/>
            <w:tcBorders>
              <w:top w:val="single" w:color="auto" w:sz="12" w:space="0"/>
              <w:left w:val="nil"/>
              <w:bottom w:val="single" w:color="auto" w:sz="12" w:space="0"/>
              <w:right w:val="nil"/>
            </w:tcBorders>
            <w:vAlign w:val="center"/>
          </w:tcPr>
          <w:p w14:paraId="3D3AA620">
            <w:pPr>
              <w:pStyle w:val="20"/>
              <w:spacing w:before="468" w:after="156" w:line="312" w:lineRule="auto"/>
              <w:rPr>
                <w:b w:val="0"/>
              </w:rPr>
            </w:pPr>
            <w:r>
              <w:rPr>
                <w:b w:val="0"/>
              </w:rPr>
              <w:t>Cu</w:t>
            </w:r>
          </w:p>
        </w:tc>
        <w:tc>
          <w:tcPr>
            <w:tcW w:w="727" w:type="dxa"/>
            <w:tcBorders>
              <w:top w:val="single" w:color="auto" w:sz="12" w:space="0"/>
              <w:left w:val="nil"/>
              <w:bottom w:val="single" w:color="auto" w:sz="12" w:space="0"/>
              <w:right w:val="nil"/>
            </w:tcBorders>
            <w:vAlign w:val="center"/>
          </w:tcPr>
          <w:p w14:paraId="516B97D8">
            <w:pPr>
              <w:pStyle w:val="20"/>
              <w:spacing w:before="468" w:after="156" w:line="312" w:lineRule="auto"/>
              <w:rPr>
                <w:b w:val="0"/>
              </w:rPr>
            </w:pPr>
            <w:r>
              <w:rPr>
                <w:b w:val="0"/>
              </w:rPr>
              <w:t>Ti</w:t>
            </w:r>
          </w:p>
        </w:tc>
        <w:tc>
          <w:tcPr>
            <w:tcW w:w="709" w:type="dxa"/>
            <w:tcBorders>
              <w:top w:val="single" w:color="auto" w:sz="12" w:space="0"/>
              <w:left w:val="nil"/>
              <w:bottom w:val="single" w:color="auto" w:sz="12" w:space="0"/>
              <w:right w:val="nil"/>
            </w:tcBorders>
            <w:vAlign w:val="center"/>
          </w:tcPr>
          <w:p w14:paraId="5934DDE4">
            <w:pPr>
              <w:pStyle w:val="20"/>
              <w:spacing w:before="468" w:after="156" w:line="312" w:lineRule="auto"/>
              <w:rPr>
                <w:b w:val="0"/>
              </w:rPr>
            </w:pPr>
            <w:r>
              <w:rPr>
                <w:b w:val="0"/>
              </w:rPr>
              <w:t>Nb</w:t>
            </w:r>
          </w:p>
        </w:tc>
        <w:tc>
          <w:tcPr>
            <w:tcW w:w="709" w:type="dxa"/>
            <w:tcBorders>
              <w:top w:val="single" w:color="auto" w:sz="12" w:space="0"/>
              <w:left w:val="nil"/>
              <w:bottom w:val="single" w:color="auto" w:sz="12" w:space="0"/>
              <w:right w:val="nil"/>
            </w:tcBorders>
            <w:vAlign w:val="center"/>
          </w:tcPr>
          <w:p w14:paraId="6654EF28">
            <w:pPr>
              <w:pStyle w:val="20"/>
              <w:spacing w:before="468" w:after="156" w:line="312" w:lineRule="auto"/>
              <w:rPr>
                <w:b w:val="0"/>
              </w:rPr>
            </w:pPr>
            <w:r>
              <w:rPr>
                <w:b w:val="0"/>
              </w:rPr>
              <w:t>C</w:t>
            </w:r>
            <w:r>
              <w:rPr>
                <w:b w:val="0"/>
                <w:vertAlign w:val="subscript"/>
              </w:rPr>
              <w:t>eq</w:t>
            </w:r>
          </w:p>
        </w:tc>
      </w:tr>
      <w:tr w14:paraId="00A290D6">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881" w:type="dxa"/>
            <w:tcBorders>
              <w:top w:val="single" w:color="auto" w:sz="12" w:space="0"/>
              <w:left w:val="nil"/>
              <w:bottom w:val="nil"/>
              <w:right w:val="nil"/>
            </w:tcBorders>
            <w:vAlign w:val="center"/>
          </w:tcPr>
          <w:p w14:paraId="272C6488">
            <w:pPr>
              <w:pStyle w:val="20"/>
              <w:spacing w:before="468" w:after="156" w:line="312" w:lineRule="auto"/>
              <w:rPr>
                <w:b w:val="0"/>
                <w:bCs/>
              </w:rPr>
            </w:pPr>
            <w:r>
              <w:rPr>
                <w:b w:val="0"/>
                <w:bCs/>
              </w:rPr>
              <w:t>Supply</w:t>
            </w:r>
          </w:p>
        </w:tc>
        <w:tc>
          <w:tcPr>
            <w:tcW w:w="687" w:type="dxa"/>
            <w:tcBorders>
              <w:top w:val="single" w:color="auto" w:sz="12" w:space="0"/>
              <w:left w:val="nil"/>
              <w:bottom w:val="nil"/>
              <w:right w:val="nil"/>
            </w:tcBorders>
            <w:vAlign w:val="center"/>
          </w:tcPr>
          <w:p w14:paraId="14E46BE6">
            <w:pPr>
              <w:pStyle w:val="20"/>
              <w:spacing w:before="468" w:after="156" w:line="312" w:lineRule="auto"/>
              <w:rPr>
                <w:b w:val="0"/>
              </w:rPr>
            </w:pPr>
            <w:r>
              <w:rPr>
                <w:b w:val="0"/>
              </w:rPr>
              <w:t>0.16</w:t>
            </w:r>
          </w:p>
        </w:tc>
        <w:tc>
          <w:tcPr>
            <w:tcW w:w="667" w:type="dxa"/>
            <w:tcBorders>
              <w:top w:val="single" w:color="auto" w:sz="12" w:space="0"/>
              <w:left w:val="nil"/>
              <w:bottom w:val="nil"/>
              <w:right w:val="nil"/>
            </w:tcBorders>
            <w:vAlign w:val="center"/>
          </w:tcPr>
          <w:p w14:paraId="23A98E90">
            <w:pPr>
              <w:pStyle w:val="20"/>
              <w:spacing w:before="468" w:after="156" w:line="312" w:lineRule="auto"/>
              <w:rPr>
                <w:b w:val="0"/>
              </w:rPr>
            </w:pPr>
            <w:r>
              <w:rPr>
                <w:b w:val="0"/>
              </w:rPr>
              <w:t>0.27</w:t>
            </w:r>
          </w:p>
        </w:tc>
        <w:tc>
          <w:tcPr>
            <w:tcW w:w="596" w:type="dxa"/>
            <w:tcBorders>
              <w:top w:val="single" w:color="auto" w:sz="12" w:space="0"/>
              <w:left w:val="nil"/>
              <w:bottom w:val="nil"/>
              <w:right w:val="nil"/>
            </w:tcBorders>
            <w:vAlign w:val="center"/>
          </w:tcPr>
          <w:p w14:paraId="2D151524">
            <w:pPr>
              <w:pStyle w:val="20"/>
              <w:spacing w:before="468" w:after="156" w:line="312" w:lineRule="auto"/>
              <w:rPr>
                <w:b w:val="0"/>
              </w:rPr>
            </w:pPr>
            <w:r>
              <w:rPr>
                <w:b w:val="0"/>
              </w:rPr>
              <w:t>1.4</w:t>
            </w:r>
          </w:p>
        </w:tc>
        <w:tc>
          <w:tcPr>
            <w:tcW w:w="821" w:type="dxa"/>
            <w:tcBorders>
              <w:top w:val="single" w:color="auto" w:sz="12" w:space="0"/>
              <w:left w:val="nil"/>
              <w:bottom w:val="nil"/>
              <w:right w:val="nil"/>
            </w:tcBorders>
            <w:vAlign w:val="center"/>
          </w:tcPr>
          <w:p w14:paraId="43ADDF62">
            <w:pPr>
              <w:pStyle w:val="20"/>
              <w:spacing w:before="468" w:after="156" w:line="312" w:lineRule="auto"/>
              <w:rPr>
                <w:b w:val="0"/>
              </w:rPr>
            </w:pPr>
            <w:r>
              <w:rPr>
                <w:b w:val="0"/>
              </w:rPr>
              <w:t>0.015</w:t>
            </w:r>
          </w:p>
        </w:tc>
        <w:tc>
          <w:tcPr>
            <w:tcW w:w="709" w:type="dxa"/>
            <w:tcBorders>
              <w:top w:val="single" w:color="auto" w:sz="12" w:space="0"/>
              <w:left w:val="nil"/>
              <w:bottom w:val="nil"/>
              <w:right w:val="nil"/>
            </w:tcBorders>
            <w:vAlign w:val="center"/>
          </w:tcPr>
          <w:p w14:paraId="46A57843">
            <w:pPr>
              <w:pStyle w:val="20"/>
              <w:spacing w:before="468" w:after="156" w:line="312" w:lineRule="auto"/>
              <w:rPr>
                <w:b w:val="0"/>
              </w:rPr>
            </w:pPr>
            <w:r>
              <w:rPr>
                <w:b w:val="0"/>
              </w:rPr>
              <w:t>0.005</w:t>
            </w:r>
          </w:p>
        </w:tc>
        <w:tc>
          <w:tcPr>
            <w:tcW w:w="709" w:type="dxa"/>
            <w:tcBorders>
              <w:top w:val="single" w:color="auto" w:sz="12" w:space="0"/>
              <w:left w:val="nil"/>
              <w:bottom w:val="nil"/>
              <w:right w:val="nil"/>
            </w:tcBorders>
            <w:vAlign w:val="center"/>
          </w:tcPr>
          <w:p w14:paraId="457B3820">
            <w:pPr>
              <w:pStyle w:val="20"/>
              <w:spacing w:before="468" w:after="156" w:line="312" w:lineRule="auto"/>
              <w:rPr>
                <w:b w:val="0"/>
              </w:rPr>
            </w:pPr>
            <w:r>
              <w:rPr>
                <w:b w:val="0"/>
              </w:rPr>
              <w:t>0.02</w:t>
            </w:r>
          </w:p>
        </w:tc>
        <w:tc>
          <w:tcPr>
            <w:tcW w:w="708" w:type="dxa"/>
            <w:tcBorders>
              <w:top w:val="single" w:color="auto" w:sz="12" w:space="0"/>
              <w:left w:val="nil"/>
              <w:bottom w:val="nil"/>
              <w:right w:val="nil"/>
            </w:tcBorders>
            <w:vAlign w:val="center"/>
          </w:tcPr>
          <w:p w14:paraId="214D172A">
            <w:pPr>
              <w:pStyle w:val="20"/>
              <w:spacing w:before="468" w:after="156" w:line="312" w:lineRule="auto"/>
              <w:rPr>
                <w:b w:val="0"/>
              </w:rPr>
            </w:pPr>
            <w:r>
              <w:rPr>
                <w:b w:val="0"/>
              </w:rPr>
              <w:t>0.02</w:t>
            </w:r>
          </w:p>
        </w:tc>
        <w:tc>
          <w:tcPr>
            <w:tcW w:w="709" w:type="dxa"/>
            <w:tcBorders>
              <w:top w:val="single" w:color="auto" w:sz="12" w:space="0"/>
              <w:left w:val="nil"/>
              <w:bottom w:val="nil"/>
              <w:right w:val="nil"/>
            </w:tcBorders>
            <w:vAlign w:val="center"/>
          </w:tcPr>
          <w:p w14:paraId="0ED1677D">
            <w:pPr>
              <w:pStyle w:val="20"/>
              <w:spacing w:before="468" w:after="156" w:line="312" w:lineRule="auto"/>
              <w:rPr>
                <w:b w:val="0"/>
              </w:rPr>
            </w:pPr>
            <w:r>
              <w:rPr>
                <w:b w:val="0"/>
              </w:rPr>
              <w:t>0.001</w:t>
            </w:r>
          </w:p>
        </w:tc>
        <w:tc>
          <w:tcPr>
            <w:tcW w:w="727" w:type="dxa"/>
            <w:tcBorders>
              <w:top w:val="single" w:color="auto" w:sz="12" w:space="0"/>
              <w:left w:val="nil"/>
              <w:bottom w:val="nil"/>
              <w:right w:val="nil"/>
            </w:tcBorders>
            <w:vAlign w:val="center"/>
          </w:tcPr>
          <w:p w14:paraId="7BD933DE">
            <w:pPr>
              <w:pStyle w:val="20"/>
              <w:spacing w:before="468" w:after="156" w:line="312" w:lineRule="auto"/>
              <w:rPr>
                <w:b w:val="0"/>
              </w:rPr>
            </w:pPr>
            <w:r>
              <w:rPr>
                <w:b w:val="0"/>
              </w:rPr>
              <w:t>0.004</w:t>
            </w:r>
          </w:p>
        </w:tc>
        <w:tc>
          <w:tcPr>
            <w:tcW w:w="709" w:type="dxa"/>
            <w:tcBorders>
              <w:top w:val="single" w:color="auto" w:sz="12" w:space="0"/>
              <w:left w:val="nil"/>
              <w:bottom w:val="nil"/>
              <w:right w:val="nil"/>
            </w:tcBorders>
            <w:vAlign w:val="center"/>
          </w:tcPr>
          <w:p w14:paraId="6CB8BBDC">
            <w:pPr>
              <w:pStyle w:val="20"/>
              <w:spacing w:before="468" w:after="156" w:line="312" w:lineRule="auto"/>
              <w:rPr>
                <w:b w:val="0"/>
              </w:rPr>
            </w:pPr>
            <w:r>
              <w:rPr>
                <w:b w:val="0"/>
              </w:rPr>
              <w:t>0.031</w:t>
            </w:r>
          </w:p>
        </w:tc>
        <w:tc>
          <w:tcPr>
            <w:tcW w:w="709" w:type="dxa"/>
            <w:tcBorders>
              <w:top w:val="single" w:color="auto" w:sz="12" w:space="0"/>
              <w:left w:val="nil"/>
              <w:bottom w:val="nil"/>
              <w:right w:val="nil"/>
            </w:tcBorders>
            <w:vAlign w:val="center"/>
          </w:tcPr>
          <w:p w14:paraId="25624040">
            <w:pPr>
              <w:pStyle w:val="20"/>
              <w:spacing w:before="468" w:after="156" w:line="312" w:lineRule="auto"/>
              <w:rPr>
                <w:b w:val="0"/>
              </w:rPr>
            </w:pPr>
            <w:r>
              <w:rPr>
                <w:b w:val="0"/>
              </w:rPr>
              <w:t>0.409</w:t>
            </w:r>
          </w:p>
        </w:tc>
      </w:tr>
      <w:tr w14:paraId="435080B5">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28" w:hRule="atLeast"/>
          <w:jc w:val="center"/>
        </w:trPr>
        <w:tc>
          <w:tcPr>
            <w:tcW w:w="881" w:type="dxa"/>
            <w:tcBorders>
              <w:top w:val="nil"/>
              <w:left w:val="nil"/>
              <w:bottom w:val="single" w:color="auto" w:sz="12" w:space="0"/>
              <w:right w:val="nil"/>
            </w:tcBorders>
            <w:vAlign w:val="center"/>
          </w:tcPr>
          <w:p w14:paraId="4A9B0761">
            <w:pPr>
              <w:pStyle w:val="20"/>
              <w:spacing w:before="468" w:after="156" w:line="312" w:lineRule="auto"/>
              <w:rPr>
                <w:b w:val="0"/>
                <w:bCs/>
              </w:rPr>
            </w:pPr>
            <w:r>
              <w:rPr>
                <w:b w:val="0"/>
                <w:bCs/>
              </w:rPr>
              <w:t>Reinspection</w:t>
            </w:r>
          </w:p>
        </w:tc>
        <w:tc>
          <w:tcPr>
            <w:tcW w:w="687" w:type="dxa"/>
            <w:tcBorders>
              <w:top w:val="nil"/>
              <w:left w:val="nil"/>
              <w:bottom w:val="single" w:color="auto" w:sz="12" w:space="0"/>
              <w:right w:val="nil"/>
            </w:tcBorders>
            <w:vAlign w:val="center"/>
          </w:tcPr>
          <w:p w14:paraId="1B9D0211">
            <w:pPr>
              <w:pStyle w:val="20"/>
              <w:spacing w:before="468" w:after="156" w:line="312" w:lineRule="auto"/>
              <w:rPr>
                <w:b w:val="0"/>
              </w:rPr>
            </w:pPr>
            <w:r>
              <w:rPr>
                <w:b w:val="0"/>
              </w:rPr>
              <w:t>0.17</w:t>
            </w:r>
          </w:p>
        </w:tc>
        <w:tc>
          <w:tcPr>
            <w:tcW w:w="667" w:type="dxa"/>
            <w:tcBorders>
              <w:top w:val="nil"/>
              <w:left w:val="nil"/>
              <w:bottom w:val="single" w:color="auto" w:sz="12" w:space="0"/>
              <w:right w:val="nil"/>
            </w:tcBorders>
            <w:vAlign w:val="center"/>
          </w:tcPr>
          <w:p w14:paraId="161031F9">
            <w:pPr>
              <w:pStyle w:val="20"/>
              <w:spacing w:before="468" w:after="156" w:line="312" w:lineRule="auto"/>
              <w:rPr>
                <w:b w:val="0"/>
              </w:rPr>
            </w:pPr>
            <w:r>
              <w:rPr>
                <w:b w:val="0"/>
              </w:rPr>
              <w:t>0.24</w:t>
            </w:r>
          </w:p>
        </w:tc>
        <w:tc>
          <w:tcPr>
            <w:tcW w:w="596" w:type="dxa"/>
            <w:tcBorders>
              <w:top w:val="nil"/>
              <w:left w:val="nil"/>
              <w:bottom w:val="single" w:color="auto" w:sz="12" w:space="0"/>
              <w:right w:val="nil"/>
            </w:tcBorders>
            <w:vAlign w:val="center"/>
          </w:tcPr>
          <w:p w14:paraId="316568E3">
            <w:pPr>
              <w:pStyle w:val="20"/>
              <w:spacing w:before="468" w:after="156" w:line="312" w:lineRule="auto"/>
              <w:rPr>
                <w:b w:val="0"/>
              </w:rPr>
            </w:pPr>
            <w:r>
              <w:rPr>
                <w:b w:val="0"/>
              </w:rPr>
              <w:t>1.46</w:t>
            </w:r>
          </w:p>
        </w:tc>
        <w:tc>
          <w:tcPr>
            <w:tcW w:w="821" w:type="dxa"/>
            <w:tcBorders>
              <w:top w:val="nil"/>
              <w:left w:val="nil"/>
              <w:bottom w:val="single" w:color="auto" w:sz="12" w:space="0"/>
              <w:right w:val="nil"/>
            </w:tcBorders>
            <w:vAlign w:val="center"/>
          </w:tcPr>
          <w:p w14:paraId="60FE8290">
            <w:pPr>
              <w:pStyle w:val="20"/>
              <w:spacing w:before="468" w:after="156" w:line="312" w:lineRule="auto"/>
              <w:rPr>
                <w:b w:val="0"/>
              </w:rPr>
            </w:pPr>
            <w:r>
              <w:rPr>
                <w:b w:val="0"/>
              </w:rPr>
              <w:t>0.017</w:t>
            </w:r>
          </w:p>
        </w:tc>
        <w:tc>
          <w:tcPr>
            <w:tcW w:w="709" w:type="dxa"/>
            <w:tcBorders>
              <w:top w:val="nil"/>
              <w:left w:val="nil"/>
              <w:bottom w:val="single" w:color="auto" w:sz="12" w:space="0"/>
              <w:right w:val="nil"/>
            </w:tcBorders>
            <w:vAlign w:val="center"/>
          </w:tcPr>
          <w:p w14:paraId="78D44287">
            <w:pPr>
              <w:pStyle w:val="20"/>
              <w:spacing w:before="468" w:after="156" w:line="312" w:lineRule="auto"/>
              <w:rPr>
                <w:b w:val="0"/>
              </w:rPr>
            </w:pPr>
            <w:r>
              <w:rPr>
                <w:b w:val="0"/>
              </w:rPr>
              <w:t>0.005</w:t>
            </w:r>
          </w:p>
        </w:tc>
        <w:tc>
          <w:tcPr>
            <w:tcW w:w="709" w:type="dxa"/>
            <w:tcBorders>
              <w:top w:val="nil"/>
              <w:left w:val="nil"/>
              <w:bottom w:val="single" w:color="auto" w:sz="12" w:space="0"/>
              <w:right w:val="nil"/>
            </w:tcBorders>
            <w:vAlign w:val="center"/>
          </w:tcPr>
          <w:p w14:paraId="770A7B4A">
            <w:pPr>
              <w:pStyle w:val="20"/>
              <w:spacing w:before="468" w:after="156" w:line="312" w:lineRule="auto"/>
              <w:rPr>
                <w:b w:val="0"/>
              </w:rPr>
            </w:pPr>
            <w:r>
              <w:rPr>
                <w:b w:val="0"/>
              </w:rPr>
              <w:t>0.05</w:t>
            </w:r>
          </w:p>
        </w:tc>
        <w:tc>
          <w:tcPr>
            <w:tcW w:w="708" w:type="dxa"/>
            <w:tcBorders>
              <w:top w:val="nil"/>
              <w:left w:val="nil"/>
              <w:bottom w:val="single" w:color="auto" w:sz="12" w:space="0"/>
              <w:right w:val="nil"/>
            </w:tcBorders>
            <w:vAlign w:val="center"/>
          </w:tcPr>
          <w:p w14:paraId="1FE1084D">
            <w:pPr>
              <w:pStyle w:val="20"/>
              <w:spacing w:before="468" w:after="156" w:line="312" w:lineRule="auto"/>
              <w:rPr>
                <w:b w:val="0"/>
              </w:rPr>
            </w:pPr>
            <w:r>
              <w:rPr>
                <w:b w:val="0"/>
              </w:rPr>
              <w:t>0.034</w:t>
            </w:r>
          </w:p>
        </w:tc>
        <w:tc>
          <w:tcPr>
            <w:tcW w:w="709" w:type="dxa"/>
            <w:tcBorders>
              <w:top w:val="nil"/>
              <w:left w:val="nil"/>
              <w:bottom w:val="single" w:color="auto" w:sz="12" w:space="0"/>
              <w:right w:val="nil"/>
            </w:tcBorders>
            <w:vAlign w:val="center"/>
          </w:tcPr>
          <w:p w14:paraId="4E6D4003">
            <w:pPr>
              <w:pStyle w:val="20"/>
              <w:spacing w:before="468" w:after="156" w:line="312" w:lineRule="auto"/>
              <w:rPr>
                <w:b w:val="0"/>
              </w:rPr>
            </w:pPr>
            <w:r>
              <w:rPr>
                <w:b w:val="0"/>
              </w:rPr>
              <w:t>0.020</w:t>
            </w:r>
          </w:p>
        </w:tc>
        <w:tc>
          <w:tcPr>
            <w:tcW w:w="727" w:type="dxa"/>
            <w:tcBorders>
              <w:top w:val="nil"/>
              <w:left w:val="nil"/>
              <w:bottom w:val="single" w:color="auto" w:sz="12" w:space="0"/>
              <w:right w:val="nil"/>
            </w:tcBorders>
            <w:vAlign w:val="center"/>
          </w:tcPr>
          <w:p w14:paraId="1B9D127D">
            <w:pPr>
              <w:pStyle w:val="20"/>
              <w:spacing w:before="468" w:after="156" w:line="312" w:lineRule="auto"/>
              <w:rPr>
                <w:b w:val="0"/>
              </w:rPr>
            </w:pPr>
            <w:r>
              <w:rPr>
                <w:b w:val="0"/>
              </w:rPr>
              <w:t>0.022</w:t>
            </w:r>
          </w:p>
        </w:tc>
        <w:tc>
          <w:tcPr>
            <w:tcW w:w="709" w:type="dxa"/>
            <w:tcBorders>
              <w:top w:val="nil"/>
              <w:left w:val="nil"/>
              <w:bottom w:val="single" w:color="auto" w:sz="12" w:space="0"/>
              <w:right w:val="nil"/>
            </w:tcBorders>
            <w:vAlign w:val="center"/>
          </w:tcPr>
          <w:p w14:paraId="0BD48CEB">
            <w:pPr>
              <w:pStyle w:val="20"/>
              <w:spacing w:before="468" w:after="156" w:line="312" w:lineRule="auto"/>
              <w:rPr>
                <w:b w:val="0"/>
              </w:rPr>
            </w:pPr>
            <w:r>
              <w:rPr>
                <w:b w:val="0"/>
              </w:rPr>
              <w:t>0.036</w:t>
            </w:r>
          </w:p>
        </w:tc>
        <w:tc>
          <w:tcPr>
            <w:tcW w:w="709" w:type="dxa"/>
            <w:tcBorders>
              <w:top w:val="nil"/>
              <w:left w:val="nil"/>
              <w:bottom w:val="single" w:color="auto" w:sz="12" w:space="0"/>
              <w:right w:val="nil"/>
            </w:tcBorders>
            <w:vAlign w:val="center"/>
          </w:tcPr>
          <w:p w14:paraId="5AD32651">
            <w:pPr>
              <w:pStyle w:val="20"/>
              <w:spacing w:before="468" w:after="156" w:line="312" w:lineRule="auto"/>
              <w:rPr>
                <w:b w:val="0"/>
              </w:rPr>
            </w:pPr>
            <w:r>
              <w:rPr>
                <w:b w:val="0"/>
              </w:rPr>
              <w:t>0.434</w:t>
            </w:r>
          </w:p>
        </w:tc>
      </w:tr>
    </w:tbl>
    <w:p w14:paraId="79FBB7E2">
      <w:pPr>
        <w:pStyle w:val="16"/>
        <w:spacing w:before="31" w:after="31"/>
        <w:ind w:firstLine="480"/>
        <w:rPr>
          <w:szCs w:val="24"/>
        </w:rPr>
      </w:pPr>
      <w:r>
        <w:rPr>
          <w:szCs w:val="24"/>
        </w:rPr>
        <w:t>The combined calculation and test results indicate that the lifting points steel welded joint has low susceptibility to cold cracking.</w:t>
      </w:r>
    </w:p>
    <w:p w14:paraId="0EC4D025">
      <w:pPr>
        <w:pStyle w:val="16"/>
        <w:spacing w:before="31" w:after="31"/>
        <w:ind w:firstLine="480"/>
        <w:rPr>
          <w:szCs w:val="24"/>
        </w:rPr>
      </w:pPr>
      <w:r>
        <w:rPr>
          <w:szCs w:val="24"/>
        </w:rPr>
        <w:t>According to the lifting points' steel, the structural form of the lifting points, and the results of finite element calculations, it is indicated that there is a possibility of laminar tearing in this structure. Laminar tearing is a severe internal cracking phenomenon that often occurs in thick-walled structures. It occurs at lower temperatures and is mainly influenced by internal laminar inclusions in rolled steel (especially sulfides and oxides). During welding, stress perpendicular to the steel plate surface is generated, causing step-like laminar cracking near or slightly away from the heat-affected zone, and it can propagate transgranularly. For laminar tearing, the platform or shear wall of laminar tearing is closely related to the plasticity and toughness of the base material. If the plasticity and toughness are poor, indicating low deformation ability, the crack is more prone to propagation, and the resistance to laminar tearing is lower. To assess the laminar tearing tendency of the lifting points steel, a z-direction tensile test was conducted, using the shrinkage ratio of the section along the thickness direction of the steel plate to evaluate the laminar tearing tendency.</w:t>
      </w:r>
    </w:p>
    <w:p w14:paraId="1B6A7ABD">
      <w:pPr>
        <w:pStyle w:val="16"/>
        <w:spacing w:before="31" w:after="31"/>
        <w:ind w:firstLine="480"/>
        <w:rPr>
          <w:szCs w:val="24"/>
        </w:rPr>
      </w:pPr>
      <w:r>
        <w:rPr>
          <w:szCs w:val="24"/>
        </w:rPr>
        <w:t>The z-direction tensile test results showed that the lifting points steel had a shrinkage ratio along the thickness direction (approximately 18%) that was one-third of the shrinkage ratio along the non-thickness direction (approximately 62%). The fracture morphology of the thickness direction fracture was brittle with a high tendency toward grainy fracture, while the non-thickness direction tensile fracture was fibrous. This indicates that the lifting points steel of this thickness has poor plastic deformation ability in the thickness direction. Additionally, from the -40°C impact test results, it is evident that the steel's average impact absorption energy, whether near-surface specimens or near-center specimens, is relatively low, with an average value of only 15J. This further suggests that the lifting points steel has low plasticity and toughness in the thickness direction, and there is a tendency for laminar fracture when welded with significant restraint.</w:t>
      </w:r>
    </w:p>
    <w:p w14:paraId="3BC52B2E">
      <w:pPr>
        <w:pStyle w:val="16"/>
        <w:spacing w:before="31" w:after="31"/>
        <w:ind w:firstLine="480"/>
        <w:rPr>
          <w:szCs w:val="24"/>
        </w:rPr>
      </w:pPr>
      <w:r>
        <w:rPr>
          <w:szCs w:val="24"/>
        </w:rPr>
        <w:t>(c) Evaluation of Fracture Performance of Lifting Points Welded Joints</w:t>
      </w:r>
    </w:p>
    <w:p w14:paraId="68FA5544">
      <w:pPr>
        <w:pStyle w:val="16"/>
        <w:spacing w:before="31" w:after="31"/>
        <w:ind w:firstLine="480"/>
        <w:rPr>
          <w:szCs w:val="24"/>
        </w:rPr>
      </w:pPr>
      <w:r>
        <w:rPr>
          <w:szCs w:val="24"/>
        </w:rPr>
        <w:t>This study measured the characteristic COD values of the welded seam, fusion zone, heat-affected zone, and base material specimens of the lifting points steel welded joints at -20°C. The specimens used were full-thickness square three-point bending specimens with pre-made fatigue cracks. The test strength and data processing followed the relevant requirements, and the test results are shown in Table 4-14. The average values in the table are the averages of the three specimens.</w:t>
      </w:r>
    </w:p>
    <w:p w14:paraId="4B2BA330">
      <w:pPr>
        <w:pStyle w:val="16"/>
        <w:spacing w:before="31" w:after="31"/>
        <w:ind w:firstLine="480"/>
        <w:rPr>
          <w:szCs w:val="24"/>
        </w:rPr>
      </w:pPr>
      <w:r>
        <w:rPr>
          <w:szCs w:val="24"/>
        </w:rPr>
        <w:t>The test on the crack opening displacement (COD) showed that although the characteristic COD values of the lifting points steel and the welded joints at -20°C did not reach the CTOD at the maximum load, the fracture toughness of the welded seam and heat-affected zone of the lifting points steel still met the requirements of relevant standards. However, the average COD value in the fusion zone was relatively low.</w:t>
      </w:r>
    </w:p>
    <w:p w14:paraId="479B25ED">
      <w:pPr>
        <w:pStyle w:val="16"/>
        <w:spacing w:before="31" w:after="31"/>
        <w:ind w:firstLine="480"/>
        <w:rPr>
          <w:szCs w:val="24"/>
        </w:rPr>
      </w:pPr>
      <w:r>
        <w:rPr>
          <w:szCs w:val="24"/>
        </w:rPr>
        <w:t>According to the British Code for the Construction of Fixed Offshore Petroleum Platforms (BS6235-82), the evaluation of the fracture performance of this steel was performed. The maximum allowable defect size at point B was calculated, and the results are shown in Table 4-15.</w:t>
      </w:r>
    </w:p>
    <w:p w14:paraId="2DBB2C9C">
      <w:pPr>
        <w:pStyle w:val="16"/>
        <w:spacing w:before="31" w:after="31"/>
        <w:ind w:firstLine="482"/>
        <w:jc w:val="center"/>
        <w:rPr>
          <w:rFonts w:hint="eastAsia"/>
          <w:b/>
          <w:bCs/>
          <w:szCs w:val="24"/>
        </w:rPr>
      </w:pPr>
      <w:r>
        <w:rPr>
          <w:b/>
          <w:bCs/>
          <w:szCs w:val="24"/>
        </w:rPr>
        <w:t>Table 4-14 Test results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8"/>
        <w:gridCol w:w="2038"/>
        <w:gridCol w:w="2038"/>
        <w:gridCol w:w="2039"/>
      </w:tblGrid>
      <w:tr w14:paraId="188B1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53" w:type="dxa"/>
            <w:gridSpan w:val="4"/>
            <w:tcBorders>
              <w:top w:val="single" w:color="auto" w:sz="12" w:space="0"/>
              <w:left w:val="nil"/>
              <w:bottom w:val="single" w:color="auto" w:sz="12" w:space="0"/>
              <w:right w:val="nil"/>
            </w:tcBorders>
          </w:tcPr>
          <w:p w14:paraId="3A4A60C5">
            <w:pPr>
              <w:pStyle w:val="16"/>
              <w:spacing w:before="31" w:after="31"/>
              <w:ind w:firstLine="480"/>
              <w:rPr>
                <w:szCs w:val="24"/>
              </w:rPr>
            </w:pPr>
            <w:r>
              <w:rPr>
                <w:szCs w:val="24"/>
              </w:rPr>
              <w:t>Characteristic COD (average) values / mm</w:t>
            </w:r>
          </w:p>
          <w:p w14:paraId="12EE6A4B">
            <w:pPr>
              <w:spacing w:line="360" w:lineRule="auto"/>
              <w:jc w:val="center"/>
              <w:rPr>
                <w:kern w:val="0"/>
                <w:szCs w:val="21"/>
              </w:rPr>
            </w:pPr>
          </w:p>
        </w:tc>
      </w:tr>
      <w:tr w14:paraId="6B2F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8" w:type="dxa"/>
            <w:tcBorders>
              <w:top w:val="single" w:color="auto" w:sz="12" w:space="0"/>
              <w:left w:val="nil"/>
              <w:bottom w:val="nil"/>
              <w:right w:val="nil"/>
            </w:tcBorders>
          </w:tcPr>
          <w:p w14:paraId="083044AC">
            <w:pPr>
              <w:spacing w:line="360" w:lineRule="auto"/>
              <w:jc w:val="center"/>
              <w:rPr>
                <w:kern w:val="0"/>
                <w:szCs w:val="21"/>
              </w:rPr>
            </w:pPr>
            <w:r>
              <w:t>Weld Seam</w:t>
            </w:r>
          </w:p>
        </w:tc>
        <w:tc>
          <w:tcPr>
            <w:tcW w:w="2038" w:type="dxa"/>
            <w:tcBorders>
              <w:top w:val="single" w:color="auto" w:sz="12" w:space="0"/>
              <w:left w:val="nil"/>
              <w:bottom w:val="nil"/>
              <w:right w:val="nil"/>
            </w:tcBorders>
          </w:tcPr>
          <w:p w14:paraId="15DA6540">
            <w:pPr>
              <w:spacing w:line="360" w:lineRule="auto"/>
              <w:jc w:val="center"/>
              <w:rPr>
                <w:kern w:val="0"/>
                <w:szCs w:val="21"/>
              </w:rPr>
            </w:pPr>
            <w:r>
              <w:t>Fusion Zone</w:t>
            </w:r>
          </w:p>
        </w:tc>
        <w:tc>
          <w:tcPr>
            <w:tcW w:w="2038" w:type="dxa"/>
            <w:tcBorders>
              <w:top w:val="single" w:color="auto" w:sz="12" w:space="0"/>
              <w:left w:val="nil"/>
              <w:bottom w:val="nil"/>
              <w:right w:val="nil"/>
            </w:tcBorders>
          </w:tcPr>
          <w:p w14:paraId="503078D3">
            <w:pPr>
              <w:spacing w:line="360" w:lineRule="auto"/>
              <w:jc w:val="center"/>
              <w:rPr>
                <w:kern w:val="0"/>
                <w:szCs w:val="21"/>
              </w:rPr>
            </w:pPr>
            <w:r>
              <w:t>Heat-Affected Zone</w:t>
            </w:r>
          </w:p>
        </w:tc>
        <w:tc>
          <w:tcPr>
            <w:tcW w:w="2039" w:type="dxa"/>
            <w:tcBorders>
              <w:top w:val="single" w:color="auto" w:sz="12" w:space="0"/>
              <w:left w:val="nil"/>
              <w:bottom w:val="nil"/>
              <w:right w:val="nil"/>
            </w:tcBorders>
          </w:tcPr>
          <w:p w14:paraId="4F4EC1D1">
            <w:pPr>
              <w:spacing w:line="360" w:lineRule="auto"/>
              <w:jc w:val="center"/>
              <w:rPr>
                <w:kern w:val="0"/>
                <w:szCs w:val="21"/>
              </w:rPr>
            </w:pPr>
            <w:r>
              <w:t>Base Material</w:t>
            </w:r>
          </w:p>
        </w:tc>
      </w:tr>
      <w:tr w14:paraId="191D8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8" w:type="dxa"/>
            <w:tcBorders>
              <w:top w:val="nil"/>
              <w:left w:val="nil"/>
              <w:bottom w:val="single" w:color="auto" w:sz="12" w:space="0"/>
              <w:right w:val="nil"/>
            </w:tcBorders>
          </w:tcPr>
          <w:p w14:paraId="2FE31869">
            <w:pPr>
              <w:spacing w:line="360" w:lineRule="auto"/>
              <w:jc w:val="center"/>
              <w:rPr>
                <w:kern w:val="0"/>
                <w:szCs w:val="21"/>
              </w:rPr>
            </w:pPr>
            <w:r>
              <w:rPr>
                <w:kern w:val="0"/>
                <w:szCs w:val="21"/>
              </w:rPr>
              <w:t>0.1546</w:t>
            </w:r>
          </w:p>
        </w:tc>
        <w:tc>
          <w:tcPr>
            <w:tcW w:w="2038" w:type="dxa"/>
            <w:tcBorders>
              <w:top w:val="nil"/>
              <w:left w:val="nil"/>
              <w:bottom w:val="single" w:color="auto" w:sz="12" w:space="0"/>
              <w:right w:val="nil"/>
            </w:tcBorders>
          </w:tcPr>
          <w:p w14:paraId="366E7D45">
            <w:pPr>
              <w:spacing w:line="360" w:lineRule="auto"/>
              <w:jc w:val="center"/>
              <w:rPr>
                <w:kern w:val="0"/>
                <w:szCs w:val="21"/>
              </w:rPr>
            </w:pPr>
            <w:r>
              <w:rPr>
                <w:kern w:val="0"/>
                <w:szCs w:val="21"/>
              </w:rPr>
              <w:t>0.1342</w:t>
            </w:r>
          </w:p>
        </w:tc>
        <w:tc>
          <w:tcPr>
            <w:tcW w:w="2038" w:type="dxa"/>
            <w:tcBorders>
              <w:top w:val="nil"/>
              <w:left w:val="nil"/>
              <w:bottom w:val="single" w:color="auto" w:sz="12" w:space="0"/>
              <w:right w:val="nil"/>
            </w:tcBorders>
          </w:tcPr>
          <w:p w14:paraId="31C7BDDE">
            <w:pPr>
              <w:spacing w:line="360" w:lineRule="auto"/>
              <w:jc w:val="center"/>
              <w:rPr>
                <w:kern w:val="0"/>
                <w:szCs w:val="21"/>
              </w:rPr>
            </w:pPr>
            <w:r>
              <w:rPr>
                <w:kern w:val="0"/>
                <w:szCs w:val="21"/>
              </w:rPr>
              <w:t>0.2313</w:t>
            </w:r>
          </w:p>
        </w:tc>
        <w:tc>
          <w:tcPr>
            <w:tcW w:w="2039" w:type="dxa"/>
            <w:tcBorders>
              <w:top w:val="nil"/>
              <w:left w:val="nil"/>
              <w:bottom w:val="single" w:color="auto" w:sz="12" w:space="0"/>
              <w:right w:val="nil"/>
            </w:tcBorders>
          </w:tcPr>
          <w:p w14:paraId="3841389D">
            <w:pPr>
              <w:spacing w:line="360" w:lineRule="auto"/>
              <w:jc w:val="center"/>
              <w:rPr>
                <w:kern w:val="0"/>
                <w:szCs w:val="21"/>
              </w:rPr>
            </w:pPr>
            <w:r>
              <w:rPr>
                <w:kern w:val="0"/>
                <w:szCs w:val="21"/>
              </w:rPr>
              <w:t>0.2575</w:t>
            </w:r>
          </w:p>
        </w:tc>
      </w:tr>
    </w:tbl>
    <w:p w14:paraId="3FAD7AA5">
      <w:pPr>
        <w:pStyle w:val="16"/>
        <w:spacing w:before="31" w:after="31"/>
        <w:ind w:firstLine="482"/>
        <w:jc w:val="center"/>
        <w:rPr>
          <w:b/>
          <w:bCs/>
          <w:szCs w:val="24"/>
        </w:rPr>
      </w:pPr>
      <w:r>
        <w:rPr>
          <w:b/>
          <w:bCs/>
          <w:szCs w:val="24"/>
        </w:rPr>
        <w:t>Table 4-15 Determination of allowable defect size</w:t>
      </w:r>
    </w:p>
    <w:p w14:paraId="58B4CBD1">
      <w:pPr>
        <w:pStyle w:val="16"/>
        <w:spacing w:before="31" w:after="31"/>
        <w:ind w:firstLine="420"/>
        <w:jc w:val="center"/>
        <w:rPr>
          <w:rFonts w:cs="Times New Roman"/>
          <w:sz w:val="21"/>
          <w:szCs w:val="21"/>
        </w:rPr>
      </w:pPr>
      <w:r>
        <w:rPr>
          <w:rFonts w:cs="Times New Roman"/>
          <w:sz w:val="21"/>
          <w:szCs w:val="21"/>
        </w:rPr>
        <w:t>(</w:t>
      </w:r>
      <w:r>
        <w:rPr>
          <w:rFonts w:eastAsia="黑体" w:cs="Times New Roman"/>
          <w:sz w:val="21"/>
          <w:szCs w:val="21"/>
        </w:rPr>
        <w:t>σ</w:t>
      </w:r>
      <w:r>
        <w:rPr>
          <w:rFonts w:cs="Times New Roman"/>
          <w:sz w:val="21"/>
          <w:szCs w:val="21"/>
        </w:rPr>
        <w:t xml:space="preserve">=436Mpa, </w:t>
      </w:r>
      <w:r>
        <w:rPr>
          <w:rFonts w:eastAsia="黑体" w:cs="Times New Roman"/>
          <w:sz w:val="21"/>
          <w:szCs w:val="21"/>
        </w:rPr>
        <w:t>σ</w:t>
      </w:r>
      <w:r>
        <w:rPr>
          <w:rFonts w:cs="Times New Roman"/>
          <w:sz w:val="21"/>
          <w:szCs w:val="21"/>
          <w:vertAlign w:val="subscript"/>
        </w:rPr>
        <w:t>rp</w:t>
      </w:r>
      <w:r>
        <w:rPr>
          <w:rFonts w:cs="Times New Roman"/>
          <w:sz w:val="21"/>
          <w:szCs w:val="21"/>
        </w:rPr>
        <w:t xml:space="preserve">=375Mpa, </w:t>
      </w:r>
      <w:r>
        <w:rPr>
          <w:rFonts w:eastAsia="黑体" w:cs="Times New Roman"/>
          <w:sz w:val="21"/>
          <w:szCs w:val="21"/>
        </w:rPr>
        <w:t>σ</w:t>
      </w:r>
      <w:r>
        <w:rPr>
          <w:rFonts w:cs="Times New Roman"/>
          <w:sz w:val="21"/>
          <w:szCs w:val="21"/>
          <w:vertAlign w:val="subscript"/>
        </w:rPr>
        <w:t>rm</w:t>
      </w:r>
      <w:r>
        <w:rPr>
          <w:rFonts w:cs="Times New Roman"/>
          <w:sz w:val="21"/>
          <w:szCs w:val="21"/>
        </w:rPr>
        <w:t>=440Mpa)</w:t>
      </w:r>
    </w:p>
    <w:tbl>
      <w:tblPr>
        <w:tblStyle w:val="9"/>
        <w:tblW w:w="0" w:type="auto"/>
        <w:jc w:val="center"/>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1630"/>
        <w:gridCol w:w="2306"/>
        <w:gridCol w:w="3118"/>
      </w:tblGrid>
      <w:tr w14:paraId="52E77ED7">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630" w:type="dxa"/>
            <w:tcBorders>
              <w:top w:val="single" w:color="auto" w:sz="12" w:space="0"/>
              <w:left w:val="nil"/>
              <w:bottom w:val="single" w:color="auto" w:sz="12" w:space="0"/>
              <w:right w:val="nil"/>
            </w:tcBorders>
            <w:vAlign w:val="center"/>
          </w:tcPr>
          <w:p w14:paraId="719219A7">
            <w:pPr>
              <w:autoSpaceDE w:val="0"/>
              <w:autoSpaceDN w:val="0"/>
              <w:adjustRightInd w:val="0"/>
              <w:spacing w:line="360" w:lineRule="auto"/>
              <w:rPr>
                <w:kern w:val="0"/>
                <w:szCs w:val="21"/>
              </w:rPr>
            </w:pPr>
            <w:r>
              <w:t>Joint Position</w:t>
            </w:r>
          </w:p>
        </w:tc>
        <w:tc>
          <w:tcPr>
            <w:tcW w:w="2306" w:type="dxa"/>
            <w:tcBorders>
              <w:top w:val="single" w:color="auto" w:sz="12" w:space="0"/>
              <w:left w:val="nil"/>
              <w:bottom w:val="single" w:color="auto" w:sz="12" w:space="0"/>
              <w:right w:val="nil"/>
            </w:tcBorders>
            <w:vAlign w:val="center"/>
          </w:tcPr>
          <w:p w14:paraId="16DC69B7">
            <w:pPr>
              <w:autoSpaceDE w:val="0"/>
              <w:autoSpaceDN w:val="0"/>
              <w:adjustRightInd w:val="0"/>
              <w:spacing w:line="360" w:lineRule="auto"/>
              <w:jc w:val="center"/>
              <w:rPr>
                <w:kern w:val="0"/>
                <w:szCs w:val="21"/>
              </w:rPr>
            </w:pPr>
            <w:r>
              <w:t>Characteristic COD value δ/ mm</w:t>
            </w:r>
          </w:p>
        </w:tc>
        <w:tc>
          <w:tcPr>
            <w:tcW w:w="3118" w:type="dxa"/>
            <w:tcBorders>
              <w:top w:val="single" w:color="auto" w:sz="12" w:space="0"/>
              <w:left w:val="nil"/>
              <w:bottom w:val="single" w:color="auto" w:sz="12" w:space="0"/>
              <w:right w:val="nil"/>
            </w:tcBorders>
            <w:vAlign w:val="center"/>
          </w:tcPr>
          <w:p w14:paraId="63D6B4B7">
            <w:pPr>
              <w:pStyle w:val="16"/>
              <w:spacing w:before="31" w:after="31"/>
              <w:ind w:firstLine="480"/>
              <w:rPr>
                <w:szCs w:val="24"/>
              </w:rPr>
            </w:pPr>
            <w:r>
              <w:rPr>
                <w:szCs w:val="24"/>
              </w:rPr>
              <w:t>Allowable defect size σmax / mm</w:t>
            </w:r>
          </w:p>
          <w:p w14:paraId="4DC0ACD7">
            <w:pPr>
              <w:autoSpaceDE w:val="0"/>
              <w:autoSpaceDN w:val="0"/>
              <w:adjustRightInd w:val="0"/>
              <w:spacing w:line="360" w:lineRule="auto"/>
              <w:jc w:val="center"/>
              <w:rPr>
                <w:kern w:val="0"/>
                <w:szCs w:val="21"/>
              </w:rPr>
            </w:pPr>
          </w:p>
        </w:tc>
      </w:tr>
      <w:tr w14:paraId="78B4C090">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630" w:type="dxa"/>
            <w:tcBorders>
              <w:top w:val="single" w:color="auto" w:sz="12" w:space="0"/>
              <w:left w:val="nil"/>
              <w:bottom w:val="single" w:color="auto" w:sz="12" w:space="0"/>
              <w:right w:val="nil"/>
            </w:tcBorders>
            <w:vAlign w:val="center"/>
          </w:tcPr>
          <w:p w14:paraId="3EA99129">
            <w:pPr>
              <w:autoSpaceDE w:val="0"/>
              <w:autoSpaceDN w:val="0"/>
              <w:adjustRightInd w:val="0"/>
              <w:spacing w:line="360" w:lineRule="auto"/>
              <w:jc w:val="center"/>
              <w:rPr>
                <w:kern w:val="0"/>
                <w:szCs w:val="21"/>
              </w:rPr>
            </w:pPr>
            <w:r>
              <w:t>Weld Seam</w:t>
            </w:r>
          </w:p>
        </w:tc>
        <w:tc>
          <w:tcPr>
            <w:tcW w:w="2306" w:type="dxa"/>
            <w:tcBorders>
              <w:top w:val="single" w:color="auto" w:sz="12" w:space="0"/>
              <w:left w:val="nil"/>
              <w:bottom w:val="single" w:color="auto" w:sz="12" w:space="0"/>
              <w:right w:val="nil"/>
            </w:tcBorders>
            <w:vAlign w:val="center"/>
          </w:tcPr>
          <w:p w14:paraId="3F1F3EBF">
            <w:pPr>
              <w:autoSpaceDE w:val="0"/>
              <w:autoSpaceDN w:val="0"/>
              <w:adjustRightInd w:val="0"/>
              <w:spacing w:line="360" w:lineRule="auto"/>
              <w:jc w:val="center"/>
              <w:rPr>
                <w:kern w:val="0"/>
                <w:szCs w:val="21"/>
              </w:rPr>
            </w:pPr>
            <w:r>
              <w:rPr>
                <w:kern w:val="0"/>
                <w:szCs w:val="21"/>
              </w:rPr>
              <w:t>0.1546</w:t>
            </w:r>
          </w:p>
        </w:tc>
        <w:tc>
          <w:tcPr>
            <w:tcW w:w="3118" w:type="dxa"/>
            <w:tcBorders>
              <w:top w:val="single" w:color="auto" w:sz="12" w:space="0"/>
              <w:left w:val="nil"/>
              <w:bottom w:val="single" w:color="auto" w:sz="12" w:space="0"/>
              <w:right w:val="nil"/>
            </w:tcBorders>
            <w:vAlign w:val="center"/>
          </w:tcPr>
          <w:p w14:paraId="66913F4D">
            <w:pPr>
              <w:autoSpaceDE w:val="0"/>
              <w:autoSpaceDN w:val="0"/>
              <w:adjustRightInd w:val="0"/>
              <w:spacing w:line="360" w:lineRule="auto"/>
              <w:jc w:val="center"/>
              <w:rPr>
                <w:kern w:val="0"/>
                <w:szCs w:val="21"/>
              </w:rPr>
            </w:pPr>
            <w:r>
              <w:rPr>
                <w:kern w:val="0"/>
                <w:szCs w:val="21"/>
              </w:rPr>
              <w:t>7.37</w:t>
            </w:r>
          </w:p>
        </w:tc>
      </w:tr>
      <w:tr w14:paraId="07E55429">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630" w:type="dxa"/>
            <w:tcBorders>
              <w:top w:val="single" w:color="auto" w:sz="12" w:space="0"/>
              <w:left w:val="nil"/>
              <w:bottom w:val="single" w:color="auto" w:sz="12" w:space="0"/>
              <w:right w:val="nil"/>
            </w:tcBorders>
            <w:vAlign w:val="center"/>
          </w:tcPr>
          <w:p w14:paraId="697FBC16">
            <w:pPr>
              <w:autoSpaceDE w:val="0"/>
              <w:autoSpaceDN w:val="0"/>
              <w:adjustRightInd w:val="0"/>
              <w:spacing w:line="360" w:lineRule="auto"/>
              <w:jc w:val="center"/>
              <w:rPr>
                <w:kern w:val="0"/>
                <w:szCs w:val="21"/>
              </w:rPr>
            </w:pPr>
            <w:r>
              <w:t>Fusion Zone</w:t>
            </w:r>
          </w:p>
        </w:tc>
        <w:tc>
          <w:tcPr>
            <w:tcW w:w="2306" w:type="dxa"/>
            <w:tcBorders>
              <w:top w:val="single" w:color="auto" w:sz="12" w:space="0"/>
              <w:left w:val="nil"/>
              <w:bottom w:val="single" w:color="auto" w:sz="12" w:space="0"/>
              <w:right w:val="nil"/>
            </w:tcBorders>
            <w:vAlign w:val="center"/>
          </w:tcPr>
          <w:p w14:paraId="1446579C">
            <w:pPr>
              <w:autoSpaceDE w:val="0"/>
              <w:autoSpaceDN w:val="0"/>
              <w:adjustRightInd w:val="0"/>
              <w:spacing w:line="360" w:lineRule="auto"/>
              <w:jc w:val="center"/>
              <w:rPr>
                <w:kern w:val="0"/>
                <w:szCs w:val="21"/>
              </w:rPr>
            </w:pPr>
            <w:r>
              <w:rPr>
                <w:kern w:val="0"/>
                <w:szCs w:val="21"/>
              </w:rPr>
              <w:t>0.1342</w:t>
            </w:r>
          </w:p>
        </w:tc>
        <w:tc>
          <w:tcPr>
            <w:tcW w:w="3118" w:type="dxa"/>
            <w:tcBorders>
              <w:top w:val="single" w:color="auto" w:sz="12" w:space="0"/>
              <w:left w:val="nil"/>
              <w:bottom w:val="single" w:color="auto" w:sz="12" w:space="0"/>
              <w:right w:val="nil"/>
            </w:tcBorders>
            <w:vAlign w:val="center"/>
          </w:tcPr>
          <w:p w14:paraId="257F633A">
            <w:pPr>
              <w:autoSpaceDE w:val="0"/>
              <w:autoSpaceDN w:val="0"/>
              <w:adjustRightInd w:val="0"/>
              <w:spacing w:line="360" w:lineRule="auto"/>
              <w:jc w:val="center"/>
              <w:rPr>
                <w:kern w:val="0"/>
                <w:szCs w:val="21"/>
              </w:rPr>
            </w:pPr>
            <w:r>
              <w:rPr>
                <w:kern w:val="0"/>
                <w:szCs w:val="21"/>
              </w:rPr>
              <w:t>6.40</w:t>
            </w:r>
          </w:p>
        </w:tc>
      </w:tr>
      <w:tr w14:paraId="79EBD1AC">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630" w:type="dxa"/>
            <w:tcBorders>
              <w:top w:val="single" w:color="auto" w:sz="12" w:space="0"/>
              <w:left w:val="nil"/>
              <w:bottom w:val="single" w:color="auto" w:sz="12" w:space="0"/>
              <w:right w:val="nil"/>
            </w:tcBorders>
            <w:vAlign w:val="center"/>
          </w:tcPr>
          <w:p w14:paraId="359DAEB2">
            <w:pPr>
              <w:autoSpaceDE w:val="0"/>
              <w:autoSpaceDN w:val="0"/>
              <w:adjustRightInd w:val="0"/>
              <w:spacing w:line="360" w:lineRule="auto"/>
              <w:jc w:val="center"/>
              <w:rPr>
                <w:kern w:val="0"/>
                <w:szCs w:val="21"/>
              </w:rPr>
            </w:pPr>
            <w:r>
              <w:t>Heat-Affected Zone</w:t>
            </w:r>
          </w:p>
        </w:tc>
        <w:tc>
          <w:tcPr>
            <w:tcW w:w="2306" w:type="dxa"/>
            <w:tcBorders>
              <w:top w:val="single" w:color="auto" w:sz="12" w:space="0"/>
              <w:left w:val="nil"/>
              <w:bottom w:val="single" w:color="auto" w:sz="12" w:space="0"/>
              <w:right w:val="nil"/>
            </w:tcBorders>
            <w:vAlign w:val="center"/>
          </w:tcPr>
          <w:p w14:paraId="39CDBFD2">
            <w:pPr>
              <w:autoSpaceDE w:val="0"/>
              <w:autoSpaceDN w:val="0"/>
              <w:adjustRightInd w:val="0"/>
              <w:spacing w:line="360" w:lineRule="auto"/>
              <w:jc w:val="center"/>
              <w:rPr>
                <w:kern w:val="0"/>
                <w:szCs w:val="21"/>
              </w:rPr>
            </w:pPr>
            <w:r>
              <w:rPr>
                <w:kern w:val="0"/>
                <w:szCs w:val="21"/>
              </w:rPr>
              <w:t>0.2313</w:t>
            </w:r>
          </w:p>
        </w:tc>
        <w:tc>
          <w:tcPr>
            <w:tcW w:w="3118" w:type="dxa"/>
            <w:tcBorders>
              <w:top w:val="single" w:color="auto" w:sz="12" w:space="0"/>
              <w:left w:val="nil"/>
              <w:bottom w:val="single" w:color="auto" w:sz="12" w:space="0"/>
              <w:right w:val="nil"/>
            </w:tcBorders>
            <w:vAlign w:val="center"/>
          </w:tcPr>
          <w:p w14:paraId="2C1030DD">
            <w:pPr>
              <w:autoSpaceDE w:val="0"/>
              <w:autoSpaceDN w:val="0"/>
              <w:adjustRightInd w:val="0"/>
              <w:spacing w:line="360" w:lineRule="auto"/>
              <w:jc w:val="center"/>
              <w:rPr>
                <w:kern w:val="0"/>
                <w:szCs w:val="21"/>
              </w:rPr>
            </w:pPr>
            <w:r>
              <w:rPr>
                <w:kern w:val="0"/>
                <w:szCs w:val="21"/>
              </w:rPr>
              <w:t>11.30</w:t>
            </w:r>
          </w:p>
        </w:tc>
      </w:tr>
    </w:tbl>
    <w:p w14:paraId="5694CD1E">
      <w:pPr>
        <w:pStyle w:val="16"/>
        <w:spacing w:before="31" w:after="31"/>
        <w:ind w:firstLine="0" w:firstLineChars="0"/>
        <w:rPr>
          <w:szCs w:val="24"/>
        </w:rPr>
      </w:pPr>
      <w:r>
        <w:rPr>
          <w:szCs w:val="24"/>
        </w:rPr>
        <w:t>(7) Impact and Harm Caused</w:t>
      </w:r>
    </w:p>
    <w:p w14:paraId="25504DC6">
      <w:pPr>
        <w:pStyle w:val="16"/>
        <w:spacing w:before="31" w:after="31"/>
        <w:ind w:firstLine="420" w:firstLineChars="0"/>
        <w:rPr>
          <w:szCs w:val="24"/>
        </w:rPr>
      </w:pPr>
      <w:r>
        <w:rPr>
          <w:szCs w:val="24"/>
        </w:rPr>
        <w:t>Null</w:t>
      </w:r>
    </w:p>
    <w:p w14:paraId="3553205C">
      <w:pPr>
        <w:pStyle w:val="16"/>
        <w:spacing w:before="31" w:after="31"/>
        <w:ind w:firstLine="0" w:firstLineChars="0"/>
        <w:rPr>
          <w:szCs w:val="24"/>
        </w:rPr>
      </w:pPr>
      <w:r>
        <w:rPr>
          <w:szCs w:val="24"/>
        </w:rPr>
        <w:t>(8) Conclusion and Improvement Measures</w:t>
      </w:r>
    </w:p>
    <w:p w14:paraId="14844622">
      <w:pPr>
        <w:pStyle w:val="16"/>
        <w:spacing w:before="31" w:after="31"/>
        <w:ind w:firstLine="480"/>
        <w:rPr>
          <w:szCs w:val="24"/>
        </w:rPr>
      </w:pPr>
      <w:r>
        <w:rPr>
          <w:szCs w:val="24"/>
        </w:rPr>
        <w:t>(a) The maximum equivalent stress of the lifting point structure weld seam occurs at the lower end of the longitudinal weld seam between the lifting lug plate and the cylindrical body, with a value of 436MPa.</w:t>
      </w:r>
    </w:p>
    <w:p w14:paraId="7B270B16">
      <w:pPr>
        <w:pStyle w:val="16"/>
        <w:spacing w:before="31" w:after="31"/>
        <w:ind w:firstLine="480"/>
        <w:rPr>
          <w:szCs w:val="24"/>
        </w:rPr>
      </w:pPr>
      <w:r>
        <w:rPr>
          <w:szCs w:val="24"/>
        </w:rPr>
        <w:t>(b) The lifting points steel (thickness 50mm) has low plasticity and toughness in the thickness direction, indicating a tendency for laminar tearing.</w:t>
      </w:r>
    </w:p>
    <w:p w14:paraId="6DEFC38B">
      <w:pPr>
        <w:pStyle w:val="16"/>
        <w:spacing w:before="31" w:after="31"/>
        <w:ind w:firstLine="480"/>
        <w:rPr>
          <w:szCs w:val="24"/>
        </w:rPr>
      </w:pPr>
      <w:r>
        <w:rPr>
          <w:szCs w:val="24"/>
        </w:rPr>
        <w:t>(c) The evaluation results indicate that the defects in the lifting points welded joints far exceed the maximum allowable defect size, and these defects must be repaired.</w:t>
      </w:r>
    </w:p>
    <w:p w14:paraId="64094A13">
      <w:pPr>
        <w:pStyle w:val="16"/>
        <w:spacing w:before="31" w:after="31"/>
        <w:ind w:firstLine="0" w:firstLineChars="0"/>
        <w:rPr>
          <w:rFonts w:hint="eastAsia"/>
          <w:b/>
          <w:bCs/>
          <w:sz w:val="28"/>
          <w:szCs w:val="28"/>
          <w:lang w:val="en-US" w:eastAsia="zh-CN"/>
        </w:rPr>
      </w:pPr>
    </w:p>
    <w:p w14:paraId="7710E831">
      <w:pPr>
        <w:pStyle w:val="16"/>
        <w:spacing w:before="31" w:after="31"/>
        <w:ind w:firstLine="0" w:firstLineChars="0"/>
        <w:rPr>
          <w:szCs w:val="24"/>
        </w:rPr>
      </w:pPr>
      <w:r>
        <w:rPr>
          <w:rFonts w:hint="eastAsia"/>
          <w:b/>
          <w:bCs/>
          <w:sz w:val="28"/>
          <w:szCs w:val="28"/>
          <w:lang w:val="en-US" w:eastAsia="zh-CN"/>
        </w:rPr>
        <w:t>4</w:t>
      </w:r>
      <w:r>
        <w:rPr>
          <w:b/>
          <w:bCs/>
          <w:sz w:val="28"/>
          <w:szCs w:val="28"/>
        </w:rPr>
        <w:t xml:space="preserve"> Summary of Energy Engineering Failure Cases</w:t>
      </w:r>
    </w:p>
    <w:p w14:paraId="7C9A58F8">
      <w:pPr>
        <w:pStyle w:val="16"/>
        <w:spacing w:before="31" w:after="31"/>
        <w:ind w:firstLine="0" w:firstLineChars="0"/>
        <w:rPr>
          <w:b/>
          <w:bCs/>
          <w:szCs w:val="24"/>
        </w:rPr>
      </w:pPr>
      <w:r>
        <w:rPr>
          <w:rFonts w:hint="eastAsia"/>
          <w:b/>
          <w:bCs/>
          <w:szCs w:val="24"/>
          <w:lang w:val="en-US" w:eastAsia="zh-CN"/>
        </w:rPr>
        <w:t>4.1</w:t>
      </w:r>
      <w:r>
        <w:rPr>
          <w:b/>
          <w:bCs/>
          <w:szCs w:val="24"/>
        </w:rPr>
        <w:t xml:space="preserve"> Case </w:t>
      </w:r>
      <w:r>
        <w:rPr>
          <w:rFonts w:hint="eastAsia"/>
          <w:b/>
          <w:bCs/>
          <w:szCs w:val="24"/>
          <w:lang w:val="en-US" w:eastAsia="zh-CN"/>
        </w:rPr>
        <w:t>4</w:t>
      </w:r>
      <w:r>
        <w:rPr>
          <w:b/>
          <w:bCs/>
          <w:szCs w:val="24"/>
        </w:rPr>
        <w:t>-16: Fracture of Keyed Shaft in Impactor</w:t>
      </w:r>
    </w:p>
    <w:p w14:paraId="062C4A82">
      <w:pPr>
        <w:pStyle w:val="16"/>
        <w:spacing w:before="31" w:after="31"/>
        <w:ind w:firstLine="0" w:firstLineChars="0"/>
        <w:rPr>
          <w:szCs w:val="24"/>
        </w:rPr>
      </w:pPr>
      <w:r>
        <w:rPr>
          <w:szCs w:val="24"/>
        </w:rPr>
        <w:t>(1) Case Name</w:t>
      </w:r>
    </w:p>
    <w:p w14:paraId="6D3FC1CF">
      <w:pPr>
        <w:pStyle w:val="16"/>
        <w:spacing w:before="31" w:after="31"/>
        <w:ind w:firstLine="480"/>
        <w:rPr>
          <w:szCs w:val="24"/>
        </w:rPr>
      </w:pPr>
      <w:r>
        <w:rPr>
          <w:szCs w:val="24"/>
        </w:rPr>
        <w:t>Fracture of keyed shaft in impactor</w:t>
      </w:r>
    </w:p>
    <w:p w14:paraId="1003C1DD">
      <w:pPr>
        <w:pStyle w:val="16"/>
        <w:spacing w:before="31" w:after="31"/>
        <w:ind w:firstLine="0" w:firstLineChars="0"/>
        <w:rPr>
          <w:szCs w:val="24"/>
        </w:rPr>
      </w:pPr>
      <w:r>
        <w:rPr>
          <w:szCs w:val="24"/>
        </w:rPr>
        <w:t>(2) Description of Failure Process</w:t>
      </w:r>
    </w:p>
    <w:p w14:paraId="7613F9B4">
      <w:pPr>
        <w:pStyle w:val="16"/>
        <w:spacing w:before="31" w:after="31"/>
        <w:ind w:firstLine="480"/>
        <w:rPr>
          <w:szCs w:val="24"/>
        </w:rPr>
      </w:pPr>
      <w:r>
        <w:rPr>
          <w:szCs w:val="24"/>
        </w:rPr>
        <w:t>Two incidents of keyed shaft fractures occurred within a short period in the operation of downhole shock absorbers produced by a certain factory in the oil field. The on-site data at the time of the fracture incidents are presented in Table 5-31.</w:t>
      </w:r>
    </w:p>
    <w:p w14:paraId="2E2019FE">
      <w:pPr>
        <w:pStyle w:val="16"/>
        <w:spacing w:before="31" w:after="31"/>
        <w:ind w:firstLine="482"/>
        <w:jc w:val="center"/>
        <w:rPr>
          <w:b/>
          <w:bCs/>
          <w:szCs w:val="24"/>
        </w:rPr>
      </w:pPr>
      <w:r>
        <w:rPr>
          <w:b/>
          <w:bCs/>
          <w:szCs w:val="24"/>
        </w:rPr>
        <w:t>Table 5-31 On-site Data for Two Keyed Shaft Fractures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1923"/>
        <w:gridCol w:w="1629"/>
        <w:gridCol w:w="1687"/>
        <w:gridCol w:w="1644"/>
      </w:tblGrid>
      <w:tr w14:paraId="48E8C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D2F7FEC">
            <w:pPr>
              <w:pStyle w:val="16"/>
              <w:spacing w:before="31" w:after="31"/>
              <w:ind w:firstLine="0" w:firstLineChars="0"/>
              <w:rPr>
                <w:szCs w:val="24"/>
              </w:rPr>
            </w:pPr>
            <w:r>
              <w:rPr>
                <w:szCs w:val="24"/>
              </w:rPr>
              <w:t>Fractured Shaft Number</w:t>
            </w:r>
          </w:p>
        </w:tc>
        <w:tc>
          <w:tcPr>
            <w:tcW w:w="1704" w:type="dxa"/>
          </w:tcPr>
          <w:p w14:paraId="6AF9A013">
            <w:pPr>
              <w:pStyle w:val="16"/>
              <w:spacing w:before="31" w:after="31"/>
              <w:ind w:firstLine="0" w:firstLineChars="0"/>
              <w:rPr>
                <w:szCs w:val="24"/>
              </w:rPr>
            </w:pPr>
            <w:r>
              <w:rPr>
                <w:szCs w:val="24"/>
              </w:rPr>
              <w:t>Downhole Shock Absorber Specification/mm (inches)</w:t>
            </w:r>
          </w:p>
        </w:tc>
        <w:tc>
          <w:tcPr>
            <w:tcW w:w="1704" w:type="dxa"/>
          </w:tcPr>
          <w:p w14:paraId="3E431FD9">
            <w:pPr>
              <w:pStyle w:val="16"/>
              <w:spacing w:before="31" w:after="31"/>
              <w:ind w:firstLine="0" w:firstLineChars="0"/>
              <w:rPr>
                <w:szCs w:val="24"/>
              </w:rPr>
            </w:pPr>
            <w:r>
              <w:rPr>
                <w:szCs w:val="24"/>
              </w:rPr>
              <w:t>Well Depth/m</w:t>
            </w:r>
          </w:p>
        </w:tc>
        <w:tc>
          <w:tcPr>
            <w:tcW w:w="1705" w:type="dxa"/>
          </w:tcPr>
          <w:p w14:paraId="7EE6AFAF">
            <w:pPr>
              <w:pStyle w:val="16"/>
              <w:spacing w:before="31" w:after="31"/>
              <w:ind w:firstLine="0" w:firstLineChars="0"/>
              <w:rPr>
                <w:szCs w:val="24"/>
              </w:rPr>
            </w:pPr>
            <w:r>
              <w:rPr>
                <w:szCs w:val="24"/>
              </w:rPr>
              <w:t>Pump Pressure/MPa</w:t>
            </w:r>
          </w:p>
        </w:tc>
        <w:tc>
          <w:tcPr>
            <w:tcW w:w="1705" w:type="dxa"/>
          </w:tcPr>
          <w:p w14:paraId="1ABD3491">
            <w:pPr>
              <w:pStyle w:val="16"/>
              <w:spacing w:before="31" w:after="31"/>
              <w:ind w:firstLine="0" w:firstLineChars="0"/>
              <w:rPr>
                <w:szCs w:val="24"/>
              </w:rPr>
            </w:pPr>
            <w:r>
              <w:rPr>
                <w:szCs w:val="24"/>
              </w:rPr>
              <w:t>Operating Time/h</w:t>
            </w:r>
          </w:p>
        </w:tc>
      </w:tr>
      <w:tr w14:paraId="1B08C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FE0437C">
            <w:pPr>
              <w:pStyle w:val="16"/>
              <w:spacing w:before="31" w:after="31"/>
              <w:ind w:firstLine="0" w:firstLineChars="0"/>
              <w:rPr>
                <w:szCs w:val="24"/>
              </w:rPr>
            </w:pPr>
            <w:r>
              <w:rPr>
                <w:szCs w:val="24"/>
              </w:rPr>
              <w:t>1</w:t>
            </w:r>
          </w:p>
        </w:tc>
        <w:tc>
          <w:tcPr>
            <w:tcW w:w="1704" w:type="dxa"/>
          </w:tcPr>
          <w:p w14:paraId="38E3B5BD">
            <w:pPr>
              <w:pStyle w:val="16"/>
              <w:spacing w:before="31" w:after="31"/>
              <w:ind w:firstLine="0" w:firstLineChars="0"/>
              <w:rPr>
                <w:szCs w:val="24"/>
              </w:rPr>
            </w:pPr>
            <w:r>
              <w:rPr>
                <w:szCs w:val="24"/>
              </w:rPr>
              <w:t>203.2(8)</w:t>
            </w:r>
          </w:p>
        </w:tc>
        <w:tc>
          <w:tcPr>
            <w:tcW w:w="1704" w:type="dxa"/>
          </w:tcPr>
          <w:p w14:paraId="628B8A87">
            <w:pPr>
              <w:pStyle w:val="16"/>
              <w:spacing w:before="31" w:after="31"/>
              <w:ind w:firstLine="0" w:firstLineChars="0"/>
              <w:rPr>
                <w:szCs w:val="24"/>
              </w:rPr>
            </w:pPr>
            <w:r>
              <w:rPr>
                <w:szCs w:val="24"/>
              </w:rPr>
              <w:t>3684.71</w:t>
            </w:r>
          </w:p>
        </w:tc>
        <w:tc>
          <w:tcPr>
            <w:tcW w:w="1705" w:type="dxa"/>
          </w:tcPr>
          <w:p w14:paraId="42C67CE9">
            <w:pPr>
              <w:pStyle w:val="16"/>
              <w:spacing w:before="31" w:after="31"/>
              <w:ind w:firstLine="0" w:firstLineChars="0"/>
              <w:rPr>
                <w:szCs w:val="24"/>
              </w:rPr>
            </w:pPr>
            <w:r>
              <w:rPr>
                <w:szCs w:val="24"/>
              </w:rPr>
              <w:t>20</w:t>
            </w:r>
          </w:p>
        </w:tc>
        <w:tc>
          <w:tcPr>
            <w:tcW w:w="1705" w:type="dxa"/>
          </w:tcPr>
          <w:p w14:paraId="5C140EF0">
            <w:pPr>
              <w:pStyle w:val="16"/>
              <w:spacing w:before="31" w:after="31"/>
              <w:ind w:firstLine="0" w:firstLineChars="0"/>
              <w:rPr>
                <w:szCs w:val="24"/>
              </w:rPr>
            </w:pPr>
            <w:r>
              <w:rPr>
                <w:szCs w:val="24"/>
              </w:rPr>
              <w:t>2208</w:t>
            </w:r>
          </w:p>
        </w:tc>
      </w:tr>
      <w:tr w14:paraId="30F38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AD7142C">
            <w:pPr>
              <w:pStyle w:val="16"/>
              <w:spacing w:before="31" w:after="31"/>
              <w:ind w:firstLine="0" w:firstLineChars="0"/>
              <w:rPr>
                <w:szCs w:val="24"/>
              </w:rPr>
            </w:pPr>
            <w:r>
              <w:rPr>
                <w:szCs w:val="24"/>
              </w:rPr>
              <w:t>2</w:t>
            </w:r>
          </w:p>
        </w:tc>
        <w:tc>
          <w:tcPr>
            <w:tcW w:w="1704" w:type="dxa"/>
          </w:tcPr>
          <w:p w14:paraId="016BC47C">
            <w:pPr>
              <w:pStyle w:val="16"/>
              <w:spacing w:before="31" w:after="31"/>
              <w:ind w:firstLine="0" w:firstLineChars="0"/>
              <w:rPr>
                <w:szCs w:val="24"/>
              </w:rPr>
            </w:pPr>
            <w:r>
              <w:rPr>
                <w:szCs w:val="24"/>
              </w:rPr>
              <w:t>203.2(8)</w:t>
            </w:r>
          </w:p>
        </w:tc>
        <w:tc>
          <w:tcPr>
            <w:tcW w:w="1704" w:type="dxa"/>
          </w:tcPr>
          <w:p w14:paraId="4F8659B8">
            <w:pPr>
              <w:pStyle w:val="16"/>
              <w:spacing w:before="31" w:after="31"/>
              <w:ind w:firstLine="0" w:firstLineChars="0"/>
              <w:rPr>
                <w:szCs w:val="24"/>
              </w:rPr>
            </w:pPr>
            <w:r>
              <w:rPr>
                <w:szCs w:val="24"/>
              </w:rPr>
              <w:t>2155.95</w:t>
            </w:r>
          </w:p>
        </w:tc>
        <w:tc>
          <w:tcPr>
            <w:tcW w:w="1705" w:type="dxa"/>
          </w:tcPr>
          <w:p w14:paraId="06F60AAC">
            <w:pPr>
              <w:pStyle w:val="16"/>
              <w:spacing w:before="31" w:after="31"/>
              <w:ind w:firstLine="0" w:firstLineChars="0"/>
              <w:rPr>
                <w:szCs w:val="24"/>
              </w:rPr>
            </w:pPr>
            <w:r>
              <w:rPr>
                <w:szCs w:val="24"/>
              </w:rPr>
              <w:t>16</w:t>
            </w:r>
          </w:p>
        </w:tc>
        <w:tc>
          <w:tcPr>
            <w:tcW w:w="1705" w:type="dxa"/>
          </w:tcPr>
          <w:p w14:paraId="094A49F1">
            <w:pPr>
              <w:pStyle w:val="16"/>
              <w:spacing w:before="31" w:after="31"/>
              <w:ind w:firstLine="0" w:firstLineChars="0"/>
              <w:rPr>
                <w:szCs w:val="24"/>
              </w:rPr>
            </w:pPr>
            <w:r>
              <w:rPr>
                <w:szCs w:val="24"/>
              </w:rPr>
              <w:t>260</w:t>
            </w:r>
          </w:p>
        </w:tc>
      </w:tr>
    </w:tbl>
    <w:p w14:paraId="209E2A14">
      <w:pPr>
        <w:pStyle w:val="16"/>
        <w:spacing w:before="31" w:after="31"/>
        <w:ind w:firstLine="0" w:firstLineChars="0"/>
        <w:rPr>
          <w:szCs w:val="24"/>
        </w:rPr>
      </w:pPr>
      <w:r>
        <w:rPr>
          <w:szCs w:val="24"/>
        </w:rPr>
        <w:t>(3) Service Environment:</w:t>
      </w:r>
    </w:p>
    <w:p w14:paraId="6362B3C4">
      <w:pPr>
        <w:pStyle w:val="16"/>
        <w:spacing w:before="31" w:after="31"/>
        <w:ind w:firstLine="420" w:firstLineChars="0"/>
        <w:rPr>
          <w:szCs w:val="24"/>
        </w:rPr>
      </w:pPr>
      <w:r>
        <w:rPr>
          <w:szCs w:val="24"/>
        </w:rPr>
        <w:t>Null</w:t>
      </w:r>
    </w:p>
    <w:p w14:paraId="5C711433">
      <w:pPr>
        <w:pStyle w:val="16"/>
        <w:spacing w:before="31" w:after="31"/>
        <w:ind w:firstLine="0" w:firstLineChars="0"/>
        <w:rPr>
          <w:szCs w:val="24"/>
        </w:rPr>
      </w:pPr>
      <w:r>
        <w:rPr>
          <w:szCs w:val="24"/>
        </w:rPr>
        <w:t>(4) Failed Components and Materials</w:t>
      </w:r>
    </w:p>
    <w:p w14:paraId="38A2D395">
      <w:pPr>
        <w:pStyle w:val="16"/>
        <w:spacing w:before="31" w:after="31"/>
        <w:ind w:firstLine="480"/>
        <w:rPr>
          <w:szCs w:val="24"/>
        </w:rPr>
      </w:pPr>
      <w:r>
        <w:rPr>
          <w:szCs w:val="24"/>
        </w:rPr>
        <w:t>The chemical compositions of the two shafts comply with the SY/T5496-2000 standard requirements, and their mechanical properties are shown in Table 5-32. It can be seen that the mechanical properties of shaft 1 meet the requirements of the SY/T5496-2000 standard. The average tensile strength of shaft 2 meets the standard requirements, but the tensile strength of sample 2-3 is 910 MPa, below the standard value. The hardness average and individual values of shaft 2 are below the requirements of the SY/T5496-2000 standard. The transverse impact absorption energy of shafts 1 and 2 is low, not reaching 25% of the longitudinal impact absorption energy.</w:t>
      </w:r>
    </w:p>
    <w:p w14:paraId="30D789D2">
      <w:pPr>
        <w:pStyle w:val="16"/>
        <w:spacing w:before="31" w:after="31"/>
        <w:ind w:firstLine="482"/>
        <w:jc w:val="center"/>
        <w:rPr>
          <w:b/>
          <w:bCs/>
          <w:szCs w:val="24"/>
        </w:rPr>
      </w:pPr>
      <w:r>
        <w:rPr>
          <w:b/>
          <w:bCs/>
          <w:szCs w:val="24"/>
        </w:rPr>
        <w:t>Table 5-32 Mechanical Performance Test Results</w:t>
      </w:r>
    </w:p>
    <w:tbl>
      <w:tblPr>
        <w:tblStyle w:val="9"/>
        <w:tblW w:w="852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3"/>
        <w:gridCol w:w="834"/>
        <w:gridCol w:w="880"/>
        <w:gridCol w:w="1030"/>
        <w:gridCol w:w="911"/>
        <w:gridCol w:w="1097"/>
        <w:gridCol w:w="1304"/>
        <w:gridCol w:w="1152"/>
        <w:gridCol w:w="911"/>
      </w:tblGrid>
      <w:tr w14:paraId="3D78AC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gridSpan w:val="2"/>
            <w:vMerge w:val="restart"/>
            <w:tcBorders>
              <w:top w:val="single" w:color="auto" w:sz="12" w:space="0"/>
              <w:left w:val="nil"/>
              <w:bottom w:val="single" w:color="auto" w:sz="12" w:space="0"/>
              <w:right w:val="nil"/>
            </w:tcBorders>
            <w:vAlign w:val="center"/>
          </w:tcPr>
          <w:p w14:paraId="0385B7C7">
            <w:pPr>
              <w:autoSpaceDE w:val="0"/>
              <w:autoSpaceDN w:val="0"/>
              <w:adjustRightInd w:val="0"/>
              <w:spacing w:line="312" w:lineRule="auto"/>
              <w:jc w:val="center"/>
              <w:rPr>
                <w:szCs w:val="21"/>
              </w:rPr>
            </w:pPr>
            <w:r>
              <w:rPr>
                <w:szCs w:val="21"/>
              </w:rPr>
              <w:t>Sample number</w:t>
            </w:r>
          </w:p>
        </w:tc>
        <w:tc>
          <w:tcPr>
            <w:tcW w:w="4361" w:type="dxa"/>
            <w:gridSpan w:val="4"/>
            <w:tcBorders>
              <w:top w:val="single" w:color="auto" w:sz="12" w:space="0"/>
              <w:left w:val="nil"/>
              <w:bottom w:val="single" w:color="auto" w:sz="12" w:space="0"/>
              <w:right w:val="nil"/>
            </w:tcBorders>
            <w:vAlign w:val="center"/>
          </w:tcPr>
          <w:p w14:paraId="2F545D06">
            <w:pPr>
              <w:autoSpaceDE w:val="0"/>
              <w:autoSpaceDN w:val="0"/>
              <w:adjustRightInd w:val="0"/>
              <w:spacing w:line="312" w:lineRule="auto"/>
              <w:jc w:val="center"/>
              <w:rPr>
                <w:szCs w:val="21"/>
              </w:rPr>
            </w:pPr>
            <w:r>
              <w:t>Tensile Test</w:t>
            </w:r>
          </w:p>
        </w:tc>
        <w:tc>
          <w:tcPr>
            <w:tcW w:w="2545" w:type="dxa"/>
            <w:gridSpan w:val="2"/>
            <w:tcBorders>
              <w:top w:val="single" w:color="auto" w:sz="12" w:space="0"/>
              <w:left w:val="nil"/>
              <w:bottom w:val="single" w:color="auto" w:sz="12" w:space="0"/>
              <w:right w:val="nil"/>
            </w:tcBorders>
            <w:vAlign w:val="center"/>
          </w:tcPr>
          <w:p w14:paraId="0C0A5AEF">
            <w:pPr>
              <w:autoSpaceDE w:val="0"/>
              <w:autoSpaceDN w:val="0"/>
              <w:adjustRightInd w:val="0"/>
              <w:spacing w:line="312" w:lineRule="auto"/>
              <w:jc w:val="center"/>
              <w:rPr>
                <w:szCs w:val="21"/>
              </w:rPr>
            </w:pPr>
            <w:r>
              <w:t>Impact Test Akv/J</w:t>
            </w:r>
          </w:p>
        </w:tc>
        <w:tc>
          <w:tcPr>
            <w:tcW w:w="941" w:type="dxa"/>
            <w:vMerge w:val="restart"/>
            <w:tcBorders>
              <w:top w:val="single" w:color="auto" w:sz="12" w:space="0"/>
              <w:left w:val="nil"/>
              <w:bottom w:val="single" w:color="auto" w:sz="12" w:space="0"/>
              <w:right w:val="nil"/>
            </w:tcBorders>
          </w:tcPr>
          <w:p w14:paraId="1A63BF61">
            <w:pPr>
              <w:autoSpaceDE w:val="0"/>
              <w:autoSpaceDN w:val="0"/>
              <w:adjustRightInd w:val="0"/>
              <w:spacing w:line="312" w:lineRule="auto"/>
              <w:jc w:val="center"/>
              <w:rPr>
                <w:szCs w:val="21"/>
              </w:rPr>
            </w:pPr>
            <w:r>
              <w:t>Hardness Test/HB</w:t>
            </w:r>
          </w:p>
        </w:tc>
      </w:tr>
      <w:tr w14:paraId="3870C0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gridSpan w:val="2"/>
            <w:vMerge w:val="continue"/>
            <w:tcBorders>
              <w:top w:val="single" w:color="auto" w:sz="12" w:space="0"/>
              <w:left w:val="nil"/>
              <w:bottom w:val="single" w:color="auto" w:sz="12" w:space="0"/>
              <w:right w:val="nil"/>
            </w:tcBorders>
            <w:vAlign w:val="center"/>
          </w:tcPr>
          <w:p w14:paraId="7525B79D">
            <w:pPr>
              <w:widowControl/>
              <w:jc w:val="left"/>
              <w:rPr>
                <w:szCs w:val="21"/>
              </w:rPr>
            </w:pPr>
          </w:p>
        </w:tc>
        <w:tc>
          <w:tcPr>
            <w:tcW w:w="1219" w:type="dxa"/>
            <w:tcBorders>
              <w:top w:val="single" w:color="auto" w:sz="12" w:space="0"/>
              <w:left w:val="nil"/>
              <w:bottom w:val="single" w:color="auto" w:sz="12" w:space="0"/>
              <w:right w:val="nil"/>
            </w:tcBorders>
            <w:vAlign w:val="center"/>
          </w:tcPr>
          <w:p w14:paraId="0282B00B">
            <w:pPr>
              <w:autoSpaceDE w:val="0"/>
              <w:autoSpaceDN w:val="0"/>
              <w:adjustRightInd w:val="0"/>
              <w:spacing w:line="312" w:lineRule="auto"/>
              <w:jc w:val="center"/>
              <w:rPr>
                <w:kern w:val="0"/>
                <w:szCs w:val="21"/>
              </w:rPr>
            </w:pPr>
            <w:r>
              <w:t>Tensile Strength Rm/Mpa</w:t>
            </w:r>
            <w:r>
              <w:tab/>
            </w:r>
          </w:p>
        </w:tc>
        <w:tc>
          <w:tcPr>
            <w:tcW w:w="1065" w:type="dxa"/>
            <w:tcBorders>
              <w:top w:val="single" w:color="auto" w:sz="12" w:space="0"/>
              <w:left w:val="nil"/>
              <w:bottom w:val="single" w:color="auto" w:sz="12" w:space="0"/>
              <w:right w:val="nil"/>
            </w:tcBorders>
            <w:vAlign w:val="center"/>
          </w:tcPr>
          <w:p w14:paraId="4470BC1B">
            <w:pPr>
              <w:autoSpaceDE w:val="0"/>
              <w:autoSpaceDN w:val="0"/>
              <w:adjustRightInd w:val="0"/>
              <w:spacing w:line="312" w:lineRule="auto"/>
              <w:jc w:val="center"/>
              <w:rPr>
                <w:kern w:val="0"/>
                <w:szCs w:val="21"/>
              </w:rPr>
            </w:pPr>
            <w:r>
              <w:t>Yield Strength Rr0.2/Mpa</w:t>
            </w:r>
            <w:r>
              <w:tab/>
            </w:r>
            <w:r>
              <w:tab/>
            </w:r>
          </w:p>
        </w:tc>
        <w:tc>
          <w:tcPr>
            <w:tcW w:w="941" w:type="dxa"/>
            <w:tcBorders>
              <w:top w:val="single" w:color="auto" w:sz="12" w:space="0"/>
              <w:left w:val="nil"/>
              <w:bottom w:val="single" w:color="auto" w:sz="12" w:space="0"/>
              <w:right w:val="nil"/>
            </w:tcBorders>
          </w:tcPr>
          <w:p w14:paraId="42049B57">
            <w:pPr>
              <w:autoSpaceDE w:val="0"/>
              <w:autoSpaceDN w:val="0"/>
              <w:adjustRightInd w:val="0"/>
              <w:spacing w:line="312" w:lineRule="auto"/>
              <w:jc w:val="center"/>
              <w:rPr>
                <w:kern w:val="0"/>
                <w:szCs w:val="21"/>
              </w:rPr>
            </w:pPr>
            <w:r>
              <w:t>Hardness Test/HB</w:t>
            </w:r>
          </w:p>
        </w:tc>
        <w:tc>
          <w:tcPr>
            <w:tcW w:w="1136" w:type="dxa"/>
            <w:tcBorders>
              <w:top w:val="single" w:color="auto" w:sz="12" w:space="0"/>
              <w:left w:val="nil"/>
              <w:bottom w:val="single" w:color="auto" w:sz="12" w:space="0"/>
              <w:right w:val="nil"/>
            </w:tcBorders>
            <w:vAlign w:val="center"/>
          </w:tcPr>
          <w:p w14:paraId="60999258">
            <w:pPr>
              <w:autoSpaceDE w:val="0"/>
              <w:autoSpaceDN w:val="0"/>
              <w:adjustRightInd w:val="0"/>
              <w:spacing w:line="312" w:lineRule="auto"/>
              <w:jc w:val="center"/>
              <w:rPr>
                <w:szCs w:val="21"/>
              </w:rPr>
            </w:pPr>
            <w:r>
              <w:t>Contraction Z/%</w:t>
            </w:r>
            <w:r>
              <w:tab/>
            </w:r>
          </w:p>
        </w:tc>
        <w:tc>
          <w:tcPr>
            <w:tcW w:w="1352" w:type="dxa"/>
            <w:tcBorders>
              <w:top w:val="single" w:color="auto" w:sz="12" w:space="0"/>
              <w:left w:val="nil"/>
              <w:bottom w:val="single" w:color="auto" w:sz="12" w:space="0"/>
              <w:right w:val="nil"/>
            </w:tcBorders>
            <w:vAlign w:val="center"/>
          </w:tcPr>
          <w:p w14:paraId="1D760BC5">
            <w:pPr>
              <w:autoSpaceDE w:val="0"/>
              <w:autoSpaceDN w:val="0"/>
              <w:adjustRightInd w:val="0"/>
              <w:spacing w:line="312" w:lineRule="auto"/>
              <w:jc w:val="center"/>
              <w:rPr>
                <w:szCs w:val="21"/>
              </w:rPr>
            </w:pPr>
            <w:r>
              <w:t>Longitudinal/J</w:t>
            </w:r>
          </w:p>
        </w:tc>
        <w:tc>
          <w:tcPr>
            <w:tcW w:w="1193" w:type="dxa"/>
            <w:tcBorders>
              <w:top w:val="single" w:color="auto" w:sz="12" w:space="0"/>
              <w:left w:val="nil"/>
              <w:bottom w:val="single" w:color="auto" w:sz="12" w:space="0"/>
              <w:right w:val="nil"/>
            </w:tcBorders>
            <w:vAlign w:val="center"/>
          </w:tcPr>
          <w:p w14:paraId="034193AA">
            <w:pPr>
              <w:autoSpaceDE w:val="0"/>
              <w:autoSpaceDN w:val="0"/>
              <w:adjustRightInd w:val="0"/>
              <w:spacing w:line="312" w:lineRule="auto"/>
              <w:jc w:val="center"/>
              <w:rPr>
                <w:szCs w:val="21"/>
              </w:rPr>
            </w:pPr>
            <w:r>
              <w:t>Transverse/J</w:t>
            </w:r>
          </w:p>
        </w:tc>
        <w:tc>
          <w:tcPr>
            <w:tcW w:w="0" w:type="auto"/>
            <w:vMerge w:val="continue"/>
            <w:tcBorders>
              <w:top w:val="single" w:color="auto" w:sz="12" w:space="0"/>
              <w:left w:val="nil"/>
              <w:bottom w:val="single" w:color="auto" w:sz="12" w:space="0"/>
              <w:right w:val="nil"/>
            </w:tcBorders>
            <w:vAlign w:val="center"/>
          </w:tcPr>
          <w:p w14:paraId="2AA66BAC">
            <w:pPr>
              <w:widowControl/>
              <w:jc w:val="left"/>
              <w:rPr>
                <w:szCs w:val="21"/>
              </w:rPr>
            </w:pPr>
          </w:p>
        </w:tc>
      </w:tr>
      <w:tr w14:paraId="1946D8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2" w:type="dxa"/>
            <w:vMerge w:val="restart"/>
            <w:tcBorders>
              <w:top w:val="single" w:color="auto" w:sz="12" w:space="0"/>
              <w:left w:val="nil"/>
              <w:bottom w:val="nil"/>
              <w:right w:val="nil"/>
            </w:tcBorders>
            <w:vAlign w:val="center"/>
          </w:tcPr>
          <w:p w14:paraId="5B688AD0">
            <w:pPr>
              <w:autoSpaceDE w:val="0"/>
              <w:autoSpaceDN w:val="0"/>
              <w:adjustRightInd w:val="0"/>
              <w:spacing w:line="312" w:lineRule="auto"/>
              <w:jc w:val="center"/>
              <w:rPr>
                <w:szCs w:val="21"/>
              </w:rPr>
            </w:pPr>
            <w:r>
              <w:rPr>
                <w:szCs w:val="21"/>
              </w:rPr>
              <w:t>1#</w:t>
            </w:r>
          </w:p>
        </w:tc>
        <w:tc>
          <w:tcPr>
            <w:tcW w:w="263" w:type="dxa"/>
            <w:tcBorders>
              <w:top w:val="single" w:color="auto" w:sz="12" w:space="0"/>
              <w:left w:val="nil"/>
              <w:bottom w:val="nil"/>
              <w:right w:val="nil"/>
            </w:tcBorders>
            <w:vAlign w:val="center"/>
          </w:tcPr>
          <w:p w14:paraId="1F5FDB43">
            <w:pPr>
              <w:autoSpaceDE w:val="0"/>
              <w:autoSpaceDN w:val="0"/>
              <w:adjustRightInd w:val="0"/>
              <w:spacing w:line="312" w:lineRule="auto"/>
              <w:jc w:val="center"/>
              <w:rPr>
                <w:szCs w:val="21"/>
              </w:rPr>
            </w:pPr>
            <w:r>
              <w:rPr>
                <w:szCs w:val="21"/>
              </w:rPr>
              <w:t>1-1#</w:t>
            </w:r>
          </w:p>
        </w:tc>
        <w:tc>
          <w:tcPr>
            <w:tcW w:w="1219" w:type="dxa"/>
            <w:tcBorders>
              <w:top w:val="single" w:color="auto" w:sz="12" w:space="0"/>
              <w:left w:val="nil"/>
              <w:bottom w:val="nil"/>
              <w:right w:val="nil"/>
            </w:tcBorders>
            <w:vAlign w:val="center"/>
          </w:tcPr>
          <w:p w14:paraId="1F7FD8FC">
            <w:pPr>
              <w:autoSpaceDE w:val="0"/>
              <w:autoSpaceDN w:val="0"/>
              <w:adjustRightInd w:val="0"/>
              <w:spacing w:line="312" w:lineRule="auto"/>
              <w:jc w:val="center"/>
              <w:rPr>
                <w:szCs w:val="21"/>
              </w:rPr>
            </w:pPr>
            <w:r>
              <w:rPr>
                <w:szCs w:val="21"/>
              </w:rPr>
              <w:t>1010</w:t>
            </w:r>
          </w:p>
        </w:tc>
        <w:tc>
          <w:tcPr>
            <w:tcW w:w="1065" w:type="dxa"/>
            <w:tcBorders>
              <w:top w:val="single" w:color="auto" w:sz="12" w:space="0"/>
              <w:left w:val="nil"/>
              <w:bottom w:val="nil"/>
              <w:right w:val="nil"/>
            </w:tcBorders>
            <w:vAlign w:val="center"/>
          </w:tcPr>
          <w:p w14:paraId="3DAB6F7E">
            <w:pPr>
              <w:autoSpaceDE w:val="0"/>
              <w:autoSpaceDN w:val="0"/>
              <w:adjustRightInd w:val="0"/>
              <w:spacing w:line="312" w:lineRule="auto"/>
              <w:jc w:val="center"/>
              <w:rPr>
                <w:szCs w:val="21"/>
              </w:rPr>
            </w:pPr>
            <w:r>
              <w:rPr>
                <w:szCs w:val="21"/>
              </w:rPr>
              <w:t>820</w:t>
            </w:r>
          </w:p>
        </w:tc>
        <w:tc>
          <w:tcPr>
            <w:tcW w:w="941" w:type="dxa"/>
            <w:tcBorders>
              <w:top w:val="single" w:color="auto" w:sz="12" w:space="0"/>
              <w:left w:val="nil"/>
              <w:bottom w:val="nil"/>
              <w:right w:val="nil"/>
            </w:tcBorders>
            <w:vAlign w:val="center"/>
          </w:tcPr>
          <w:p w14:paraId="23CD8F67">
            <w:pPr>
              <w:autoSpaceDE w:val="0"/>
              <w:autoSpaceDN w:val="0"/>
              <w:adjustRightInd w:val="0"/>
              <w:spacing w:line="312" w:lineRule="auto"/>
              <w:jc w:val="center"/>
              <w:rPr>
                <w:szCs w:val="21"/>
              </w:rPr>
            </w:pPr>
            <w:r>
              <w:rPr>
                <w:szCs w:val="21"/>
              </w:rPr>
              <w:t>17.5</w:t>
            </w:r>
          </w:p>
        </w:tc>
        <w:tc>
          <w:tcPr>
            <w:tcW w:w="1136" w:type="dxa"/>
            <w:tcBorders>
              <w:top w:val="single" w:color="auto" w:sz="12" w:space="0"/>
              <w:left w:val="nil"/>
              <w:bottom w:val="nil"/>
              <w:right w:val="nil"/>
            </w:tcBorders>
            <w:vAlign w:val="center"/>
          </w:tcPr>
          <w:p w14:paraId="1CC4BFE4">
            <w:pPr>
              <w:autoSpaceDE w:val="0"/>
              <w:autoSpaceDN w:val="0"/>
              <w:adjustRightInd w:val="0"/>
              <w:spacing w:line="312" w:lineRule="auto"/>
              <w:jc w:val="center"/>
              <w:rPr>
                <w:szCs w:val="21"/>
              </w:rPr>
            </w:pPr>
            <w:r>
              <w:rPr>
                <w:szCs w:val="21"/>
              </w:rPr>
              <w:t>57.5</w:t>
            </w:r>
          </w:p>
        </w:tc>
        <w:tc>
          <w:tcPr>
            <w:tcW w:w="1352" w:type="dxa"/>
            <w:tcBorders>
              <w:top w:val="single" w:color="auto" w:sz="12" w:space="0"/>
              <w:left w:val="nil"/>
              <w:bottom w:val="nil"/>
              <w:right w:val="nil"/>
            </w:tcBorders>
            <w:vAlign w:val="center"/>
          </w:tcPr>
          <w:p w14:paraId="6D63B1B0">
            <w:pPr>
              <w:autoSpaceDE w:val="0"/>
              <w:autoSpaceDN w:val="0"/>
              <w:adjustRightInd w:val="0"/>
              <w:spacing w:line="312" w:lineRule="auto"/>
              <w:jc w:val="center"/>
              <w:rPr>
                <w:szCs w:val="21"/>
              </w:rPr>
            </w:pPr>
            <w:r>
              <w:rPr>
                <w:szCs w:val="21"/>
              </w:rPr>
              <w:t>84.0</w:t>
            </w:r>
          </w:p>
        </w:tc>
        <w:tc>
          <w:tcPr>
            <w:tcW w:w="1193" w:type="dxa"/>
            <w:tcBorders>
              <w:top w:val="single" w:color="auto" w:sz="12" w:space="0"/>
              <w:left w:val="nil"/>
              <w:bottom w:val="nil"/>
              <w:right w:val="nil"/>
            </w:tcBorders>
            <w:vAlign w:val="center"/>
          </w:tcPr>
          <w:p w14:paraId="01762720">
            <w:pPr>
              <w:autoSpaceDE w:val="0"/>
              <w:autoSpaceDN w:val="0"/>
              <w:adjustRightInd w:val="0"/>
              <w:spacing w:line="312" w:lineRule="auto"/>
              <w:jc w:val="center"/>
              <w:rPr>
                <w:szCs w:val="21"/>
              </w:rPr>
            </w:pPr>
            <w:r>
              <w:rPr>
                <w:szCs w:val="21"/>
              </w:rPr>
              <w:t>18.0</w:t>
            </w:r>
          </w:p>
        </w:tc>
        <w:tc>
          <w:tcPr>
            <w:tcW w:w="941" w:type="dxa"/>
            <w:tcBorders>
              <w:top w:val="single" w:color="auto" w:sz="12" w:space="0"/>
              <w:left w:val="nil"/>
              <w:bottom w:val="nil"/>
              <w:right w:val="nil"/>
            </w:tcBorders>
            <w:vAlign w:val="center"/>
          </w:tcPr>
          <w:p w14:paraId="772BFEF3">
            <w:pPr>
              <w:autoSpaceDE w:val="0"/>
              <w:autoSpaceDN w:val="0"/>
              <w:adjustRightInd w:val="0"/>
              <w:spacing w:line="312" w:lineRule="auto"/>
              <w:jc w:val="center"/>
              <w:rPr>
                <w:szCs w:val="21"/>
              </w:rPr>
            </w:pPr>
            <w:r>
              <w:rPr>
                <w:szCs w:val="21"/>
              </w:rPr>
              <w:t>311</w:t>
            </w:r>
          </w:p>
        </w:tc>
      </w:tr>
      <w:tr w14:paraId="48C7EF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op w:val="single" w:color="auto" w:sz="12" w:space="0"/>
              <w:left w:val="nil"/>
              <w:bottom w:val="nil"/>
              <w:right w:val="nil"/>
            </w:tcBorders>
            <w:vAlign w:val="center"/>
          </w:tcPr>
          <w:p w14:paraId="07EB82DC">
            <w:pPr>
              <w:widowControl/>
              <w:jc w:val="left"/>
              <w:rPr>
                <w:szCs w:val="21"/>
              </w:rPr>
            </w:pPr>
          </w:p>
        </w:tc>
        <w:tc>
          <w:tcPr>
            <w:tcW w:w="263" w:type="dxa"/>
            <w:tcBorders>
              <w:top w:val="nil"/>
              <w:left w:val="nil"/>
              <w:bottom w:val="nil"/>
              <w:right w:val="nil"/>
            </w:tcBorders>
            <w:vAlign w:val="center"/>
          </w:tcPr>
          <w:p w14:paraId="1BC45E23">
            <w:pPr>
              <w:jc w:val="center"/>
            </w:pPr>
            <w:r>
              <w:rPr>
                <w:szCs w:val="21"/>
              </w:rPr>
              <w:t>1-2#</w:t>
            </w:r>
          </w:p>
        </w:tc>
        <w:tc>
          <w:tcPr>
            <w:tcW w:w="1219" w:type="dxa"/>
            <w:tcBorders>
              <w:top w:val="nil"/>
              <w:left w:val="nil"/>
              <w:bottom w:val="nil"/>
              <w:right w:val="nil"/>
            </w:tcBorders>
            <w:vAlign w:val="center"/>
          </w:tcPr>
          <w:p w14:paraId="71AC9F36">
            <w:pPr>
              <w:autoSpaceDE w:val="0"/>
              <w:autoSpaceDN w:val="0"/>
              <w:adjustRightInd w:val="0"/>
              <w:spacing w:line="312" w:lineRule="auto"/>
              <w:jc w:val="center"/>
              <w:rPr>
                <w:szCs w:val="21"/>
              </w:rPr>
            </w:pPr>
            <w:r>
              <w:rPr>
                <w:szCs w:val="21"/>
              </w:rPr>
              <w:t>1030</w:t>
            </w:r>
          </w:p>
        </w:tc>
        <w:tc>
          <w:tcPr>
            <w:tcW w:w="1065" w:type="dxa"/>
            <w:tcBorders>
              <w:top w:val="nil"/>
              <w:left w:val="nil"/>
              <w:bottom w:val="nil"/>
              <w:right w:val="nil"/>
            </w:tcBorders>
            <w:vAlign w:val="center"/>
          </w:tcPr>
          <w:p w14:paraId="4C93CA74">
            <w:pPr>
              <w:autoSpaceDE w:val="0"/>
              <w:autoSpaceDN w:val="0"/>
              <w:adjustRightInd w:val="0"/>
              <w:spacing w:line="312" w:lineRule="auto"/>
              <w:jc w:val="center"/>
              <w:rPr>
                <w:szCs w:val="21"/>
              </w:rPr>
            </w:pPr>
            <w:r>
              <w:rPr>
                <w:szCs w:val="21"/>
              </w:rPr>
              <w:t>855</w:t>
            </w:r>
          </w:p>
        </w:tc>
        <w:tc>
          <w:tcPr>
            <w:tcW w:w="941" w:type="dxa"/>
            <w:tcBorders>
              <w:top w:val="nil"/>
              <w:left w:val="nil"/>
              <w:bottom w:val="nil"/>
              <w:right w:val="nil"/>
            </w:tcBorders>
            <w:vAlign w:val="center"/>
          </w:tcPr>
          <w:p w14:paraId="2C64E4C7">
            <w:pPr>
              <w:autoSpaceDE w:val="0"/>
              <w:autoSpaceDN w:val="0"/>
              <w:adjustRightInd w:val="0"/>
              <w:spacing w:line="312" w:lineRule="auto"/>
              <w:jc w:val="center"/>
              <w:rPr>
                <w:szCs w:val="21"/>
              </w:rPr>
            </w:pPr>
            <w:r>
              <w:rPr>
                <w:szCs w:val="21"/>
              </w:rPr>
              <w:t>17.0</w:t>
            </w:r>
          </w:p>
        </w:tc>
        <w:tc>
          <w:tcPr>
            <w:tcW w:w="1136" w:type="dxa"/>
            <w:tcBorders>
              <w:top w:val="nil"/>
              <w:left w:val="nil"/>
              <w:bottom w:val="nil"/>
              <w:right w:val="nil"/>
            </w:tcBorders>
            <w:vAlign w:val="center"/>
          </w:tcPr>
          <w:p w14:paraId="619E7B86">
            <w:pPr>
              <w:autoSpaceDE w:val="0"/>
              <w:autoSpaceDN w:val="0"/>
              <w:adjustRightInd w:val="0"/>
              <w:spacing w:line="312" w:lineRule="auto"/>
              <w:jc w:val="center"/>
              <w:rPr>
                <w:szCs w:val="21"/>
              </w:rPr>
            </w:pPr>
            <w:r>
              <w:rPr>
                <w:szCs w:val="21"/>
              </w:rPr>
              <w:t>55.0</w:t>
            </w:r>
          </w:p>
        </w:tc>
        <w:tc>
          <w:tcPr>
            <w:tcW w:w="1352" w:type="dxa"/>
            <w:tcBorders>
              <w:top w:val="nil"/>
              <w:left w:val="nil"/>
              <w:bottom w:val="nil"/>
              <w:right w:val="nil"/>
            </w:tcBorders>
            <w:vAlign w:val="center"/>
          </w:tcPr>
          <w:p w14:paraId="23962D8C">
            <w:pPr>
              <w:autoSpaceDE w:val="0"/>
              <w:autoSpaceDN w:val="0"/>
              <w:adjustRightInd w:val="0"/>
              <w:spacing w:line="312" w:lineRule="auto"/>
              <w:jc w:val="center"/>
              <w:rPr>
                <w:szCs w:val="21"/>
              </w:rPr>
            </w:pPr>
            <w:r>
              <w:rPr>
                <w:szCs w:val="21"/>
              </w:rPr>
              <w:t>84.0</w:t>
            </w:r>
          </w:p>
        </w:tc>
        <w:tc>
          <w:tcPr>
            <w:tcW w:w="1193" w:type="dxa"/>
            <w:tcBorders>
              <w:top w:val="nil"/>
              <w:left w:val="nil"/>
              <w:bottom w:val="nil"/>
              <w:right w:val="nil"/>
            </w:tcBorders>
            <w:vAlign w:val="center"/>
          </w:tcPr>
          <w:p w14:paraId="612EC075">
            <w:pPr>
              <w:autoSpaceDE w:val="0"/>
              <w:autoSpaceDN w:val="0"/>
              <w:adjustRightInd w:val="0"/>
              <w:spacing w:line="312" w:lineRule="auto"/>
              <w:jc w:val="center"/>
              <w:rPr>
                <w:szCs w:val="21"/>
              </w:rPr>
            </w:pPr>
            <w:r>
              <w:rPr>
                <w:szCs w:val="21"/>
              </w:rPr>
              <w:t>18.0</w:t>
            </w:r>
          </w:p>
        </w:tc>
        <w:tc>
          <w:tcPr>
            <w:tcW w:w="941" w:type="dxa"/>
            <w:tcBorders>
              <w:top w:val="nil"/>
              <w:left w:val="nil"/>
              <w:bottom w:val="nil"/>
              <w:right w:val="nil"/>
            </w:tcBorders>
            <w:vAlign w:val="center"/>
          </w:tcPr>
          <w:p w14:paraId="636F905D">
            <w:pPr>
              <w:autoSpaceDE w:val="0"/>
              <w:autoSpaceDN w:val="0"/>
              <w:adjustRightInd w:val="0"/>
              <w:spacing w:line="312" w:lineRule="auto"/>
              <w:jc w:val="center"/>
              <w:rPr>
                <w:szCs w:val="21"/>
              </w:rPr>
            </w:pPr>
            <w:r>
              <w:rPr>
                <w:szCs w:val="21"/>
              </w:rPr>
              <w:t>311</w:t>
            </w:r>
          </w:p>
        </w:tc>
      </w:tr>
      <w:tr w14:paraId="434128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op w:val="single" w:color="auto" w:sz="12" w:space="0"/>
              <w:left w:val="nil"/>
              <w:bottom w:val="nil"/>
              <w:right w:val="nil"/>
            </w:tcBorders>
            <w:vAlign w:val="center"/>
          </w:tcPr>
          <w:p w14:paraId="5E9DD593">
            <w:pPr>
              <w:widowControl/>
              <w:jc w:val="left"/>
              <w:rPr>
                <w:szCs w:val="21"/>
              </w:rPr>
            </w:pPr>
          </w:p>
        </w:tc>
        <w:tc>
          <w:tcPr>
            <w:tcW w:w="263" w:type="dxa"/>
            <w:tcBorders>
              <w:top w:val="nil"/>
              <w:left w:val="nil"/>
              <w:bottom w:val="nil"/>
              <w:right w:val="nil"/>
            </w:tcBorders>
            <w:vAlign w:val="center"/>
          </w:tcPr>
          <w:p w14:paraId="08B82B99">
            <w:pPr>
              <w:jc w:val="center"/>
            </w:pPr>
            <w:r>
              <w:rPr>
                <w:szCs w:val="21"/>
              </w:rPr>
              <w:t>1-3#</w:t>
            </w:r>
          </w:p>
        </w:tc>
        <w:tc>
          <w:tcPr>
            <w:tcW w:w="1219" w:type="dxa"/>
            <w:tcBorders>
              <w:top w:val="nil"/>
              <w:left w:val="nil"/>
              <w:bottom w:val="nil"/>
              <w:right w:val="nil"/>
            </w:tcBorders>
            <w:vAlign w:val="center"/>
          </w:tcPr>
          <w:p w14:paraId="727E9BA4">
            <w:pPr>
              <w:autoSpaceDE w:val="0"/>
              <w:autoSpaceDN w:val="0"/>
              <w:adjustRightInd w:val="0"/>
              <w:spacing w:line="312" w:lineRule="auto"/>
              <w:jc w:val="center"/>
              <w:rPr>
                <w:szCs w:val="21"/>
              </w:rPr>
            </w:pPr>
            <w:r>
              <w:rPr>
                <w:szCs w:val="21"/>
              </w:rPr>
              <w:t>1010</w:t>
            </w:r>
          </w:p>
        </w:tc>
        <w:tc>
          <w:tcPr>
            <w:tcW w:w="1065" w:type="dxa"/>
            <w:tcBorders>
              <w:top w:val="nil"/>
              <w:left w:val="nil"/>
              <w:bottom w:val="nil"/>
              <w:right w:val="nil"/>
            </w:tcBorders>
            <w:vAlign w:val="center"/>
          </w:tcPr>
          <w:p w14:paraId="6E78D1A9">
            <w:pPr>
              <w:autoSpaceDE w:val="0"/>
              <w:autoSpaceDN w:val="0"/>
              <w:adjustRightInd w:val="0"/>
              <w:spacing w:line="312" w:lineRule="auto"/>
              <w:jc w:val="center"/>
              <w:rPr>
                <w:szCs w:val="21"/>
              </w:rPr>
            </w:pPr>
            <w:r>
              <w:rPr>
                <w:szCs w:val="21"/>
              </w:rPr>
              <w:t>845</w:t>
            </w:r>
          </w:p>
        </w:tc>
        <w:tc>
          <w:tcPr>
            <w:tcW w:w="941" w:type="dxa"/>
            <w:tcBorders>
              <w:top w:val="nil"/>
              <w:left w:val="nil"/>
              <w:bottom w:val="nil"/>
              <w:right w:val="nil"/>
            </w:tcBorders>
            <w:vAlign w:val="center"/>
          </w:tcPr>
          <w:p w14:paraId="7B1BB729">
            <w:pPr>
              <w:autoSpaceDE w:val="0"/>
              <w:autoSpaceDN w:val="0"/>
              <w:adjustRightInd w:val="0"/>
              <w:spacing w:line="312" w:lineRule="auto"/>
              <w:jc w:val="center"/>
              <w:rPr>
                <w:szCs w:val="21"/>
              </w:rPr>
            </w:pPr>
            <w:r>
              <w:rPr>
                <w:szCs w:val="21"/>
              </w:rPr>
              <w:t>17.5</w:t>
            </w:r>
          </w:p>
        </w:tc>
        <w:tc>
          <w:tcPr>
            <w:tcW w:w="1136" w:type="dxa"/>
            <w:tcBorders>
              <w:top w:val="nil"/>
              <w:left w:val="nil"/>
              <w:bottom w:val="nil"/>
              <w:right w:val="nil"/>
            </w:tcBorders>
            <w:vAlign w:val="center"/>
          </w:tcPr>
          <w:p w14:paraId="07D87B60">
            <w:pPr>
              <w:autoSpaceDE w:val="0"/>
              <w:autoSpaceDN w:val="0"/>
              <w:adjustRightInd w:val="0"/>
              <w:spacing w:line="312" w:lineRule="auto"/>
              <w:jc w:val="center"/>
              <w:rPr>
                <w:szCs w:val="21"/>
              </w:rPr>
            </w:pPr>
            <w:r>
              <w:rPr>
                <w:szCs w:val="21"/>
              </w:rPr>
              <w:t>58.5</w:t>
            </w:r>
          </w:p>
        </w:tc>
        <w:tc>
          <w:tcPr>
            <w:tcW w:w="1352" w:type="dxa"/>
            <w:tcBorders>
              <w:top w:val="nil"/>
              <w:left w:val="nil"/>
              <w:bottom w:val="nil"/>
              <w:right w:val="nil"/>
            </w:tcBorders>
            <w:vAlign w:val="center"/>
          </w:tcPr>
          <w:p w14:paraId="22E34B8B">
            <w:pPr>
              <w:autoSpaceDE w:val="0"/>
              <w:autoSpaceDN w:val="0"/>
              <w:adjustRightInd w:val="0"/>
              <w:spacing w:line="312" w:lineRule="auto"/>
              <w:jc w:val="center"/>
              <w:rPr>
                <w:szCs w:val="21"/>
              </w:rPr>
            </w:pPr>
            <w:r>
              <w:rPr>
                <w:szCs w:val="21"/>
              </w:rPr>
              <w:t>81.0</w:t>
            </w:r>
          </w:p>
        </w:tc>
        <w:tc>
          <w:tcPr>
            <w:tcW w:w="1193" w:type="dxa"/>
            <w:tcBorders>
              <w:top w:val="nil"/>
              <w:left w:val="nil"/>
              <w:bottom w:val="nil"/>
              <w:right w:val="nil"/>
            </w:tcBorders>
            <w:vAlign w:val="center"/>
          </w:tcPr>
          <w:p w14:paraId="18D34BA7">
            <w:pPr>
              <w:autoSpaceDE w:val="0"/>
              <w:autoSpaceDN w:val="0"/>
              <w:adjustRightInd w:val="0"/>
              <w:spacing w:line="312" w:lineRule="auto"/>
              <w:jc w:val="center"/>
              <w:rPr>
                <w:szCs w:val="21"/>
              </w:rPr>
            </w:pPr>
            <w:r>
              <w:rPr>
                <w:szCs w:val="21"/>
              </w:rPr>
              <w:t>19.0</w:t>
            </w:r>
          </w:p>
        </w:tc>
        <w:tc>
          <w:tcPr>
            <w:tcW w:w="941" w:type="dxa"/>
            <w:tcBorders>
              <w:top w:val="nil"/>
              <w:left w:val="nil"/>
              <w:bottom w:val="nil"/>
              <w:right w:val="nil"/>
            </w:tcBorders>
            <w:vAlign w:val="center"/>
          </w:tcPr>
          <w:p w14:paraId="2F7C8122">
            <w:pPr>
              <w:autoSpaceDE w:val="0"/>
              <w:autoSpaceDN w:val="0"/>
              <w:adjustRightInd w:val="0"/>
              <w:spacing w:line="312" w:lineRule="auto"/>
              <w:jc w:val="center"/>
              <w:rPr>
                <w:szCs w:val="21"/>
              </w:rPr>
            </w:pPr>
            <w:r>
              <w:rPr>
                <w:szCs w:val="21"/>
              </w:rPr>
              <w:t>304</w:t>
            </w:r>
          </w:p>
        </w:tc>
      </w:tr>
      <w:tr w14:paraId="34247E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op w:val="single" w:color="auto" w:sz="12" w:space="0"/>
              <w:left w:val="nil"/>
              <w:bottom w:val="nil"/>
              <w:right w:val="nil"/>
            </w:tcBorders>
            <w:vAlign w:val="center"/>
          </w:tcPr>
          <w:p w14:paraId="3E813961">
            <w:pPr>
              <w:widowControl/>
              <w:jc w:val="left"/>
              <w:rPr>
                <w:szCs w:val="21"/>
              </w:rPr>
            </w:pPr>
          </w:p>
        </w:tc>
        <w:tc>
          <w:tcPr>
            <w:tcW w:w="263" w:type="dxa"/>
            <w:tcBorders>
              <w:top w:val="nil"/>
              <w:left w:val="nil"/>
              <w:bottom w:val="nil"/>
              <w:right w:val="nil"/>
            </w:tcBorders>
            <w:vAlign w:val="center"/>
          </w:tcPr>
          <w:p w14:paraId="0D3BE4FE">
            <w:pPr>
              <w:jc w:val="center"/>
            </w:pPr>
            <w:r>
              <w:t>Average</w:t>
            </w:r>
            <w:r>
              <w:tab/>
            </w:r>
          </w:p>
        </w:tc>
        <w:tc>
          <w:tcPr>
            <w:tcW w:w="1219" w:type="dxa"/>
            <w:tcBorders>
              <w:top w:val="nil"/>
              <w:left w:val="nil"/>
              <w:bottom w:val="nil"/>
              <w:right w:val="nil"/>
            </w:tcBorders>
            <w:vAlign w:val="center"/>
          </w:tcPr>
          <w:p w14:paraId="7380B1B8">
            <w:pPr>
              <w:autoSpaceDE w:val="0"/>
              <w:autoSpaceDN w:val="0"/>
              <w:adjustRightInd w:val="0"/>
              <w:spacing w:line="312" w:lineRule="auto"/>
              <w:jc w:val="center"/>
              <w:rPr>
                <w:szCs w:val="21"/>
              </w:rPr>
            </w:pPr>
            <w:r>
              <w:rPr>
                <w:szCs w:val="21"/>
              </w:rPr>
              <w:t>1010</w:t>
            </w:r>
          </w:p>
        </w:tc>
        <w:tc>
          <w:tcPr>
            <w:tcW w:w="1065" w:type="dxa"/>
            <w:tcBorders>
              <w:top w:val="nil"/>
              <w:left w:val="nil"/>
              <w:bottom w:val="nil"/>
              <w:right w:val="nil"/>
            </w:tcBorders>
            <w:vAlign w:val="center"/>
          </w:tcPr>
          <w:p w14:paraId="7D498CC4">
            <w:pPr>
              <w:autoSpaceDE w:val="0"/>
              <w:autoSpaceDN w:val="0"/>
              <w:adjustRightInd w:val="0"/>
              <w:spacing w:line="312" w:lineRule="auto"/>
              <w:jc w:val="center"/>
              <w:rPr>
                <w:szCs w:val="21"/>
              </w:rPr>
            </w:pPr>
            <w:r>
              <w:rPr>
                <w:szCs w:val="21"/>
              </w:rPr>
              <w:t>840</w:t>
            </w:r>
          </w:p>
        </w:tc>
        <w:tc>
          <w:tcPr>
            <w:tcW w:w="941" w:type="dxa"/>
            <w:tcBorders>
              <w:top w:val="nil"/>
              <w:left w:val="nil"/>
              <w:bottom w:val="nil"/>
              <w:right w:val="nil"/>
            </w:tcBorders>
            <w:vAlign w:val="center"/>
          </w:tcPr>
          <w:p w14:paraId="70C9F2E9">
            <w:pPr>
              <w:autoSpaceDE w:val="0"/>
              <w:autoSpaceDN w:val="0"/>
              <w:adjustRightInd w:val="0"/>
              <w:spacing w:line="312" w:lineRule="auto"/>
              <w:jc w:val="center"/>
              <w:rPr>
                <w:szCs w:val="21"/>
              </w:rPr>
            </w:pPr>
            <w:r>
              <w:rPr>
                <w:szCs w:val="21"/>
              </w:rPr>
              <w:t>17.3</w:t>
            </w:r>
          </w:p>
        </w:tc>
        <w:tc>
          <w:tcPr>
            <w:tcW w:w="1136" w:type="dxa"/>
            <w:tcBorders>
              <w:top w:val="nil"/>
              <w:left w:val="nil"/>
              <w:bottom w:val="nil"/>
              <w:right w:val="nil"/>
            </w:tcBorders>
            <w:vAlign w:val="center"/>
          </w:tcPr>
          <w:p w14:paraId="50F7312C">
            <w:pPr>
              <w:autoSpaceDE w:val="0"/>
              <w:autoSpaceDN w:val="0"/>
              <w:adjustRightInd w:val="0"/>
              <w:spacing w:line="312" w:lineRule="auto"/>
              <w:jc w:val="center"/>
              <w:rPr>
                <w:szCs w:val="21"/>
              </w:rPr>
            </w:pPr>
            <w:r>
              <w:rPr>
                <w:szCs w:val="21"/>
              </w:rPr>
              <w:t>57.0</w:t>
            </w:r>
          </w:p>
        </w:tc>
        <w:tc>
          <w:tcPr>
            <w:tcW w:w="1352" w:type="dxa"/>
            <w:tcBorders>
              <w:top w:val="nil"/>
              <w:left w:val="nil"/>
              <w:bottom w:val="nil"/>
              <w:right w:val="nil"/>
            </w:tcBorders>
            <w:vAlign w:val="center"/>
          </w:tcPr>
          <w:p w14:paraId="6539F5F7">
            <w:pPr>
              <w:autoSpaceDE w:val="0"/>
              <w:autoSpaceDN w:val="0"/>
              <w:adjustRightInd w:val="0"/>
              <w:spacing w:line="312" w:lineRule="auto"/>
              <w:jc w:val="center"/>
              <w:rPr>
                <w:szCs w:val="21"/>
              </w:rPr>
            </w:pPr>
            <w:r>
              <w:rPr>
                <w:szCs w:val="21"/>
              </w:rPr>
              <w:t>83.0</w:t>
            </w:r>
          </w:p>
        </w:tc>
        <w:tc>
          <w:tcPr>
            <w:tcW w:w="1193" w:type="dxa"/>
            <w:tcBorders>
              <w:top w:val="nil"/>
              <w:left w:val="nil"/>
              <w:bottom w:val="nil"/>
              <w:right w:val="nil"/>
            </w:tcBorders>
            <w:vAlign w:val="center"/>
          </w:tcPr>
          <w:p w14:paraId="621613FC">
            <w:pPr>
              <w:autoSpaceDE w:val="0"/>
              <w:autoSpaceDN w:val="0"/>
              <w:adjustRightInd w:val="0"/>
              <w:spacing w:line="312" w:lineRule="auto"/>
              <w:jc w:val="center"/>
              <w:rPr>
                <w:szCs w:val="21"/>
              </w:rPr>
            </w:pPr>
            <w:r>
              <w:rPr>
                <w:szCs w:val="21"/>
              </w:rPr>
              <w:t>18.0</w:t>
            </w:r>
          </w:p>
        </w:tc>
        <w:tc>
          <w:tcPr>
            <w:tcW w:w="941" w:type="dxa"/>
            <w:tcBorders>
              <w:top w:val="nil"/>
              <w:left w:val="nil"/>
              <w:bottom w:val="nil"/>
              <w:right w:val="nil"/>
            </w:tcBorders>
            <w:vAlign w:val="center"/>
          </w:tcPr>
          <w:p w14:paraId="13A96C4A">
            <w:pPr>
              <w:autoSpaceDE w:val="0"/>
              <w:autoSpaceDN w:val="0"/>
              <w:adjustRightInd w:val="0"/>
              <w:spacing w:line="312" w:lineRule="auto"/>
              <w:jc w:val="center"/>
              <w:rPr>
                <w:szCs w:val="21"/>
              </w:rPr>
            </w:pPr>
            <w:r>
              <w:rPr>
                <w:szCs w:val="21"/>
              </w:rPr>
              <w:t>309</w:t>
            </w:r>
          </w:p>
        </w:tc>
      </w:tr>
      <w:tr w14:paraId="670C0F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2" w:type="dxa"/>
            <w:vMerge w:val="restart"/>
            <w:tcBorders>
              <w:top w:val="nil"/>
              <w:left w:val="nil"/>
              <w:bottom w:val="single" w:color="auto" w:sz="12" w:space="0"/>
              <w:right w:val="nil"/>
            </w:tcBorders>
            <w:vAlign w:val="center"/>
          </w:tcPr>
          <w:p w14:paraId="44D1446D">
            <w:pPr>
              <w:autoSpaceDE w:val="0"/>
              <w:autoSpaceDN w:val="0"/>
              <w:adjustRightInd w:val="0"/>
              <w:spacing w:line="312" w:lineRule="auto"/>
              <w:jc w:val="center"/>
              <w:rPr>
                <w:szCs w:val="21"/>
              </w:rPr>
            </w:pPr>
            <w:r>
              <w:rPr>
                <w:szCs w:val="21"/>
              </w:rPr>
              <w:t>2#</w:t>
            </w:r>
          </w:p>
        </w:tc>
        <w:tc>
          <w:tcPr>
            <w:tcW w:w="263" w:type="dxa"/>
            <w:tcBorders>
              <w:top w:val="nil"/>
              <w:left w:val="nil"/>
              <w:bottom w:val="nil"/>
              <w:right w:val="nil"/>
            </w:tcBorders>
            <w:vAlign w:val="center"/>
          </w:tcPr>
          <w:p w14:paraId="1CB53A10">
            <w:pPr>
              <w:autoSpaceDE w:val="0"/>
              <w:autoSpaceDN w:val="0"/>
              <w:adjustRightInd w:val="0"/>
              <w:spacing w:line="312" w:lineRule="auto"/>
              <w:jc w:val="center"/>
              <w:rPr>
                <w:szCs w:val="21"/>
              </w:rPr>
            </w:pPr>
            <w:r>
              <w:rPr>
                <w:szCs w:val="21"/>
              </w:rPr>
              <w:t>2-1#</w:t>
            </w:r>
          </w:p>
        </w:tc>
        <w:tc>
          <w:tcPr>
            <w:tcW w:w="1219" w:type="dxa"/>
            <w:tcBorders>
              <w:top w:val="nil"/>
              <w:left w:val="nil"/>
              <w:bottom w:val="nil"/>
              <w:right w:val="nil"/>
            </w:tcBorders>
            <w:vAlign w:val="center"/>
          </w:tcPr>
          <w:p w14:paraId="42FB4D04">
            <w:pPr>
              <w:autoSpaceDE w:val="0"/>
              <w:autoSpaceDN w:val="0"/>
              <w:adjustRightInd w:val="0"/>
              <w:spacing w:line="312" w:lineRule="auto"/>
              <w:jc w:val="center"/>
              <w:rPr>
                <w:szCs w:val="21"/>
              </w:rPr>
            </w:pPr>
            <w:r>
              <w:rPr>
                <w:szCs w:val="21"/>
              </w:rPr>
              <w:t>945</w:t>
            </w:r>
          </w:p>
        </w:tc>
        <w:tc>
          <w:tcPr>
            <w:tcW w:w="1065" w:type="dxa"/>
            <w:tcBorders>
              <w:top w:val="nil"/>
              <w:left w:val="nil"/>
              <w:bottom w:val="nil"/>
              <w:right w:val="nil"/>
            </w:tcBorders>
            <w:vAlign w:val="center"/>
          </w:tcPr>
          <w:p w14:paraId="5A1855E1">
            <w:pPr>
              <w:autoSpaceDE w:val="0"/>
              <w:autoSpaceDN w:val="0"/>
              <w:adjustRightInd w:val="0"/>
              <w:spacing w:line="312" w:lineRule="auto"/>
              <w:jc w:val="center"/>
              <w:rPr>
                <w:szCs w:val="21"/>
              </w:rPr>
            </w:pPr>
            <w:r>
              <w:rPr>
                <w:szCs w:val="21"/>
              </w:rPr>
              <w:t>745</w:t>
            </w:r>
          </w:p>
        </w:tc>
        <w:tc>
          <w:tcPr>
            <w:tcW w:w="941" w:type="dxa"/>
            <w:tcBorders>
              <w:top w:val="nil"/>
              <w:left w:val="nil"/>
              <w:bottom w:val="nil"/>
              <w:right w:val="nil"/>
            </w:tcBorders>
            <w:vAlign w:val="center"/>
          </w:tcPr>
          <w:p w14:paraId="661F9F8A">
            <w:pPr>
              <w:autoSpaceDE w:val="0"/>
              <w:autoSpaceDN w:val="0"/>
              <w:adjustRightInd w:val="0"/>
              <w:spacing w:line="312" w:lineRule="auto"/>
              <w:jc w:val="center"/>
              <w:rPr>
                <w:szCs w:val="21"/>
              </w:rPr>
            </w:pPr>
            <w:r>
              <w:rPr>
                <w:szCs w:val="21"/>
              </w:rPr>
              <w:t>18.0</w:t>
            </w:r>
          </w:p>
        </w:tc>
        <w:tc>
          <w:tcPr>
            <w:tcW w:w="1136" w:type="dxa"/>
            <w:tcBorders>
              <w:top w:val="nil"/>
              <w:left w:val="nil"/>
              <w:bottom w:val="nil"/>
              <w:right w:val="nil"/>
            </w:tcBorders>
            <w:vAlign w:val="center"/>
          </w:tcPr>
          <w:p w14:paraId="6FABC2F1">
            <w:pPr>
              <w:autoSpaceDE w:val="0"/>
              <w:autoSpaceDN w:val="0"/>
              <w:adjustRightInd w:val="0"/>
              <w:spacing w:line="312" w:lineRule="auto"/>
              <w:jc w:val="center"/>
              <w:rPr>
                <w:szCs w:val="21"/>
              </w:rPr>
            </w:pPr>
            <w:r>
              <w:rPr>
                <w:szCs w:val="21"/>
              </w:rPr>
              <w:t>56.8</w:t>
            </w:r>
          </w:p>
        </w:tc>
        <w:tc>
          <w:tcPr>
            <w:tcW w:w="1352" w:type="dxa"/>
            <w:tcBorders>
              <w:top w:val="nil"/>
              <w:left w:val="nil"/>
              <w:bottom w:val="nil"/>
              <w:right w:val="nil"/>
            </w:tcBorders>
            <w:vAlign w:val="center"/>
          </w:tcPr>
          <w:p w14:paraId="55DA259C">
            <w:pPr>
              <w:autoSpaceDE w:val="0"/>
              <w:autoSpaceDN w:val="0"/>
              <w:adjustRightInd w:val="0"/>
              <w:spacing w:line="312" w:lineRule="auto"/>
              <w:jc w:val="center"/>
              <w:rPr>
                <w:szCs w:val="21"/>
              </w:rPr>
            </w:pPr>
            <w:r>
              <w:rPr>
                <w:szCs w:val="21"/>
              </w:rPr>
              <w:t>74.0</w:t>
            </w:r>
          </w:p>
        </w:tc>
        <w:tc>
          <w:tcPr>
            <w:tcW w:w="1193" w:type="dxa"/>
            <w:tcBorders>
              <w:top w:val="nil"/>
              <w:left w:val="nil"/>
              <w:bottom w:val="nil"/>
              <w:right w:val="nil"/>
            </w:tcBorders>
            <w:vAlign w:val="center"/>
          </w:tcPr>
          <w:p w14:paraId="2F475DBF">
            <w:pPr>
              <w:autoSpaceDE w:val="0"/>
              <w:autoSpaceDN w:val="0"/>
              <w:adjustRightInd w:val="0"/>
              <w:spacing w:line="312" w:lineRule="auto"/>
              <w:jc w:val="center"/>
              <w:rPr>
                <w:szCs w:val="21"/>
              </w:rPr>
            </w:pPr>
            <w:r>
              <w:rPr>
                <w:szCs w:val="21"/>
              </w:rPr>
              <w:t>20.0</w:t>
            </w:r>
          </w:p>
        </w:tc>
        <w:tc>
          <w:tcPr>
            <w:tcW w:w="941" w:type="dxa"/>
            <w:tcBorders>
              <w:top w:val="nil"/>
              <w:left w:val="nil"/>
              <w:bottom w:val="nil"/>
              <w:right w:val="nil"/>
            </w:tcBorders>
            <w:vAlign w:val="center"/>
          </w:tcPr>
          <w:p w14:paraId="755FB29D">
            <w:pPr>
              <w:autoSpaceDE w:val="0"/>
              <w:autoSpaceDN w:val="0"/>
              <w:adjustRightInd w:val="0"/>
              <w:spacing w:line="312" w:lineRule="auto"/>
              <w:jc w:val="center"/>
              <w:rPr>
                <w:szCs w:val="21"/>
              </w:rPr>
            </w:pPr>
            <w:r>
              <w:rPr>
                <w:szCs w:val="21"/>
              </w:rPr>
              <w:t>262</w:t>
            </w:r>
          </w:p>
        </w:tc>
      </w:tr>
      <w:tr w14:paraId="090571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op w:val="nil"/>
              <w:left w:val="nil"/>
              <w:bottom w:val="single" w:color="auto" w:sz="12" w:space="0"/>
              <w:right w:val="nil"/>
            </w:tcBorders>
            <w:vAlign w:val="center"/>
          </w:tcPr>
          <w:p w14:paraId="1281617D">
            <w:pPr>
              <w:widowControl/>
              <w:jc w:val="left"/>
              <w:rPr>
                <w:szCs w:val="21"/>
              </w:rPr>
            </w:pPr>
          </w:p>
        </w:tc>
        <w:tc>
          <w:tcPr>
            <w:tcW w:w="263" w:type="dxa"/>
            <w:tcBorders>
              <w:top w:val="nil"/>
              <w:left w:val="nil"/>
              <w:bottom w:val="single" w:color="auto" w:sz="12" w:space="0"/>
              <w:right w:val="nil"/>
            </w:tcBorders>
            <w:vAlign w:val="center"/>
          </w:tcPr>
          <w:p w14:paraId="3F78A88A">
            <w:pPr>
              <w:jc w:val="center"/>
            </w:pPr>
            <w:r>
              <w:rPr>
                <w:szCs w:val="21"/>
              </w:rPr>
              <w:t>2-2#</w:t>
            </w:r>
          </w:p>
        </w:tc>
        <w:tc>
          <w:tcPr>
            <w:tcW w:w="1219" w:type="dxa"/>
            <w:tcBorders>
              <w:top w:val="nil"/>
              <w:left w:val="nil"/>
              <w:bottom w:val="single" w:color="auto" w:sz="12" w:space="0"/>
              <w:right w:val="nil"/>
            </w:tcBorders>
            <w:vAlign w:val="center"/>
          </w:tcPr>
          <w:p w14:paraId="368A87E6">
            <w:pPr>
              <w:autoSpaceDE w:val="0"/>
              <w:autoSpaceDN w:val="0"/>
              <w:adjustRightInd w:val="0"/>
              <w:spacing w:line="312" w:lineRule="auto"/>
              <w:jc w:val="center"/>
              <w:rPr>
                <w:szCs w:val="21"/>
              </w:rPr>
            </w:pPr>
            <w:r>
              <w:rPr>
                <w:szCs w:val="21"/>
              </w:rPr>
              <w:t>950</w:t>
            </w:r>
          </w:p>
        </w:tc>
        <w:tc>
          <w:tcPr>
            <w:tcW w:w="1065" w:type="dxa"/>
            <w:tcBorders>
              <w:top w:val="nil"/>
              <w:left w:val="nil"/>
              <w:bottom w:val="single" w:color="auto" w:sz="12" w:space="0"/>
              <w:right w:val="nil"/>
            </w:tcBorders>
            <w:vAlign w:val="center"/>
          </w:tcPr>
          <w:p w14:paraId="70878710">
            <w:pPr>
              <w:autoSpaceDE w:val="0"/>
              <w:autoSpaceDN w:val="0"/>
              <w:adjustRightInd w:val="0"/>
              <w:spacing w:line="312" w:lineRule="auto"/>
              <w:jc w:val="center"/>
              <w:rPr>
                <w:szCs w:val="21"/>
              </w:rPr>
            </w:pPr>
            <w:r>
              <w:rPr>
                <w:szCs w:val="21"/>
              </w:rPr>
              <w:t>785</w:t>
            </w:r>
          </w:p>
        </w:tc>
        <w:tc>
          <w:tcPr>
            <w:tcW w:w="941" w:type="dxa"/>
            <w:tcBorders>
              <w:top w:val="nil"/>
              <w:left w:val="nil"/>
              <w:bottom w:val="single" w:color="auto" w:sz="12" w:space="0"/>
              <w:right w:val="nil"/>
            </w:tcBorders>
            <w:vAlign w:val="center"/>
          </w:tcPr>
          <w:p w14:paraId="1CB0906F">
            <w:pPr>
              <w:autoSpaceDE w:val="0"/>
              <w:autoSpaceDN w:val="0"/>
              <w:adjustRightInd w:val="0"/>
              <w:spacing w:line="312" w:lineRule="auto"/>
              <w:jc w:val="center"/>
              <w:rPr>
                <w:szCs w:val="21"/>
              </w:rPr>
            </w:pPr>
            <w:r>
              <w:rPr>
                <w:szCs w:val="21"/>
              </w:rPr>
              <w:t>17.6</w:t>
            </w:r>
          </w:p>
        </w:tc>
        <w:tc>
          <w:tcPr>
            <w:tcW w:w="1136" w:type="dxa"/>
            <w:tcBorders>
              <w:top w:val="nil"/>
              <w:left w:val="nil"/>
              <w:bottom w:val="single" w:color="auto" w:sz="12" w:space="0"/>
              <w:right w:val="nil"/>
            </w:tcBorders>
            <w:vAlign w:val="center"/>
          </w:tcPr>
          <w:p w14:paraId="3233B6F9">
            <w:pPr>
              <w:autoSpaceDE w:val="0"/>
              <w:autoSpaceDN w:val="0"/>
              <w:adjustRightInd w:val="0"/>
              <w:spacing w:line="312" w:lineRule="auto"/>
              <w:jc w:val="center"/>
              <w:rPr>
                <w:szCs w:val="21"/>
              </w:rPr>
            </w:pPr>
            <w:r>
              <w:rPr>
                <w:szCs w:val="21"/>
              </w:rPr>
              <w:t>58.2</w:t>
            </w:r>
          </w:p>
        </w:tc>
        <w:tc>
          <w:tcPr>
            <w:tcW w:w="1352" w:type="dxa"/>
            <w:tcBorders>
              <w:top w:val="nil"/>
              <w:left w:val="nil"/>
              <w:bottom w:val="single" w:color="auto" w:sz="12" w:space="0"/>
              <w:right w:val="nil"/>
            </w:tcBorders>
            <w:vAlign w:val="center"/>
          </w:tcPr>
          <w:p w14:paraId="32F63353">
            <w:pPr>
              <w:autoSpaceDE w:val="0"/>
              <w:autoSpaceDN w:val="0"/>
              <w:adjustRightInd w:val="0"/>
              <w:spacing w:line="312" w:lineRule="auto"/>
              <w:jc w:val="center"/>
              <w:rPr>
                <w:szCs w:val="21"/>
              </w:rPr>
            </w:pPr>
            <w:r>
              <w:rPr>
                <w:szCs w:val="21"/>
              </w:rPr>
              <w:t>86.0</w:t>
            </w:r>
          </w:p>
        </w:tc>
        <w:tc>
          <w:tcPr>
            <w:tcW w:w="1193" w:type="dxa"/>
            <w:tcBorders>
              <w:top w:val="nil"/>
              <w:left w:val="nil"/>
              <w:bottom w:val="single" w:color="auto" w:sz="12" w:space="0"/>
              <w:right w:val="nil"/>
            </w:tcBorders>
            <w:vAlign w:val="center"/>
          </w:tcPr>
          <w:p w14:paraId="23212726">
            <w:pPr>
              <w:autoSpaceDE w:val="0"/>
              <w:autoSpaceDN w:val="0"/>
              <w:adjustRightInd w:val="0"/>
              <w:spacing w:line="312" w:lineRule="auto"/>
              <w:jc w:val="center"/>
              <w:rPr>
                <w:b/>
                <w:szCs w:val="21"/>
              </w:rPr>
            </w:pPr>
            <w:r>
              <w:rPr>
                <w:szCs w:val="21"/>
              </w:rPr>
              <w:t>21.0</w:t>
            </w:r>
          </w:p>
        </w:tc>
        <w:tc>
          <w:tcPr>
            <w:tcW w:w="941" w:type="dxa"/>
            <w:tcBorders>
              <w:top w:val="nil"/>
              <w:left w:val="nil"/>
              <w:bottom w:val="single" w:color="auto" w:sz="12" w:space="0"/>
              <w:right w:val="nil"/>
            </w:tcBorders>
            <w:vAlign w:val="center"/>
          </w:tcPr>
          <w:p w14:paraId="0FFD42C7">
            <w:pPr>
              <w:autoSpaceDE w:val="0"/>
              <w:autoSpaceDN w:val="0"/>
              <w:adjustRightInd w:val="0"/>
              <w:spacing w:line="312" w:lineRule="auto"/>
              <w:jc w:val="center"/>
              <w:rPr>
                <w:szCs w:val="21"/>
              </w:rPr>
            </w:pPr>
            <w:r>
              <w:rPr>
                <w:szCs w:val="21"/>
              </w:rPr>
              <w:t>268</w:t>
            </w:r>
          </w:p>
        </w:tc>
      </w:tr>
    </w:tbl>
    <w:p w14:paraId="0B84FAF1">
      <w:pPr>
        <w:pStyle w:val="16"/>
        <w:spacing w:before="31" w:after="31"/>
        <w:ind w:firstLine="480"/>
        <w:rPr>
          <w:szCs w:val="24"/>
        </w:rPr>
      </w:pPr>
      <w:r>
        <w:rPr>
          <w:szCs w:val="24"/>
        </w:rPr>
        <w:t>Samples were taken near the fracture surface for metallographic observation and analysis. The microstructure of shafts 1 and 2 showed tempered martensite and upper bainite on the inner, outer, and central regions. The grain size was rated at level 7. Shaft 1 contained inclusions A1.0, B1.0e, D0.5, while shaft 2 had inclusions A2.0, A1.5e, B1.0, D0.5.</w:t>
      </w:r>
    </w:p>
    <w:p w14:paraId="4D7B388B">
      <w:pPr>
        <w:pStyle w:val="16"/>
        <w:spacing w:before="31" w:after="31"/>
        <w:ind w:firstLine="0" w:firstLineChars="0"/>
        <w:rPr>
          <w:szCs w:val="24"/>
        </w:rPr>
      </w:pPr>
      <w:r>
        <w:rPr>
          <w:szCs w:val="24"/>
        </w:rPr>
        <w:t>(5) Component Failure Morphology</w:t>
      </w:r>
    </w:p>
    <w:p w14:paraId="5B1195BA">
      <w:pPr>
        <w:pStyle w:val="16"/>
        <w:spacing w:before="31" w:after="31"/>
        <w:ind w:firstLine="480"/>
        <w:rPr>
          <w:szCs w:val="24"/>
        </w:rPr>
      </w:pPr>
      <w:r>
        <w:rPr>
          <w:szCs w:val="24"/>
        </w:rPr>
        <w:t>Both fracture incidents occurred in the middle section of the keyed shaft of the downhole shock absorber, near the deepest point of the keyway structure transition zone. The fracture morphology of the two specimens was essentially the same. The fracture exhibited no obvious plastic deformation, with visible compression marks on the surface and numerous noticeable transverse machining marks on the key teeth surface. Magnetic particle testing revealed transverse cracks in the keyway structure transition zone, and longitudinal cracks were found on both sides of each keyway root. Metallographic observation showed that the main crack at the root of the keyway extended through the sample, with multiple branching cracks.</w:t>
      </w:r>
    </w:p>
    <w:p w14:paraId="00E896F9">
      <w:pPr>
        <w:pStyle w:val="16"/>
        <w:spacing w:before="31" w:after="31"/>
        <w:ind w:firstLine="480"/>
        <w:rPr>
          <w:szCs w:val="24"/>
        </w:rPr>
      </w:pPr>
      <w:r>
        <w:rPr>
          <w:szCs w:val="24"/>
        </w:rPr>
        <w:t>Scanning electron microscopy (SEM) revealed compression and twisting features at low magnification on the fracture surface, and at high magnification, fatigue striations were observed in localized areas. Opening the longitudinal crack at the root of the keyway revealed numerous machining marks parallel to the sides of the keyway. Stress concentration occurred at the root of the keyway and at the machining marks, leading to the formation of fatigue steps at high magnification.</w:t>
      </w:r>
    </w:p>
    <w:p w14:paraId="5F26F61C">
      <w:pPr>
        <w:pStyle w:val="16"/>
        <w:spacing w:before="31" w:after="31"/>
        <w:ind w:firstLine="0" w:firstLineChars="0"/>
        <w:rPr>
          <w:szCs w:val="24"/>
        </w:rPr>
      </w:pPr>
      <w:r>
        <w:rPr>
          <w:szCs w:val="24"/>
        </w:rPr>
        <w:t>(6) Analysis of Failure Causes</w:t>
      </w:r>
    </w:p>
    <w:p w14:paraId="09DC6617">
      <w:pPr>
        <w:pStyle w:val="16"/>
        <w:spacing w:before="31" w:after="31"/>
        <w:ind w:firstLine="480"/>
        <w:rPr>
          <w:szCs w:val="24"/>
        </w:rPr>
      </w:pPr>
      <w:r>
        <w:rPr>
          <w:szCs w:val="24"/>
        </w:rPr>
        <w:t>(a) The flat area of the fracture, divided into units by keyways or key teeth, showed no obvious plastic deformation upon macroscopic observation, and severe surface compression was evident. Stress concentration existed in the keyway geometric transition zone with thin wall thickness, where machining marks were present on the key teeth surface and key teeth sides. These stress concentration points became potential crack initiation sites. Fracture observation revealed fatigue striations and fatigue steps, and the tissue on both sides of the crack was the same. It was inferred that the transverse fracture of the shaft was a fatigue fracture.</w:t>
      </w:r>
    </w:p>
    <w:p w14:paraId="7480E53E">
      <w:pPr>
        <w:pStyle w:val="16"/>
        <w:spacing w:before="31" w:after="31"/>
        <w:ind w:firstLine="480"/>
        <w:rPr>
          <w:szCs w:val="24"/>
        </w:rPr>
      </w:pPr>
      <w:r>
        <w:rPr>
          <w:szCs w:val="24"/>
        </w:rPr>
        <w:t>(b) There were as many as 12 longitudinal cracks that penetrated the specimen, and secondary branching cracks developed from these longitudinal cracks. Such a large number of longitudinal cracks significantly weakened the shaft's ability to withstand torque. Under combined loads of tension, compression, and bending-torsion, the longitudinal cracks were prone to initiate transverse cracks at weak points. The keyway geometric transition zone was the weakest point in the keyed shaft, making it the danger zone for the initiation and propagation of transverse cracks, which would rapidly lead to fracture.</w:t>
      </w:r>
    </w:p>
    <w:p w14:paraId="5EBCB8EA">
      <w:pPr>
        <w:pStyle w:val="16"/>
        <w:spacing w:before="31" w:after="31"/>
        <w:ind w:firstLine="480"/>
        <w:rPr>
          <w:szCs w:val="24"/>
        </w:rPr>
      </w:pPr>
      <w:r>
        <w:rPr>
          <w:szCs w:val="24"/>
        </w:rPr>
        <w:t>(c) The metallographic structure of shafts 1 and 2 consisted of tempered martensite and upper bainite, with the upper bainite containing both ferrite and cementite. The ferrite grains in the upper bainite were wide, resulting in low deformation resistance. The distribution of cementite between the ferrite grains made the material prone to brittle fracture. The presence of the upper bainite structure would decrease the strength and toughness of the shaft.</w:t>
      </w:r>
    </w:p>
    <w:p w14:paraId="77DF5765">
      <w:pPr>
        <w:pStyle w:val="16"/>
        <w:spacing w:before="31" w:after="31"/>
        <w:ind w:firstLine="480"/>
        <w:rPr>
          <w:szCs w:val="24"/>
        </w:rPr>
      </w:pPr>
      <w:r>
        <w:rPr>
          <w:szCs w:val="24"/>
        </w:rPr>
        <w:t>(d) The lower transverse impact absorption energy of shafts 1 and 2 would affect the ability of the specimens to resist longitudinal cracking.</w:t>
      </w:r>
    </w:p>
    <w:p w14:paraId="758189B6">
      <w:pPr>
        <w:pStyle w:val="16"/>
        <w:spacing w:before="31" w:after="31"/>
        <w:ind w:firstLine="0" w:firstLineChars="0"/>
        <w:rPr>
          <w:szCs w:val="24"/>
        </w:rPr>
      </w:pPr>
      <w:r>
        <w:rPr>
          <w:szCs w:val="24"/>
        </w:rPr>
        <w:t>(7) Impact and Harm Caused</w:t>
      </w:r>
    </w:p>
    <w:p w14:paraId="3DF4B537">
      <w:pPr>
        <w:pStyle w:val="16"/>
        <w:spacing w:before="31" w:after="31"/>
        <w:ind w:firstLine="420" w:firstLineChars="0"/>
        <w:rPr>
          <w:szCs w:val="24"/>
        </w:rPr>
      </w:pPr>
      <w:r>
        <w:rPr>
          <w:szCs w:val="24"/>
        </w:rPr>
        <w:t>Null</w:t>
      </w:r>
    </w:p>
    <w:p w14:paraId="307451A3">
      <w:pPr>
        <w:pStyle w:val="16"/>
        <w:spacing w:before="31" w:after="31"/>
        <w:ind w:firstLine="0" w:firstLineChars="0"/>
        <w:rPr>
          <w:szCs w:val="24"/>
        </w:rPr>
      </w:pPr>
      <w:r>
        <w:rPr>
          <w:szCs w:val="24"/>
        </w:rPr>
        <w:t>(8) Conclusion and Improvement Measures:</w:t>
      </w:r>
    </w:p>
    <w:p w14:paraId="305E2A69">
      <w:pPr>
        <w:pStyle w:val="16"/>
        <w:spacing w:before="31" w:after="31"/>
        <w:ind w:firstLine="480"/>
        <w:rPr>
          <w:szCs w:val="24"/>
        </w:rPr>
      </w:pPr>
      <w:r>
        <w:rPr>
          <w:szCs w:val="24"/>
        </w:rPr>
        <w:t>(a) Both shafts 1 and 2 experienced fatigue fractures, with cracks originating at stress concentration points in the keyway geometric transition zone.</w:t>
      </w:r>
    </w:p>
    <w:p w14:paraId="66DCF962">
      <w:pPr>
        <w:pStyle w:val="16"/>
        <w:spacing w:before="31" w:after="31"/>
        <w:ind w:firstLine="480"/>
        <w:rPr>
          <w:szCs w:val="24"/>
        </w:rPr>
      </w:pPr>
      <w:r>
        <w:rPr>
          <w:szCs w:val="24"/>
        </w:rPr>
        <w:t>(b) The sharp structure at the root of the keyway exhibited significant stress concentration. Due to longitudinal machining marks on the key teeth surface and low material transverse impact toughness, longitudinal cracks initiated in this area under torsional loading, resulting in fatigue cracks.</w:t>
      </w:r>
    </w:p>
    <w:p w14:paraId="653D7B47">
      <w:pPr>
        <w:pStyle w:val="16"/>
        <w:spacing w:before="31" w:after="31"/>
        <w:ind w:firstLine="480"/>
        <w:rPr>
          <w:szCs w:val="24"/>
        </w:rPr>
      </w:pPr>
      <w:r>
        <w:rPr>
          <w:szCs w:val="24"/>
        </w:rPr>
        <w:t>(c) The longitudinal cracks at stress concentration points in the keyway geometric transition zone led to the initiation of transverse cracks. Under complex loading conditions such as tension, compression, and bending, transverse cracks rapidly expanded, causing shaft fracture.</w:t>
      </w:r>
    </w:p>
    <w:p w14:paraId="78FD66DB">
      <w:pPr>
        <w:pStyle w:val="16"/>
        <w:spacing w:before="31" w:after="31"/>
        <w:ind w:firstLine="480"/>
        <w:rPr>
          <w:szCs w:val="24"/>
        </w:rPr>
      </w:pPr>
      <w:r>
        <w:rPr>
          <w:szCs w:val="24"/>
        </w:rPr>
        <w:t>To address the causes of shaft fracture, the following improvement measures can be implemented:</w:t>
      </w:r>
    </w:p>
    <w:p w14:paraId="0A39759A">
      <w:pPr>
        <w:pStyle w:val="16"/>
        <w:spacing w:before="31" w:after="31"/>
        <w:ind w:firstLine="480"/>
        <w:rPr>
          <w:szCs w:val="24"/>
        </w:rPr>
      </w:pPr>
      <w:r>
        <w:rPr>
          <w:szCs w:val="24"/>
        </w:rPr>
        <w:t>(a) Improve heat treatment processes to eliminate the upper bainite structure, allowing the shaft to achieve a uniform tempered martensite structure.</w:t>
      </w:r>
    </w:p>
    <w:p w14:paraId="2EE2EE44">
      <w:pPr>
        <w:pStyle w:val="16"/>
        <w:spacing w:before="31" w:after="31"/>
        <w:ind w:firstLine="480"/>
        <w:rPr>
          <w:szCs w:val="24"/>
        </w:rPr>
      </w:pPr>
      <w:r>
        <w:rPr>
          <w:szCs w:val="24"/>
        </w:rPr>
        <w:t>(b) Enhance machining processes and quality to eliminate or reduce stress concentration on the key teeth surface and key teeth sides, improving the loading conditions of the shaft.</w:t>
      </w:r>
    </w:p>
    <w:p w14:paraId="1D84AFD1">
      <w:pPr>
        <w:pStyle w:val="16"/>
        <w:spacing w:before="31" w:after="31"/>
        <w:ind w:firstLine="480"/>
        <w:rPr>
          <w:szCs w:val="24"/>
        </w:rPr>
      </w:pPr>
      <w:r>
        <w:rPr>
          <w:szCs w:val="24"/>
        </w:rPr>
        <w:t>(c) Include a specification for transverse impact absorption energy in technical terms for keyed shafts.</w:t>
      </w:r>
    </w:p>
    <w:p w14:paraId="13F6FDF3">
      <w:pPr>
        <w:pStyle w:val="16"/>
        <w:spacing w:before="31" w:after="31"/>
        <w:ind w:firstLine="0" w:firstLineChars="0"/>
        <w:rPr>
          <w:b/>
          <w:bCs/>
          <w:szCs w:val="24"/>
        </w:rPr>
      </w:pPr>
      <w:r>
        <w:rPr>
          <w:b/>
          <w:bCs/>
          <w:szCs w:val="24"/>
        </w:rPr>
        <w:t xml:space="preserve">Case </w:t>
      </w:r>
      <w:r>
        <w:rPr>
          <w:rFonts w:hint="eastAsia"/>
          <w:b/>
          <w:bCs/>
          <w:szCs w:val="24"/>
          <w:lang w:val="en-US" w:eastAsia="zh-CN"/>
        </w:rPr>
        <w:t>4</w:t>
      </w:r>
      <w:r>
        <w:rPr>
          <w:b/>
          <w:bCs/>
          <w:szCs w:val="24"/>
        </w:rPr>
        <w:t>-17: Cracking of Double-Shoulder Drill Pipe Joints</w:t>
      </w:r>
    </w:p>
    <w:p w14:paraId="121FAAD5">
      <w:pPr>
        <w:pStyle w:val="16"/>
        <w:spacing w:before="31" w:after="31"/>
        <w:ind w:firstLine="0" w:firstLineChars="0"/>
        <w:rPr>
          <w:szCs w:val="24"/>
        </w:rPr>
      </w:pPr>
      <w:r>
        <w:rPr>
          <w:szCs w:val="24"/>
        </w:rPr>
        <w:t xml:space="preserve">(1) </w:t>
      </w:r>
      <w:r>
        <w:rPr>
          <w:kern w:val="0"/>
          <w:szCs w:val="24"/>
        </w:rPr>
        <w:t>Case Name:</w:t>
      </w:r>
    </w:p>
    <w:p w14:paraId="5F2B0B8D">
      <w:pPr>
        <w:pStyle w:val="16"/>
        <w:spacing w:before="31" w:after="31"/>
        <w:ind w:firstLine="480"/>
        <w:rPr>
          <w:rFonts w:hint="eastAsia"/>
          <w:szCs w:val="24"/>
        </w:rPr>
      </w:pPr>
      <w:r>
        <w:rPr>
          <w:szCs w:val="24"/>
        </w:rPr>
        <w:t>Cracking of Double-Shoulder Drill Pipe Joints</w:t>
      </w:r>
    </w:p>
    <w:p w14:paraId="289C6C5A">
      <w:pPr>
        <w:pStyle w:val="16"/>
        <w:spacing w:before="31" w:after="31"/>
        <w:ind w:firstLine="0" w:firstLineChars="0"/>
        <w:rPr>
          <w:szCs w:val="24"/>
        </w:rPr>
      </w:pPr>
      <w:r>
        <w:rPr>
          <w:szCs w:val="24"/>
        </w:rPr>
        <w:t>(2) Failure Process Description</w:t>
      </w:r>
    </w:p>
    <w:p w14:paraId="5A247EBC">
      <w:pPr>
        <w:pStyle w:val="16"/>
        <w:spacing w:before="31" w:after="31"/>
        <w:ind w:firstLine="480"/>
        <w:rPr>
          <w:szCs w:val="24"/>
        </w:rPr>
      </w:pPr>
      <w:r>
        <w:rPr>
          <w:szCs w:val="24"/>
        </w:rPr>
        <w:t>During the use of Φ101.6 mm×9.65mm S135 double-shoulder threaded drill pipe joints in an oil field, a fracture occurred in the external threaded joint of the drill pipe. The well was designed to a depth of 6950m, and the cracked drill pipe was used for the first time, drilling a total depth of 295m with a pure drilling time of 599.16 hours and a usage period of 254 days. The batch of drill pipes was mainly used for Φ206.4mm casing and the subsequent Φ196.9 mm casing section, with a drilling column length of about 6200m for each well entry. A total of 138.192 tons (529 pieces) of this batch of drill pipes were used. During drilling, a joint of the drill pipe broke, leading to ultrasonic inspection of 220 drill pipes at the wellsite. The results revealed cracks in 37 drill pipes' external threaded joints. Subsequently, the entire batch of 527 drill pipes was recovered in two phases for ultrasonic inspection. In total, 103 drill pipes were found to have damage, with a damage rate of 19.5%. Among them, 92 damaged drill pipes were used during the drilling and completion stages of the accident process, accounting for 89.3% of the total damaged drill pipes. The remaining 11 damaged drill pipes were only used during the completion and oil testing stage, accounting for 10.7% of the total damaged drill pipes.</w:t>
      </w:r>
    </w:p>
    <w:p w14:paraId="4E1B2BFE">
      <w:pPr>
        <w:pStyle w:val="16"/>
        <w:spacing w:before="31" w:after="31"/>
        <w:ind w:firstLine="0" w:firstLineChars="0"/>
        <w:rPr>
          <w:szCs w:val="24"/>
        </w:rPr>
      </w:pPr>
      <w:r>
        <w:rPr>
          <w:szCs w:val="24"/>
        </w:rPr>
        <w:t>(3) Service Environment</w:t>
      </w:r>
    </w:p>
    <w:p w14:paraId="3003F561">
      <w:pPr>
        <w:pStyle w:val="16"/>
        <w:spacing w:before="31" w:after="31"/>
        <w:ind w:firstLine="420" w:firstLineChars="0"/>
        <w:rPr>
          <w:rFonts w:hint="eastAsia"/>
          <w:szCs w:val="24"/>
        </w:rPr>
      </w:pPr>
      <w:r>
        <w:rPr>
          <w:szCs w:val="24"/>
        </w:rPr>
        <w:t>Null</w:t>
      </w:r>
    </w:p>
    <w:p w14:paraId="7B822776">
      <w:pPr>
        <w:pStyle w:val="16"/>
        <w:spacing w:before="31" w:after="31"/>
        <w:ind w:firstLine="0" w:firstLineChars="0"/>
        <w:rPr>
          <w:szCs w:val="24"/>
        </w:rPr>
      </w:pPr>
      <w:r>
        <w:rPr>
          <w:szCs w:val="24"/>
        </w:rPr>
        <w:t>(4) Failed Components and Material</w:t>
      </w:r>
    </w:p>
    <w:p w14:paraId="24102611">
      <w:pPr>
        <w:pStyle w:val="16"/>
        <w:spacing w:before="31" w:after="31"/>
        <w:ind w:firstLine="480"/>
        <w:rPr>
          <w:szCs w:val="24"/>
        </w:rPr>
      </w:pPr>
      <w:r>
        <w:rPr>
          <w:szCs w:val="24"/>
        </w:rPr>
        <w:t>The failed component is Φ101.6 mm×9.65mm S135 double-shoulder threaded drill pipe, made of 36CrNiMo4 low-alloy structural steel. The drill string configuration at the time of fracture included various components, such as Φ60mm pilot bit, Φ60.3mm drill pipe, NC26×DS40 joint, Φ101.6mm drill pipe (DS40), DS40×HT40 joint, Φ101.6mm drill pipe (HT40), and Φ88.9mm square drill pipe. Additionally, 90 pieces of Grant Φ101.6mm (4-inch) HT40 drill pipes were used simultaneously, and no cracks were found during ultrasonic inspection.</w:t>
      </w:r>
    </w:p>
    <w:p w14:paraId="3A1522B6">
      <w:pPr>
        <w:pStyle w:val="16"/>
        <w:spacing w:before="31" w:after="31"/>
        <w:ind w:firstLine="480"/>
        <w:rPr>
          <w:szCs w:val="24"/>
        </w:rPr>
      </w:pPr>
      <w:r>
        <w:rPr>
          <w:szCs w:val="24"/>
        </w:rPr>
        <w:t>Chemical composition analysis of the joint is provided in Table 5-33, and mechanical properties are presented in Tables 5-34 and 5-35.</w:t>
      </w:r>
    </w:p>
    <w:p w14:paraId="0345B99E">
      <w:pPr>
        <w:pStyle w:val="16"/>
        <w:spacing w:before="31" w:after="31"/>
        <w:ind w:firstLine="0" w:firstLineChars="0"/>
        <w:rPr>
          <w:szCs w:val="24"/>
        </w:rPr>
      </w:pPr>
      <w:r>
        <w:rPr>
          <w:szCs w:val="24"/>
        </w:rPr>
        <w:t>(5) Failed Component Morphology</w:t>
      </w:r>
    </w:p>
    <w:p w14:paraId="57F5AF37">
      <w:pPr>
        <w:pStyle w:val="16"/>
        <w:spacing w:before="31" w:after="31"/>
        <w:ind w:firstLine="480"/>
        <w:rPr>
          <w:szCs w:val="24"/>
        </w:rPr>
      </w:pPr>
      <w:r>
        <w:rPr>
          <w:szCs w:val="24"/>
        </w:rPr>
        <w:t>The failed double-shoulder joint exhibited no obvious damage to the external threads and main shoulder, while the secondary shoulder showed significant depression with slight expansion at the outer diameter. Other drill pipes from the same batch showed severe deformation of the secondary shoulder, and some exhibited repeated compression and cracking during repeated use. The main shoulder showed signs of wear, but no significant deformation. Wet fluorescent magnetic powder testing on the threads and shoulder areas revealed continuous cracks near the root of the external threads and four cracks at the root of the shoulder, ranging in length from 15.5mm to 29.5mm.</w:t>
      </w:r>
    </w:p>
    <w:p w14:paraId="6CCE4720">
      <w:pPr>
        <w:pStyle w:val="16"/>
        <w:spacing w:before="31" w:after="31"/>
        <w:ind w:firstLine="480"/>
        <w:rPr>
          <w:szCs w:val="24"/>
        </w:rPr>
      </w:pPr>
      <w:r>
        <w:rPr>
          <w:szCs w:val="24"/>
        </w:rPr>
        <w:t>The microstructure of the joint, appeared normal with tempered martensite and a small amount of bainite, graded at level 8 for grain size. The inclusion content was within the normal range with A0.5, B0.5, D0.5, and DS1.0.</w:t>
      </w:r>
    </w:p>
    <w:p w14:paraId="054EE5AD">
      <w:pPr>
        <w:pStyle w:val="16"/>
        <w:spacing w:before="31" w:after="31"/>
        <w:ind w:firstLine="480"/>
        <w:rPr>
          <w:szCs w:val="24"/>
        </w:rPr>
      </w:pPr>
      <w:r>
        <w:rPr>
          <w:szCs w:val="24"/>
        </w:rPr>
        <w:t>Metallographic analysis revealed multiple cracks at the root of the shoulder. These cracks originate from the surface of the shoulder root, with one relatively long crack measuring approximately 1.8 mm. From the root of the shoulder's first thread, three cracks are present, with the longest one measuring about 0.53 mm. From the root of the shoulder's second thread, there are five small cracks with lengths ranging from 0.15 to 0.30 mm. These small cracks all originate vertically from the outer surface, exhibiting a dendritic pattern of intergranular cracking. The cracks are filled with gray corrosion products, and small corrosion pits are present at the origins of the cracks. This collection of features clearly indicates the characteristics of stress corrosion cracking.</w:t>
      </w:r>
    </w:p>
    <w:p w14:paraId="183EEE35">
      <w:pPr>
        <w:pStyle w:val="16"/>
        <w:spacing w:before="31" w:after="31"/>
        <w:ind w:firstLine="0" w:firstLineChars="0"/>
        <w:rPr>
          <w:szCs w:val="24"/>
        </w:rPr>
      </w:pPr>
      <w:bookmarkStart w:id="1" w:name="_Hlk156170196"/>
      <w:r>
        <w:rPr>
          <w:szCs w:val="24"/>
        </w:rPr>
        <w:t>(6) Failure Cause Analysis:</w:t>
      </w:r>
      <w:bookmarkEnd w:id="1"/>
    </w:p>
    <w:p w14:paraId="22EA4C13">
      <w:pPr>
        <w:pStyle w:val="16"/>
        <w:spacing w:before="31" w:after="31"/>
        <w:ind w:firstLine="480"/>
        <w:rPr>
          <w:szCs w:val="24"/>
        </w:rPr>
      </w:pPr>
      <w:r>
        <w:rPr>
          <w:szCs w:val="24"/>
        </w:rPr>
        <w:t>Metallographic analysis, scanning electron microscopy, and energy spectrum analysis suggested that the cracking mechanism was hydrogen sulfide stress corrosion cracking (SSC). SSC is a destructive phenomenon that occurs in metal materials under the combined action of tensile stress and an H2S-corrosive environment. The joint's cracking characteristics, including a flat macroscopic fracture, no plastic deformation, corrosion products on the fracture surface, and crack propagation along the grain boundaries, all indicated features consistent with SSC.</w:t>
      </w:r>
    </w:p>
    <w:p w14:paraId="5C4230AB">
      <w:pPr>
        <w:pStyle w:val="16"/>
        <w:spacing w:before="31" w:after="31"/>
        <w:ind w:firstLine="0" w:firstLineChars="0"/>
        <w:rPr>
          <w:szCs w:val="24"/>
        </w:rPr>
      </w:pPr>
      <w:r>
        <w:rPr>
          <w:szCs w:val="24"/>
        </w:rPr>
        <w:t>Analysis of the stress and torque indicated that the drill pipes met the tensile and torsional strength requirements for normal drilling and accident handling, with a significant margin of safety. The observed severe deformation of the secondary shoulder of the joint indicated that the joint had been subjected to excessive torque beyond its yield strength. Under such conditions, the stress at the failure location (root of the shoulder and the first three teeth threads) was considerable, demonstrating that the local secondary shoulder exceeded the material's yield stress.</w:t>
      </w:r>
    </w:p>
    <w:p w14:paraId="62DD8026">
      <w:pPr>
        <w:pStyle w:val="16"/>
        <w:spacing w:before="31" w:after="31"/>
        <w:ind w:firstLine="480"/>
        <w:rPr>
          <w:szCs w:val="24"/>
        </w:rPr>
      </w:pPr>
      <w:r>
        <w:rPr>
          <w:szCs w:val="24"/>
        </w:rPr>
        <w:t>The material of the failed drill pipe joint was 36CrNiMo4 low-alloy structural steel, with a Brinell hardness of 353HB, equivalent to approximately 37 HRC. This hardness significantly exceeded the maximum hardness requirement for resistance to H2S stress corrosion cracking, indicating high sensitivity to stress corrosion. The drilling fluid used did not contain H2S, but the use of polythion drilling fluid could lead to H2S generation during high-temperature decomposition.</w:t>
      </w:r>
    </w:p>
    <w:p w14:paraId="79695AC5">
      <w:pPr>
        <w:pStyle w:val="16"/>
        <w:spacing w:before="31" w:after="31"/>
        <w:ind w:firstLine="480"/>
        <w:rPr>
          <w:szCs w:val="24"/>
        </w:rPr>
      </w:pPr>
      <w:r>
        <w:rPr>
          <w:szCs w:val="24"/>
        </w:rPr>
        <w:t>The joint's failure was attributed to three factors: inappropriate material selection, excessive torque resulting in localized stress beyond the material's yield strength, and the presence of H2S in the corrosive environment. Recommendations included controlling the strength of drill pipe joint materials, using corrosion inhibitors, and reducing the corrosiveness of the environment.</w:t>
      </w:r>
    </w:p>
    <w:p w14:paraId="0F00E847">
      <w:pPr>
        <w:pStyle w:val="16"/>
        <w:spacing w:before="31" w:after="31"/>
        <w:ind w:firstLine="0" w:firstLineChars="0"/>
        <w:rPr>
          <w:szCs w:val="24"/>
        </w:rPr>
      </w:pPr>
      <w:r>
        <w:rPr>
          <w:szCs w:val="24"/>
        </w:rPr>
        <w:t>(7) Impact and Harm Caused</w:t>
      </w:r>
    </w:p>
    <w:p w14:paraId="39B56467">
      <w:pPr>
        <w:pStyle w:val="16"/>
        <w:spacing w:before="31" w:after="31"/>
        <w:ind w:firstLine="420" w:firstLineChars="0"/>
        <w:rPr>
          <w:szCs w:val="24"/>
        </w:rPr>
      </w:pPr>
      <w:r>
        <w:rPr>
          <w:szCs w:val="24"/>
        </w:rPr>
        <w:t>Null</w:t>
      </w:r>
    </w:p>
    <w:p w14:paraId="7001BD9A">
      <w:pPr>
        <w:pStyle w:val="16"/>
        <w:spacing w:before="31" w:after="31"/>
        <w:ind w:firstLine="0" w:firstLineChars="0"/>
        <w:rPr>
          <w:szCs w:val="24"/>
        </w:rPr>
      </w:pPr>
      <w:r>
        <w:rPr>
          <w:szCs w:val="24"/>
        </w:rPr>
        <w:t>(8) Conclusion and Improvement Measures</w:t>
      </w:r>
    </w:p>
    <w:p w14:paraId="521675C0">
      <w:pPr>
        <w:pStyle w:val="16"/>
        <w:spacing w:before="31" w:after="31"/>
        <w:ind w:firstLine="480"/>
        <w:rPr>
          <w:szCs w:val="24"/>
        </w:rPr>
      </w:pPr>
      <w:r>
        <w:rPr>
          <w:szCs w:val="24"/>
        </w:rPr>
        <w:t>The cracking of the double-shoulder drill pipe joint was identified as H2S stress corrosion cracking, primarily due to inappropriate material selection, excessive torque, and the presence of H2S in the corrosive environment. To prevent such failures, it was suggested to control the material strength, use corrosion inhibitors, and minimize the corrosiveness of the environment.</w:t>
      </w:r>
    </w:p>
    <w:p w14:paraId="72622459">
      <w:pPr>
        <w:pStyle w:val="16"/>
        <w:spacing w:before="31" w:after="31"/>
        <w:ind w:firstLine="0" w:firstLineChars="0"/>
        <w:rPr>
          <w:b/>
          <w:bCs/>
          <w:szCs w:val="24"/>
        </w:rPr>
      </w:pPr>
      <w:r>
        <w:rPr>
          <w:b/>
          <w:bCs/>
          <w:szCs w:val="24"/>
        </w:rPr>
        <w:t xml:space="preserve">Case </w:t>
      </w:r>
      <w:r>
        <w:rPr>
          <w:rFonts w:hint="eastAsia"/>
          <w:b/>
          <w:bCs/>
          <w:szCs w:val="24"/>
          <w:lang w:val="en-US" w:eastAsia="zh-CN"/>
        </w:rPr>
        <w:t>4</w:t>
      </w:r>
      <w:r>
        <w:rPr>
          <w:b/>
          <w:bCs/>
          <w:szCs w:val="24"/>
        </w:rPr>
        <w:t>-18: Longitudinal Cracking of Square Drill Pipe Protective Joints</w:t>
      </w:r>
    </w:p>
    <w:p w14:paraId="17A675DA">
      <w:pPr>
        <w:pStyle w:val="16"/>
        <w:spacing w:before="31" w:after="31"/>
        <w:ind w:firstLine="0" w:firstLineChars="0"/>
        <w:rPr>
          <w:szCs w:val="24"/>
        </w:rPr>
      </w:pPr>
      <w:r>
        <w:rPr>
          <w:szCs w:val="24"/>
        </w:rPr>
        <w:t>(1) Case Name:</w:t>
      </w:r>
    </w:p>
    <w:p w14:paraId="4CBD9490">
      <w:pPr>
        <w:pStyle w:val="16"/>
        <w:spacing w:before="31" w:after="31"/>
        <w:ind w:firstLine="480"/>
        <w:rPr>
          <w:szCs w:val="24"/>
        </w:rPr>
      </w:pPr>
      <w:r>
        <w:rPr>
          <w:szCs w:val="24"/>
        </w:rPr>
        <w:t>Longitudinal Cracking of Square Drill Pipe Protective Joints</w:t>
      </w:r>
    </w:p>
    <w:p w14:paraId="52B20345">
      <w:pPr>
        <w:pStyle w:val="16"/>
        <w:spacing w:before="31" w:after="31"/>
        <w:ind w:firstLine="0" w:firstLineChars="0"/>
        <w:rPr>
          <w:szCs w:val="24"/>
        </w:rPr>
      </w:pPr>
      <w:r>
        <w:rPr>
          <w:szCs w:val="24"/>
        </w:rPr>
        <w:t xml:space="preserve">(2) </w:t>
      </w:r>
      <w:bookmarkStart w:id="2" w:name="_Hlk156170175"/>
      <w:r>
        <w:rPr>
          <w:kern w:val="0"/>
          <w:szCs w:val="24"/>
        </w:rPr>
        <w:t>Failure Process Description</w:t>
      </w:r>
      <w:bookmarkEnd w:id="2"/>
    </w:p>
    <w:p w14:paraId="751F5F85">
      <w:pPr>
        <w:pStyle w:val="16"/>
        <w:spacing w:before="31" w:after="31"/>
        <w:ind w:firstLine="480"/>
        <w:rPr>
          <w:szCs w:val="24"/>
        </w:rPr>
      </w:pPr>
      <w:r>
        <w:rPr>
          <w:szCs w:val="24"/>
        </w:rPr>
        <w:t>During drilling in an oil field, the standpipe pressure dropped from 18.2MPa to 17.2MPa at a well depth of 6086.12m. Upon raising the drilling tools, it was discovered that the square drill pipe protective joint was punctured, with a cumulative usage time of 380.15 hours. Investigation revealed that the wellhead was off-center, having been corrected twice before, and there was still eccentricity. Due to wear, the wellhead anti-wear sleeve had been replaced twice.</w:t>
      </w:r>
    </w:p>
    <w:p w14:paraId="085679F3">
      <w:pPr>
        <w:pStyle w:val="16"/>
        <w:spacing w:before="31" w:after="31"/>
        <w:ind w:firstLine="0" w:firstLineChars="0"/>
        <w:rPr>
          <w:szCs w:val="24"/>
        </w:rPr>
      </w:pPr>
      <w:r>
        <w:rPr>
          <w:szCs w:val="24"/>
        </w:rPr>
        <w:t>(3) Service Environment:</w:t>
      </w:r>
    </w:p>
    <w:p w14:paraId="7F78BF97">
      <w:pPr>
        <w:pStyle w:val="16"/>
        <w:spacing w:before="31" w:after="31"/>
        <w:ind w:firstLine="420" w:firstLineChars="0"/>
        <w:rPr>
          <w:szCs w:val="24"/>
        </w:rPr>
      </w:pPr>
      <w:r>
        <w:rPr>
          <w:szCs w:val="24"/>
        </w:rPr>
        <w:t>Null</w:t>
      </w:r>
    </w:p>
    <w:p w14:paraId="4CDE4151">
      <w:pPr>
        <w:pStyle w:val="16"/>
        <w:spacing w:before="31" w:after="31"/>
        <w:ind w:firstLine="480"/>
        <w:rPr>
          <w:szCs w:val="24"/>
        </w:rPr>
      </w:pPr>
    </w:p>
    <w:p w14:paraId="2AE0C94D">
      <w:pPr>
        <w:pStyle w:val="16"/>
        <w:spacing w:before="31" w:after="31"/>
        <w:ind w:firstLine="0" w:firstLineChars="0"/>
        <w:rPr>
          <w:szCs w:val="24"/>
        </w:rPr>
      </w:pPr>
      <w:r>
        <w:rPr>
          <w:szCs w:val="24"/>
        </w:rPr>
        <w:t>(4) Failed Components and Materials</w:t>
      </w:r>
    </w:p>
    <w:p w14:paraId="46D86AF1">
      <w:pPr>
        <w:pStyle w:val="16"/>
        <w:spacing w:before="31" w:after="31"/>
        <w:ind w:firstLine="480"/>
        <w:rPr>
          <w:rFonts w:hint="eastAsia"/>
          <w:szCs w:val="24"/>
        </w:rPr>
      </w:pPr>
      <w:r>
        <w:rPr>
          <w:szCs w:val="24"/>
        </w:rPr>
        <w:t>The chemical composition and mechanical properties of the failed component are provided in Tables 5-36 and 5-37, meeting the standards outlined in SY/T5200-2002.</w:t>
      </w:r>
    </w:p>
    <w:p w14:paraId="612FAD80">
      <w:pPr>
        <w:pStyle w:val="16"/>
        <w:spacing w:before="31" w:after="31"/>
        <w:ind w:firstLine="482"/>
        <w:jc w:val="center"/>
        <w:rPr>
          <w:b/>
          <w:bCs/>
          <w:szCs w:val="24"/>
        </w:rPr>
      </w:pPr>
      <w:r>
        <w:rPr>
          <w:b/>
          <w:bCs/>
          <w:szCs w:val="24"/>
        </w:rPr>
        <w:t>Table 5-36: Chemical Composition of the Joint</w:t>
      </w:r>
    </w:p>
    <w:tbl>
      <w:tblPr>
        <w:tblStyle w:val="9"/>
        <w:tblW w:w="0" w:type="auto"/>
        <w:jc w:val="center"/>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1162"/>
        <w:gridCol w:w="591"/>
        <w:gridCol w:w="591"/>
        <w:gridCol w:w="591"/>
        <w:gridCol w:w="689"/>
        <w:gridCol w:w="689"/>
        <w:gridCol w:w="591"/>
        <w:gridCol w:w="591"/>
        <w:gridCol w:w="689"/>
        <w:gridCol w:w="689"/>
        <w:gridCol w:w="689"/>
        <w:gridCol w:w="591"/>
      </w:tblGrid>
      <w:tr w14:paraId="1A5712A2">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62" w:type="dxa"/>
            <w:tcBorders>
              <w:top w:val="single" w:color="auto" w:sz="12" w:space="0"/>
              <w:left w:val="nil"/>
              <w:bottom w:val="single" w:color="auto" w:sz="12" w:space="0"/>
              <w:right w:val="nil"/>
            </w:tcBorders>
            <w:vAlign w:val="center"/>
          </w:tcPr>
          <w:p w14:paraId="47D6026B">
            <w:pPr>
              <w:autoSpaceDE w:val="0"/>
              <w:autoSpaceDN w:val="0"/>
              <w:adjustRightInd w:val="0"/>
              <w:spacing w:line="312" w:lineRule="auto"/>
              <w:jc w:val="center"/>
              <w:rPr>
                <w:kern w:val="0"/>
                <w:szCs w:val="21"/>
              </w:rPr>
            </w:pPr>
            <w:r>
              <w:rPr>
                <w:rFonts w:hint="eastAsia"/>
                <w:kern w:val="0"/>
                <w:szCs w:val="21"/>
              </w:rPr>
              <w:t>e</w:t>
            </w:r>
            <w:r>
              <w:rPr>
                <w:kern w:val="0"/>
                <w:szCs w:val="21"/>
              </w:rPr>
              <w:t>lement</w:t>
            </w:r>
          </w:p>
        </w:tc>
        <w:tc>
          <w:tcPr>
            <w:tcW w:w="591" w:type="dxa"/>
            <w:tcBorders>
              <w:top w:val="single" w:color="auto" w:sz="12" w:space="0"/>
              <w:left w:val="nil"/>
              <w:bottom w:val="single" w:color="auto" w:sz="12" w:space="0"/>
              <w:right w:val="nil"/>
            </w:tcBorders>
            <w:vAlign w:val="center"/>
          </w:tcPr>
          <w:p w14:paraId="5B64D368">
            <w:pPr>
              <w:autoSpaceDE w:val="0"/>
              <w:autoSpaceDN w:val="0"/>
              <w:adjustRightInd w:val="0"/>
              <w:spacing w:line="312" w:lineRule="auto"/>
              <w:jc w:val="center"/>
              <w:rPr>
                <w:kern w:val="0"/>
                <w:szCs w:val="21"/>
              </w:rPr>
            </w:pPr>
            <w:r>
              <w:rPr>
                <w:kern w:val="0"/>
                <w:szCs w:val="21"/>
              </w:rPr>
              <w:t>C</w:t>
            </w:r>
          </w:p>
        </w:tc>
        <w:tc>
          <w:tcPr>
            <w:tcW w:w="591" w:type="dxa"/>
            <w:tcBorders>
              <w:top w:val="single" w:color="auto" w:sz="12" w:space="0"/>
              <w:left w:val="nil"/>
              <w:bottom w:val="single" w:color="auto" w:sz="12" w:space="0"/>
              <w:right w:val="nil"/>
            </w:tcBorders>
            <w:vAlign w:val="center"/>
          </w:tcPr>
          <w:p w14:paraId="2934921F">
            <w:pPr>
              <w:autoSpaceDE w:val="0"/>
              <w:autoSpaceDN w:val="0"/>
              <w:adjustRightInd w:val="0"/>
              <w:spacing w:line="312" w:lineRule="auto"/>
              <w:jc w:val="center"/>
              <w:rPr>
                <w:kern w:val="0"/>
                <w:szCs w:val="21"/>
              </w:rPr>
            </w:pPr>
            <w:r>
              <w:rPr>
                <w:kern w:val="0"/>
                <w:szCs w:val="21"/>
              </w:rPr>
              <w:t>Si</w:t>
            </w:r>
          </w:p>
        </w:tc>
        <w:tc>
          <w:tcPr>
            <w:tcW w:w="591" w:type="dxa"/>
            <w:tcBorders>
              <w:top w:val="single" w:color="auto" w:sz="12" w:space="0"/>
              <w:left w:val="nil"/>
              <w:bottom w:val="single" w:color="auto" w:sz="12" w:space="0"/>
              <w:right w:val="nil"/>
            </w:tcBorders>
            <w:vAlign w:val="center"/>
          </w:tcPr>
          <w:p w14:paraId="16E757DC">
            <w:pPr>
              <w:autoSpaceDE w:val="0"/>
              <w:autoSpaceDN w:val="0"/>
              <w:adjustRightInd w:val="0"/>
              <w:spacing w:line="312" w:lineRule="auto"/>
              <w:jc w:val="center"/>
              <w:rPr>
                <w:kern w:val="0"/>
                <w:szCs w:val="21"/>
              </w:rPr>
            </w:pPr>
            <w:r>
              <w:rPr>
                <w:kern w:val="0"/>
                <w:szCs w:val="21"/>
              </w:rPr>
              <w:t>Mn</w:t>
            </w:r>
          </w:p>
        </w:tc>
        <w:tc>
          <w:tcPr>
            <w:tcW w:w="689" w:type="dxa"/>
            <w:tcBorders>
              <w:top w:val="single" w:color="auto" w:sz="12" w:space="0"/>
              <w:left w:val="nil"/>
              <w:bottom w:val="single" w:color="auto" w:sz="12" w:space="0"/>
              <w:right w:val="nil"/>
            </w:tcBorders>
            <w:vAlign w:val="center"/>
          </w:tcPr>
          <w:p w14:paraId="4EDE4AF9">
            <w:pPr>
              <w:autoSpaceDE w:val="0"/>
              <w:autoSpaceDN w:val="0"/>
              <w:adjustRightInd w:val="0"/>
              <w:spacing w:line="312" w:lineRule="auto"/>
              <w:jc w:val="center"/>
              <w:rPr>
                <w:kern w:val="0"/>
                <w:szCs w:val="21"/>
              </w:rPr>
            </w:pPr>
            <w:r>
              <w:rPr>
                <w:kern w:val="0"/>
                <w:szCs w:val="21"/>
              </w:rPr>
              <w:t>P</w:t>
            </w:r>
          </w:p>
        </w:tc>
        <w:tc>
          <w:tcPr>
            <w:tcW w:w="689" w:type="dxa"/>
            <w:tcBorders>
              <w:top w:val="single" w:color="auto" w:sz="12" w:space="0"/>
              <w:left w:val="nil"/>
              <w:bottom w:val="single" w:color="auto" w:sz="12" w:space="0"/>
              <w:right w:val="nil"/>
            </w:tcBorders>
            <w:vAlign w:val="center"/>
          </w:tcPr>
          <w:p w14:paraId="1E212620">
            <w:pPr>
              <w:autoSpaceDE w:val="0"/>
              <w:autoSpaceDN w:val="0"/>
              <w:adjustRightInd w:val="0"/>
              <w:spacing w:line="312" w:lineRule="auto"/>
              <w:jc w:val="center"/>
              <w:rPr>
                <w:kern w:val="0"/>
                <w:szCs w:val="21"/>
              </w:rPr>
            </w:pPr>
            <w:r>
              <w:rPr>
                <w:kern w:val="0"/>
                <w:szCs w:val="21"/>
              </w:rPr>
              <w:t>S</w:t>
            </w:r>
          </w:p>
        </w:tc>
        <w:tc>
          <w:tcPr>
            <w:tcW w:w="591" w:type="dxa"/>
            <w:tcBorders>
              <w:top w:val="single" w:color="auto" w:sz="12" w:space="0"/>
              <w:left w:val="nil"/>
              <w:bottom w:val="single" w:color="auto" w:sz="12" w:space="0"/>
              <w:right w:val="nil"/>
            </w:tcBorders>
            <w:vAlign w:val="center"/>
          </w:tcPr>
          <w:p w14:paraId="1607E7B8">
            <w:pPr>
              <w:autoSpaceDE w:val="0"/>
              <w:autoSpaceDN w:val="0"/>
              <w:adjustRightInd w:val="0"/>
              <w:spacing w:line="312" w:lineRule="auto"/>
              <w:jc w:val="center"/>
              <w:rPr>
                <w:kern w:val="0"/>
                <w:szCs w:val="21"/>
              </w:rPr>
            </w:pPr>
            <w:r>
              <w:rPr>
                <w:kern w:val="0"/>
                <w:szCs w:val="21"/>
              </w:rPr>
              <w:t>Cr</w:t>
            </w:r>
          </w:p>
        </w:tc>
        <w:tc>
          <w:tcPr>
            <w:tcW w:w="591" w:type="dxa"/>
            <w:tcBorders>
              <w:top w:val="single" w:color="auto" w:sz="12" w:space="0"/>
              <w:left w:val="nil"/>
              <w:bottom w:val="single" w:color="auto" w:sz="12" w:space="0"/>
              <w:right w:val="nil"/>
            </w:tcBorders>
            <w:vAlign w:val="center"/>
          </w:tcPr>
          <w:p w14:paraId="6AD691E1">
            <w:pPr>
              <w:autoSpaceDE w:val="0"/>
              <w:autoSpaceDN w:val="0"/>
              <w:adjustRightInd w:val="0"/>
              <w:spacing w:line="312" w:lineRule="auto"/>
              <w:jc w:val="center"/>
              <w:rPr>
                <w:kern w:val="0"/>
                <w:szCs w:val="21"/>
              </w:rPr>
            </w:pPr>
            <w:r>
              <w:rPr>
                <w:kern w:val="0"/>
                <w:szCs w:val="21"/>
              </w:rPr>
              <w:t>Mo</w:t>
            </w:r>
          </w:p>
        </w:tc>
        <w:tc>
          <w:tcPr>
            <w:tcW w:w="689" w:type="dxa"/>
            <w:tcBorders>
              <w:top w:val="single" w:color="auto" w:sz="12" w:space="0"/>
              <w:left w:val="nil"/>
              <w:bottom w:val="single" w:color="auto" w:sz="12" w:space="0"/>
              <w:right w:val="nil"/>
            </w:tcBorders>
            <w:vAlign w:val="center"/>
          </w:tcPr>
          <w:p w14:paraId="7247804A">
            <w:pPr>
              <w:autoSpaceDE w:val="0"/>
              <w:autoSpaceDN w:val="0"/>
              <w:adjustRightInd w:val="0"/>
              <w:spacing w:line="312" w:lineRule="auto"/>
              <w:jc w:val="center"/>
              <w:rPr>
                <w:kern w:val="0"/>
                <w:szCs w:val="21"/>
              </w:rPr>
            </w:pPr>
            <w:r>
              <w:rPr>
                <w:kern w:val="0"/>
                <w:szCs w:val="21"/>
              </w:rPr>
              <w:t>Ni</w:t>
            </w:r>
          </w:p>
        </w:tc>
        <w:tc>
          <w:tcPr>
            <w:tcW w:w="689" w:type="dxa"/>
            <w:tcBorders>
              <w:top w:val="single" w:color="auto" w:sz="12" w:space="0"/>
              <w:left w:val="nil"/>
              <w:bottom w:val="single" w:color="auto" w:sz="12" w:space="0"/>
              <w:right w:val="nil"/>
            </w:tcBorders>
            <w:vAlign w:val="center"/>
          </w:tcPr>
          <w:p w14:paraId="746767C7">
            <w:pPr>
              <w:autoSpaceDE w:val="0"/>
              <w:autoSpaceDN w:val="0"/>
              <w:adjustRightInd w:val="0"/>
              <w:spacing w:line="312" w:lineRule="auto"/>
              <w:jc w:val="center"/>
              <w:rPr>
                <w:kern w:val="0"/>
                <w:szCs w:val="21"/>
              </w:rPr>
            </w:pPr>
            <w:r>
              <w:rPr>
                <w:kern w:val="0"/>
                <w:szCs w:val="21"/>
              </w:rPr>
              <w:t>V</w:t>
            </w:r>
          </w:p>
        </w:tc>
        <w:tc>
          <w:tcPr>
            <w:tcW w:w="689" w:type="dxa"/>
            <w:tcBorders>
              <w:top w:val="single" w:color="auto" w:sz="12" w:space="0"/>
              <w:left w:val="nil"/>
              <w:bottom w:val="single" w:color="auto" w:sz="12" w:space="0"/>
              <w:right w:val="nil"/>
            </w:tcBorders>
            <w:vAlign w:val="center"/>
          </w:tcPr>
          <w:p w14:paraId="1981FB19">
            <w:pPr>
              <w:autoSpaceDE w:val="0"/>
              <w:autoSpaceDN w:val="0"/>
              <w:adjustRightInd w:val="0"/>
              <w:spacing w:line="312" w:lineRule="auto"/>
              <w:jc w:val="center"/>
              <w:rPr>
                <w:kern w:val="0"/>
                <w:szCs w:val="21"/>
              </w:rPr>
            </w:pPr>
            <w:r>
              <w:rPr>
                <w:kern w:val="0"/>
                <w:szCs w:val="21"/>
              </w:rPr>
              <w:t>Ti</w:t>
            </w:r>
          </w:p>
        </w:tc>
        <w:tc>
          <w:tcPr>
            <w:tcW w:w="591" w:type="dxa"/>
            <w:tcBorders>
              <w:top w:val="single" w:color="auto" w:sz="12" w:space="0"/>
              <w:left w:val="nil"/>
              <w:bottom w:val="single" w:color="auto" w:sz="12" w:space="0"/>
              <w:right w:val="nil"/>
            </w:tcBorders>
            <w:vAlign w:val="center"/>
          </w:tcPr>
          <w:p w14:paraId="2BC55D08">
            <w:pPr>
              <w:autoSpaceDE w:val="0"/>
              <w:autoSpaceDN w:val="0"/>
              <w:adjustRightInd w:val="0"/>
              <w:spacing w:line="312" w:lineRule="auto"/>
              <w:jc w:val="center"/>
              <w:rPr>
                <w:kern w:val="0"/>
                <w:szCs w:val="21"/>
              </w:rPr>
            </w:pPr>
            <w:r>
              <w:rPr>
                <w:kern w:val="0"/>
                <w:szCs w:val="21"/>
              </w:rPr>
              <w:t>Cu</w:t>
            </w:r>
          </w:p>
        </w:tc>
      </w:tr>
      <w:tr w14:paraId="09E39054">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62" w:type="dxa"/>
            <w:tcBorders>
              <w:top w:val="single" w:color="auto" w:sz="12" w:space="0"/>
              <w:left w:val="nil"/>
              <w:bottom w:val="nil"/>
              <w:right w:val="nil"/>
            </w:tcBorders>
            <w:vAlign w:val="center"/>
          </w:tcPr>
          <w:p w14:paraId="07053CBF">
            <w:pPr>
              <w:autoSpaceDE w:val="0"/>
              <w:autoSpaceDN w:val="0"/>
              <w:adjustRightInd w:val="0"/>
              <w:spacing w:line="312" w:lineRule="auto"/>
              <w:jc w:val="center"/>
              <w:rPr>
                <w:kern w:val="0"/>
                <w:szCs w:val="21"/>
              </w:rPr>
            </w:pPr>
            <w:r>
              <w:rPr>
                <w:rFonts w:hint="eastAsia"/>
                <w:kern w:val="0"/>
                <w:szCs w:val="21"/>
              </w:rPr>
              <w:t>c</w:t>
            </w:r>
            <w:r>
              <w:rPr>
                <w:kern w:val="0"/>
                <w:szCs w:val="21"/>
              </w:rPr>
              <w:t>intent</w:t>
            </w:r>
          </w:p>
        </w:tc>
        <w:tc>
          <w:tcPr>
            <w:tcW w:w="591" w:type="dxa"/>
            <w:tcBorders>
              <w:top w:val="single" w:color="auto" w:sz="12" w:space="0"/>
              <w:left w:val="nil"/>
              <w:bottom w:val="nil"/>
              <w:right w:val="nil"/>
            </w:tcBorders>
            <w:vAlign w:val="center"/>
          </w:tcPr>
          <w:p w14:paraId="276D8ED3">
            <w:pPr>
              <w:autoSpaceDE w:val="0"/>
              <w:autoSpaceDN w:val="0"/>
              <w:adjustRightInd w:val="0"/>
              <w:spacing w:line="312" w:lineRule="auto"/>
              <w:jc w:val="center"/>
              <w:rPr>
                <w:kern w:val="0"/>
                <w:szCs w:val="21"/>
              </w:rPr>
            </w:pPr>
            <w:r>
              <w:rPr>
                <w:kern w:val="0"/>
                <w:szCs w:val="21"/>
              </w:rPr>
              <w:t>0.40</w:t>
            </w:r>
          </w:p>
        </w:tc>
        <w:tc>
          <w:tcPr>
            <w:tcW w:w="591" w:type="dxa"/>
            <w:tcBorders>
              <w:top w:val="single" w:color="auto" w:sz="12" w:space="0"/>
              <w:left w:val="nil"/>
              <w:bottom w:val="nil"/>
              <w:right w:val="nil"/>
            </w:tcBorders>
            <w:vAlign w:val="center"/>
          </w:tcPr>
          <w:p w14:paraId="2C12AB53">
            <w:pPr>
              <w:autoSpaceDE w:val="0"/>
              <w:autoSpaceDN w:val="0"/>
              <w:adjustRightInd w:val="0"/>
              <w:spacing w:line="312" w:lineRule="auto"/>
              <w:jc w:val="center"/>
              <w:rPr>
                <w:kern w:val="0"/>
                <w:szCs w:val="21"/>
              </w:rPr>
            </w:pPr>
            <w:r>
              <w:rPr>
                <w:kern w:val="0"/>
                <w:szCs w:val="21"/>
              </w:rPr>
              <w:t>0.34</w:t>
            </w:r>
          </w:p>
        </w:tc>
        <w:tc>
          <w:tcPr>
            <w:tcW w:w="591" w:type="dxa"/>
            <w:tcBorders>
              <w:top w:val="single" w:color="auto" w:sz="12" w:space="0"/>
              <w:left w:val="nil"/>
              <w:bottom w:val="nil"/>
              <w:right w:val="nil"/>
            </w:tcBorders>
            <w:vAlign w:val="center"/>
          </w:tcPr>
          <w:p w14:paraId="4B3D0B57">
            <w:pPr>
              <w:autoSpaceDE w:val="0"/>
              <w:autoSpaceDN w:val="0"/>
              <w:adjustRightInd w:val="0"/>
              <w:spacing w:line="312" w:lineRule="auto"/>
              <w:jc w:val="center"/>
              <w:rPr>
                <w:kern w:val="0"/>
                <w:szCs w:val="21"/>
              </w:rPr>
            </w:pPr>
            <w:r>
              <w:rPr>
                <w:kern w:val="0"/>
                <w:szCs w:val="21"/>
              </w:rPr>
              <w:t>0.96</w:t>
            </w:r>
          </w:p>
        </w:tc>
        <w:tc>
          <w:tcPr>
            <w:tcW w:w="689" w:type="dxa"/>
            <w:tcBorders>
              <w:top w:val="single" w:color="auto" w:sz="12" w:space="0"/>
              <w:left w:val="nil"/>
              <w:bottom w:val="nil"/>
              <w:right w:val="nil"/>
            </w:tcBorders>
            <w:vAlign w:val="center"/>
          </w:tcPr>
          <w:p w14:paraId="4E29F381">
            <w:pPr>
              <w:autoSpaceDE w:val="0"/>
              <w:autoSpaceDN w:val="0"/>
              <w:adjustRightInd w:val="0"/>
              <w:spacing w:line="312" w:lineRule="auto"/>
              <w:jc w:val="center"/>
              <w:rPr>
                <w:kern w:val="0"/>
                <w:szCs w:val="21"/>
              </w:rPr>
            </w:pPr>
            <w:r>
              <w:rPr>
                <w:kern w:val="0"/>
                <w:szCs w:val="21"/>
              </w:rPr>
              <w:t>0.014</w:t>
            </w:r>
          </w:p>
        </w:tc>
        <w:tc>
          <w:tcPr>
            <w:tcW w:w="689" w:type="dxa"/>
            <w:tcBorders>
              <w:top w:val="single" w:color="auto" w:sz="12" w:space="0"/>
              <w:left w:val="nil"/>
              <w:bottom w:val="nil"/>
              <w:right w:val="nil"/>
            </w:tcBorders>
            <w:vAlign w:val="center"/>
          </w:tcPr>
          <w:p w14:paraId="33C759EF">
            <w:pPr>
              <w:autoSpaceDE w:val="0"/>
              <w:autoSpaceDN w:val="0"/>
              <w:adjustRightInd w:val="0"/>
              <w:spacing w:line="312" w:lineRule="auto"/>
              <w:jc w:val="center"/>
              <w:rPr>
                <w:kern w:val="0"/>
                <w:szCs w:val="21"/>
              </w:rPr>
            </w:pPr>
            <w:r>
              <w:rPr>
                <w:kern w:val="0"/>
                <w:szCs w:val="21"/>
              </w:rPr>
              <w:t>0.004</w:t>
            </w:r>
          </w:p>
        </w:tc>
        <w:tc>
          <w:tcPr>
            <w:tcW w:w="591" w:type="dxa"/>
            <w:tcBorders>
              <w:top w:val="single" w:color="auto" w:sz="12" w:space="0"/>
              <w:left w:val="nil"/>
              <w:bottom w:val="nil"/>
              <w:right w:val="nil"/>
            </w:tcBorders>
            <w:vAlign w:val="center"/>
          </w:tcPr>
          <w:p w14:paraId="2DC7185D">
            <w:pPr>
              <w:autoSpaceDE w:val="0"/>
              <w:autoSpaceDN w:val="0"/>
              <w:adjustRightInd w:val="0"/>
              <w:spacing w:line="312" w:lineRule="auto"/>
              <w:jc w:val="center"/>
              <w:rPr>
                <w:kern w:val="0"/>
                <w:szCs w:val="21"/>
              </w:rPr>
            </w:pPr>
            <w:r>
              <w:rPr>
                <w:kern w:val="0"/>
                <w:szCs w:val="21"/>
              </w:rPr>
              <w:t>0.98</w:t>
            </w:r>
          </w:p>
        </w:tc>
        <w:tc>
          <w:tcPr>
            <w:tcW w:w="591" w:type="dxa"/>
            <w:tcBorders>
              <w:top w:val="single" w:color="auto" w:sz="12" w:space="0"/>
              <w:left w:val="nil"/>
              <w:bottom w:val="nil"/>
              <w:right w:val="nil"/>
            </w:tcBorders>
            <w:vAlign w:val="center"/>
          </w:tcPr>
          <w:p w14:paraId="5D475468">
            <w:pPr>
              <w:autoSpaceDE w:val="0"/>
              <w:autoSpaceDN w:val="0"/>
              <w:adjustRightInd w:val="0"/>
              <w:spacing w:line="312" w:lineRule="auto"/>
              <w:jc w:val="center"/>
              <w:rPr>
                <w:kern w:val="0"/>
                <w:szCs w:val="21"/>
              </w:rPr>
            </w:pPr>
            <w:r>
              <w:rPr>
                <w:kern w:val="0"/>
                <w:szCs w:val="21"/>
              </w:rPr>
              <w:t>0.21</w:t>
            </w:r>
          </w:p>
        </w:tc>
        <w:tc>
          <w:tcPr>
            <w:tcW w:w="689" w:type="dxa"/>
            <w:tcBorders>
              <w:top w:val="single" w:color="auto" w:sz="12" w:space="0"/>
              <w:left w:val="nil"/>
              <w:bottom w:val="nil"/>
              <w:right w:val="nil"/>
            </w:tcBorders>
            <w:vAlign w:val="center"/>
          </w:tcPr>
          <w:p w14:paraId="4B676410">
            <w:pPr>
              <w:autoSpaceDE w:val="0"/>
              <w:autoSpaceDN w:val="0"/>
              <w:adjustRightInd w:val="0"/>
              <w:spacing w:line="312" w:lineRule="auto"/>
              <w:jc w:val="center"/>
              <w:rPr>
                <w:kern w:val="0"/>
                <w:szCs w:val="21"/>
              </w:rPr>
            </w:pPr>
            <w:r>
              <w:rPr>
                <w:kern w:val="0"/>
                <w:szCs w:val="21"/>
              </w:rPr>
              <w:t>0.065</w:t>
            </w:r>
          </w:p>
        </w:tc>
        <w:tc>
          <w:tcPr>
            <w:tcW w:w="689" w:type="dxa"/>
            <w:tcBorders>
              <w:top w:val="single" w:color="auto" w:sz="12" w:space="0"/>
              <w:left w:val="nil"/>
              <w:bottom w:val="nil"/>
              <w:right w:val="nil"/>
            </w:tcBorders>
            <w:vAlign w:val="center"/>
          </w:tcPr>
          <w:p w14:paraId="7C5ABABA">
            <w:pPr>
              <w:autoSpaceDE w:val="0"/>
              <w:autoSpaceDN w:val="0"/>
              <w:adjustRightInd w:val="0"/>
              <w:spacing w:line="312" w:lineRule="auto"/>
              <w:jc w:val="center"/>
              <w:rPr>
                <w:kern w:val="0"/>
                <w:szCs w:val="21"/>
              </w:rPr>
            </w:pPr>
            <w:r>
              <w:rPr>
                <w:kern w:val="0"/>
                <w:szCs w:val="21"/>
              </w:rPr>
              <w:t>0.012</w:t>
            </w:r>
          </w:p>
        </w:tc>
        <w:tc>
          <w:tcPr>
            <w:tcW w:w="689" w:type="dxa"/>
            <w:tcBorders>
              <w:top w:val="single" w:color="auto" w:sz="12" w:space="0"/>
              <w:left w:val="nil"/>
              <w:bottom w:val="nil"/>
              <w:right w:val="nil"/>
            </w:tcBorders>
            <w:vAlign w:val="center"/>
          </w:tcPr>
          <w:p w14:paraId="7FB8CFC3">
            <w:pPr>
              <w:autoSpaceDE w:val="0"/>
              <w:autoSpaceDN w:val="0"/>
              <w:adjustRightInd w:val="0"/>
              <w:spacing w:line="312" w:lineRule="auto"/>
              <w:jc w:val="center"/>
              <w:rPr>
                <w:kern w:val="0"/>
                <w:szCs w:val="21"/>
              </w:rPr>
            </w:pPr>
            <w:r>
              <w:rPr>
                <w:kern w:val="0"/>
                <w:szCs w:val="21"/>
              </w:rPr>
              <w:t>0.027</w:t>
            </w:r>
          </w:p>
        </w:tc>
        <w:tc>
          <w:tcPr>
            <w:tcW w:w="591" w:type="dxa"/>
            <w:tcBorders>
              <w:top w:val="single" w:color="auto" w:sz="12" w:space="0"/>
              <w:left w:val="nil"/>
              <w:bottom w:val="nil"/>
              <w:right w:val="nil"/>
            </w:tcBorders>
            <w:vAlign w:val="center"/>
          </w:tcPr>
          <w:p w14:paraId="7A916480">
            <w:pPr>
              <w:autoSpaceDE w:val="0"/>
              <w:autoSpaceDN w:val="0"/>
              <w:adjustRightInd w:val="0"/>
              <w:spacing w:line="312" w:lineRule="auto"/>
              <w:jc w:val="center"/>
              <w:rPr>
                <w:kern w:val="0"/>
                <w:szCs w:val="21"/>
              </w:rPr>
            </w:pPr>
            <w:r>
              <w:rPr>
                <w:kern w:val="0"/>
                <w:szCs w:val="21"/>
              </w:rPr>
              <w:t>0.13</w:t>
            </w:r>
          </w:p>
        </w:tc>
      </w:tr>
      <w:tr w14:paraId="6ED0211E">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1162" w:type="dxa"/>
            <w:tcBorders>
              <w:top w:val="nil"/>
              <w:left w:val="nil"/>
              <w:bottom w:val="single" w:color="auto" w:sz="12" w:space="0"/>
              <w:right w:val="nil"/>
            </w:tcBorders>
            <w:vAlign w:val="center"/>
          </w:tcPr>
          <w:p w14:paraId="126F829D">
            <w:pPr>
              <w:autoSpaceDE w:val="0"/>
              <w:autoSpaceDN w:val="0"/>
              <w:adjustRightInd w:val="0"/>
              <w:spacing w:line="312" w:lineRule="auto"/>
              <w:jc w:val="center"/>
              <w:rPr>
                <w:kern w:val="0"/>
                <w:szCs w:val="21"/>
              </w:rPr>
            </w:pPr>
            <w:r>
              <w:rPr>
                <w:kern w:val="0"/>
                <w:szCs w:val="21"/>
              </w:rPr>
              <w:t>SY/T5200-</w:t>
            </w:r>
          </w:p>
          <w:p w14:paraId="7CE55BB9">
            <w:pPr>
              <w:autoSpaceDE w:val="0"/>
              <w:autoSpaceDN w:val="0"/>
              <w:adjustRightInd w:val="0"/>
              <w:spacing w:line="312" w:lineRule="auto"/>
              <w:jc w:val="center"/>
              <w:rPr>
                <w:kern w:val="0"/>
                <w:szCs w:val="21"/>
              </w:rPr>
            </w:pPr>
            <w:r>
              <w:rPr>
                <w:kern w:val="0"/>
                <w:szCs w:val="21"/>
              </w:rPr>
              <w:t>2002</w:t>
            </w:r>
          </w:p>
        </w:tc>
        <w:tc>
          <w:tcPr>
            <w:tcW w:w="591" w:type="dxa"/>
            <w:tcBorders>
              <w:top w:val="nil"/>
              <w:left w:val="nil"/>
              <w:bottom w:val="single" w:color="auto" w:sz="12" w:space="0"/>
              <w:right w:val="nil"/>
            </w:tcBorders>
            <w:vAlign w:val="center"/>
          </w:tcPr>
          <w:p w14:paraId="0AF19213">
            <w:pPr>
              <w:autoSpaceDE w:val="0"/>
              <w:autoSpaceDN w:val="0"/>
              <w:adjustRightInd w:val="0"/>
              <w:spacing w:line="312" w:lineRule="auto"/>
              <w:jc w:val="center"/>
              <w:rPr>
                <w:kern w:val="0"/>
                <w:szCs w:val="21"/>
              </w:rPr>
            </w:pPr>
          </w:p>
        </w:tc>
        <w:tc>
          <w:tcPr>
            <w:tcW w:w="591" w:type="dxa"/>
            <w:tcBorders>
              <w:top w:val="nil"/>
              <w:left w:val="nil"/>
              <w:bottom w:val="single" w:color="auto" w:sz="12" w:space="0"/>
              <w:right w:val="nil"/>
            </w:tcBorders>
            <w:vAlign w:val="center"/>
          </w:tcPr>
          <w:p w14:paraId="6D9DBEC7">
            <w:pPr>
              <w:autoSpaceDE w:val="0"/>
              <w:autoSpaceDN w:val="0"/>
              <w:adjustRightInd w:val="0"/>
              <w:spacing w:line="312" w:lineRule="auto"/>
              <w:jc w:val="center"/>
              <w:rPr>
                <w:kern w:val="0"/>
                <w:szCs w:val="21"/>
              </w:rPr>
            </w:pPr>
          </w:p>
        </w:tc>
        <w:tc>
          <w:tcPr>
            <w:tcW w:w="591" w:type="dxa"/>
            <w:tcBorders>
              <w:top w:val="nil"/>
              <w:left w:val="nil"/>
              <w:bottom w:val="single" w:color="auto" w:sz="12" w:space="0"/>
              <w:right w:val="nil"/>
            </w:tcBorders>
            <w:vAlign w:val="center"/>
          </w:tcPr>
          <w:p w14:paraId="1C14D04C">
            <w:pPr>
              <w:autoSpaceDE w:val="0"/>
              <w:autoSpaceDN w:val="0"/>
              <w:adjustRightInd w:val="0"/>
              <w:spacing w:line="312" w:lineRule="auto"/>
              <w:jc w:val="center"/>
              <w:rPr>
                <w:kern w:val="0"/>
                <w:szCs w:val="21"/>
              </w:rPr>
            </w:pPr>
          </w:p>
        </w:tc>
        <w:tc>
          <w:tcPr>
            <w:tcW w:w="689" w:type="dxa"/>
            <w:tcBorders>
              <w:top w:val="nil"/>
              <w:left w:val="nil"/>
              <w:bottom w:val="single" w:color="auto" w:sz="12" w:space="0"/>
              <w:right w:val="nil"/>
            </w:tcBorders>
            <w:vAlign w:val="center"/>
          </w:tcPr>
          <w:p w14:paraId="0E4AEF5B">
            <w:pPr>
              <w:pStyle w:val="16"/>
              <w:spacing w:before="31" w:after="31"/>
              <w:ind w:firstLine="0" w:firstLineChars="0"/>
              <w:jc w:val="center"/>
              <w:rPr>
                <w:rFonts w:cs="Times New Roman"/>
                <w:sz w:val="21"/>
                <w:szCs w:val="21"/>
              </w:rPr>
            </w:pPr>
            <w:r>
              <w:rPr>
                <w:rFonts w:cs="Times New Roman"/>
                <w:sz w:val="21"/>
                <w:szCs w:val="21"/>
              </w:rPr>
              <w:t>≤</w:t>
            </w:r>
          </w:p>
          <w:p w14:paraId="6231E2DB">
            <w:pPr>
              <w:pStyle w:val="16"/>
              <w:spacing w:before="31" w:after="31"/>
              <w:ind w:firstLine="0" w:firstLineChars="0"/>
              <w:jc w:val="center"/>
              <w:rPr>
                <w:rFonts w:cs="Times New Roman"/>
                <w:sz w:val="21"/>
                <w:szCs w:val="21"/>
              </w:rPr>
            </w:pPr>
            <w:r>
              <w:rPr>
                <w:rFonts w:cs="Times New Roman"/>
                <w:sz w:val="21"/>
                <w:szCs w:val="21"/>
              </w:rPr>
              <w:t>0.030</w:t>
            </w:r>
          </w:p>
        </w:tc>
        <w:tc>
          <w:tcPr>
            <w:tcW w:w="689" w:type="dxa"/>
            <w:tcBorders>
              <w:top w:val="nil"/>
              <w:left w:val="nil"/>
              <w:bottom w:val="single" w:color="auto" w:sz="12" w:space="0"/>
              <w:right w:val="nil"/>
            </w:tcBorders>
            <w:vAlign w:val="center"/>
          </w:tcPr>
          <w:p w14:paraId="0BCC4CE4">
            <w:pPr>
              <w:pStyle w:val="16"/>
              <w:spacing w:before="31" w:after="31"/>
              <w:ind w:firstLine="0" w:firstLineChars="0"/>
              <w:jc w:val="center"/>
              <w:rPr>
                <w:rFonts w:cs="Times New Roman"/>
                <w:sz w:val="21"/>
                <w:szCs w:val="21"/>
              </w:rPr>
            </w:pPr>
            <w:r>
              <w:rPr>
                <w:rFonts w:cs="Times New Roman"/>
                <w:sz w:val="21"/>
                <w:szCs w:val="21"/>
              </w:rPr>
              <w:t>≤</w:t>
            </w:r>
          </w:p>
          <w:p w14:paraId="63FA4CE8">
            <w:pPr>
              <w:pStyle w:val="16"/>
              <w:spacing w:before="31" w:after="31"/>
              <w:ind w:firstLine="0" w:firstLineChars="0"/>
              <w:jc w:val="center"/>
              <w:rPr>
                <w:rFonts w:cs="Times New Roman"/>
                <w:sz w:val="21"/>
                <w:szCs w:val="21"/>
              </w:rPr>
            </w:pPr>
            <w:r>
              <w:rPr>
                <w:rFonts w:cs="Times New Roman"/>
                <w:sz w:val="21"/>
                <w:szCs w:val="21"/>
              </w:rPr>
              <w:t>0.030</w:t>
            </w:r>
          </w:p>
        </w:tc>
        <w:tc>
          <w:tcPr>
            <w:tcW w:w="591" w:type="dxa"/>
            <w:tcBorders>
              <w:top w:val="nil"/>
              <w:left w:val="nil"/>
              <w:bottom w:val="single" w:color="auto" w:sz="12" w:space="0"/>
              <w:right w:val="nil"/>
            </w:tcBorders>
            <w:vAlign w:val="center"/>
          </w:tcPr>
          <w:p w14:paraId="7B90C5B2">
            <w:pPr>
              <w:autoSpaceDE w:val="0"/>
              <w:autoSpaceDN w:val="0"/>
              <w:adjustRightInd w:val="0"/>
              <w:spacing w:line="312" w:lineRule="auto"/>
              <w:jc w:val="center"/>
              <w:rPr>
                <w:kern w:val="0"/>
                <w:szCs w:val="21"/>
              </w:rPr>
            </w:pPr>
          </w:p>
        </w:tc>
        <w:tc>
          <w:tcPr>
            <w:tcW w:w="591" w:type="dxa"/>
            <w:tcBorders>
              <w:top w:val="nil"/>
              <w:left w:val="nil"/>
              <w:bottom w:val="single" w:color="auto" w:sz="12" w:space="0"/>
              <w:right w:val="nil"/>
            </w:tcBorders>
            <w:vAlign w:val="center"/>
          </w:tcPr>
          <w:p w14:paraId="7400CE30">
            <w:pPr>
              <w:autoSpaceDE w:val="0"/>
              <w:autoSpaceDN w:val="0"/>
              <w:adjustRightInd w:val="0"/>
              <w:spacing w:line="312" w:lineRule="auto"/>
              <w:jc w:val="center"/>
              <w:rPr>
                <w:kern w:val="0"/>
                <w:szCs w:val="21"/>
              </w:rPr>
            </w:pPr>
          </w:p>
        </w:tc>
        <w:tc>
          <w:tcPr>
            <w:tcW w:w="689" w:type="dxa"/>
            <w:tcBorders>
              <w:top w:val="nil"/>
              <w:left w:val="nil"/>
              <w:bottom w:val="single" w:color="auto" w:sz="12" w:space="0"/>
              <w:right w:val="nil"/>
            </w:tcBorders>
            <w:vAlign w:val="center"/>
          </w:tcPr>
          <w:p w14:paraId="4ACD28BF">
            <w:pPr>
              <w:autoSpaceDE w:val="0"/>
              <w:autoSpaceDN w:val="0"/>
              <w:adjustRightInd w:val="0"/>
              <w:spacing w:line="312" w:lineRule="auto"/>
              <w:jc w:val="center"/>
              <w:rPr>
                <w:kern w:val="0"/>
                <w:szCs w:val="21"/>
              </w:rPr>
            </w:pPr>
          </w:p>
        </w:tc>
        <w:tc>
          <w:tcPr>
            <w:tcW w:w="689" w:type="dxa"/>
            <w:tcBorders>
              <w:top w:val="nil"/>
              <w:left w:val="nil"/>
              <w:bottom w:val="single" w:color="auto" w:sz="12" w:space="0"/>
              <w:right w:val="nil"/>
            </w:tcBorders>
            <w:vAlign w:val="center"/>
          </w:tcPr>
          <w:p w14:paraId="12AFD887">
            <w:pPr>
              <w:autoSpaceDE w:val="0"/>
              <w:autoSpaceDN w:val="0"/>
              <w:adjustRightInd w:val="0"/>
              <w:spacing w:line="312" w:lineRule="auto"/>
              <w:jc w:val="center"/>
              <w:rPr>
                <w:kern w:val="0"/>
                <w:szCs w:val="21"/>
              </w:rPr>
            </w:pPr>
          </w:p>
        </w:tc>
        <w:tc>
          <w:tcPr>
            <w:tcW w:w="689" w:type="dxa"/>
            <w:tcBorders>
              <w:top w:val="nil"/>
              <w:left w:val="nil"/>
              <w:bottom w:val="single" w:color="auto" w:sz="12" w:space="0"/>
              <w:right w:val="nil"/>
            </w:tcBorders>
            <w:vAlign w:val="center"/>
          </w:tcPr>
          <w:p w14:paraId="42E8C59F">
            <w:pPr>
              <w:autoSpaceDE w:val="0"/>
              <w:autoSpaceDN w:val="0"/>
              <w:adjustRightInd w:val="0"/>
              <w:spacing w:line="312" w:lineRule="auto"/>
              <w:jc w:val="center"/>
              <w:rPr>
                <w:kern w:val="0"/>
                <w:szCs w:val="21"/>
              </w:rPr>
            </w:pPr>
          </w:p>
        </w:tc>
        <w:tc>
          <w:tcPr>
            <w:tcW w:w="591" w:type="dxa"/>
            <w:tcBorders>
              <w:top w:val="nil"/>
              <w:left w:val="nil"/>
              <w:bottom w:val="single" w:color="auto" w:sz="12" w:space="0"/>
              <w:right w:val="nil"/>
            </w:tcBorders>
            <w:vAlign w:val="center"/>
          </w:tcPr>
          <w:p w14:paraId="4F119770">
            <w:pPr>
              <w:autoSpaceDE w:val="0"/>
              <w:autoSpaceDN w:val="0"/>
              <w:adjustRightInd w:val="0"/>
              <w:spacing w:line="312" w:lineRule="auto"/>
              <w:jc w:val="center"/>
              <w:rPr>
                <w:kern w:val="0"/>
                <w:szCs w:val="21"/>
              </w:rPr>
            </w:pPr>
          </w:p>
        </w:tc>
      </w:tr>
    </w:tbl>
    <w:p w14:paraId="23CFEB0F">
      <w:pPr>
        <w:pStyle w:val="16"/>
        <w:spacing w:before="31" w:after="31"/>
        <w:ind w:firstLine="482"/>
        <w:jc w:val="center"/>
        <w:rPr>
          <w:b/>
          <w:bCs/>
          <w:szCs w:val="24"/>
        </w:rPr>
      </w:pPr>
      <w:r>
        <w:rPr>
          <w:b/>
          <w:bCs/>
          <w:szCs w:val="24"/>
        </w:rPr>
        <w:t>Table 5-37: Mechanical Performance of the Joint</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1"/>
        <w:gridCol w:w="1221"/>
        <w:gridCol w:w="1134"/>
        <w:gridCol w:w="1138"/>
        <w:gridCol w:w="1301"/>
        <w:gridCol w:w="1138"/>
        <w:gridCol w:w="998"/>
      </w:tblGrid>
      <w:tr w14:paraId="4881D8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581" w:type="dxa"/>
            <w:vMerge w:val="restart"/>
            <w:tcBorders>
              <w:top w:val="single" w:color="auto" w:sz="12" w:space="0"/>
              <w:left w:val="nil"/>
              <w:bottom w:val="single" w:color="auto" w:sz="12" w:space="0"/>
              <w:right w:val="nil"/>
            </w:tcBorders>
            <w:vAlign w:val="center"/>
          </w:tcPr>
          <w:p w14:paraId="62B98758">
            <w:pPr>
              <w:autoSpaceDE w:val="0"/>
              <w:autoSpaceDN w:val="0"/>
              <w:adjustRightInd w:val="0"/>
              <w:spacing w:line="312" w:lineRule="auto"/>
              <w:jc w:val="center"/>
              <w:rPr>
                <w:kern w:val="0"/>
                <w:szCs w:val="21"/>
              </w:rPr>
            </w:pPr>
            <w:r>
              <w:rPr>
                <w:kern w:val="0"/>
                <w:szCs w:val="21"/>
              </w:rPr>
              <w:t>Item</w:t>
            </w:r>
          </w:p>
        </w:tc>
        <w:tc>
          <w:tcPr>
            <w:tcW w:w="3347" w:type="dxa"/>
            <w:gridSpan w:val="3"/>
            <w:tcBorders>
              <w:top w:val="single" w:color="auto" w:sz="12" w:space="0"/>
              <w:left w:val="nil"/>
              <w:bottom w:val="single" w:color="auto" w:sz="12" w:space="0"/>
              <w:right w:val="nil"/>
            </w:tcBorders>
          </w:tcPr>
          <w:p w14:paraId="2770ECF9">
            <w:pPr>
              <w:autoSpaceDE w:val="0"/>
              <w:autoSpaceDN w:val="0"/>
              <w:adjustRightInd w:val="0"/>
              <w:spacing w:line="312" w:lineRule="auto"/>
              <w:jc w:val="center"/>
              <w:rPr>
                <w:kern w:val="0"/>
                <w:szCs w:val="21"/>
              </w:rPr>
            </w:pPr>
            <w:r>
              <w:rPr>
                <w:rFonts w:hint="eastAsia" w:hAnsi="宋体"/>
                <w:kern w:val="0"/>
                <w:szCs w:val="21"/>
              </w:rPr>
              <w:t>Tensile Test</w:t>
            </w:r>
          </w:p>
        </w:tc>
        <w:tc>
          <w:tcPr>
            <w:tcW w:w="1701" w:type="dxa"/>
            <w:gridSpan w:val="2"/>
            <w:tcBorders>
              <w:top w:val="single" w:color="auto" w:sz="12" w:space="0"/>
              <w:left w:val="nil"/>
              <w:bottom w:val="single" w:color="auto" w:sz="12" w:space="0"/>
              <w:right w:val="nil"/>
            </w:tcBorders>
            <w:vAlign w:val="center"/>
          </w:tcPr>
          <w:p w14:paraId="475AA67E">
            <w:pPr>
              <w:autoSpaceDE w:val="0"/>
              <w:autoSpaceDN w:val="0"/>
              <w:adjustRightInd w:val="0"/>
              <w:spacing w:line="312" w:lineRule="auto"/>
              <w:jc w:val="center"/>
              <w:rPr>
                <w:kern w:val="0"/>
                <w:szCs w:val="21"/>
              </w:rPr>
            </w:pPr>
            <w:r>
              <w:rPr>
                <w:rFonts w:hint="eastAsia" w:hAnsi="宋体"/>
                <w:kern w:val="0"/>
                <w:szCs w:val="21"/>
              </w:rPr>
              <w:t>Impact Test</w:t>
            </w:r>
            <w:r>
              <w:rPr>
                <w:rFonts w:hint="eastAsia" w:hAnsi="宋体"/>
                <w:kern w:val="0"/>
                <w:szCs w:val="21"/>
                <w:lang w:val="en-US" w:eastAsia="zh-CN"/>
              </w:rPr>
              <w:t xml:space="preserve"> </w:t>
            </w:r>
            <w:r>
              <w:rPr>
                <w:rFonts w:hAnsi="宋体"/>
                <w:kern w:val="0"/>
                <w:szCs w:val="21"/>
              </w:rPr>
              <w:t>A</w:t>
            </w:r>
            <w:r>
              <w:rPr>
                <w:rFonts w:hAnsi="宋体"/>
                <w:kern w:val="0"/>
                <w:szCs w:val="21"/>
                <w:vertAlign w:val="subscript"/>
              </w:rPr>
              <w:t>kv</w:t>
            </w:r>
          </w:p>
        </w:tc>
        <w:tc>
          <w:tcPr>
            <w:tcW w:w="750" w:type="dxa"/>
            <w:vMerge w:val="restart"/>
            <w:tcBorders>
              <w:top w:val="single" w:color="auto" w:sz="12" w:space="0"/>
              <w:left w:val="nil"/>
              <w:bottom w:val="single" w:color="auto" w:sz="12" w:space="0"/>
              <w:right w:val="nil"/>
            </w:tcBorders>
            <w:vAlign w:val="center"/>
          </w:tcPr>
          <w:p w14:paraId="7EF91EB0">
            <w:pPr>
              <w:autoSpaceDE w:val="0"/>
              <w:autoSpaceDN w:val="0"/>
              <w:adjustRightInd w:val="0"/>
              <w:spacing w:line="312" w:lineRule="auto"/>
              <w:jc w:val="center"/>
              <w:rPr>
                <w:kern w:val="0"/>
                <w:szCs w:val="21"/>
              </w:rPr>
            </w:pPr>
            <w:r>
              <w:rPr>
                <w:rFonts w:hint="eastAsia" w:hAnsi="宋体"/>
                <w:kern w:val="0"/>
                <w:szCs w:val="21"/>
              </w:rPr>
              <w:t>Hardness</w:t>
            </w:r>
            <w:r>
              <w:rPr>
                <w:rFonts w:hint="eastAsia" w:hAnsi="宋体"/>
                <w:kern w:val="0"/>
                <w:szCs w:val="21"/>
              </w:rPr>
              <w:br w:type="textWrapping"/>
            </w:r>
            <w:r>
              <w:rPr>
                <w:rFonts w:hAnsi="宋体"/>
                <w:kern w:val="0"/>
                <w:szCs w:val="21"/>
              </w:rPr>
              <w:t>/HB</w:t>
            </w:r>
          </w:p>
        </w:tc>
      </w:tr>
      <w:tr w14:paraId="6EA716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op w:val="single" w:color="auto" w:sz="12" w:space="0"/>
              <w:left w:val="nil"/>
              <w:bottom w:val="single" w:color="auto" w:sz="12" w:space="0"/>
              <w:right w:val="nil"/>
            </w:tcBorders>
            <w:vAlign w:val="center"/>
          </w:tcPr>
          <w:p w14:paraId="0F9228A1">
            <w:pPr>
              <w:widowControl/>
              <w:jc w:val="left"/>
              <w:rPr>
                <w:kern w:val="0"/>
                <w:szCs w:val="21"/>
              </w:rPr>
            </w:pPr>
          </w:p>
        </w:tc>
        <w:tc>
          <w:tcPr>
            <w:tcW w:w="1221" w:type="dxa"/>
            <w:tcBorders>
              <w:top w:val="single" w:color="auto" w:sz="12" w:space="0"/>
              <w:left w:val="nil"/>
              <w:bottom w:val="single" w:color="auto" w:sz="12" w:space="0"/>
              <w:right w:val="nil"/>
            </w:tcBorders>
            <w:vAlign w:val="center"/>
          </w:tcPr>
          <w:p w14:paraId="7B1A90C3">
            <w:pPr>
              <w:autoSpaceDE w:val="0"/>
              <w:autoSpaceDN w:val="0"/>
              <w:adjustRightInd w:val="0"/>
              <w:spacing w:line="312" w:lineRule="auto"/>
              <w:jc w:val="center"/>
              <w:rPr>
                <w:kern w:val="0"/>
                <w:szCs w:val="21"/>
              </w:rPr>
            </w:pPr>
            <w:r>
              <w:rPr>
                <w:rFonts w:hint="eastAsia"/>
                <w:kern w:val="0"/>
                <w:szCs w:val="21"/>
              </w:rPr>
              <w:t>Tensile Strength</w:t>
            </w:r>
            <w:r>
              <w:rPr>
                <w:rFonts w:hint="eastAsia"/>
                <w:kern w:val="0"/>
                <w:szCs w:val="21"/>
              </w:rPr>
              <w:br w:type="textWrapping"/>
            </w:r>
            <w:r>
              <w:rPr>
                <w:kern w:val="0"/>
                <w:szCs w:val="21"/>
              </w:rPr>
              <w:t>R</w:t>
            </w:r>
            <w:r>
              <w:rPr>
                <w:kern w:val="0"/>
                <w:szCs w:val="21"/>
                <w:vertAlign w:val="subscript"/>
              </w:rPr>
              <w:t>m</w:t>
            </w:r>
            <w:r>
              <w:rPr>
                <w:kern w:val="0"/>
                <w:szCs w:val="21"/>
              </w:rPr>
              <w:t>/Mpa</w:t>
            </w:r>
          </w:p>
        </w:tc>
        <w:tc>
          <w:tcPr>
            <w:tcW w:w="1134" w:type="dxa"/>
            <w:tcBorders>
              <w:top w:val="single" w:color="auto" w:sz="12" w:space="0"/>
              <w:left w:val="nil"/>
              <w:bottom w:val="single" w:color="auto" w:sz="12" w:space="0"/>
              <w:right w:val="nil"/>
            </w:tcBorders>
            <w:vAlign w:val="center"/>
          </w:tcPr>
          <w:p w14:paraId="361A4AFD">
            <w:pPr>
              <w:autoSpaceDE w:val="0"/>
              <w:autoSpaceDN w:val="0"/>
              <w:adjustRightInd w:val="0"/>
              <w:spacing w:line="312" w:lineRule="auto"/>
              <w:jc w:val="center"/>
              <w:rPr>
                <w:kern w:val="0"/>
                <w:szCs w:val="21"/>
              </w:rPr>
            </w:pPr>
            <w:r>
              <w:rPr>
                <w:rFonts w:hint="eastAsia"/>
                <w:kern w:val="0"/>
                <w:szCs w:val="21"/>
              </w:rPr>
              <w:t>Yield Strength</w:t>
            </w:r>
            <w:r>
              <w:rPr>
                <w:rFonts w:hint="eastAsia"/>
                <w:kern w:val="0"/>
                <w:szCs w:val="21"/>
              </w:rPr>
              <w:br w:type="textWrapping"/>
            </w:r>
            <w:r>
              <w:rPr>
                <w:kern w:val="0"/>
                <w:szCs w:val="21"/>
              </w:rPr>
              <w:t>R</w:t>
            </w:r>
            <w:r>
              <w:rPr>
                <w:kern w:val="0"/>
                <w:szCs w:val="21"/>
                <w:vertAlign w:val="subscript"/>
              </w:rPr>
              <w:t>r0.2</w:t>
            </w:r>
            <w:r>
              <w:rPr>
                <w:kern w:val="0"/>
                <w:szCs w:val="21"/>
              </w:rPr>
              <w:t>/Mpa</w:t>
            </w:r>
          </w:p>
        </w:tc>
        <w:tc>
          <w:tcPr>
            <w:tcW w:w="992" w:type="dxa"/>
            <w:tcBorders>
              <w:top w:val="single" w:color="auto" w:sz="12" w:space="0"/>
              <w:left w:val="nil"/>
              <w:bottom w:val="single" w:color="auto" w:sz="12" w:space="0"/>
              <w:right w:val="nil"/>
            </w:tcBorders>
            <w:vAlign w:val="center"/>
          </w:tcPr>
          <w:p w14:paraId="484EB094">
            <w:pPr>
              <w:autoSpaceDE w:val="0"/>
              <w:autoSpaceDN w:val="0"/>
              <w:adjustRightInd w:val="0"/>
              <w:spacing w:line="312" w:lineRule="auto"/>
              <w:jc w:val="center"/>
              <w:rPr>
                <w:rFonts w:hint="eastAsia"/>
                <w:kern w:val="0"/>
                <w:szCs w:val="21"/>
              </w:rPr>
            </w:pPr>
            <w:r>
              <w:rPr>
                <w:rFonts w:hint="eastAsia"/>
                <w:kern w:val="0"/>
                <w:szCs w:val="21"/>
              </w:rPr>
              <w:t>Elongation</w:t>
            </w:r>
          </w:p>
          <w:p w14:paraId="2242DB5E">
            <w:pPr>
              <w:autoSpaceDE w:val="0"/>
              <w:autoSpaceDN w:val="0"/>
              <w:adjustRightInd w:val="0"/>
              <w:spacing w:line="312" w:lineRule="auto"/>
              <w:jc w:val="center"/>
              <w:rPr>
                <w:kern w:val="0"/>
                <w:szCs w:val="21"/>
              </w:rPr>
            </w:pPr>
            <w:r>
              <w:rPr>
                <w:kern w:val="0"/>
                <w:szCs w:val="21"/>
              </w:rPr>
              <w:t>A/%</w:t>
            </w:r>
          </w:p>
        </w:tc>
        <w:tc>
          <w:tcPr>
            <w:tcW w:w="850" w:type="dxa"/>
            <w:tcBorders>
              <w:top w:val="single" w:color="auto" w:sz="12" w:space="0"/>
              <w:left w:val="nil"/>
              <w:bottom w:val="single" w:color="auto" w:sz="12" w:space="0"/>
              <w:right w:val="nil"/>
            </w:tcBorders>
            <w:vAlign w:val="center"/>
          </w:tcPr>
          <w:p w14:paraId="7A1DBF6A">
            <w:pPr>
              <w:autoSpaceDE w:val="0"/>
              <w:autoSpaceDN w:val="0"/>
              <w:adjustRightInd w:val="0"/>
              <w:spacing w:line="312" w:lineRule="auto"/>
              <w:jc w:val="center"/>
              <w:rPr>
                <w:rFonts w:hint="eastAsia"/>
                <w:kern w:val="0"/>
                <w:szCs w:val="21"/>
              </w:rPr>
            </w:pPr>
            <w:r>
              <w:rPr>
                <w:rFonts w:hint="eastAsia"/>
                <w:kern w:val="0"/>
                <w:szCs w:val="21"/>
              </w:rPr>
              <w:t>Longitudinal Direction</w:t>
            </w:r>
          </w:p>
          <w:p w14:paraId="2F41D66E">
            <w:pPr>
              <w:autoSpaceDE w:val="0"/>
              <w:autoSpaceDN w:val="0"/>
              <w:adjustRightInd w:val="0"/>
              <w:spacing w:line="312" w:lineRule="auto"/>
              <w:jc w:val="center"/>
              <w:rPr>
                <w:kern w:val="0"/>
                <w:szCs w:val="21"/>
              </w:rPr>
            </w:pPr>
            <w:r>
              <w:rPr>
                <w:kern w:val="0"/>
                <w:szCs w:val="21"/>
              </w:rPr>
              <w:t>/J</w:t>
            </w:r>
          </w:p>
        </w:tc>
        <w:tc>
          <w:tcPr>
            <w:tcW w:w="851" w:type="dxa"/>
            <w:tcBorders>
              <w:top w:val="single" w:color="auto" w:sz="12" w:space="0"/>
              <w:left w:val="nil"/>
              <w:bottom w:val="single" w:color="auto" w:sz="12" w:space="0"/>
              <w:right w:val="nil"/>
            </w:tcBorders>
            <w:vAlign w:val="center"/>
          </w:tcPr>
          <w:p w14:paraId="5224515A">
            <w:pPr>
              <w:autoSpaceDE w:val="0"/>
              <w:autoSpaceDN w:val="0"/>
              <w:adjustRightInd w:val="0"/>
              <w:spacing w:line="312" w:lineRule="auto"/>
              <w:jc w:val="center"/>
              <w:rPr>
                <w:kern w:val="0"/>
                <w:szCs w:val="21"/>
              </w:rPr>
            </w:pPr>
            <w:r>
              <w:rPr>
                <w:rFonts w:hint="eastAsia"/>
                <w:kern w:val="0"/>
                <w:szCs w:val="21"/>
              </w:rPr>
              <w:t>Transverse Direction</w:t>
            </w:r>
          </w:p>
          <w:p w14:paraId="2B653B7E">
            <w:pPr>
              <w:autoSpaceDE w:val="0"/>
              <w:autoSpaceDN w:val="0"/>
              <w:adjustRightInd w:val="0"/>
              <w:spacing w:line="312" w:lineRule="auto"/>
              <w:jc w:val="center"/>
              <w:rPr>
                <w:kern w:val="0"/>
                <w:szCs w:val="21"/>
              </w:rPr>
            </w:pPr>
            <w:r>
              <w:rPr>
                <w:kern w:val="0"/>
                <w:szCs w:val="21"/>
              </w:rPr>
              <w:t>/J</w:t>
            </w:r>
          </w:p>
        </w:tc>
        <w:tc>
          <w:tcPr>
            <w:tcW w:w="0" w:type="auto"/>
            <w:vMerge w:val="continue"/>
            <w:tcBorders>
              <w:top w:val="single" w:color="auto" w:sz="12" w:space="0"/>
              <w:left w:val="nil"/>
              <w:bottom w:val="single" w:color="auto" w:sz="12" w:space="0"/>
              <w:right w:val="nil"/>
            </w:tcBorders>
            <w:vAlign w:val="center"/>
          </w:tcPr>
          <w:p w14:paraId="3DC65B50">
            <w:pPr>
              <w:widowControl/>
              <w:jc w:val="left"/>
              <w:rPr>
                <w:kern w:val="0"/>
                <w:szCs w:val="21"/>
              </w:rPr>
            </w:pPr>
          </w:p>
        </w:tc>
      </w:tr>
      <w:tr w14:paraId="507DF7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1" w:type="dxa"/>
            <w:vMerge w:val="restart"/>
            <w:tcBorders>
              <w:top w:val="single" w:color="auto" w:sz="12" w:space="0"/>
              <w:left w:val="nil"/>
              <w:bottom w:val="nil"/>
              <w:right w:val="nil"/>
            </w:tcBorders>
            <w:vAlign w:val="center"/>
          </w:tcPr>
          <w:p w14:paraId="1BFDAC5F">
            <w:pPr>
              <w:autoSpaceDE w:val="0"/>
              <w:autoSpaceDN w:val="0"/>
              <w:adjustRightInd w:val="0"/>
              <w:spacing w:line="312" w:lineRule="auto"/>
              <w:jc w:val="center"/>
              <w:rPr>
                <w:kern w:val="0"/>
                <w:szCs w:val="21"/>
              </w:rPr>
            </w:pPr>
            <w:r>
              <w:rPr>
                <w:kern w:val="0"/>
                <w:szCs w:val="21"/>
              </w:rPr>
              <w:t>Single value</w:t>
            </w:r>
          </w:p>
        </w:tc>
        <w:tc>
          <w:tcPr>
            <w:tcW w:w="1221" w:type="dxa"/>
            <w:tcBorders>
              <w:top w:val="single" w:color="auto" w:sz="12" w:space="0"/>
              <w:left w:val="nil"/>
              <w:bottom w:val="nil"/>
              <w:right w:val="nil"/>
            </w:tcBorders>
            <w:vAlign w:val="center"/>
          </w:tcPr>
          <w:p w14:paraId="386B0C31">
            <w:pPr>
              <w:autoSpaceDE w:val="0"/>
              <w:autoSpaceDN w:val="0"/>
              <w:adjustRightInd w:val="0"/>
              <w:spacing w:line="312" w:lineRule="auto"/>
              <w:jc w:val="center"/>
              <w:rPr>
                <w:kern w:val="0"/>
                <w:szCs w:val="21"/>
              </w:rPr>
            </w:pPr>
            <w:r>
              <w:rPr>
                <w:kern w:val="0"/>
                <w:szCs w:val="21"/>
              </w:rPr>
              <w:t>1150.0</w:t>
            </w:r>
          </w:p>
        </w:tc>
        <w:tc>
          <w:tcPr>
            <w:tcW w:w="1134" w:type="dxa"/>
            <w:tcBorders>
              <w:top w:val="single" w:color="auto" w:sz="12" w:space="0"/>
              <w:left w:val="nil"/>
              <w:bottom w:val="nil"/>
              <w:right w:val="nil"/>
            </w:tcBorders>
            <w:vAlign w:val="center"/>
          </w:tcPr>
          <w:p w14:paraId="11A78D32">
            <w:pPr>
              <w:autoSpaceDE w:val="0"/>
              <w:autoSpaceDN w:val="0"/>
              <w:adjustRightInd w:val="0"/>
              <w:spacing w:line="312" w:lineRule="auto"/>
              <w:jc w:val="center"/>
              <w:rPr>
                <w:kern w:val="0"/>
                <w:szCs w:val="21"/>
              </w:rPr>
            </w:pPr>
            <w:r>
              <w:rPr>
                <w:kern w:val="0"/>
                <w:szCs w:val="21"/>
              </w:rPr>
              <w:t>1070</w:t>
            </w:r>
          </w:p>
        </w:tc>
        <w:tc>
          <w:tcPr>
            <w:tcW w:w="992" w:type="dxa"/>
            <w:tcBorders>
              <w:top w:val="single" w:color="auto" w:sz="12" w:space="0"/>
              <w:left w:val="nil"/>
              <w:bottom w:val="nil"/>
              <w:right w:val="nil"/>
            </w:tcBorders>
            <w:vAlign w:val="center"/>
          </w:tcPr>
          <w:p w14:paraId="1D657687">
            <w:pPr>
              <w:autoSpaceDE w:val="0"/>
              <w:autoSpaceDN w:val="0"/>
              <w:adjustRightInd w:val="0"/>
              <w:spacing w:line="312" w:lineRule="auto"/>
              <w:jc w:val="center"/>
              <w:rPr>
                <w:kern w:val="0"/>
                <w:szCs w:val="21"/>
              </w:rPr>
            </w:pPr>
            <w:r>
              <w:rPr>
                <w:kern w:val="0"/>
                <w:szCs w:val="21"/>
              </w:rPr>
              <w:t>16.5</w:t>
            </w:r>
          </w:p>
        </w:tc>
        <w:tc>
          <w:tcPr>
            <w:tcW w:w="850" w:type="dxa"/>
            <w:tcBorders>
              <w:top w:val="single" w:color="auto" w:sz="12" w:space="0"/>
              <w:left w:val="nil"/>
              <w:bottom w:val="nil"/>
              <w:right w:val="nil"/>
            </w:tcBorders>
            <w:vAlign w:val="center"/>
          </w:tcPr>
          <w:p w14:paraId="354AB7CD">
            <w:pPr>
              <w:autoSpaceDE w:val="0"/>
              <w:autoSpaceDN w:val="0"/>
              <w:adjustRightInd w:val="0"/>
              <w:spacing w:line="312" w:lineRule="auto"/>
              <w:jc w:val="center"/>
              <w:rPr>
                <w:kern w:val="0"/>
                <w:szCs w:val="21"/>
              </w:rPr>
            </w:pPr>
            <w:r>
              <w:rPr>
                <w:kern w:val="0"/>
                <w:szCs w:val="21"/>
              </w:rPr>
              <w:t>69.0</w:t>
            </w:r>
          </w:p>
        </w:tc>
        <w:tc>
          <w:tcPr>
            <w:tcW w:w="851" w:type="dxa"/>
            <w:tcBorders>
              <w:top w:val="single" w:color="auto" w:sz="12" w:space="0"/>
              <w:left w:val="nil"/>
              <w:bottom w:val="nil"/>
              <w:right w:val="nil"/>
            </w:tcBorders>
            <w:vAlign w:val="center"/>
          </w:tcPr>
          <w:p w14:paraId="6AA74AEA">
            <w:pPr>
              <w:autoSpaceDE w:val="0"/>
              <w:autoSpaceDN w:val="0"/>
              <w:adjustRightInd w:val="0"/>
              <w:spacing w:line="312" w:lineRule="auto"/>
              <w:jc w:val="center"/>
              <w:rPr>
                <w:kern w:val="0"/>
                <w:szCs w:val="21"/>
              </w:rPr>
            </w:pPr>
            <w:r>
              <w:rPr>
                <w:kern w:val="0"/>
                <w:szCs w:val="21"/>
              </w:rPr>
              <w:t>38.0</w:t>
            </w:r>
          </w:p>
        </w:tc>
        <w:tc>
          <w:tcPr>
            <w:tcW w:w="750" w:type="dxa"/>
            <w:tcBorders>
              <w:top w:val="single" w:color="auto" w:sz="12" w:space="0"/>
              <w:left w:val="nil"/>
              <w:bottom w:val="nil"/>
              <w:right w:val="nil"/>
            </w:tcBorders>
            <w:vAlign w:val="center"/>
          </w:tcPr>
          <w:p w14:paraId="1B0F2E0F">
            <w:pPr>
              <w:autoSpaceDE w:val="0"/>
              <w:autoSpaceDN w:val="0"/>
              <w:adjustRightInd w:val="0"/>
              <w:spacing w:line="312" w:lineRule="auto"/>
              <w:jc w:val="center"/>
              <w:rPr>
                <w:kern w:val="0"/>
                <w:szCs w:val="21"/>
              </w:rPr>
            </w:pPr>
            <w:r>
              <w:rPr>
                <w:kern w:val="0"/>
                <w:szCs w:val="21"/>
              </w:rPr>
              <w:t>343</w:t>
            </w:r>
          </w:p>
        </w:tc>
      </w:tr>
      <w:tr w14:paraId="04F344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op w:val="single" w:color="auto" w:sz="12" w:space="0"/>
              <w:left w:val="nil"/>
              <w:bottom w:val="nil"/>
              <w:right w:val="nil"/>
            </w:tcBorders>
            <w:vAlign w:val="center"/>
          </w:tcPr>
          <w:p w14:paraId="6B659F31">
            <w:pPr>
              <w:widowControl/>
              <w:jc w:val="left"/>
              <w:rPr>
                <w:kern w:val="0"/>
                <w:szCs w:val="21"/>
              </w:rPr>
            </w:pPr>
          </w:p>
        </w:tc>
        <w:tc>
          <w:tcPr>
            <w:tcW w:w="1221" w:type="dxa"/>
            <w:tcBorders>
              <w:top w:val="nil"/>
              <w:left w:val="nil"/>
              <w:bottom w:val="nil"/>
              <w:right w:val="nil"/>
            </w:tcBorders>
            <w:vAlign w:val="center"/>
          </w:tcPr>
          <w:p w14:paraId="18DDAF1B">
            <w:pPr>
              <w:autoSpaceDE w:val="0"/>
              <w:autoSpaceDN w:val="0"/>
              <w:adjustRightInd w:val="0"/>
              <w:spacing w:line="312" w:lineRule="auto"/>
              <w:jc w:val="center"/>
              <w:rPr>
                <w:kern w:val="0"/>
                <w:szCs w:val="21"/>
              </w:rPr>
            </w:pPr>
            <w:r>
              <w:rPr>
                <w:kern w:val="0"/>
                <w:szCs w:val="21"/>
              </w:rPr>
              <w:t>1170.0</w:t>
            </w:r>
          </w:p>
        </w:tc>
        <w:tc>
          <w:tcPr>
            <w:tcW w:w="1134" w:type="dxa"/>
            <w:tcBorders>
              <w:top w:val="nil"/>
              <w:left w:val="nil"/>
              <w:bottom w:val="nil"/>
              <w:right w:val="nil"/>
            </w:tcBorders>
            <w:vAlign w:val="center"/>
          </w:tcPr>
          <w:p w14:paraId="23EF779C">
            <w:pPr>
              <w:autoSpaceDE w:val="0"/>
              <w:autoSpaceDN w:val="0"/>
              <w:adjustRightInd w:val="0"/>
              <w:spacing w:line="312" w:lineRule="auto"/>
              <w:jc w:val="center"/>
              <w:rPr>
                <w:kern w:val="0"/>
                <w:szCs w:val="21"/>
              </w:rPr>
            </w:pPr>
            <w:r>
              <w:rPr>
                <w:kern w:val="0"/>
                <w:szCs w:val="21"/>
              </w:rPr>
              <w:t>1070</w:t>
            </w:r>
          </w:p>
        </w:tc>
        <w:tc>
          <w:tcPr>
            <w:tcW w:w="992" w:type="dxa"/>
            <w:tcBorders>
              <w:top w:val="nil"/>
              <w:left w:val="nil"/>
              <w:bottom w:val="nil"/>
              <w:right w:val="nil"/>
            </w:tcBorders>
            <w:vAlign w:val="center"/>
          </w:tcPr>
          <w:p w14:paraId="7E60C3E2">
            <w:pPr>
              <w:autoSpaceDE w:val="0"/>
              <w:autoSpaceDN w:val="0"/>
              <w:adjustRightInd w:val="0"/>
              <w:spacing w:line="312" w:lineRule="auto"/>
              <w:jc w:val="center"/>
              <w:rPr>
                <w:kern w:val="0"/>
                <w:szCs w:val="21"/>
              </w:rPr>
            </w:pPr>
            <w:r>
              <w:rPr>
                <w:kern w:val="0"/>
                <w:szCs w:val="21"/>
              </w:rPr>
              <w:t>18.0</w:t>
            </w:r>
          </w:p>
        </w:tc>
        <w:tc>
          <w:tcPr>
            <w:tcW w:w="850" w:type="dxa"/>
            <w:tcBorders>
              <w:top w:val="nil"/>
              <w:left w:val="nil"/>
              <w:bottom w:val="nil"/>
              <w:right w:val="nil"/>
            </w:tcBorders>
            <w:vAlign w:val="center"/>
          </w:tcPr>
          <w:p w14:paraId="0A6B466C">
            <w:pPr>
              <w:autoSpaceDE w:val="0"/>
              <w:autoSpaceDN w:val="0"/>
              <w:adjustRightInd w:val="0"/>
              <w:spacing w:line="312" w:lineRule="auto"/>
              <w:jc w:val="center"/>
              <w:rPr>
                <w:kern w:val="0"/>
                <w:szCs w:val="21"/>
              </w:rPr>
            </w:pPr>
            <w:r>
              <w:rPr>
                <w:kern w:val="0"/>
                <w:szCs w:val="21"/>
              </w:rPr>
              <w:t>69.0</w:t>
            </w:r>
          </w:p>
        </w:tc>
        <w:tc>
          <w:tcPr>
            <w:tcW w:w="851" w:type="dxa"/>
            <w:tcBorders>
              <w:top w:val="nil"/>
              <w:left w:val="nil"/>
              <w:bottom w:val="nil"/>
              <w:right w:val="nil"/>
            </w:tcBorders>
            <w:vAlign w:val="center"/>
          </w:tcPr>
          <w:p w14:paraId="0D315537">
            <w:pPr>
              <w:autoSpaceDE w:val="0"/>
              <w:autoSpaceDN w:val="0"/>
              <w:adjustRightInd w:val="0"/>
              <w:spacing w:line="312" w:lineRule="auto"/>
              <w:jc w:val="center"/>
              <w:rPr>
                <w:kern w:val="0"/>
                <w:szCs w:val="21"/>
              </w:rPr>
            </w:pPr>
            <w:r>
              <w:rPr>
                <w:kern w:val="0"/>
                <w:szCs w:val="21"/>
              </w:rPr>
              <w:t>45.0</w:t>
            </w:r>
          </w:p>
        </w:tc>
        <w:tc>
          <w:tcPr>
            <w:tcW w:w="750" w:type="dxa"/>
            <w:tcBorders>
              <w:top w:val="nil"/>
              <w:left w:val="nil"/>
              <w:bottom w:val="nil"/>
              <w:right w:val="nil"/>
            </w:tcBorders>
            <w:vAlign w:val="center"/>
          </w:tcPr>
          <w:p w14:paraId="24AC70BF">
            <w:pPr>
              <w:autoSpaceDE w:val="0"/>
              <w:autoSpaceDN w:val="0"/>
              <w:adjustRightInd w:val="0"/>
              <w:spacing w:line="312" w:lineRule="auto"/>
              <w:jc w:val="center"/>
              <w:rPr>
                <w:kern w:val="0"/>
                <w:szCs w:val="21"/>
              </w:rPr>
            </w:pPr>
            <w:r>
              <w:rPr>
                <w:kern w:val="0"/>
                <w:szCs w:val="21"/>
              </w:rPr>
              <w:t>347</w:t>
            </w:r>
          </w:p>
        </w:tc>
      </w:tr>
      <w:tr w14:paraId="6C1974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op w:val="single" w:color="auto" w:sz="12" w:space="0"/>
              <w:left w:val="nil"/>
              <w:bottom w:val="nil"/>
              <w:right w:val="nil"/>
            </w:tcBorders>
            <w:vAlign w:val="center"/>
          </w:tcPr>
          <w:p w14:paraId="144759EF">
            <w:pPr>
              <w:widowControl/>
              <w:jc w:val="left"/>
              <w:rPr>
                <w:kern w:val="0"/>
                <w:szCs w:val="21"/>
              </w:rPr>
            </w:pPr>
          </w:p>
        </w:tc>
        <w:tc>
          <w:tcPr>
            <w:tcW w:w="1221" w:type="dxa"/>
            <w:tcBorders>
              <w:top w:val="nil"/>
              <w:left w:val="nil"/>
              <w:bottom w:val="nil"/>
              <w:right w:val="nil"/>
            </w:tcBorders>
            <w:vAlign w:val="center"/>
          </w:tcPr>
          <w:p w14:paraId="5F8206E2">
            <w:pPr>
              <w:autoSpaceDE w:val="0"/>
              <w:autoSpaceDN w:val="0"/>
              <w:adjustRightInd w:val="0"/>
              <w:spacing w:line="312" w:lineRule="auto"/>
              <w:jc w:val="center"/>
              <w:rPr>
                <w:kern w:val="0"/>
                <w:szCs w:val="21"/>
              </w:rPr>
            </w:pPr>
            <w:r>
              <w:rPr>
                <w:kern w:val="0"/>
                <w:szCs w:val="21"/>
              </w:rPr>
              <w:t>1150.0</w:t>
            </w:r>
          </w:p>
        </w:tc>
        <w:tc>
          <w:tcPr>
            <w:tcW w:w="1134" w:type="dxa"/>
            <w:tcBorders>
              <w:top w:val="nil"/>
              <w:left w:val="nil"/>
              <w:bottom w:val="nil"/>
              <w:right w:val="nil"/>
            </w:tcBorders>
            <w:vAlign w:val="center"/>
          </w:tcPr>
          <w:p w14:paraId="6DF23093">
            <w:pPr>
              <w:autoSpaceDE w:val="0"/>
              <w:autoSpaceDN w:val="0"/>
              <w:adjustRightInd w:val="0"/>
              <w:spacing w:line="312" w:lineRule="auto"/>
              <w:jc w:val="center"/>
              <w:rPr>
                <w:kern w:val="0"/>
                <w:szCs w:val="21"/>
              </w:rPr>
            </w:pPr>
            <w:r>
              <w:rPr>
                <w:kern w:val="0"/>
                <w:szCs w:val="21"/>
              </w:rPr>
              <w:t>1070</w:t>
            </w:r>
          </w:p>
        </w:tc>
        <w:tc>
          <w:tcPr>
            <w:tcW w:w="992" w:type="dxa"/>
            <w:tcBorders>
              <w:top w:val="nil"/>
              <w:left w:val="nil"/>
              <w:bottom w:val="nil"/>
              <w:right w:val="nil"/>
            </w:tcBorders>
            <w:vAlign w:val="center"/>
          </w:tcPr>
          <w:p w14:paraId="0FEFE0BC">
            <w:pPr>
              <w:autoSpaceDE w:val="0"/>
              <w:autoSpaceDN w:val="0"/>
              <w:adjustRightInd w:val="0"/>
              <w:spacing w:line="312" w:lineRule="auto"/>
              <w:jc w:val="center"/>
              <w:rPr>
                <w:kern w:val="0"/>
                <w:szCs w:val="21"/>
              </w:rPr>
            </w:pPr>
            <w:r>
              <w:rPr>
                <w:kern w:val="0"/>
                <w:szCs w:val="21"/>
              </w:rPr>
              <w:t>18.0</w:t>
            </w:r>
          </w:p>
        </w:tc>
        <w:tc>
          <w:tcPr>
            <w:tcW w:w="850" w:type="dxa"/>
            <w:tcBorders>
              <w:top w:val="nil"/>
              <w:left w:val="nil"/>
              <w:bottom w:val="nil"/>
              <w:right w:val="nil"/>
            </w:tcBorders>
            <w:vAlign w:val="center"/>
          </w:tcPr>
          <w:p w14:paraId="3C6934B7">
            <w:pPr>
              <w:autoSpaceDE w:val="0"/>
              <w:autoSpaceDN w:val="0"/>
              <w:adjustRightInd w:val="0"/>
              <w:spacing w:line="312" w:lineRule="auto"/>
              <w:jc w:val="center"/>
              <w:rPr>
                <w:kern w:val="0"/>
                <w:szCs w:val="21"/>
              </w:rPr>
            </w:pPr>
            <w:r>
              <w:rPr>
                <w:kern w:val="0"/>
                <w:szCs w:val="21"/>
              </w:rPr>
              <w:t>66.0</w:t>
            </w:r>
          </w:p>
        </w:tc>
        <w:tc>
          <w:tcPr>
            <w:tcW w:w="851" w:type="dxa"/>
            <w:tcBorders>
              <w:top w:val="nil"/>
              <w:left w:val="nil"/>
              <w:bottom w:val="nil"/>
              <w:right w:val="nil"/>
            </w:tcBorders>
            <w:vAlign w:val="center"/>
          </w:tcPr>
          <w:p w14:paraId="19488AA5">
            <w:pPr>
              <w:autoSpaceDE w:val="0"/>
              <w:autoSpaceDN w:val="0"/>
              <w:adjustRightInd w:val="0"/>
              <w:spacing w:line="312" w:lineRule="auto"/>
              <w:jc w:val="center"/>
              <w:rPr>
                <w:kern w:val="0"/>
                <w:szCs w:val="21"/>
              </w:rPr>
            </w:pPr>
            <w:r>
              <w:rPr>
                <w:kern w:val="0"/>
                <w:szCs w:val="21"/>
              </w:rPr>
              <w:t>45.0</w:t>
            </w:r>
          </w:p>
        </w:tc>
        <w:tc>
          <w:tcPr>
            <w:tcW w:w="750" w:type="dxa"/>
            <w:tcBorders>
              <w:top w:val="nil"/>
              <w:left w:val="nil"/>
              <w:bottom w:val="nil"/>
              <w:right w:val="nil"/>
            </w:tcBorders>
            <w:vAlign w:val="center"/>
          </w:tcPr>
          <w:p w14:paraId="15980394">
            <w:pPr>
              <w:autoSpaceDE w:val="0"/>
              <w:autoSpaceDN w:val="0"/>
              <w:adjustRightInd w:val="0"/>
              <w:spacing w:line="312" w:lineRule="auto"/>
              <w:jc w:val="center"/>
              <w:rPr>
                <w:kern w:val="0"/>
                <w:szCs w:val="21"/>
              </w:rPr>
            </w:pPr>
            <w:r>
              <w:rPr>
                <w:kern w:val="0"/>
                <w:szCs w:val="21"/>
              </w:rPr>
              <w:t>350</w:t>
            </w:r>
          </w:p>
        </w:tc>
      </w:tr>
      <w:tr w14:paraId="2F26F8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1" w:type="dxa"/>
            <w:tcBorders>
              <w:top w:val="nil"/>
              <w:left w:val="nil"/>
              <w:bottom w:val="nil"/>
              <w:right w:val="nil"/>
            </w:tcBorders>
            <w:vAlign w:val="center"/>
          </w:tcPr>
          <w:p w14:paraId="199B0112">
            <w:pPr>
              <w:autoSpaceDE w:val="0"/>
              <w:autoSpaceDN w:val="0"/>
              <w:adjustRightInd w:val="0"/>
              <w:spacing w:line="312" w:lineRule="auto"/>
              <w:jc w:val="center"/>
              <w:rPr>
                <w:kern w:val="0"/>
                <w:szCs w:val="21"/>
              </w:rPr>
            </w:pPr>
            <w:r>
              <w:rPr>
                <w:kern w:val="0"/>
                <w:szCs w:val="21"/>
              </w:rPr>
              <w:t>Average value</w:t>
            </w:r>
          </w:p>
        </w:tc>
        <w:tc>
          <w:tcPr>
            <w:tcW w:w="1221" w:type="dxa"/>
            <w:tcBorders>
              <w:top w:val="nil"/>
              <w:left w:val="nil"/>
              <w:bottom w:val="nil"/>
              <w:right w:val="nil"/>
            </w:tcBorders>
            <w:vAlign w:val="center"/>
          </w:tcPr>
          <w:p w14:paraId="478D3889">
            <w:pPr>
              <w:autoSpaceDE w:val="0"/>
              <w:autoSpaceDN w:val="0"/>
              <w:adjustRightInd w:val="0"/>
              <w:spacing w:line="312" w:lineRule="auto"/>
              <w:jc w:val="center"/>
              <w:rPr>
                <w:kern w:val="0"/>
                <w:szCs w:val="21"/>
              </w:rPr>
            </w:pPr>
            <w:r>
              <w:rPr>
                <w:kern w:val="0"/>
                <w:szCs w:val="21"/>
              </w:rPr>
              <w:t>1156.7</w:t>
            </w:r>
          </w:p>
        </w:tc>
        <w:tc>
          <w:tcPr>
            <w:tcW w:w="1134" w:type="dxa"/>
            <w:tcBorders>
              <w:top w:val="nil"/>
              <w:left w:val="nil"/>
              <w:bottom w:val="nil"/>
              <w:right w:val="nil"/>
            </w:tcBorders>
            <w:vAlign w:val="center"/>
          </w:tcPr>
          <w:p w14:paraId="141825A7">
            <w:pPr>
              <w:autoSpaceDE w:val="0"/>
              <w:autoSpaceDN w:val="0"/>
              <w:adjustRightInd w:val="0"/>
              <w:spacing w:line="312" w:lineRule="auto"/>
              <w:jc w:val="center"/>
              <w:rPr>
                <w:kern w:val="0"/>
                <w:szCs w:val="21"/>
              </w:rPr>
            </w:pPr>
            <w:r>
              <w:rPr>
                <w:kern w:val="0"/>
                <w:szCs w:val="21"/>
              </w:rPr>
              <w:t>1070</w:t>
            </w:r>
          </w:p>
        </w:tc>
        <w:tc>
          <w:tcPr>
            <w:tcW w:w="992" w:type="dxa"/>
            <w:tcBorders>
              <w:top w:val="nil"/>
              <w:left w:val="nil"/>
              <w:bottom w:val="nil"/>
              <w:right w:val="nil"/>
            </w:tcBorders>
            <w:vAlign w:val="center"/>
          </w:tcPr>
          <w:p w14:paraId="04F6209D">
            <w:pPr>
              <w:autoSpaceDE w:val="0"/>
              <w:autoSpaceDN w:val="0"/>
              <w:adjustRightInd w:val="0"/>
              <w:spacing w:line="312" w:lineRule="auto"/>
              <w:jc w:val="center"/>
              <w:rPr>
                <w:kern w:val="0"/>
                <w:szCs w:val="21"/>
              </w:rPr>
            </w:pPr>
            <w:r>
              <w:rPr>
                <w:kern w:val="0"/>
                <w:szCs w:val="21"/>
              </w:rPr>
              <w:t>17.5</w:t>
            </w:r>
          </w:p>
        </w:tc>
        <w:tc>
          <w:tcPr>
            <w:tcW w:w="850" w:type="dxa"/>
            <w:tcBorders>
              <w:top w:val="nil"/>
              <w:left w:val="nil"/>
              <w:bottom w:val="nil"/>
              <w:right w:val="nil"/>
            </w:tcBorders>
            <w:vAlign w:val="center"/>
          </w:tcPr>
          <w:p w14:paraId="40B8C098">
            <w:pPr>
              <w:autoSpaceDE w:val="0"/>
              <w:autoSpaceDN w:val="0"/>
              <w:adjustRightInd w:val="0"/>
              <w:spacing w:line="312" w:lineRule="auto"/>
              <w:jc w:val="center"/>
              <w:rPr>
                <w:kern w:val="0"/>
                <w:szCs w:val="21"/>
              </w:rPr>
            </w:pPr>
            <w:r>
              <w:rPr>
                <w:kern w:val="0"/>
                <w:szCs w:val="21"/>
              </w:rPr>
              <w:t>68</w:t>
            </w:r>
          </w:p>
        </w:tc>
        <w:tc>
          <w:tcPr>
            <w:tcW w:w="851" w:type="dxa"/>
            <w:tcBorders>
              <w:top w:val="nil"/>
              <w:left w:val="nil"/>
              <w:bottom w:val="nil"/>
              <w:right w:val="nil"/>
            </w:tcBorders>
            <w:vAlign w:val="center"/>
          </w:tcPr>
          <w:p w14:paraId="3E4C6E84">
            <w:pPr>
              <w:autoSpaceDE w:val="0"/>
              <w:autoSpaceDN w:val="0"/>
              <w:adjustRightInd w:val="0"/>
              <w:spacing w:line="312" w:lineRule="auto"/>
              <w:jc w:val="center"/>
              <w:rPr>
                <w:kern w:val="0"/>
                <w:szCs w:val="21"/>
              </w:rPr>
            </w:pPr>
            <w:r>
              <w:rPr>
                <w:kern w:val="0"/>
                <w:szCs w:val="21"/>
              </w:rPr>
              <w:t>42.7</w:t>
            </w:r>
          </w:p>
        </w:tc>
        <w:tc>
          <w:tcPr>
            <w:tcW w:w="750" w:type="dxa"/>
            <w:tcBorders>
              <w:top w:val="nil"/>
              <w:left w:val="nil"/>
              <w:bottom w:val="nil"/>
              <w:right w:val="nil"/>
            </w:tcBorders>
            <w:vAlign w:val="center"/>
          </w:tcPr>
          <w:p w14:paraId="254D33FB">
            <w:pPr>
              <w:autoSpaceDE w:val="0"/>
              <w:autoSpaceDN w:val="0"/>
              <w:adjustRightInd w:val="0"/>
              <w:spacing w:line="312" w:lineRule="auto"/>
              <w:jc w:val="center"/>
              <w:rPr>
                <w:kern w:val="0"/>
                <w:szCs w:val="21"/>
              </w:rPr>
            </w:pPr>
            <w:r>
              <w:rPr>
                <w:kern w:val="0"/>
                <w:szCs w:val="21"/>
              </w:rPr>
              <w:t>346.7</w:t>
            </w:r>
          </w:p>
        </w:tc>
      </w:tr>
      <w:tr w14:paraId="794395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1" w:type="dxa"/>
            <w:tcBorders>
              <w:top w:val="nil"/>
              <w:left w:val="nil"/>
              <w:bottom w:val="single" w:color="auto" w:sz="12" w:space="0"/>
              <w:right w:val="nil"/>
            </w:tcBorders>
            <w:vAlign w:val="center"/>
          </w:tcPr>
          <w:p w14:paraId="53228C5D">
            <w:pPr>
              <w:autoSpaceDE w:val="0"/>
              <w:autoSpaceDN w:val="0"/>
              <w:adjustRightInd w:val="0"/>
              <w:spacing w:line="312" w:lineRule="auto"/>
              <w:jc w:val="center"/>
              <w:rPr>
                <w:kern w:val="0"/>
                <w:szCs w:val="21"/>
              </w:rPr>
            </w:pPr>
            <w:r>
              <w:rPr>
                <w:kern w:val="0"/>
                <w:szCs w:val="21"/>
              </w:rPr>
              <w:t>SY/T6288-2007</w:t>
            </w:r>
          </w:p>
        </w:tc>
        <w:tc>
          <w:tcPr>
            <w:tcW w:w="1221" w:type="dxa"/>
            <w:tcBorders>
              <w:top w:val="nil"/>
              <w:left w:val="nil"/>
              <w:bottom w:val="single" w:color="auto" w:sz="12" w:space="0"/>
              <w:right w:val="nil"/>
            </w:tcBorders>
            <w:vAlign w:val="center"/>
          </w:tcPr>
          <w:p w14:paraId="6CD2B5CA">
            <w:pPr>
              <w:autoSpaceDE w:val="0"/>
              <w:autoSpaceDN w:val="0"/>
              <w:adjustRightInd w:val="0"/>
              <w:spacing w:line="312" w:lineRule="auto"/>
              <w:jc w:val="center"/>
              <w:rPr>
                <w:kern w:val="0"/>
                <w:szCs w:val="21"/>
              </w:rPr>
            </w:pPr>
            <w:r>
              <w:rPr>
                <w:kern w:val="0"/>
                <w:szCs w:val="21"/>
              </w:rPr>
              <w:t>≥930</w:t>
            </w:r>
          </w:p>
        </w:tc>
        <w:tc>
          <w:tcPr>
            <w:tcW w:w="1134" w:type="dxa"/>
            <w:tcBorders>
              <w:top w:val="nil"/>
              <w:left w:val="nil"/>
              <w:bottom w:val="single" w:color="auto" w:sz="12" w:space="0"/>
              <w:right w:val="nil"/>
            </w:tcBorders>
            <w:vAlign w:val="center"/>
          </w:tcPr>
          <w:p w14:paraId="50044E83">
            <w:pPr>
              <w:autoSpaceDE w:val="0"/>
              <w:autoSpaceDN w:val="0"/>
              <w:adjustRightInd w:val="0"/>
              <w:spacing w:line="312" w:lineRule="auto"/>
              <w:jc w:val="center"/>
              <w:rPr>
                <w:kern w:val="0"/>
                <w:szCs w:val="21"/>
              </w:rPr>
            </w:pPr>
            <w:r>
              <w:rPr>
                <w:kern w:val="0"/>
                <w:szCs w:val="21"/>
              </w:rPr>
              <w:t>≥690</w:t>
            </w:r>
          </w:p>
        </w:tc>
        <w:tc>
          <w:tcPr>
            <w:tcW w:w="992" w:type="dxa"/>
            <w:tcBorders>
              <w:top w:val="nil"/>
              <w:left w:val="nil"/>
              <w:bottom w:val="single" w:color="auto" w:sz="12" w:space="0"/>
              <w:right w:val="nil"/>
            </w:tcBorders>
            <w:vAlign w:val="center"/>
          </w:tcPr>
          <w:p w14:paraId="380157D1">
            <w:pPr>
              <w:autoSpaceDE w:val="0"/>
              <w:autoSpaceDN w:val="0"/>
              <w:adjustRightInd w:val="0"/>
              <w:spacing w:line="312" w:lineRule="auto"/>
              <w:jc w:val="center"/>
              <w:rPr>
                <w:kern w:val="0"/>
                <w:szCs w:val="21"/>
              </w:rPr>
            </w:pPr>
            <w:r>
              <w:rPr>
                <w:kern w:val="0"/>
                <w:szCs w:val="21"/>
              </w:rPr>
              <w:t>≥13</w:t>
            </w:r>
          </w:p>
        </w:tc>
        <w:tc>
          <w:tcPr>
            <w:tcW w:w="850" w:type="dxa"/>
            <w:tcBorders>
              <w:top w:val="nil"/>
              <w:left w:val="nil"/>
              <w:bottom w:val="single" w:color="auto" w:sz="12" w:space="0"/>
              <w:right w:val="nil"/>
            </w:tcBorders>
            <w:vAlign w:val="center"/>
          </w:tcPr>
          <w:p w14:paraId="35810D77">
            <w:pPr>
              <w:autoSpaceDE w:val="0"/>
              <w:autoSpaceDN w:val="0"/>
              <w:adjustRightInd w:val="0"/>
              <w:spacing w:line="312" w:lineRule="auto"/>
              <w:jc w:val="center"/>
              <w:rPr>
                <w:kern w:val="0"/>
                <w:szCs w:val="21"/>
              </w:rPr>
            </w:pPr>
            <w:r>
              <w:rPr>
                <w:kern w:val="0"/>
                <w:szCs w:val="21"/>
              </w:rPr>
              <w:t>≥54</w:t>
            </w:r>
          </w:p>
        </w:tc>
        <w:tc>
          <w:tcPr>
            <w:tcW w:w="851" w:type="dxa"/>
            <w:tcBorders>
              <w:top w:val="nil"/>
              <w:left w:val="nil"/>
              <w:bottom w:val="single" w:color="auto" w:sz="12" w:space="0"/>
              <w:right w:val="nil"/>
            </w:tcBorders>
            <w:vAlign w:val="center"/>
          </w:tcPr>
          <w:p w14:paraId="56CFC915">
            <w:pPr>
              <w:autoSpaceDE w:val="0"/>
              <w:autoSpaceDN w:val="0"/>
              <w:adjustRightInd w:val="0"/>
              <w:spacing w:line="312" w:lineRule="auto"/>
              <w:jc w:val="center"/>
              <w:rPr>
                <w:kern w:val="0"/>
                <w:szCs w:val="21"/>
              </w:rPr>
            </w:pPr>
            <w:r>
              <w:rPr>
                <w:rFonts w:hint="eastAsia"/>
                <w:kern w:val="0"/>
                <w:szCs w:val="21"/>
              </w:rPr>
              <w:t>—</w:t>
            </w:r>
          </w:p>
        </w:tc>
        <w:tc>
          <w:tcPr>
            <w:tcW w:w="750" w:type="dxa"/>
            <w:tcBorders>
              <w:top w:val="nil"/>
              <w:left w:val="nil"/>
              <w:bottom w:val="single" w:color="auto" w:sz="12" w:space="0"/>
              <w:right w:val="nil"/>
            </w:tcBorders>
            <w:vAlign w:val="center"/>
          </w:tcPr>
          <w:p w14:paraId="6B779B08">
            <w:pPr>
              <w:autoSpaceDE w:val="0"/>
              <w:autoSpaceDN w:val="0"/>
              <w:adjustRightInd w:val="0"/>
              <w:spacing w:line="312" w:lineRule="auto"/>
              <w:jc w:val="center"/>
              <w:rPr>
                <w:kern w:val="0"/>
                <w:szCs w:val="21"/>
              </w:rPr>
            </w:pPr>
            <w:r>
              <w:rPr>
                <w:kern w:val="0"/>
                <w:szCs w:val="21"/>
              </w:rPr>
              <w:t>≥277</w:t>
            </w:r>
          </w:p>
        </w:tc>
      </w:tr>
    </w:tbl>
    <w:p w14:paraId="5A275C06">
      <w:pPr>
        <w:pStyle w:val="16"/>
        <w:spacing w:before="31" w:after="31"/>
        <w:ind w:firstLine="0" w:firstLineChars="0"/>
        <w:rPr>
          <w:rFonts w:hint="eastAsia"/>
          <w:szCs w:val="24"/>
        </w:rPr>
      </w:pPr>
      <w:r>
        <w:rPr>
          <w:szCs w:val="24"/>
        </w:rPr>
        <w:t>(5) Failure Component and Material Characteristics</w:t>
      </w:r>
    </w:p>
    <w:p w14:paraId="63117CE6">
      <w:pPr>
        <w:pStyle w:val="16"/>
        <w:spacing w:before="31" w:after="31"/>
        <w:ind w:firstLine="480"/>
        <w:rPr>
          <w:szCs w:val="24"/>
        </w:rPr>
      </w:pPr>
      <w:r>
        <w:rPr>
          <w:szCs w:val="24"/>
        </w:rPr>
        <w:t>Longitudinal cracks penetrating the wall thickness are observed at the threaded end of the joint, with no evidence of sharp leaks. Cracks on the sealing surface exhibit depressions and protrusions formed by compression, appearing smooth and bright on the outer surface, indicating significant frictional forces.</w:t>
      </w:r>
    </w:p>
    <w:p w14:paraId="34E194F3">
      <w:pPr>
        <w:pStyle w:val="16"/>
        <w:spacing w:before="31" w:after="31"/>
        <w:ind w:firstLine="480"/>
        <w:rPr>
          <w:szCs w:val="24"/>
        </w:rPr>
      </w:pPr>
      <w:r>
        <w:rPr>
          <w:szCs w:val="24"/>
        </w:rPr>
        <w:t>Non-destructive testing of the joint using fluorescent magnetic powder is conducted. Numerous longitudinal microcracks are distributed along the outer surface circumference of one side of the joint threads, with increased density near the three main cracks.</w:t>
      </w:r>
    </w:p>
    <w:p w14:paraId="3CB3304E">
      <w:pPr>
        <w:pStyle w:val="16"/>
        <w:spacing w:before="31" w:after="31"/>
        <w:ind w:firstLine="480"/>
        <w:rPr>
          <w:szCs w:val="24"/>
        </w:rPr>
      </w:pPr>
      <w:r>
        <w:rPr>
          <w:szCs w:val="24"/>
        </w:rPr>
        <w:t>The fracture morphology at the crack location. Due to corrosion and damage, the true fracture appearance is not visible. However, a radial tearing ridge converges near the sealing end on the outer surface of the joint, indicating that the crack primarily propagated in a fatigue manner.</w:t>
      </w:r>
    </w:p>
    <w:p w14:paraId="59DB835E">
      <w:pPr>
        <w:pStyle w:val="16"/>
        <w:spacing w:before="31" w:after="31"/>
        <w:ind w:firstLine="480"/>
        <w:rPr>
          <w:szCs w:val="24"/>
        </w:rPr>
      </w:pPr>
      <w:r>
        <w:rPr>
          <w:szCs w:val="24"/>
        </w:rPr>
        <w:t>The microstructure near the crack at the threaded end of the joint. The base microstructure consists of tempered martensite and a small amount of upper bainite, with inclusions labeled as A1.0, B0.5, B1.0e, and DTiN0.5; the grain size is rated at level 7.</w:t>
      </w:r>
    </w:p>
    <w:p w14:paraId="20491656">
      <w:pPr>
        <w:pStyle w:val="16"/>
        <w:spacing w:before="31" w:after="31"/>
        <w:ind w:firstLine="480"/>
        <w:rPr>
          <w:szCs w:val="24"/>
        </w:rPr>
      </w:pPr>
      <w:r>
        <w:rPr>
          <w:szCs w:val="24"/>
        </w:rPr>
        <w:t>Metallographic analysis reveals that cracks near the outer surface of the joint have similar tissue on both sides. A "bright layer" of wear is present on the outer wall surface, with a thickness of approximately 0.04mm, indicating a change in the tissue near the crack.</w:t>
      </w:r>
    </w:p>
    <w:p w14:paraId="3F5FD884">
      <w:pPr>
        <w:pStyle w:val="16"/>
        <w:spacing w:before="31" w:after="31"/>
        <w:ind w:firstLine="480"/>
        <w:rPr>
          <w:szCs w:val="24"/>
        </w:rPr>
      </w:pPr>
      <w:r>
        <w:rPr>
          <w:szCs w:val="24"/>
        </w:rPr>
        <w:t>The failure was attributed to thermal friction cracking. The off-center wellhead and the larger outer diameter of the square drill pipe protective joint compared to adjacent drill tools resulted in significant friction when in contact with the wellhead anti-wear sleeve. The rotational motion of the square drill pipe protective joint under</w:t>
      </w:r>
    </w:p>
    <w:p w14:paraId="6BBDAA86">
      <w:pPr>
        <w:pStyle w:val="16"/>
        <w:spacing w:before="31" w:after="31"/>
        <w:ind w:firstLine="480"/>
        <w:rPr>
          <w:szCs w:val="24"/>
        </w:rPr>
      </w:pPr>
      <w:r>
        <w:rPr>
          <w:szCs w:val="24"/>
        </w:rPr>
        <w:t>the influence of the eccentric wellhead caused localized heating and thermal expansion, leading to longitudinal cracking.</w:t>
      </w:r>
    </w:p>
    <w:p w14:paraId="576ABC16">
      <w:pPr>
        <w:pStyle w:val="16"/>
        <w:spacing w:before="31" w:after="31"/>
        <w:ind w:firstLine="0" w:firstLineChars="0"/>
        <w:rPr>
          <w:szCs w:val="24"/>
        </w:rPr>
      </w:pPr>
      <w:r>
        <w:rPr>
          <w:szCs w:val="24"/>
        </w:rPr>
        <w:t>(6) Analysis of Failure Causes</w:t>
      </w:r>
    </w:p>
    <w:p w14:paraId="22EF93D9">
      <w:pPr>
        <w:pStyle w:val="16"/>
        <w:spacing w:before="31" w:after="31"/>
        <w:ind w:firstLine="480"/>
        <w:rPr>
          <w:szCs w:val="24"/>
        </w:rPr>
      </w:pPr>
      <w:r>
        <w:rPr>
          <w:szCs w:val="24"/>
        </w:rPr>
        <w:t>(a) The wellhead structure deviates from the center of the wellbore, and despite two corrections, eccentricity persists. Additionally, the protective joint for the directional drilling rod has a larger outer diameter compared to adjacent drilling tools. Therefore, the wellhead anti-wear sleeve imposes significant frictional resistance on the protective joint. During drilling, the rotating directional drilling rod protective joint experiences high lateral contact forces, leading to intense frictional effects.</w:t>
      </w:r>
    </w:p>
    <w:p w14:paraId="4AD2C760">
      <w:pPr>
        <w:pStyle w:val="16"/>
        <w:spacing w:before="31" w:after="31"/>
        <w:ind w:firstLine="480"/>
        <w:rPr>
          <w:szCs w:val="24"/>
        </w:rPr>
      </w:pPr>
      <w:r>
        <w:rPr>
          <w:szCs w:val="24"/>
        </w:rPr>
        <w:t>(b) When the directional drilling rod protective joint undergoes periodic contact friction with the wellhead anti-wear sleeve, frictional energy is converted into heat. The material on the outer surface of the joint undergoes periodic heating and cooling, resulting in changes in the material's microscopic structure and composition. Under the influence of periodic frictional forces, thermal expansion and contraction stress, and circumferential stress, microcracks develop in the weakened surface material. The internal threads of the directional drilling rod protective joint endure significant torque and experience substantial circumferential stress. Surface microcracks continue to propagate under circumferential stress until they penetrate the wall thickness. Typically, cracks propagate through stress corrosion or fatigue mechanisms.</w:t>
      </w:r>
    </w:p>
    <w:p w14:paraId="60EE2B16">
      <w:pPr>
        <w:pStyle w:val="16"/>
        <w:spacing w:before="31" w:after="31"/>
        <w:ind w:firstLine="480"/>
        <w:rPr>
          <w:szCs w:val="24"/>
        </w:rPr>
      </w:pPr>
      <w:r>
        <w:rPr>
          <w:szCs w:val="24"/>
        </w:rPr>
        <w:t>(c) The process of crack formation due to severe heating results in the generation of surface hard spots on tool joints and other components during the rotating process underground, induced by friction. These hard spots are prone to developing microcracks during the heating and cooling cycles (mud circulation). Calculations indicate that significant heat changes can occur with substantial lateral loads, leading to pipe hardening after cooling (mud circulation), which compromises the material's toughness.</w:t>
      </w:r>
    </w:p>
    <w:p w14:paraId="3B63199F">
      <w:pPr>
        <w:pStyle w:val="16"/>
        <w:spacing w:before="31" w:after="31"/>
        <w:ind w:firstLine="480"/>
        <w:rPr>
          <w:szCs w:val="24"/>
        </w:rPr>
      </w:pPr>
      <w:r>
        <w:rPr>
          <w:szCs w:val="24"/>
        </w:rPr>
        <w:t>(d) Damage to the depressions and protrusions on the sealing surface of the directional drilling rod protective joint occurs when foreign particles are squeezed in during the make-up process. After make-up, the longitudinal cross-section of the joint near the center of the impurity experiences substantial tensile stress. When the frictional heat cracks on the outer surface extend to this region, due to stress accumulation, the cracks accelerate and propagate until they penetrate the entire wall thickness.</w:t>
      </w:r>
    </w:p>
    <w:p w14:paraId="776B993B">
      <w:pPr>
        <w:pStyle w:val="16"/>
        <w:spacing w:before="31" w:after="31"/>
        <w:ind w:firstLine="0" w:firstLineChars="0"/>
        <w:rPr>
          <w:szCs w:val="24"/>
        </w:rPr>
      </w:pPr>
      <w:r>
        <w:rPr>
          <w:szCs w:val="24"/>
        </w:rPr>
        <w:t>(7) Impact and Harm Caused</w:t>
      </w:r>
    </w:p>
    <w:p w14:paraId="00A95E06">
      <w:pPr>
        <w:pStyle w:val="16"/>
        <w:spacing w:before="31" w:after="31"/>
        <w:ind w:firstLine="420" w:firstLineChars="0"/>
        <w:rPr>
          <w:szCs w:val="24"/>
        </w:rPr>
      </w:pPr>
      <w:r>
        <w:rPr>
          <w:szCs w:val="24"/>
        </w:rPr>
        <w:t>Null</w:t>
      </w:r>
    </w:p>
    <w:p w14:paraId="4F6C39E9">
      <w:pPr>
        <w:pStyle w:val="16"/>
        <w:spacing w:before="31" w:after="31"/>
        <w:ind w:firstLine="0" w:firstLineChars="0"/>
        <w:rPr>
          <w:szCs w:val="24"/>
        </w:rPr>
      </w:pPr>
      <w:r>
        <w:rPr>
          <w:szCs w:val="24"/>
        </w:rPr>
        <w:t>(8) Conclusion and Improvement Measures</w:t>
      </w:r>
    </w:p>
    <w:p w14:paraId="1E008404">
      <w:pPr>
        <w:pStyle w:val="16"/>
        <w:spacing w:before="31" w:after="31"/>
        <w:ind w:firstLine="480"/>
        <w:rPr>
          <w:szCs w:val="24"/>
        </w:rPr>
      </w:pPr>
      <w:r>
        <w:rPr>
          <w:szCs w:val="24"/>
        </w:rPr>
        <w:t>(a) The chemical composition and mechanical properties of the joint meet standard requirements.</w:t>
      </w:r>
    </w:p>
    <w:p w14:paraId="1D2FF4EC">
      <w:pPr>
        <w:pStyle w:val="16"/>
        <w:spacing w:before="31" w:after="31"/>
        <w:ind w:firstLine="480"/>
        <w:rPr>
          <w:szCs w:val="24"/>
        </w:rPr>
      </w:pPr>
      <w:r>
        <w:rPr>
          <w:szCs w:val="24"/>
        </w:rPr>
        <w:t>(b) The cracks in the joint result from frictional heat cracking.</w:t>
      </w:r>
    </w:p>
    <w:p w14:paraId="2CF51CE2">
      <w:pPr>
        <w:pStyle w:val="16"/>
        <w:spacing w:before="31" w:after="31"/>
        <w:ind w:firstLine="480"/>
        <w:rPr>
          <w:szCs w:val="24"/>
        </w:rPr>
      </w:pPr>
      <w:r>
        <w:rPr>
          <w:szCs w:val="24"/>
        </w:rPr>
        <w:t>(c) The lateral contact force imposed by the wellhead anti-wear sleeve on the directional drilling rod protective joint is the main cause of intense friction.</w:t>
      </w:r>
    </w:p>
    <w:p w14:paraId="64F2134D">
      <w:pPr>
        <w:pStyle w:val="16"/>
        <w:spacing w:before="31" w:after="31"/>
        <w:ind w:firstLine="480"/>
        <w:rPr>
          <w:szCs w:val="24"/>
        </w:rPr>
      </w:pPr>
      <w:r>
        <w:rPr>
          <w:szCs w:val="24"/>
        </w:rPr>
        <w:t>(d) Attention should be paid to the impact of thermal friction on downhole tools, and efforts should be made to minimize the resulting losses.</w:t>
      </w:r>
    </w:p>
    <w:p w14:paraId="0E724A78">
      <w:pPr>
        <w:pStyle w:val="16"/>
        <w:spacing w:before="31" w:after="31"/>
        <w:ind w:firstLine="0" w:firstLineChars="0"/>
        <w:rPr>
          <w:b/>
          <w:bCs/>
          <w:sz w:val="28"/>
          <w:szCs w:val="28"/>
        </w:rPr>
      </w:pPr>
    </w:p>
    <w:p w14:paraId="692A2A27">
      <w:pPr>
        <w:pStyle w:val="16"/>
        <w:spacing w:before="31" w:after="31"/>
        <w:ind w:firstLine="0" w:firstLineChars="0"/>
        <w:rPr>
          <w:szCs w:val="24"/>
        </w:rPr>
      </w:pPr>
      <w:r>
        <w:rPr>
          <w:rFonts w:hint="eastAsia"/>
          <w:b/>
          <w:bCs/>
          <w:sz w:val="28"/>
          <w:szCs w:val="28"/>
          <w:lang w:val="en-US" w:eastAsia="zh-CN"/>
        </w:rPr>
        <w:t>5</w:t>
      </w:r>
      <w:r>
        <w:rPr>
          <w:b/>
          <w:bCs/>
          <w:sz w:val="28"/>
          <w:szCs w:val="28"/>
        </w:rPr>
        <w:t xml:space="preserve"> Summary of Infrastructure Failure Cases</w:t>
      </w:r>
    </w:p>
    <w:p w14:paraId="2CD092C0">
      <w:pPr>
        <w:pStyle w:val="16"/>
        <w:spacing w:before="31" w:after="31"/>
        <w:ind w:firstLine="0" w:firstLineChars="0"/>
        <w:rPr>
          <w:b/>
          <w:bCs/>
          <w:szCs w:val="24"/>
        </w:rPr>
      </w:pPr>
      <w:r>
        <w:rPr>
          <w:rFonts w:hint="eastAsia"/>
          <w:b/>
          <w:bCs/>
          <w:szCs w:val="24"/>
          <w:lang w:val="en-US" w:eastAsia="zh-CN"/>
        </w:rPr>
        <w:t>5</w:t>
      </w:r>
      <w:r>
        <w:rPr>
          <w:b/>
          <w:bCs/>
          <w:szCs w:val="24"/>
        </w:rPr>
        <w:t>.</w:t>
      </w:r>
      <w:r>
        <w:rPr>
          <w:rFonts w:hint="eastAsia"/>
          <w:b/>
          <w:bCs/>
          <w:szCs w:val="24"/>
          <w:lang w:val="en-US" w:eastAsia="zh-CN"/>
        </w:rPr>
        <w:t>1</w:t>
      </w:r>
      <w:r>
        <w:rPr>
          <w:b/>
          <w:bCs/>
          <w:szCs w:val="24"/>
        </w:rPr>
        <w:t xml:space="preserve"> Case </w:t>
      </w:r>
      <w:r>
        <w:rPr>
          <w:rFonts w:hint="eastAsia"/>
          <w:b/>
          <w:bCs/>
          <w:szCs w:val="24"/>
          <w:lang w:val="en-US" w:eastAsia="zh-CN"/>
        </w:rPr>
        <w:t>5</w:t>
      </w:r>
      <w:r>
        <w:rPr>
          <w:b/>
          <w:bCs/>
          <w:szCs w:val="24"/>
        </w:rPr>
        <w:t>-7 Corrosion of Rebar in Concrete Piers of Haiyan Bridge</w:t>
      </w:r>
    </w:p>
    <w:p w14:paraId="23BB4294">
      <w:pPr>
        <w:pStyle w:val="16"/>
        <w:spacing w:before="31" w:after="31"/>
        <w:ind w:firstLine="0" w:firstLineChars="0"/>
        <w:rPr>
          <w:szCs w:val="24"/>
        </w:rPr>
      </w:pPr>
      <w:r>
        <w:rPr>
          <w:szCs w:val="24"/>
        </w:rPr>
        <w:t>(1) Case Name</w:t>
      </w:r>
    </w:p>
    <w:p w14:paraId="3556B5BA">
      <w:pPr>
        <w:pStyle w:val="16"/>
        <w:spacing w:before="31" w:after="31"/>
        <w:ind w:firstLine="480"/>
        <w:rPr>
          <w:szCs w:val="24"/>
        </w:rPr>
      </w:pPr>
      <w:r>
        <w:rPr>
          <w:szCs w:val="24"/>
        </w:rPr>
        <w:t>Corrosion of Rebar in Concrete Piers of Haiyan Bridge</w:t>
      </w:r>
    </w:p>
    <w:p w14:paraId="145EE4FA">
      <w:pPr>
        <w:pStyle w:val="16"/>
        <w:spacing w:before="31" w:after="31"/>
        <w:ind w:firstLine="0" w:firstLineChars="0"/>
        <w:rPr>
          <w:szCs w:val="24"/>
        </w:rPr>
      </w:pPr>
      <w:r>
        <w:rPr>
          <w:szCs w:val="24"/>
        </w:rPr>
        <w:t>(2) Failure Process Description</w:t>
      </w:r>
    </w:p>
    <w:p w14:paraId="608188C7">
      <w:pPr>
        <w:pStyle w:val="16"/>
        <w:spacing w:before="31" w:after="31"/>
        <w:ind w:firstLine="480"/>
        <w:rPr>
          <w:szCs w:val="24"/>
        </w:rPr>
      </w:pPr>
      <w:r>
        <w:rPr>
          <w:szCs w:val="24"/>
        </w:rPr>
        <w:t>Haiyan Bridge is located in a shallow water area with a tidal range of 1.2m. The bridge has experienced significant corrosion and damage to its concrete piers within six years of completion. Cracks, delamination of concrete, and reinforcement corrosion were observed, leading to load restrictions.</w:t>
      </w:r>
    </w:p>
    <w:p w14:paraId="4A9A5EBD">
      <w:pPr>
        <w:pStyle w:val="16"/>
        <w:spacing w:before="31" w:after="31"/>
        <w:ind w:firstLine="0" w:firstLineChars="0"/>
        <w:rPr>
          <w:szCs w:val="24"/>
        </w:rPr>
      </w:pPr>
      <w:r>
        <w:rPr>
          <w:szCs w:val="24"/>
        </w:rPr>
        <w:t>(3) Service Environment</w:t>
      </w:r>
    </w:p>
    <w:p w14:paraId="3CAD9317">
      <w:pPr>
        <w:pStyle w:val="16"/>
        <w:spacing w:before="31" w:after="31"/>
        <w:ind w:firstLine="480"/>
        <w:rPr>
          <w:szCs w:val="24"/>
        </w:rPr>
      </w:pPr>
      <w:r>
        <w:rPr>
          <w:szCs w:val="24"/>
        </w:rPr>
        <w:t>Located in a shallow water area with a tidal range of 1.2m.</w:t>
      </w:r>
    </w:p>
    <w:p w14:paraId="390FAA9D">
      <w:pPr>
        <w:pStyle w:val="16"/>
        <w:spacing w:before="31" w:after="31"/>
        <w:ind w:firstLine="0" w:firstLineChars="0"/>
        <w:rPr>
          <w:szCs w:val="24"/>
        </w:rPr>
      </w:pPr>
      <w:r>
        <w:rPr>
          <w:szCs w:val="24"/>
        </w:rPr>
        <w:t>(4) Failed Components and Material:</w:t>
      </w:r>
    </w:p>
    <w:p w14:paraId="71F68985">
      <w:pPr>
        <w:pStyle w:val="16"/>
        <w:spacing w:before="31" w:after="31"/>
        <w:ind w:firstLine="480"/>
        <w:rPr>
          <w:szCs w:val="24"/>
        </w:rPr>
      </w:pPr>
      <w:r>
        <w:rPr>
          <w:szCs w:val="24"/>
        </w:rPr>
        <w:t>Severe rebar corrosion occurred in the upper part of the concrete piers, leading to longitudinal cracks and peeling of the protective layer. Visual inspections and ultrasonic testing revealed significant damage.</w:t>
      </w:r>
    </w:p>
    <w:p w14:paraId="15ECA515">
      <w:pPr>
        <w:pStyle w:val="16"/>
        <w:spacing w:before="31" w:after="31"/>
        <w:ind w:firstLine="0" w:firstLineChars="0"/>
        <w:rPr>
          <w:szCs w:val="24"/>
        </w:rPr>
      </w:pPr>
      <w:r>
        <w:rPr>
          <w:szCs w:val="24"/>
        </w:rPr>
        <w:t>(5) Failed Component Morphology:</w:t>
      </w:r>
    </w:p>
    <w:p w14:paraId="7BB58B6A">
      <w:pPr>
        <w:pStyle w:val="16"/>
        <w:spacing w:before="31" w:after="31"/>
        <w:ind w:firstLine="420" w:firstLineChars="0"/>
        <w:rPr>
          <w:szCs w:val="24"/>
        </w:rPr>
      </w:pPr>
      <w:r>
        <w:rPr>
          <w:szCs w:val="24"/>
        </w:rPr>
        <w:t>Null</w:t>
      </w:r>
    </w:p>
    <w:p w14:paraId="2DA67C6E">
      <w:pPr>
        <w:pStyle w:val="16"/>
        <w:spacing w:before="31" w:after="31"/>
        <w:ind w:firstLine="0" w:firstLineChars="0"/>
        <w:rPr>
          <w:szCs w:val="24"/>
        </w:rPr>
      </w:pPr>
      <w:r>
        <w:rPr>
          <w:szCs w:val="24"/>
        </w:rPr>
        <w:t>(6) Failure Cause Analysis</w:t>
      </w:r>
    </w:p>
    <w:p w14:paraId="0474FE76">
      <w:pPr>
        <w:pStyle w:val="16"/>
        <w:spacing w:before="31" w:after="31"/>
        <w:ind w:firstLine="480"/>
        <w:rPr>
          <w:szCs w:val="24"/>
        </w:rPr>
      </w:pPr>
      <w:r>
        <w:rPr>
          <w:szCs w:val="24"/>
        </w:rPr>
        <w:t>(a) Core Drilling for Concrete Strength</w:t>
      </w:r>
    </w:p>
    <w:p w14:paraId="6952748B">
      <w:pPr>
        <w:pStyle w:val="16"/>
        <w:spacing w:before="31" w:after="31"/>
        <w:ind w:firstLine="480"/>
        <w:rPr>
          <w:szCs w:val="24"/>
        </w:rPr>
      </w:pPr>
      <w:r>
        <w:rPr>
          <w:szCs w:val="24"/>
        </w:rPr>
        <w:t>Core drilling for concrete compressive strength was conducted based on the Technical Specification for Testing Concrete Strength Using Core Drilling Method (CECS03:88). The results showed that the concrete compressive strength ranged from 40.0MPa to 57.4MPa, meeting design standards.</w:t>
      </w:r>
    </w:p>
    <w:p w14:paraId="60707679">
      <w:pPr>
        <w:pStyle w:val="16"/>
        <w:spacing w:before="31" w:after="31"/>
        <w:ind w:firstLine="480"/>
        <w:rPr>
          <w:szCs w:val="24"/>
        </w:rPr>
      </w:pPr>
      <w:r>
        <w:rPr>
          <w:szCs w:val="24"/>
        </w:rPr>
        <w:t>(b) Ultrasonic Testing for Concrete Defects</w:t>
      </w:r>
    </w:p>
    <w:p w14:paraId="7A0AEEA7">
      <w:pPr>
        <w:pStyle w:val="16"/>
        <w:spacing w:before="31" w:after="31"/>
        <w:ind w:firstLine="480"/>
        <w:rPr>
          <w:szCs w:val="24"/>
        </w:rPr>
      </w:pPr>
      <w:r>
        <w:rPr>
          <w:szCs w:val="24"/>
        </w:rPr>
        <w:t>Ultrasonic testing for concrete defects was conducted following the Technical Specification for Ultrasonic Testing of Concrete Defects (CECS21:90). Results showed that areas with intact concrete surfaces had higher wave velocities, indicating denser internal structures. Areas with surface cracks exhibited weaker signals, suggesting internal porosity. Combining this with core drilling results indicated delamination of the concrete surface layer.</w:t>
      </w:r>
    </w:p>
    <w:p w14:paraId="6AC0DB05">
      <w:pPr>
        <w:pStyle w:val="16"/>
        <w:spacing w:before="31" w:after="31"/>
        <w:ind w:firstLine="480"/>
        <w:rPr>
          <w:szCs w:val="24"/>
        </w:rPr>
      </w:pPr>
      <w:r>
        <w:rPr>
          <w:szCs w:val="24"/>
        </w:rPr>
        <w:t>(c) Detection of Rebar Corrosion Degree</w:t>
      </w:r>
    </w:p>
    <w:p w14:paraId="72280956">
      <w:pPr>
        <w:pStyle w:val="16"/>
        <w:spacing w:before="31" w:after="31"/>
        <w:ind w:firstLine="480"/>
        <w:rPr>
          <w:szCs w:val="24"/>
        </w:rPr>
      </w:pPr>
      <w:r>
        <w:rPr>
          <w:szCs w:val="24"/>
        </w:rPr>
        <w:t>Corrosion detection was performed on severely damaged upper sections of piers, and the data indicated significant corrosion, with rebar loss of approximately 2mm in diameter. Water samples from under the bridge showed elevated chloride and sulfate ion concentrations, exceeding the limits for reinforced concrete.</w:t>
      </w:r>
    </w:p>
    <w:p w14:paraId="5E21E0EB">
      <w:pPr>
        <w:pStyle w:val="16"/>
        <w:spacing w:before="31" w:after="31"/>
        <w:ind w:firstLine="480"/>
        <w:rPr>
          <w:szCs w:val="24"/>
        </w:rPr>
      </w:pPr>
      <w:r>
        <w:rPr>
          <w:szCs w:val="24"/>
        </w:rPr>
        <w:t>(d) Water Sample Analysis</w:t>
      </w:r>
    </w:p>
    <w:p w14:paraId="78EAC194">
      <w:pPr>
        <w:pStyle w:val="16"/>
        <w:spacing w:before="31" w:after="31"/>
        <w:ind w:firstLine="480"/>
        <w:rPr>
          <w:szCs w:val="24"/>
        </w:rPr>
      </w:pPr>
      <w:r>
        <w:rPr>
          <w:szCs w:val="24"/>
        </w:rPr>
        <w:t>Analysis of water samples revealed high chloride and sulfate ion concentrations in seawater under the bridge, contributing to the corrosion of rebar in concrete.</w:t>
      </w:r>
    </w:p>
    <w:p w14:paraId="411D7C17">
      <w:pPr>
        <w:pStyle w:val="16"/>
        <w:spacing w:before="31" w:after="31"/>
        <w:ind w:firstLine="0" w:firstLineChars="0"/>
        <w:rPr>
          <w:szCs w:val="24"/>
        </w:rPr>
      </w:pPr>
      <w:r>
        <w:rPr>
          <w:szCs w:val="24"/>
        </w:rPr>
        <w:t>(7) Impact and Harm Caused</w:t>
      </w:r>
    </w:p>
    <w:p w14:paraId="001F6BC7">
      <w:pPr>
        <w:pStyle w:val="16"/>
        <w:spacing w:before="31" w:after="31"/>
        <w:ind w:firstLine="420" w:firstLineChars="0"/>
        <w:rPr>
          <w:szCs w:val="24"/>
        </w:rPr>
      </w:pPr>
      <w:r>
        <w:rPr>
          <w:szCs w:val="24"/>
        </w:rPr>
        <w:t>Null</w:t>
      </w:r>
    </w:p>
    <w:p w14:paraId="176D9B18">
      <w:pPr>
        <w:pStyle w:val="16"/>
        <w:spacing w:before="31" w:after="31"/>
        <w:ind w:firstLine="0" w:firstLineChars="0"/>
        <w:rPr>
          <w:szCs w:val="24"/>
        </w:rPr>
      </w:pPr>
      <w:r>
        <w:rPr>
          <w:szCs w:val="24"/>
        </w:rPr>
        <w:t>(8) Conclusion and Improvement Measures</w:t>
      </w:r>
    </w:p>
    <w:p w14:paraId="32736783">
      <w:pPr>
        <w:pStyle w:val="16"/>
        <w:spacing w:before="31" w:after="31"/>
        <w:ind w:firstLine="480"/>
        <w:rPr>
          <w:szCs w:val="24"/>
        </w:rPr>
      </w:pPr>
      <w:r>
        <w:rPr>
          <w:szCs w:val="24"/>
        </w:rPr>
        <w:t>Despite being in service for only six years, the bridge's lower structures have experienced severe corrosion due to the harsh marine environment. The piers are in the third stage of corrosion, and the process is accelerating. To ensure the bridge's structural integrity and longevity, repairs and corrosion prevention measures are necessary.</w:t>
      </w:r>
    </w:p>
    <w:p w14:paraId="4909EB6F">
      <w:pPr>
        <w:pStyle w:val="16"/>
        <w:spacing w:before="31" w:after="31"/>
        <w:ind w:firstLine="480"/>
        <w:rPr>
          <w:szCs w:val="24"/>
        </w:rPr>
      </w:pPr>
      <w:r>
        <w:rPr>
          <w:szCs w:val="24"/>
        </w:rPr>
        <w:t>Given the insufficient protective layer thickness in the original design (2.5cm), which does not meet the specification's requirements for coastal areas (5cm), it is recommended to remove damaged or deteriorated concrete areas, perform necessary rebar rust removal and strengthening, and then pour new concrete to ensure an adequate impermeable protective layer (thickness and density). Specific measures include:</w:t>
      </w:r>
    </w:p>
    <w:p w14:paraId="0324C801">
      <w:pPr>
        <w:pStyle w:val="16"/>
        <w:spacing w:before="31" w:after="31"/>
        <w:ind w:firstLine="480"/>
        <w:rPr>
          <w:szCs w:val="24"/>
        </w:rPr>
      </w:pPr>
      <w:r>
        <w:rPr>
          <w:szCs w:val="24"/>
        </w:rPr>
        <w:t>(a) Chisel vertical grooves at least 5cm wide along the main rebar cracks in the range of 30cm below the top of the pier pile cap. Expose the main rebar and remove the damaged protective layer, with a depth not less than 0.5cm from undamaged concrete.</w:t>
      </w:r>
    </w:p>
    <w:p w14:paraId="0991B961">
      <w:pPr>
        <w:pStyle w:val="16"/>
        <w:spacing w:before="31" w:after="31"/>
        <w:ind w:firstLine="480"/>
        <w:rPr>
          <w:szCs w:val="24"/>
        </w:rPr>
      </w:pPr>
      <w:r>
        <w:rPr>
          <w:szCs w:val="24"/>
        </w:rPr>
        <w:t>(b) Chisel the surface concrete of the pier column in damaged and untreated areas to create a rough surface.</w:t>
      </w:r>
    </w:p>
    <w:p w14:paraId="4063AE29">
      <w:pPr>
        <w:pStyle w:val="16"/>
        <w:spacing w:before="31" w:after="31"/>
        <w:ind w:firstLine="480"/>
        <w:rPr>
          <w:szCs w:val="24"/>
        </w:rPr>
      </w:pPr>
      <w:r>
        <w:rPr>
          <w:szCs w:val="24"/>
        </w:rPr>
        <w:t>(c) Remove rust from corroded rebar, install rebar cages, and pour concrete.</w:t>
      </w:r>
    </w:p>
    <w:p w14:paraId="0CAEA8B2">
      <w:pPr>
        <w:pStyle w:val="16"/>
        <w:spacing w:before="31" w:after="31"/>
        <w:ind w:firstLine="480"/>
        <w:rPr>
          <w:szCs w:val="24"/>
        </w:rPr>
      </w:pPr>
      <w:r>
        <w:rPr>
          <w:szCs w:val="24"/>
        </w:rPr>
        <w:t>(d) To improve concrete density, control the water-cement ratio strictly during concrete mixing (maximum water-cement ratio of 0.50-0.55). Use 350-400kg/m3 of cement in the concrete mix and add 3% of the cement quantity of the Rl-103 rust inhibitor (with a water-reducing component and a water-reducing rate of about 16%). During pouring, pay attention to maintaining roughly the same elevation of the concrete around the pier.</w:t>
      </w:r>
    </w:p>
    <w:p w14:paraId="09D352BC">
      <w:pPr>
        <w:pStyle w:val="16"/>
        <w:spacing w:before="31" w:after="31"/>
        <w:ind w:firstLine="0" w:firstLineChars="0"/>
        <w:rPr>
          <w:b/>
          <w:bCs/>
          <w:szCs w:val="24"/>
        </w:rPr>
      </w:pPr>
      <w:r>
        <w:rPr>
          <w:rFonts w:hint="eastAsia"/>
          <w:b/>
          <w:bCs/>
          <w:szCs w:val="24"/>
          <w:lang w:val="en-US" w:eastAsia="zh-CN"/>
        </w:rPr>
        <w:t>5</w:t>
      </w:r>
      <w:r>
        <w:rPr>
          <w:b/>
          <w:bCs/>
          <w:szCs w:val="24"/>
        </w:rPr>
        <w:t>.</w:t>
      </w:r>
      <w:r>
        <w:rPr>
          <w:rFonts w:hint="eastAsia"/>
          <w:b/>
          <w:bCs/>
          <w:szCs w:val="24"/>
          <w:lang w:val="en-US" w:eastAsia="zh-CN"/>
        </w:rPr>
        <w:t>2</w:t>
      </w:r>
      <w:r>
        <w:rPr>
          <w:b/>
          <w:bCs/>
          <w:szCs w:val="24"/>
        </w:rPr>
        <w:t xml:space="preserve"> Case </w:t>
      </w:r>
      <w:r>
        <w:rPr>
          <w:rFonts w:hint="eastAsia"/>
          <w:b/>
          <w:bCs/>
          <w:szCs w:val="24"/>
          <w:lang w:val="en-US" w:eastAsia="zh-CN"/>
        </w:rPr>
        <w:t>5</w:t>
      </w:r>
      <w:r>
        <w:rPr>
          <w:b/>
          <w:bCs/>
          <w:szCs w:val="24"/>
        </w:rPr>
        <w:t>-8: Subsidence of Roadbed in Southern Shaanxi</w:t>
      </w:r>
    </w:p>
    <w:p w14:paraId="46E11A20">
      <w:pPr>
        <w:pStyle w:val="16"/>
        <w:spacing w:before="31" w:after="31"/>
        <w:ind w:firstLine="0" w:firstLineChars="0"/>
        <w:rPr>
          <w:szCs w:val="24"/>
        </w:rPr>
      </w:pPr>
      <w:r>
        <w:rPr>
          <w:szCs w:val="24"/>
        </w:rPr>
        <w:t>(1) Case Name</w:t>
      </w:r>
    </w:p>
    <w:p w14:paraId="7EFF70EC">
      <w:pPr>
        <w:pStyle w:val="16"/>
        <w:spacing w:before="31" w:after="31"/>
        <w:ind w:firstLine="480"/>
        <w:rPr>
          <w:szCs w:val="24"/>
        </w:rPr>
      </w:pPr>
      <w:r>
        <w:rPr>
          <w:szCs w:val="24"/>
        </w:rPr>
        <w:t>Subsidence of Roadbed in Southern Shaanxi</w:t>
      </w:r>
    </w:p>
    <w:p w14:paraId="6CF86D0D">
      <w:pPr>
        <w:pStyle w:val="16"/>
        <w:spacing w:before="31" w:after="31"/>
        <w:ind w:firstLine="0" w:firstLineChars="0"/>
        <w:rPr>
          <w:szCs w:val="24"/>
        </w:rPr>
      </w:pPr>
      <w:r>
        <w:rPr>
          <w:szCs w:val="24"/>
        </w:rPr>
        <w:t>(2) Description of Failure Process</w:t>
      </w:r>
    </w:p>
    <w:p w14:paraId="09F5D7CA">
      <w:pPr>
        <w:pStyle w:val="16"/>
        <w:spacing w:before="31" w:after="31"/>
        <w:ind w:firstLine="480"/>
        <w:rPr>
          <w:szCs w:val="24"/>
        </w:rPr>
      </w:pPr>
      <w:r>
        <w:rPr>
          <w:szCs w:val="24"/>
        </w:rPr>
        <w:t>National Highway 316 in the Shaanxi section has a total length of 622.798 km. The geological structure along the route is complex, and the prominent conflicts between human and land have led to extensive exploitation of natural resources, causing a rapid deterioration of the environment. The initial construction grade of the road was low, and despite years of renovation and maintenance, insufficient investment and inadequate treatment in some areas have resulted in annual occurrences of roadbed subsidence, significantly impacting the social and economic development of the Qinba Mountain region in Southern Shaanxi.</w:t>
      </w:r>
    </w:p>
    <w:p w14:paraId="6A526E21">
      <w:pPr>
        <w:pStyle w:val="16"/>
        <w:spacing w:before="31" w:after="31"/>
        <w:ind w:firstLine="0" w:firstLineChars="0"/>
        <w:rPr>
          <w:szCs w:val="24"/>
        </w:rPr>
      </w:pPr>
      <w:r>
        <w:rPr>
          <w:szCs w:val="24"/>
        </w:rPr>
        <w:t>(3) Service Environment</w:t>
      </w:r>
    </w:p>
    <w:p w14:paraId="197A1DBE">
      <w:pPr>
        <w:pStyle w:val="16"/>
        <w:spacing w:before="31" w:after="31"/>
        <w:ind w:firstLine="420" w:firstLineChars="0"/>
        <w:rPr>
          <w:szCs w:val="24"/>
        </w:rPr>
      </w:pPr>
      <w:r>
        <w:rPr>
          <w:szCs w:val="24"/>
        </w:rPr>
        <w:t>Null</w:t>
      </w:r>
    </w:p>
    <w:p w14:paraId="18804177">
      <w:pPr>
        <w:pStyle w:val="16"/>
        <w:spacing w:before="31" w:after="31"/>
        <w:ind w:firstLine="0" w:firstLineChars="0"/>
        <w:rPr>
          <w:szCs w:val="24"/>
        </w:rPr>
      </w:pPr>
      <w:r>
        <w:rPr>
          <w:szCs w:val="24"/>
        </w:rPr>
        <w:t>(4) Failed Components and Material</w:t>
      </w:r>
    </w:p>
    <w:p w14:paraId="1DC4D598">
      <w:pPr>
        <w:pStyle w:val="16"/>
        <w:spacing w:before="31" w:after="31"/>
        <w:ind w:firstLine="420" w:firstLineChars="0"/>
        <w:rPr>
          <w:szCs w:val="24"/>
        </w:rPr>
      </w:pPr>
      <w:r>
        <w:rPr>
          <w:szCs w:val="24"/>
        </w:rPr>
        <w:t>Null</w:t>
      </w:r>
    </w:p>
    <w:p w14:paraId="2EE40341">
      <w:pPr>
        <w:pStyle w:val="16"/>
        <w:spacing w:before="31" w:after="31"/>
        <w:ind w:firstLine="0" w:firstLineChars="0"/>
        <w:rPr>
          <w:szCs w:val="24"/>
        </w:rPr>
      </w:pPr>
      <w:r>
        <w:rPr>
          <w:szCs w:val="24"/>
        </w:rPr>
        <w:t>(5) Failed Component Morphology</w:t>
      </w:r>
    </w:p>
    <w:p w14:paraId="7F44BB97">
      <w:pPr>
        <w:pStyle w:val="16"/>
        <w:spacing w:before="31" w:after="31"/>
        <w:ind w:firstLine="420" w:firstLineChars="0"/>
        <w:rPr>
          <w:rFonts w:hint="eastAsia"/>
          <w:szCs w:val="24"/>
        </w:rPr>
      </w:pPr>
      <w:r>
        <w:rPr>
          <w:szCs w:val="24"/>
        </w:rPr>
        <w:t>Null</w:t>
      </w:r>
    </w:p>
    <w:p w14:paraId="22BB4377">
      <w:pPr>
        <w:pStyle w:val="16"/>
        <w:spacing w:before="31" w:after="31"/>
        <w:ind w:firstLine="0" w:firstLineChars="0"/>
        <w:rPr>
          <w:szCs w:val="24"/>
        </w:rPr>
      </w:pPr>
      <w:r>
        <w:rPr>
          <w:szCs w:val="24"/>
        </w:rPr>
        <w:t>(6) Analysis of Failure Causes</w:t>
      </w:r>
    </w:p>
    <w:p w14:paraId="4FC38379">
      <w:pPr>
        <w:pStyle w:val="16"/>
        <w:spacing w:before="31" w:after="31"/>
        <w:ind w:firstLine="480"/>
        <w:rPr>
          <w:szCs w:val="24"/>
        </w:rPr>
      </w:pPr>
      <w:r>
        <w:rPr>
          <w:szCs w:val="24"/>
        </w:rPr>
        <w:t>(a) Category 1 Damage</w:t>
      </w:r>
    </w:p>
    <w:p w14:paraId="0EADC34A">
      <w:pPr>
        <w:pStyle w:val="16"/>
        <w:spacing w:before="31" w:after="31"/>
        <w:ind w:firstLine="480"/>
        <w:rPr>
          <w:szCs w:val="24"/>
        </w:rPr>
      </w:pPr>
      <w:r>
        <w:rPr>
          <w:szCs w:val="24"/>
        </w:rPr>
        <w:t>The specifications classify soil embankments with a height greater than 12m (with sand and gravel as fill material) or 20m (with materials other than sand, gravel as fill) as high embankments. Areas filled with fine-grained soil to build embankments with a height exceeding 6m in rice fields or perennially flooded areas and embankments with a height exceeding 20m in other areas are defined as high-fill embankments. One instance of roadbed subsidence (K1936+100~+130) was caused by high embankments. The predominant rock types in Southern Shaanxi are reddish-brown, yellowish-brown clay, and subclay. The low density, high compressibility, and low bearing capacity of the surface soil make it susceptible to compression settlement and squeezing displacement when the roadbed fill material increases, resulting in ground subsidence. The subsidence manifests as uneven settling, local sinking, and overall subsidence on the road surface. Roadbed subsidence occurs in two categories: roadbed subsidence and foundation subsidence.</w:t>
      </w:r>
    </w:p>
    <w:p w14:paraId="210DF363">
      <w:pPr>
        <w:pStyle w:val="16"/>
        <w:spacing w:before="31" w:after="31"/>
        <w:ind w:firstLine="0" w:firstLineChars="0"/>
        <w:rPr>
          <w:szCs w:val="24"/>
        </w:rPr>
      </w:pPr>
      <w:r>
        <w:rPr>
          <w:szCs w:val="24"/>
        </w:rPr>
        <w:t>(b) Category 2 Damage</w:t>
      </w:r>
    </w:p>
    <w:p w14:paraId="0A77D354">
      <w:pPr>
        <w:pStyle w:val="16"/>
        <w:spacing w:before="31" w:after="31"/>
        <w:ind w:firstLine="480"/>
        <w:rPr>
          <w:szCs w:val="24"/>
        </w:rPr>
      </w:pPr>
      <w:r>
        <w:rPr>
          <w:szCs w:val="24"/>
        </w:rPr>
        <w:t>Southern Shaanxi spans a warm temperate zone and a northern subtropical zone, with a climate transitioning from maritime to continental. The region experiences a warm climate with abundant rainfall, ranging from 800 to 1200mm annually, concentrated mainly in July to September in the form of continuous, heavy, and torrential rains. During the annual rainy season, accumulated water on the ground, not effectively drained, gathers at the foot of slopes. Rainwater infiltrates loose roadbed fill material, increasing soil pressure and causing partial subsidence of the roadbed under load, with severe cases leading to overall roadbed subsidence. There are five instances of this type of disaster in Southern Shaanxi. In the K1866+000~+100 segment, the upper slope and side ditch have been damaged, leading to water erosion on the slope surface. Without timely repair, rainwater collected in the slope surface enters the roadbed through cracks in the side ditch, causing roadbed subsidence.</w:t>
      </w:r>
    </w:p>
    <w:p w14:paraId="64CD024A">
      <w:pPr>
        <w:pStyle w:val="16"/>
        <w:spacing w:before="31" w:after="31"/>
        <w:ind w:firstLine="480"/>
        <w:rPr>
          <w:szCs w:val="24"/>
        </w:rPr>
      </w:pPr>
      <w:r>
        <w:rPr>
          <w:szCs w:val="24"/>
        </w:rPr>
        <w:t>(c) Category 3 Damage</w:t>
      </w:r>
    </w:p>
    <w:p w14:paraId="57FA6AA8">
      <w:pPr>
        <w:pStyle w:val="16"/>
        <w:spacing w:before="31" w:after="31"/>
        <w:ind w:firstLine="480"/>
        <w:rPr>
          <w:szCs w:val="24"/>
        </w:rPr>
      </w:pPr>
      <w:r>
        <w:rPr>
          <w:szCs w:val="24"/>
        </w:rPr>
        <w:t>Southern Shaanxi is an area with widespread distribution of weak rock layers such as shale, slate, and Qianmei rock. The slopes and residual layers are thick, and the predominant soil types are cohesive and expansive soils. Abundant groundwater often springs out at the contact surfaces of rock layers, softening weak rock layers like Qianmei rock, reducing the bearing capacity of the roadbed, and causing subsidence. In the K1242+100~+350 section, the roadbed soil is medium-weak expansive soil, which shrinks and cracks when dry and expands and softens when wet. When used as roadbed fill material, serious shrinkage cracking occurs with the loss of soil moisture, leading to repeated cycles of drying and wetting, causing significant harm to the highway.</w:t>
      </w:r>
    </w:p>
    <w:p w14:paraId="42888BF1">
      <w:pPr>
        <w:pStyle w:val="16"/>
        <w:spacing w:before="31" w:after="31"/>
        <w:ind w:firstLine="480"/>
        <w:rPr>
          <w:szCs w:val="24"/>
        </w:rPr>
      </w:pPr>
      <w:r>
        <w:rPr>
          <w:szCs w:val="24"/>
        </w:rPr>
        <w:t>(d) Category 4 Damage</w:t>
      </w:r>
    </w:p>
    <w:p w14:paraId="66B66D72">
      <w:pPr>
        <w:pStyle w:val="16"/>
        <w:spacing w:before="31" w:after="31"/>
        <w:ind w:firstLine="482"/>
        <w:jc w:val="center"/>
        <w:rPr>
          <w:b/>
          <w:bCs/>
          <w:szCs w:val="24"/>
        </w:rPr>
      </w:pPr>
      <w:r>
        <w:rPr>
          <w:szCs w:val="24"/>
        </w:rPr>
        <w:t>The unique geographical environment of the Qinba Mountain region in Southern Shaanxi is conducive to active surface processes, especially the prominent development of landslides. Poor drainage facilities around landslides and within the sliding mass reduce shear strength. A sliding surface of sliding soil is formed at the boundary between excavation and fill, causing vertical movement at the rear half of the roadbed after a landslide and resulting in roadbed subsidence. There are two instances of this type of disaster: K1228+200~+300 and K1747+230~+270.</w:t>
      </w:r>
    </w:p>
    <w:p w14:paraId="443E310A">
      <w:pPr>
        <w:pStyle w:val="16"/>
        <w:spacing w:before="31" w:after="31"/>
        <w:ind w:firstLine="480"/>
        <w:rPr>
          <w:szCs w:val="24"/>
        </w:rPr>
      </w:pPr>
      <w:r>
        <w:rPr>
          <w:szCs w:val="24"/>
        </w:rPr>
        <w:t>(e) Category 5 Damage</w:t>
      </w:r>
    </w:p>
    <w:p w14:paraId="64B76A9F">
      <w:pPr>
        <w:pStyle w:val="16"/>
        <w:spacing w:before="31" w:after="31"/>
        <w:ind w:firstLine="480"/>
        <w:rPr>
          <w:szCs w:val="24"/>
        </w:rPr>
      </w:pPr>
      <w:r>
        <w:rPr>
          <w:szCs w:val="24"/>
        </w:rPr>
        <w:t>The water system in the Qinling Mountains is well developed, with the Han River system accounting for 61.2% of the total drainage area. The Han River valley is relatively narrow, with high water flow, fast flow velocity, and large water level fluctuations. During the flood season, water levels in the river can vary by 10 to 20 meters, reaching a maximum of 30 meters. At the same time, the water level and flow of the Han River are affected by the flood discharge from upstream reservoirs, often causing fluctuations in the roadbed's lower slopes. In the K1822+200~+300 section, subsidence occurs every year after the flood, with cracks in the road surface near the outer edge of the road. Roadbed subsidence leads to surface cracking and water seepage.</w:t>
      </w:r>
    </w:p>
    <w:p w14:paraId="2242CBFA">
      <w:pPr>
        <w:pStyle w:val="16"/>
        <w:spacing w:before="31" w:after="31"/>
        <w:ind w:firstLine="0" w:firstLineChars="0"/>
        <w:rPr>
          <w:szCs w:val="24"/>
        </w:rPr>
      </w:pPr>
      <w:r>
        <w:rPr>
          <w:szCs w:val="24"/>
        </w:rPr>
        <w:t>(7) Impact and Harm Caused</w:t>
      </w:r>
    </w:p>
    <w:p w14:paraId="13BF182D">
      <w:pPr>
        <w:pStyle w:val="16"/>
        <w:spacing w:before="31" w:after="31"/>
        <w:ind w:firstLine="420" w:firstLineChars="0"/>
        <w:rPr>
          <w:szCs w:val="24"/>
        </w:rPr>
      </w:pPr>
      <w:r>
        <w:rPr>
          <w:szCs w:val="24"/>
        </w:rPr>
        <w:t>Null</w:t>
      </w:r>
    </w:p>
    <w:p w14:paraId="16304D7C">
      <w:pPr>
        <w:pStyle w:val="16"/>
        <w:spacing w:before="31" w:after="31"/>
        <w:ind w:firstLine="0" w:firstLineChars="0"/>
        <w:rPr>
          <w:szCs w:val="24"/>
        </w:rPr>
      </w:pPr>
      <w:r>
        <w:rPr>
          <w:szCs w:val="24"/>
        </w:rPr>
        <w:t>(8) Conclusions and Improvement Measures</w:t>
      </w:r>
    </w:p>
    <w:p w14:paraId="366F19DD">
      <w:pPr>
        <w:pStyle w:val="16"/>
        <w:spacing w:before="31" w:after="31"/>
        <w:ind w:firstLine="480"/>
        <w:rPr>
          <w:szCs w:val="24"/>
        </w:rPr>
      </w:pPr>
      <w:r>
        <w:rPr>
          <w:szCs w:val="24"/>
        </w:rPr>
        <w:t>(a) Conclusions</w:t>
      </w:r>
    </w:p>
    <w:p w14:paraId="2D967755">
      <w:pPr>
        <w:pStyle w:val="16"/>
        <w:spacing w:before="31" w:after="31"/>
        <w:ind w:firstLine="480"/>
        <w:rPr>
          <w:szCs w:val="24"/>
        </w:rPr>
      </w:pPr>
      <w:r>
        <w:rPr>
          <w:szCs w:val="24"/>
        </w:rPr>
        <w:t>The roadbed subsidence in Southern Shaanxi is caused by multiple factors, including landslides, floods, soil quality, and construction activities. It is essential to prioritize and implement measures tailored to the specific conditions of each area to effectively address the issues. Additionally, water is a crucial factor leading to roadbed subsidence, and effective measures to eliminate roadbed water and prevent water infiltration are necessary to ensure roadbed stability.</w:t>
      </w:r>
    </w:p>
    <w:p w14:paraId="79672DB7">
      <w:pPr>
        <w:pStyle w:val="16"/>
        <w:spacing w:before="31" w:after="31"/>
        <w:ind w:firstLine="480"/>
        <w:rPr>
          <w:szCs w:val="24"/>
        </w:rPr>
      </w:pPr>
      <w:r>
        <w:rPr>
          <w:szCs w:val="24"/>
        </w:rPr>
        <w:t>(b) Improvement Measures</w:t>
      </w:r>
    </w:p>
    <w:p w14:paraId="0336BD70">
      <w:pPr>
        <w:pStyle w:val="16"/>
        <w:spacing w:before="31" w:after="31"/>
        <w:ind w:firstLine="480"/>
        <w:rPr>
          <w:szCs w:val="24"/>
        </w:rPr>
      </w:pPr>
      <w:r>
        <w:rPr>
          <w:szCs w:val="24"/>
        </w:rPr>
        <w:t>Following the principles of "tailoring measures to local conditions, comprehensive management, and cost-effectiveness," the following improvement measures are proposed:</w:t>
      </w:r>
    </w:p>
    <w:p w14:paraId="2758510A">
      <w:pPr>
        <w:pStyle w:val="16"/>
        <w:spacing w:before="31" w:after="31"/>
        <w:ind w:firstLine="480"/>
        <w:rPr>
          <w:szCs w:val="24"/>
        </w:rPr>
      </w:pPr>
      <w:r>
        <w:rPr>
          <w:szCs w:val="24"/>
        </w:rPr>
        <w:t>1. For roadbed subsidence caused by high embankments, the consolidation method with overburden pressure should be employed to strengthen the foundation. After the construction of the new roadbed is completed, a load exceeding the calculated pressure value of the roadbed should be applied to compact the foundation soil. Controlling construction quality is crucial, with pre-treatment of the base by removing tree roots, weeds, etc. The roadbed fill material should be well-graded coarse soil. Suitable compaction machinery should be used to compact the roadbed, with a focus on controlling compaction quality and enhancing the density and uniformity of the soil. Adequate drainage measures should also be implemented.</w:t>
      </w:r>
    </w:p>
    <w:p w14:paraId="4D4F2DB9">
      <w:pPr>
        <w:pStyle w:val="16"/>
        <w:spacing w:before="31" w:after="31"/>
        <w:ind w:firstLine="480"/>
        <w:rPr>
          <w:szCs w:val="24"/>
        </w:rPr>
      </w:pPr>
      <w:r>
        <w:rPr>
          <w:szCs w:val="24"/>
        </w:rPr>
        <w:t>2. For roadbed construction on loose accumulations, construction of retaining structures such as retaining walls should be prioritized to enhance soil stability. Surface drainage facilities should be improved. Retaining walls help prevent deformation and instability of the filled soil and are suitable for unstable slopes, such as high-fill embankments and riverbank roadbeds subjected to long-term immersion. Larger retaining walls can be made in a stepped fashion to disperse soil pressure more effectively. Meanwhile,</w:t>
      </w:r>
    </w:p>
    <w:p w14:paraId="523442A3">
      <w:pPr>
        <w:pStyle w:val="16"/>
        <w:spacing w:before="31" w:after="31"/>
        <w:ind w:firstLine="480"/>
        <w:rPr>
          <w:szCs w:val="24"/>
        </w:rPr>
      </w:pPr>
      <w:r>
        <w:rPr>
          <w:szCs w:val="24"/>
        </w:rPr>
        <w:t>drainage facilities should be improved to timely divert surface water from the roadbed, preventing infiltration.</w:t>
      </w:r>
    </w:p>
    <w:p w14:paraId="2A0B003D">
      <w:pPr>
        <w:pStyle w:val="16"/>
        <w:spacing w:before="31" w:after="31"/>
        <w:ind w:firstLine="480"/>
        <w:rPr>
          <w:szCs w:val="24"/>
        </w:rPr>
      </w:pPr>
      <w:r>
        <w:rPr>
          <w:szCs w:val="24"/>
        </w:rPr>
        <w:t>3. Special attention should be given to the widespread distribution of expansive soils, clay, and accumulated soil in Southern Shaanxi. Measures should be taken to address roadbed subsidence caused by the softening of these soils when exposed to water. The use of soil mixing piles for foundation treatment is recommended, especially in areas with expansive soils and clay. This method is cost-effective, convenient, and environmentally friendly, with no vibration, noise, or pollution during construction. It effectively improves the bearing capacity of the foundation while enhancing the underground drainage system. Additionally, internal drainage ditches should be constructed in the roadbed, collecting groundwater through infiltration. The use of permeable concrete and geotextile can replace or be part of the filter layer to improve filtration efficiency. The use of TENAX three-dimensional composite drainage nets can strengthen the foundation, providing rapid drainage and cost savings.</w:t>
      </w:r>
    </w:p>
    <w:p w14:paraId="7BD12BE7">
      <w:pPr>
        <w:pStyle w:val="16"/>
        <w:spacing w:before="31" w:after="31"/>
        <w:ind w:firstLine="480"/>
        <w:rPr>
          <w:szCs w:val="24"/>
        </w:rPr>
      </w:pPr>
      <w:r>
        <w:rPr>
          <w:szCs w:val="24"/>
        </w:rPr>
        <w:t>4. For roadbed subsidence caused by landslides, landslide control should be the focus. Structural support should be provided by installing anti-slide structures, such as anti-slide walls at the lower part of the landslide and shoulder walls in local sections of the road. This enhances anti-slide resistance, stabilizing the landslide. To enhance the natural anti-slide capabilities of the sliding mass, water interception ditches should be constructed along the perimeter of the landslide. Surface water intercepted around the landslide is directed into roadside ditches, cutting off the erosion of the landslide by surface water and the replenishment of groundwater to the sliding mass. In addition, inclined drainage pipes should be installed in the lower slopes of the roadbed to eliminate groundwater and improve the shear resistance of the slope.</w:t>
      </w:r>
    </w:p>
    <w:p w14:paraId="4E38F639">
      <w:pPr>
        <w:pStyle w:val="16"/>
        <w:spacing w:before="31" w:after="31"/>
        <w:ind w:firstLine="0" w:firstLineChars="0"/>
        <w:rPr>
          <w:szCs w:val="24"/>
        </w:rPr>
      </w:pPr>
      <w:r>
        <w:rPr>
          <w:szCs w:val="24"/>
        </w:rPr>
        <w:t>5. Floods have a significant impact on riverside highways in Southern Shaanxi. To reduce the erosion and infiltration of floodwaters on the roadbed and slopes, protective walls should be constructed. These walls can support the roadbed fill and ensure stability. They offer the advantages of convenient construction and simple structure. Wire gabions are commonly used for protective walls, and the foundation should have sufficient depth during construction. Slope protection should also be applied to enhance slope stability. Additionally, drainage facilities should be complemented by the construction of culverts to ensure smooth drainage, preventing the intrusion of rainwater and groundwater. After treatment, the roadbed subsidence sections in Southern Shaanxi are currently in good operational condition. The construction of retaining walls has shown significant effectiveness and economic efficiency. Some sections, however, did not achieve the desired results due to construction reasons, indicating the need for improved construction quality.</w:t>
      </w:r>
    </w:p>
    <w:p w14:paraId="54C057AE">
      <w:pPr>
        <w:pStyle w:val="16"/>
        <w:spacing w:before="31" w:after="31"/>
        <w:ind w:firstLine="0" w:firstLineChars="0"/>
        <w:rPr>
          <w:b/>
          <w:bCs/>
          <w:sz w:val="32"/>
          <w:szCs w:val="32"/>
        </w:rPr>
      </w:pPr>
    </w:p>
    <w:p w14:paraId="56BB0825">
      <w:pPr>
        <w:pStyle w:val="16"/>
        <w:spacing w:before="31" w:after="31"/>
        <w:ind w:firstLine="0" w:firstLineChars="0"/>
        <w:rPr>
          <w:szCs w:val="24"/>
        </w:rPr>
      </w:pPr>
      <w:r>
        <w:rPr>
          <w:rFonts w:hint="eastAsia"/>
          <w:b/>
          <w:bCs/>
          <w:sz w:val="32"/>
          <w:szCs w:val="32"/>
          <w:lang w:val="en-US" w:eastAsia="zh-CN"/>
        </w:rPr>
        <w:t>6</w:t>
      </w:r>
      <w:r>
        <w:rPr>
          <w:b/>
          <w:bCs/>
          <w:sz w:val="32"/>
          <w:szCs w:val="32"/>
        </w:rPr>
        <w:t xml:space="preserve"> Summary of Aerospace Failure Cases</w:t>
      </w:r>
    </w:p>
    <w:p w14:paraId="371C52E1">
      <w:pPr>
        <w:pStyle w:val="16"/>
        <w:spacing w:before="31" w:after="31"/>
        <w:ind w:firstLine="0" w:firstLineChars="0"/>
        <w:rPr>
          <w:b/>
          <w:bCs/>
          <w:szCs w:val="24"/>
        </w:rPr>
      </w:pPr>
      <w:r>
        <w:rPr>
          <w:rFonts w:hint="eastAsia"/>
          <w:b/>
          <w:bCs/>
          <w:szCs w:val="24"/>
          <w:lang w:val="en-US" w:eastAsia="zh-CN"/>
        </w:rPr>
        <w:t>6.1</w:t>
      </w:r>
      <w:r>
        <w:rPr>
          <w:b/>
          <w:bCs/>
          <w:szCs w:val="24"/>
        </w:rPr>
        <w:t xml:space="preserve"> Case </w:t>
      </w:r>
      <w:r>
        <w:rPr>
          <w:rFonts w:hint="eastAsia"/>
          <w:b/>
          <w:bCs/>
          <w:szCs w:val="24"/>
          <w:lang w:val="en-US" w:eastAsia="zh-CN"/>
        </w:rPr>
        <w:t>6</w:t>
      </w:r>
      <w:r>
        <w:rPr>
          <w:b/>
          <w:bCs/>
          <w:szCs w:val="24"/>
        </w:rPr>
        <w:t>-18 Aircraft Engine Turbine Stage II Blade Fracture</w:t>
      </w:r>
    </w:p>
    <w:p w14:paraId="2C307B5A">
      <w:pPr>
        <w:pStyle w:val="16"/>
        <w:spacing w:before="31" w:after="31"/>
        <w:ind w:firstLine="480"/>
        <w:rPr>
          <w:szCs w:val="24"/>
        </w:rPr>
      </w:pPr>
      <w:r>
        <w:rPr>
          <w:szCs w:val="24"/>
        </w:rPr>
        <w:t>(1) Case Name</w:t>
      </w:r>
    </w:p>
    <w:p w14:paraId="7E196E40">
      <w:pPr>
        <w:pStyle w:val="16"/>
        <w:spacing w:before="31" w:after="31"/>
        <w:ind w:firstLine="480"/>
        <w:rPr>
          <w:szCs w:val="24"/>
        </w:rPr>
      </w:pPr>
      <w:r>
        <w:rPr>
          <w:szCs w:val="24"/>
        </w:rPr>
        <w:t>Aircraft engine turbine stage II blade fracture</w:t>
      </w:r>
    </w:p>
    <w:p w14:paraId="2BA45052">
      <w:pPr>
        <w:pStyle w:val="16"/>
        <w:spacing w:before="31" w:after="31"/>
        <w:ind w:firstLine="480"/>
        <w:rPr>
          <w:szCs w:val="24"/>
        </w:rPr>
      </w:pPr>
      <w:r>
        <w:rPr>
          <w:szCs w:val="24"/>
        </w:rPr>
        <w:t>(2) Failure Process Description</w:t>
      </w:r>
    </w:p>
    <w:p w14:paraId="71316247">
      <w:pPr>
        <w:pStyle w:val="16"/>
        <w:spacing w:before="31" w:after="31"/>
        <w:ind w:firstLine="480"/>
        <w:rPr>
          <w:szCs w:val="24"/>
        </w:rPr>
      </w:pPr>
      <w:r>
        <w:rPr>
          <w:szCs w:val="24"/>
        </w:rPr>
        <w:t>The stage II turbine blades are critical components of the engine. The total lifespan of the turbine stage II blades in a certain aircraft engine is 450h57m, and a fracture occurred after 98h57m of usage.</w:t>
      </w:r>
    </w:p>
    <w:p w14:paraId="67A714EC">
      <w:pPr>
        <w:pStyle w:val="16"/>
        <w:spacing w:before="31" w:after="31"/>
        <w:ind w:firstLine="480"/>
        <w:rPr>
          <w:szCs w:val="24"/>
        </w:rPr>
      </w:pPr>
      <w:r>
        <w:rPr>
          <w:szCs w:val="24"/>
        </w:rPr>
        <w:t>(3) Service Environment</w:t>
      </w:r>
    </w:p>
    <w:p w14:paraId="0508AF30">
      <w:pPr>
        <w:pStyle w:val="16"/>
        <w:spacing w:before="31" w:after="31"/>
        <w:ind w:firstLine="480"/>
        <w:rPr>
          <w:szCs w:val="24"/>
        </w:rPr>
      </w:pPr>
      <w:r>
        <w:rPr>
          <w:szCs w:val="24"/>
        </w:rPr>
        <w:t>Operating temperature range: 450~800°C, subjected to repeated thermal stress and vibration stress.</w:t>
      </w:r>
    </w:p>
    <w:p w14:paraId="7272CFEC">
      <w:pPr>
        <w:pStyle w:val="16"/>
        <w:spacing w:before="31" w:after="31"/>
        <w:ind w:firstLine="480"/>
        <w:rPr>
          <w:szCs w:val="24"/>
        </w:rPr>
      </w:pPr>
      <w:r>
        <w:rPr>
          <w:szCs w:val="24"/>
        </w:rPr>
        <w:t>(4) Failed Component and Material</w:t>
      </w:r>
    </w:p>
    <w:p w14:paraId="773330F0">
      <w:pPr>
        <w:pStyle w:val="16"/>
        <w:spacing w:before="31" w:after="31"/>
        <w:ind w:firstLine="480"/>
        <w:rPr>
          <w:szCs w:val="24"/>
        </w:rPr>
      </w:pPr>
      <w:r>
        <w:rPr>
          <w:szCs w:val="24"/>
        </w:rPr>
        <w:t>Aircraft engine stage II turbine blades made of GH4037 nickel-based high-temperature alloy.</w:t>
      </w:r>
    </w:p>
    <w:p w14:paraId="46035E82">
      <w:pPr>
        <w:pStyle w:val="16"/>
        <w:spacing w:before="31" w:after="31"/>
        <w:ind w:firstLine="480"/>
        <w:rPr>
          <w:szCs w:val="24"/>
        </w:rPr>
      </w:pPr>
      <w:r>
        <w:rPr>
          <w:szCs w:val="24"/>
        </w:rPr>
        <w:t>(5) Failed Component Appearance</w:t>
      </w:r>
    </w:p>
    <w:p w14:paraId="2E1782B2">
      <w:pPr>
        <w:pStyle w:val="16"/>
        <w:spacing w:before="31" w:after="31"/>
        <w:ind w:firstLine="480"/>
        <w:rPr>
          <w:szCs w:val="24"/>
        </w:rPr>
      </w:pPr>
      <w:r>
        <w:rPr>
          <w:szCs w:val="24"/>
        </w:rPr>
        <w:t>The fracture occurred approximately 51mm from the base of the blade tenon, and there is no apparent plastic deformation near the fracture. The macroscopic appearance of the fracture, with a smooth and shiny surface on the exhaust side, displaying evident radial lines and fatigue arc lines. The fatigue lines start from the exhaust side, covering about half of the cross-section. The fracture on the intake side is rougher and darker, representing the final instantaneous fracture zone.</w:t>
      </w:r>
    </w:p>
    <w:p w14:paraId="698EC4CE">
      <w:pPr>
        <w:pStyle w:val="16"/>
        <w:spacing w:before="31" w:after="31"/>
        <w:ind w:firstLine="480"/>
        <w:rPr>
          <w:szCs w:val="24"/>
        </w:rPr>
      </w:pPr>
      <w:r>
        <w:rPr>
          <w:szCs w:val="24"/>
        </w:rPr>
        <w:t>The microscopic morphology of the initiation region on the exhaust side, with clear fatigue features on the exhaust edge. Near the fatigue source area, fatigue bands are visible on the cross-section. In the fatigue propagation zone, typical fatigue bands become more pronounced. In the later stage of fatigue propagation, wider fatigue bands and secondary crack features are observed. The instantaneous fracture zone accounts for about half of the entire area, exhibiting a fracture pattern primarily along the grain boundaries with a mixture of transgranular and dimple features. Fine tear lines are present, and no anomalies are found at the grain boundaries.</w:t>
      </w:r>
    </w:p>
    <w:p w14:paraId="2EDBC061">
      <w:pPr>
        <w:pStyle w:val="16"/>
        <w:spacing w:before="31" w:after="31"/>
        <w:ind w:firstLine="480"/>
        <w:rPr>
          <w:szCs w:val="24"/>
        </w:rPr>
      </w:pPr>
      <w:r>
        <w:rPr>
          <w:szCs w:val="24"/>
        </w:rPr>
        <w:t>A metallographic sample was taken from the fractured area of the blade. The grain structure of the blade is uniform, with an average grain size of about 100μm and a grain size rating of 3.5 to 4, meeting technical requirements. QSN750 direct reading spectrometer analysis of the metal near the crack in the blade revealed that the chemical composition is within the standard range, meeting requirements. Hardness tests on three blade samples from the failed engine also met technical requirements, indicating no structural changes in the blade.</w:t>
      </w:r>
    </w:p>
    <w:p w14:paraId="5A729AAA">
      <w:pPr>
        <w:pStyle w:val="16"/>
        <w:spacing w:before="31" w:after="31"/>
        <w:ind w:firstLine="480"/>
        <w:rPr>
          <w:szCs w:val="24"/>
        </w:rPr>
      </w:pPr>
      <w:r>
        <w:rPr>
          <w:szCs w:val="24"/>
        </w:rPr>
        <w:t>(6) Failure Analysis</w:t>
      </w:r>
    </w:p>
    <w:p w14:paraId="7CA5E816">
      <w:pPr>
        <w:pStyle w:val="16"/>
        <w:spacing w:before="31" w:after="31"/>
        <w:ind w:firstLine="480"/>
        <w:rPr>
          <w:szCs w:val="24"/>
        </w:rPr>
      </w:pPr>
      <w:r>
        <w:rPr>
          <w:szCs w:val="24"/>
        </w:rPr>
        <w:t>From macro and micro observations of the fracture, it is evident that the blade's grain structure is uniform, and no grain boundary carbides were found. Fatigue originated on the exhaust side and propagated from the outside to the inside. The fatigue zone covers half of the cross-section. Macroscopically, fatigue arc lines are observed on the fracture surface, and microscopically, both fatigue arc lines and bands are visible, with distinct fatigue bands near the source area. The nature of the blade's fracture is identified as vibration fatigue. No material defects, processing defects, or foreign object damage were found on the fracture surface or nearby.</w:t>
      </w:r>
    </w:p>
    <w:p w14:paraId="1B30F35D">
      <w:pPr>
        <w:pStyle w:val="16"/>
        <w:spacing w:before="31" w:after="31"/>
        <w:ind w:firstLine="480"/>
        <w:rPr>
          <w:szCs w:val="24"/>
        </w:rPr>
      </w:pPr>
      <w:r>
        <w:rPr>
          <w:szCs w:val="24"/>
        </w:rPr>
        <w:t>The blade operates in a dual-phase gas flow with high temperature, high pressure, and varying speeds. The internal temperature difference and repeated thermal stress on the blade cause it to endure cyclic thermal stress. The blades undergo major overhauls every 150 hours of operation, and some blades have weak points on the exhaust side. The condition of each blade varies during operation, and these weak points are one of the significant factors leading to crack formation.</w:t>
      </w:r>
    </w:p>
    <w:p w14:paraId="6D5D6DBA">
      <w:pPr>
        <w:pStyle w:val="16"/>
        <w:spacing w:before="31" w:after="31"/>
        <w:ind w:firstLine="480"/>
        <w:rPr>
          <w:szCs w:val="24"/>
        </w:rPr>
      </w:pPr>
      <w:r>
        <w:rPr>
          <w:szCs w:val="24"/>
        </w:rPr>
        <w:t>Three blade samples from the faulty engine were taken for hardness testing, and the results were within the lower limit of the acceptable range. Instantaneous overheating may occur during operation, causing a decrease or failure in blade hardness.</w:t>
      </w:r>
    </w:p>
    <w:p w14:paraId="6E1A8DAE">
      <w:pPr>
        <w:pStyle w:val="16"/>
        <w:spacing w:before="31" w:after="31"/>
        <w:ind w:firstLine="480"/>
        <w:rPr>
          <w:szCs w:val="24"/>
        </w:rPr>
      </w:pPr>
      <w:r>
        <w:rPr>
          <w:szCs w:val="24"/>
        </w:rPr>
        <w:t>(7) Impact and Harm Caused</w:t>
      </w:r>
    </w:p>
    <w:p w14:paraId="2843F50D">
      <w:pPr>
        <w:pStyle w:val="16"/>
        <w:spacing w:before="31" w:after="31"/>
        <w:ind w:firstLine="480"/>
        <w:rPr>
          <w:szCs w:val="24"/>
        </w:rPr>
      </w:pPr>
      <w:r>
        <w:rPr>
          <w:szCs w:val="24"/>
        </w:rPr>
        <w:t>Severely impacts the engine's operational life, posing a threat to flight safety.</w:t>
      </w:r>
    </w:p>
    <w:p w14:paraId="60EF3C83">
      <w:pPr>
        <w:pStyle w:val="16"/>
        <w:spacing w:before="31" w:after="31"/>
        <w:ind w:firstLine="480"/>
        <w:rPr>
          <w:szCs w:val="24"/>
        </w:rPr>
      </w:pPr>
      <w:r>
        <w:rPr>
          <w:szCs w:val="24"/>
        </w:rPr>
        <w:t>(8) Conclusion and Improvement Measures</w:t>
      </w:r>
    </w:p>
    <w:p w14:paraId="112AFC3F">
      <w:pPr>
        <w:pStyle w:val="16"/>
        <w:spacing w:before="31" w:after="31"/>
        <w:ind w:firstLine="480"/>
        <w:rPr>
          <w:szCs w:val="24"/>
        </w:rPr>
      </w:pPr>
      <w:r>
        <w:rPr>
          <w:szCs w:val="24"/>
        </w:rPr>
        <w:t>The nature of the turbine stage II blade fracture is identified as vibration fatigue. The blade's composition is normal, and no obvious material defects, processing defects, or foreign object damage were found on the fracture surface or nearby.</w:t>
      </w:r>
    </w:p>
    <w:p w14:paraId="36DCB220">
      <w:pPr>
        <w:pStyle w:val="16"/>
        <w:spacing w:before="31" w:after="31"/>
        <w:ind w:firstLine="480"/>
        <w:rPr>
          <w:szCs w:val="24"/>
        </w:rPr>
      </w:pPr>
      <w:r>
        <w:rPr>
          <w:szCs w:val="24"/>
        </w:rPr>
        <w:t>Primary improvement measures include: (a) Shot peening during the repair process to enhance the blade's fatigue resistance. (b) Strengthening visual and non-destructive inspections of the blades during maintenance.</w:t>
      </w:r>
    </w:p>
    <w:p w14:paraId="4F8E7401">
      <w:pPr>
        <w:pStyle w:val="16"/>
        <w:spacing w:before="31" w:after="31"/>
        <w:ind w:firstLine="0" w:firstLineChars="0"/>
        <w:rPr>
          <w:b/>
          <w:bCs/>
          <w:szCs w:val="24"/>
        </w:rPr>
      </w:pPr>
      <w:r>
        <w:rPr>
          <w:rFonts w:hint="eastAsia"/>
          <w:b/>
          <w:bCs/>
          <w:szCs w:val="24"/>
          <w:lang w:val="en-US" w:eastAsia="zh-CN"/>
        </w:rPr>
        <w:t>6</w:t>
      </w:r>
      <w:r>
        <w:rPr>
          <w:b/>
          <w:bCs/>
          <w:szCs w:val="24"/>
        </w:rPr>
        <w:t xml:space="preserve">.2 Case </w:t>
      </w:r>
      <w:r>
        <w:rPr>
          <w:rFonts w:hint="eastAsia"/>
          <w:b/>
          <w:bCs/>
          <w:szCs w:val="24"/>
          <w:lang w:val="en-US" w:eastAsia="zh-CN"/>
        </w:rPr>
        <w:t>6</w:t>
      </w:r>
      <w:r>
        <w:rPr>
          <w:b/>
          <w:bCs/>
          <w:szCs w:val="24"/>
        </w:rPr>
        <w:t>-19 Missile Servo Line Fatigue Fracture</w:t>
      </w:r>
    </w:p>
    <w:p w14:paraId="7E484C4A">
      <w:pPr>
        <w:pStyle w:val="16"/>
        <w:spacing w:before="31" w:after="31"/>
        <w:ind w:firstLine="480"/>
        <w:rPr>
          <w:szCs w:val="24"/>
        </w:rPr>
      </w:pPr>
      <w:r>
        <w:rPr>
          <w:szCs w:val="24"/>
        </w:rPr>
        <w:t>(1) Case Name</w:t>
      </w:r>
    </w:p>
    <w:p w14:paraId="4891070F">
      <w:pPr>
        <w:pStyle w:val="16"/>
        <w:spacing w:before="31" w:after="31"/>
        <w:ind w:firstLine="480"/>
        <w:rPr>
          <w:szCs w:val="24"/>
        </w:rPr>
      </w:pPr>
      <w:r>
        <w:rPr>
          <w:szCs w:val="24"/>
        </w:rPr>
        <w:t>Missile servo line fatigue fracture</w:t>
      </w:r>
    </w:p>
    <w:p w14:paraId="1A38C29C">
      <w:pPr>
        <w:pStyle w:val="16"/>
        <w:spacing w:before="31" w:after="31"/>
        <w:ind w:firstLine="480"/>
        <w:rPr>
          <w:szCs w:val="24"/>
        </w:rPr>
      </w:pPr>
      <w:r>
        <w:rPr>
          <w:szCs w:val="24"/>
        </w:rPr>
        <w:t>(2) Failure Process Description</w:t>
      </w:r>
    </w:p>
    <w:p w14:paraId="4B79A45C">
      <w:pPr>
        <w:pStyle w:val="16"/>
        <w:spacing w:before="31" w:after="31"/>
        <w:ind w:firstLine="480"/>
        <w:rPr>
          <w:szCs w:val="24"/>
        </w:rPr>
      </w:pPr>
      <w:r>
        <w:rPr>
          <w:szCs w:val="24"/>
        </w:rPr>
        <w:t>A certain model of missile lost control during an airborne launch test, leading to test failure. Analysis of the collected missile wreckage, combined with telemetry parameter curves, confirmed that the missile's servo attitude control was lost during flight. Further disassembly of the servo wreckage revealed the fracture of the 2nd servo line in the 2nd and 3rd channel control panels, with a diameter of 0.64mm.</w:t>
      </w:r>
    </w:p>
    <w:p w14:paraId="7A30274D">
      <w:pPr>
        <w:pStyle w:val="16"/>
        <w:spacing w:before="31" w:after="31"/>
        <w:ind w:firstLine="480"/>
        <w:rPr>
          <w:szCs w:val="24"/>
        </w:rPr>
      </w:pPr>
      <w:r>
        <w:rPr>
          <w:szCs w:val="24"/>
        </w:rPr>
        <w:t>(3) Service Environment</w:t>
      </w:r>
    </w:p>
    <w:p w14:paraId="37DB5E61">
      <w:pPr>
        <w:pStyle w:val="16"/>
        <w:spacing w:before="31" w:after="31"/>
        <w:ind w:firstLine="480"/>
        <w:rPr>
          <w:szCs w:val="24"/>
        </w:rPr>
      </w:pPr>
      <w:r>
        <w:rPr>
          <w:szCs w:val="24"/>
        </w:rPr>
        <w:t>Natural atmospheric environment.</w:t>
      </w:r>
    </w:p>
    <w:p w14:paraId="4F1B4A16">
      <w:pPr>
        <w:pStyle w:val="16"/>
        <w:spacing w:before="31" w:after="31"/>
        <w:ind w:firstLine="480"/>
        <w:rPr>
          <w:szCs w:val="24"/>
        </w:rPr>
      </w:pPr>
      <w:r>
        <w:rPr>
          <w:szCs w:val="24"/>
        </w:rPr>
        <w:t>(4) Failed Component and Material</w:t>
      </w:r>
    </w:p>
    <w:p w14:paraId="212A1AB9">
      <w:pPr>
        <w:pStyle w:val="16"/>
        <w:spacing w:before="31" w:after="31"/>
        <w:ind w:firstLine="480"/>
        <w:rPr>
          <w:szCs w:val="24"/>
        </w:rPr>
      </w:pPr>
      <w:r>
        <w:rPr>
          <w:szCs w:val="24"/>
        </w:rPr>
        <w:t>Failed component: missile servo line. Material: UNS C11000 tin-plated copper wire (equivalent to Chinese grade T2).</w:t>
      </w:r>
    </w:p>
    <w:p w14:paraId="5B232897">
      <w:pPr>
        <w:pStyle w:val="16"/>
        <w:spacing w:before="31" w:after="31"/>
        <w:ind w:firstLine="480"/>
        <w:rPr>
          <w:szCs w:val="24"/>
        </w:rPr>
      </w:pPr>
      <w:r>
        <w:rPr>
          <w:szCs w:val="24"/>
        </w:rPr>
        <w:t>(5) Component Failure Appearance</w:t>
      </w:r>
    </w:p>
    <w:p w14:paraId="4E277092">
      <w:pPr>
        <w:pStyle w:val="16"/>
        <w:spacing w:before="31" w:after="31"/>
        <w:ind w:firstLine="480"/>
        <w:rPr>
          <w:szCs w:val="24"/>
        </w:rPr>
      </w:pPr>
      <w:r>
        <w:rPr>
          <w:szCs w:val="24"/>
        </w:rPr>
        <w:t>The fracture area of the servo line is located in the welding heat-affected zone. The macroscopic fracture surface is rough, with no apparent signs of plastic deformation and a prominent protruding ridge near the center.</w:t>
      </w:r>
    </w:p>
    <w:p w14:paraId="4D6E5E55">
      <w:pPr>
        <w:pStyle w:val="16"/>
        <w:spacing w:before="31" w:after="31"/>
        <w:ind w:firstLine="480"/>
        <w:rPr>
          <w:szCs w:val="24"/>
        </w:rPr>
      </w:pPr>
      <w:r>
        <w:rPr>
          <w:szCs w:val="24"/>
        </w:rPr>
        <w:t>The protruding ridge in the center of the fracture exhibits a dimple fracture feature , while other areas show a "mud-like" appearance without ductile fracture features. The crack originates on both sides of the surface corresponding to the line perpendicular to the protruding ridge, displaying a multi-source feature. The middle of the fracture is the instantaneous fracture zone, and microscopic particles are visible in some dimples. Electron probe analysis indicates that the particles are Cu2O. No obvious fatigue bands are found in the fracture source and propagation zones.</w:t>
      </w:r>
    </w:p>
    <w:p w14:paraId="6DCBD75E">
      <w:pPr>
        <w:pStyle w:val="16"/>
        <w:spacing w:before="31" w:after="31"/>
        <w:ind w:firstLine="480"/>
        <w:rPr>
          <w:szCs w:val="24"/>
        </w:rPr>
      </w:pPr>
      <w:r>
        <w:rPr>
          <w:szCs w:val="24"/>
        </w:rPr>
        <w:t>The servo line is made of tin-plated copper wire, with the standard ASTM B 33-91 for "Soft or Annealed Tin-Coated Copper Wire for Electrical Purposes." The chemical composition analysis results are shown in Table 7-8, and the composition complies with ASTM B 49-92 standard requirements. Microhardness tests converted to tensile strength also meet standard requirements.</w:t>
      </w:r>
    </w:p>
    <w:p w14:paraId="5E4927AC">
      <w:pPr>
        <w:pStyle w:val="16"/>
        <w:spacing w:before="31" w:after="31"/>
        <w:ind w:firstLine="482"/>
        <w:jc w:val="center"/>
        <w:rPr>
          <w:b/>
          <w:bCs/>
          <w:szCs w:val="24"/>
        </w:rPr>
      </w:pPr>
      <w:r>
        <w:rPr>
          <w:b/>
          <w:bCs/>
          <w:szCs w:val="24"/>
        </w:rPr>
        <w:t>Table 7-8 Chemical composition of the fractured servo line (mass fractions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08B98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393B5E1">
            <w:pPr>
              <w:pStyle w:val="16"/>
              <w:spacing w:before="31" w:after="31"/>
              <w:ind w:firstLine="0" w:firstLineChars="0"/>
              <w:rPr>
                <w:szCs w:val="24"/>
              </w:rPr>
            </w:pPr>
            <w:r>
              <w:rPr>
                <w:szCs w:val="24"/>
              </w:rPr>
              <w:t>Element</w:t>
            </w:r>
          </w:p>
        </w:tc>
        <w:tc>
          <w:tcPr>
            <w:tcW w:w="1704" w:type="dxa"/>
          </w:tcPr>
          <w:p w14:paraId="11D71D30">
            <w:pPr>
              <w:pStyle w:val="16"/>
              <w:spacing w:before="31" w:after="31"/>
              <w:ind w:firstLine="0" w:firstLineChars="0"/>
              <w:rPr>
                <w:szCs w:val="24"/>
              </w:rPr>
            </w:pPr>
            <w:r>
              <w:rPr>
                <w:szCs w:val="24"/>
              </w:rPr>
              <w:t>Cu+Ag</w:t>
            </w:r>
          </w:p>
        </w:tc>
        <w:tc>
          <w:tcPr>
            <w:tcW w:w="1704" w:type="dxa"/>
          </w:tcPr>
          <w:p w14:paraId="49788BBE">
            <w:pPr>
              <w:pStyle w:val="16"/>
              <w:spacing w:before="31" w:after="31"/>
              <w:ind w:firstLine="0" w:firstLineChars="0"/>
              <w:rPr>
                <w:szCs w:val="24"/>
              </w:rPr>
            </w:pPr>
            <w:r>
              <w:rPr>
                <w:szCs w:val="24"/>
              </w:rPr>
              <w:t>Fe</w:t>
            </w:r>
          </w:p>
        </w:tc>
        <w:tc>
          <w:tcPr>
            <w:tcW w:w="1705" w:type="dxa"/>
          </w:tcPr>
          <w:p w14:paraId="5338D83E">
            <w:pPr>
              <w:pStyle w:val="16"/>
              <w:spacing w:before="31" w:after="31"/>
              <w:ind w:firstLine="0" w:firstLineChars="0"/>
              <w:rPr>
                <w:szCs w:val="24"/>
              </w:rPr>
            </w:pPr>
            <w:r>
              <w:rPr>
                <w:szCs w:val="24"/>
              </w:rPr>
              <w:t>Sn</w:t>
            </w:r>
          </w:p>
        </w:tc>
        <w:tc>
          <w:tcPr>
            <w:tcW w:w="1705" w:type="dxa"/>
          </w:tcPr>
          <w:p w14:paraId="705BFC6B">
            <w:pPr>
              <w:pStyle w:val="16"/>
              <w:spacing w:before="31" w:after="31"/>
              <w:ind w:firstLine="0" w:firstLineChars="0"/>
              <w:rPr>
                <w:szCs w:val="24"/>
              </w:rPr>
            </w:pPr>
            <w:r>
              <w:rPr>
                <w:szCs w:val="24"/>
              </w:rPr>
              <w:t>O</w:t>
            </w:r>
          </w:p>
        </w:tc>
      </w:tr>
      <w:tr w14:paraId="5106B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E264B44">
            <w:pPr>
              <w:pStyle w:val="16"/>
              <w:spacing w:before="31" w:after="31"/>
              <w:ind w:firstLine="0" w:firstLineChars="0"/>
              <w:rPr>
                <w:szCs w:val="24"/>
              </w:rPr>
            </w:pPr>
            <w:r>
              <w:rPr>
                <w:szCs w:val="24"/>
              </w:rPr>
              <w:t>Test Value</w:t>
            </w:r>
          </w:p>
        </w:tc>
        <w:tc>
          <w:tcPr>
            <w:tcW w:w="1704" w:type="dxa"/>
          </w:tcPr>
          <w:p w14:paraId="5B522C62">
            <w:pPr>
              <w:pStyle w:val="16"/>
              <w:spacing w:before="31" w:after="31"/>
              <w:ind w:firstLine="0" w:firstLineChars="0"/>
              <w:rPr>
                <w:szCs w:val="24"/>
              </w:rPr>
            </w:pPr>
            <w:r>
              <w:rPr>
                <w:szCs w:val="24"/>
              </w:rPr>
              <w:t>99.92</w:t>
            </w:r>
          </w:p>
        </w:tc>
        <w:tc>
          <w:tcPr>
            <w:tcW w:w="1704" w:type="dxa"/>
          </w:tcPr>
          <w:p w14:paraId="1FC6C351">
            <w:pPr>
              <w:pStyle w:val="16"/>
              <w:spacing w:before="31" w:after="31"/>
              <w:ind w:firstLine="0" w:firstLineChars="0"/>
              <w:rPr>
                <w:szCs w:val="24"/>
              </w:rPr>
            </w:pPr>
            <w:r>
              <w:rPr>
                <w:szCs w:val="24"/>
              </w:rPr>
              <w:t>0.002</w:t>
            </w:r>
          </w:p>
        </w:tc>
        <w:tc>
          <w:tcPr>
            <w:tcW w:w="1705" w:type="dxa"/>
          </w:tcPr>
          <w:p w14:paraId="388B6E57">
            <w:pPr>
              <w:pStyle w:val="16"/>
              <w:spacing w:before="31" w:after="31"/>
              <w:ind w:firstLine="0" w:firstLineChars="0"/>
              <w:rPr>
                <w:szCs w:val="24"/>
              </w:rPr>
            </w:pPr>
            <w:r>
              <w:rPr>
                <w:szCs w:val="24"/>
              </w:rPr>
              <w:t>0.001</w:t>
            </w:r>
          </w:p>
        </w:tc>
        <w:tc>
          <w:tcPr>
            <w:tcW w:w="1705" w:type="dxa"/>
          </w:tcPr>
          <w:p w14:paraId="261A843F">
            <w:pPr>
              <w:pStyle w:val="16"/>
              <w:spacing w:before="31" w:after="31"/>
              <w:ind w:firstLine="0" w:firstLineChars="0"/>
              <w:rPr>
                <w:szCs w:val="24"/>
              </w:rPr>
            </w:pPr>
            <w:r>
              <w:rPr>
                <w:szCs w:val="24"/>
              </w:rPr>
              <w:t>0.05</w:t>
            </w:r>
          </w:p>
        </w:tc>
      </w:tr>
      <w:tr w14:paraId="45A04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678ABBC">
            <w:pPr>
              <w:pStyle w:val="16"/>
              <w:spacing w:before="31" w:after="31"/>
              <w:ind w:firstLine="0" w:firstLineChars="0"/>
              <w:rPr>
                <w:rFonts w:hint="eastAsia"/>
                <w:szCs w:val="24"/>
              </w:rPr>
            </w:pPr>
            <w:r>
              <w:rPr>
                <w:rFonts w:hint="eastAsia"/>
                <w:szCs w:val="24"/>
              </w:rPr>
              <w:t>Standard Value</w:t>
            </w:r>
          </w:p>
        </w:tc>
        <w:tc>
          <w:tcPr>
            <w:tcW w:w="1704" w:type="dxa"/>
          </w:tcPr>
          <w:p w14:paraId="21A887A5">
            <w:pPr>
              <w:pStyle w:val="16"/>
              <w:spacing w:before="31" w:after="31"/>
              <w:ind w:firstLine="0" w:firstLineChars="0"/>
              <w:rPr>
                <w:rFonts w:hint="eastAsia"/>
                <w:szCs w:val="24"/>
              </w:rPr>
            </w:pPr>
            <w:r>
              <w:rPr>
                <w:rFonts w:hint="eastAsia"/>
                <w:szCs w:val="24"/>
              </w:rPr>
              <w:t>≥99.90</w:t>
            </w:r>
          </w:p>
        </w:tc>
        <w:tc>
          <w:tcPr>
            <w:tcW w:w="1704" w:type="dxa"/>
          </w:tcPr>
          <w:p w14:paraId="6D2BA720">
            <w:pPr>
              <w:pStyle w:val="16"/>
              <w:spacing w:before="31" w:after="31"/>
              <w:ind w:firstLine="0" w:firstLineChars="0"/>
              <w:rPr>
                <w:rFonts w:hint="eastAsia"/>
                <w:szCs w:val="24"/>
              </w:rPr>
            </w:pPr>
            <w:r>
              <w:rPr>
                <w:rFonts w:hint="eastAsia"/>
                <w:szCs w:val="24"/>
              </w:rPr>
              <w:t>≤0.005</w:t>
            </w:r>
          </w:p>
        </w:tc>
        <w:tc>
          <w:tcPr>
            <w:tcW w:w="1705" w:type="dxa"/>
          </w:tcPr>
          <w:p w14:paraId="30A576A9">
            <w:pPr>
              <w:pStyle w:val="16"/>
              <w:spacing w:before="31" w:after="31"/>
              <w:ind w:firstLine="0" w:firstLineChars="0"/>
              <w:rPr>
                <w:rFonts w:hint="eastAsia"/>
                <w:szCs w:val="24"/>
              </w:rPr>
            </w:pPr>
            <w:r>
              <w:rPr>
                <w:rFonts w:hint="eastAsia"/>
                <w:szCs w:val="24"/>
              </w:rPr>
              <w:t>≤0.002</w:t>
            </w:r>
          </w:p>
        </w:tc>
        <w:tc>
          <w:tcPr>
            <w:tcW w:w="1705" w:type="dxa"/>
          </w:tcPr>
          <w:p w14:paraId="5DFBD3C2">
            <w:pPr>
              <w:pStyle w:val="16"/>
              <w:spacing w:before="31" w:after="31"/>
              <w:ind w:firstLine="0" w:firstLineChars="0"/>
              <w:rPr>
                <w:rFonts w:hint="eastAsia"/>
                <w:szCs w:val="24"/>
              </w:rPr>
            </w:pPr>
            <w:r>
              <w:rPr>
                <w:rFonts w:hint="eastAsia"/>
                <w:szCs w:val="24"/>
              </w:rPr>
              <w:t>≤0.06</w:t>
            </w:r>
          </w:p>
        </w:tc>
      </w:tr>
    </w:tbl>
    <w:p w14:paraId="7BE0AB09">
      <w:pPr>
        <w:pStyle w:val="16"/>
        <w:spacing w:before="31" w:after="31"/>
        <w:ind w:firstLine="480"/>
        <w:rPr>
          <w:szCs w:val="24"/>
        </w:rPr>
      </w:pPr>
      <w:r>
        <w:rPr>
          <w:szCs w:val="24"/>
        </w:rPr>
        <w:t>(6) Failure Analysis</w:t>
      </w:r>
    </w:p>
    <w:p w14:paraId="41ABBD21">
      <w:pPr>
        <w:pStyle w:val="16"/>
        <w:spacing w:before="31" w:after="31"/>
        <w:ind w:firstLine="480"/>
        <w:rPr>
          <w:szCs w:val="24"/>
        </w:rPr>
      </w:pPr>
      <w:r>
        <w:rPr>
          <w:szCs w:val="24"/>
        </w:rPr>
        <w:t>From the macroscopic and microscopic appearances of the fracture, combined with the servo's usage, hanging flight, and stress characteristics, it is confirmed that the fracture nature is fatigue. During the missile hanging flight and autonomous flight after launch, the heat-affected zone of the servo line weld is subjected to alternating two-way planar bending stress. Fatigue cracks initiate from both sides, propagate inward simultaneously, and ultimately undergo instantaneous fracture in the middle of the servo line, forming a protruding ridge.</w:t>
      </w:r>
    </w:p>
    <w:p w14:paraId="71BB2C63">
      <w:pPr>
        <w:pStyle w:val="16"/>
        <w:spacing w:before="31" w:after="31"/>
        <w:ind w:firstLine="480"/>
        <w:rPr>
          <w:szCs w:val="24"/>
        </w:rPr>
      </w:pPr>
      <w:r>
        <w:rPr>
          <w:szCs w:val="24"/>
        </w:rPr>
        <w:t>Fatigue fracture is independent of the material. Since the fracture is located in the heat-affected zone, welding may have an impact on the performance of the servo line.</w:t>
      </w:r>
    </w:p>
    <w:p w14:paraId="460F188A">
      <w:pPr>
        <w:pStyle w:val="16"/>
        <w:spacing w:before="31" w:after="31"/>
        <w:ind w:firstLine="480"/>
        <w:rPr>
          <w:szCs w:val="24"/>
        </w:rPr>
      </w:pPr>
      <w:r>
        <w:rPr>
          <w:szCs w:val="24"/>
        </w:rPr>
        <w:t>The copper-based metal material grade of the servo line is UNS C11000, and it is not suitable for processing at high temperatures (&gt; 370°C) such as annealing or welding. Temperature checks on the servo line welding station at the production site revealed significant differences in welding temperatures (some exceeding 420°C), and there are variations in welding times.</w:t>
      </w:r>
    </w:p>
    <w:p w14:paraId="11CB2CB4">
      <w:pPr>
        <w:pStyle w:val="16"/>
        <w:spacing w:before="31" w:after="31"/>
        <w:ind w:firstLine="480"/>
        <w:rPr>
          <w:szCs w:val="24"/>
        </w:rPr>
      </w:pPr>
      <w:r>
        <w:rPr>
          <w:szCs w:val="24"/>
        </w:rPr>
        <w:t>Testing shows that welding temperature has a certain influence on the conventional mechanical properties of the servo line. With the increase in welding temperature, the tensile strength of the specimen decreases. When the temperature rises to 450°C, the fracture elongation rate significantly decreases.</w:t>
      </w:r>
    </w:p>
    <w:p w14:paraId="671E83FE">
      <w:pPr>
        <w:pStyle w:val="16"/>
        <w:spacing w:before="31" w:after="31"/>
        <w:ind w:firstLine="480"/>
        <w:rPr>
          <w:szCs w:val="24"/>
        </w:rPr>
      </w:pPr>
      <w:r>
        <w:rPr>
          <w:szCs w:val="24"/>
        </w:rPr>
        <w:t>In a fault reproduction simulation test, two servo lines with welding temperatures of 450°C and welding times of 3 s and 5 s, respectively, experienced fracture, with fracture surfaces similar to those of the faulty component.</w:t>
      </w:r>
    </w:p>
    <w:p w14:paraId="11F6D98F">
      <w:pPr>
        <w:pStyle w:val="16"/>
        <w:spacing w:before="31" w:after="31"/>
        <w:ind w:firstLine="480"/>
        <w:rPr>
          <w:szCs w:val="24"/>
        </w:rPr>
      </w:pPr>
      <w:r>
        <w:rPr>
          <w:szCs w:val="24"/>
        </w:rPr>
        <w:t>(7) Impact and Harm Caused</w:t>
      </w:r>
    </w:p>
    <w:p w14:paraId="573F4580">
      <w:pPr>
        <w:pStyle w:val="16"/>
        <w:spacing w:before="31" w:after="31"/>
        <w:ind w:firstLine="480"/>
        <w:rPr>
          <w:szCs w:val="24"/>
        </w:rPr>
      </w:pPr>
      <w:r>
        <w:rPr>
          <w:szCs w:val="24"/>
        </w:rPr>
        <w:t>Missile loss of control, leading to test failure.</w:t>
      </w:r>
    </w:p>
    <w:p w14:paraId="2D3F3499">
      <w:pPr>
        <w:pStyle w:val="16"/>
        <w:spacing w:before="31" w:after="31"/>
        <w:ind w:firstLine="480"/>
        <w:rPr>
          <w:szCs w:val="24"/>
        </w:rPr>
      </w:pPr>
      <w:r>
        <w:rPr>
          <w:szCs w:val="24"/>
        </w:rPr>
        <w:t>(8) Conclusion and Improvement Measures</w:t>
      </w:r>
    </w:p>
    <w:p w14:paraId="7507FFF9">
      <w:pPr>
        <w:pStyle w:val="16"/>
        <w:spacing w:before="31" w:after="31"/>
        <w:ind w:firstLine="0" w:firstLineChars="0"/>
        <w:rPr>
          <w:szCs w:val="24"/>
        </w:rPr>
      </w:pPr>
      <w:r>
        <w:rPr>
          <w:szCs w:val="24"/>
        </w:rPr>
        <w:t>The fracture of the servo line is a fatigue fracture, mainly due to the comprehensive performance deterioration of the servo line caused by unreasonable welding process parameters, such as welding temperature and time. The following measures are recommende</w:t>
      </w:r>
      <w:r>
        <w:rPr>
          <w:rFonts w:hint="eastAsia"/>
          <w:szCs w:val="24"/>
        </w:rPr>
        <w:t>d: (a) Strict control of servo line welding process parameters, with a suggested welding temperature of 350 ± 5°C and welding time ≤ 3 s. (b) Necessary vibration reduction measures are recommended for the servo circuit printed board to improve product qual</w:t>
      </w:r>
      <w:r>
        <w:rPr>
          <w:szCs w:val="24"/>
        </w:rPr>
        <w:t>ity and reliability.</w:t>
      </w:r>
    </w:p>
    <w:p w14:paraId="018AD4FE">
      <w:pPr>
        <w:pStyle w:val="16"/>
        <w:spacing w:before="31" w:after="31"/>
        <w:ind w:firstLine="0" w:firstLineChars="0"/>
        <w:rPr>
          <w:szCs w:val="24"/>
        </w:rPr>
      </w:pPr>
      <w:r>
        <w:rPr>
          <w:rFonts w:hint="eastAsia"/>
          <w:b/>
          <w:bCs/>
          <w:szCs w:val="24"/>
          <w:lang w:val="en-US" w:eastAsia="zh-CN"/>
        </w:rPr>
        <w:t>6.3</w:t>
      </w:r>
      <w:r>
        <w:rPr>
          <w:b/>
          <w:bCs/>
          <w:szCs w:val="24"/>
        </w:rPr>
        <w:t xml:space="preserve"> Case </w:t>
      </w:r>
      <w:r>
        <w:rPr>
          <w:rFonts w:hint="eastAsia"/>
          <w:b/>
          <w:bCs/>
          <w:szCs w:val="24"/>
          <w:lang w:val="en-US" w:eastAsia="zh-CN"/>
        </w:rPr>
        <w:t>6</w:t>
      </w:r>
      <w:r>
        <w:rPr>
          <w:b/>
          <w:bCs/>
          <w:szCs w:val="24"/>
        </w:rPr>
        <w:t>-20 Hydrogen Embrittlement Fracture of Spring Washer in Missile Seeker</w:t>
      </w:r>
    </w:p>
    <w:p w14:paraId="62D0E6A9">
      <w:pPr>
        <w:pStyle w:val="16"/>
        <w:spacing w:before="31" w:after="31"/>
        <w:ind w:firstLine="480"/>
        <w:rPr>
          <w:szCs w:val="24"/>
        </w:rPr>
      </w:pPr>
      <w:r>
        <w:rPr>
          <w:szCs w:val="24"/>
        </w:rPr>
        <w:t>(1) Case Name</w:t>
      </w:r>
    </w:p>
    <w:p w14:paraId="39E61C6D">
      <w:pPr>
        <w:pStyle w:val="16"/>
        <w:spacing w:before="31" w:after="31"/>
        <w:ind w:firstLine="480"/>
        <w:rPr>
          <w:szCs w:val="24"/>
        </w:rPr>
      </w:pPr>
      <w:r>
        <w:rPr>
          <w:szCs w:val="24"/>
        </w:rPr>
        <w:t>Hydrogen embrittlement fracture of spring washer in missile seeker</w:t>
      </w:r>
    </w:p>
    <w:p w14:paraId="3FAF5C57">
      <w:pPr>
        <w:pStyle w:val="16"/>
        <w:spacing w:before="31" w:after="31"/>
        <w:ind w:firstLine="480"/>
        <w:rPr>
          <w:szCs w:val="24"/>
        </w:rPr>
      </w:pPr>
      <w:r>
        <w:rPr>
          <w:szCs w:val="24"/>
        </w:rPr>
        <w:t>(2) Failure Process Description</w:t>
      </w:r>
    </w:p>
    <w:p w14:paraId="0FC88A13">
      <w:pPr>
        <w:pStyle w:val="16"/>
        <w:spacing w:before="31" w:after="31"/>
        <w:ind w:firstLine="480"/>
        <w:rPr>
          <w:szCs w:val="24"/>
        </w:rPr>
      </w:pPr>
      <w:r>
        <w:rPr>
          <w:szCs w:val="24"/>
        </w:rPr>
        <w:t>A certain model of missile seeker experienced a fracture in the spring washer during on-site assembly.</w:t>
      </w:r>
    </w:p>
    <w:p w14:paraId="03630B68">
      <w:pPr>
        <w:pStyle w:val="16"/>
        <w:spacing w:before="31" w:after="31"/>
        <w:ind w:firstLine="480"/>
        <w:rPr>
          <w:szCs w:val="24"/>
        </w:rPr>
      </w:pPr>
      <w:r>
        <w:rPr>
          <w:szCs w:val="24"/>
        </w:rPr>
        <w:t>(3) Service Environment</w:t>
      </w:r>
    </w:p>
    <w:p w14:paraId="56618E75">
      <w:pPr>
        <w:pStyle w:val="16"/>
        <w:spacing w:before="31" w:after="31"/>
        <w:ind w:firstLine="480"/>
        <w:rPr>
          <w:szCs w:val="24"/>
        </w:rPr>
      </w:pPr>
      <w:r>
        <w:rPr>
          <w:szCs w:val="24"/>
        </w:rPr>
        <w:t>Natural atmospheric environment.</w:t>
      </w:r>
    </w:p>
    <w:p w14:paraId="6BECEFF8">
      <w:pPr>
        <w:pStyle w:val="16"/>
        <w:spacing w:before="31" w:after="31"/>
        <w:ind w:firstLine="480"/>
        <w:rPr>
          <w:szCs w:val="24"/>
        </w:rPr>
      </w:pPr>
      <w:r>
        <w:rPr>
          <w:szCs w:val="24"/>
        </w:rPr>
        <w:t>(4) Failed Component and Material</w:t>
      </w:r>
    </w:p>
    <w:p w14:paraId="71B64219">
      <w:pPr>
        <w:pStyle w:val="16"/>
        <w:spacing w:before="31" w:after="31"/>
        <w:ind w:firstLine="480"/>
        <w:rPr>
          <w:rFonts w:hint="eastAsia"/>
          <w:szCs w:val="24"/>
        </w:rPr>
      </w:pPr>
      <w:r>
        <w:rPr>
          <w:rFonts w:hint="eastAsia"/>
          <w:szCs w:val="24"/>
        </w:rPr>
        <w:t>Failed component: spring washer used in the missile seeker. Material: 65Mn spring steel. Manufacturing process: forming → quenching → tempering → surface treatment (galvanizing) → finished product.</w:t>
      </w:r>
    </w:p>
    <w:p w14:paraId="7017E5CE">
      <w:pPr>
        <w:pStyle w:val="16"/>
        <w:spacing w:before="31" w:after="31"/>
        <w:ind w:firstLine="480"/>
        <w:rPr>
          <w:szCs w:val="24"/>
        </w:rPr>
      </w:pPr>
      <w:r>
        <w:rPr>
          <w:szCs w:val="24"/>
        </w:rPr>
        <w:t>(5) Component Failure Appearance</w:t>
      </w:r>
    </w:p>
    <w:p w14:paraId="6CC62A14">
      <w:pPr>
        <w:pStyle w:val="16"/>
        <w:spacing w:before="31" w:after="31"/>
        <w:ind w:firstLine="480"/>
        <w:rPr>
          <w:szCs w:val="24"/>
        </w:rPr>
      </w:pPr>
      <w:r>
        <w:rPr>
          <w:szCs w:val="24"/>
        </w:rPr>
        <w:t>The macroscopic appearance of the spring washer fracture. The fracture surface is silver-gray and fine-grained, with shiny facets, and there is no apparent macroscopic deformation, exhibiting typical brittle fracture characteristics. No inclusions, looseness, or other metallurgical defects were found on the fracture surface.</w:t>
      </w:r>
    </w:p>
    <w:p w14:paraId="04B1DAD3">
      <w:pPr>
        <w:pStyle w:val="16"/>
        <w:spacing w:before="31" w:after="31"/>
        <w:ind w:firstLine="480"/>
        <w:rPr>
          <w:szCs w:val="24"/>
        </w:rPr>
      </w:pPr>
      <w:r>
        <w:rPr>
          <w:szCs w:val="24"/>
        </w:rPr>
        <w:t>Under scanning electron microscopy, the fracture surface shows an intergranular separation morphology resembling sugar grains. There are secondary cracks on the fracture surface, displaying typical "chicken claw" features, and no corrosion products are observed. Energy-dispersive X-ray spectroscopy (EDS) analysis of the fracture surface indicates that its chemical composition complies with the material requirements of the washer, and no corrosive elements are detected.</w:t>
      </w:r>
    </w:p>
    <w:p w14:paraId="784C8CBC">
      <w:pPr>
        <w:pStyle w:val="16"/>
        <w:spacing w:before="31" w:after="31"/>
        <w:ind w:firstLine="480"/>
        <w:rPr>
          <w:szCs w:val="24"/>
        </w:rPr>
      </w:pPr>
      <w:r>
        <w:rPr>
          <w:szCs w:val="24"/>
        </w:rPr>
        <w:t>Hydrogen content in the fractured spring washer was measured to have an average value of 17×10^-6.</w:t>
      </w:r>
    </w:p>
    <w:p w14:paraId="1B62E381">
      <w:pPr>
        <w:pStyle w:val="16"/>
        <w:spacing w:before="31" w:after="31"/>
        <w:ind w:firstLine="480"/>
        <w:rPr>
          <w:szCs w:val="24"/>
        </w:rPr>
      </w:pPr>
      <w:r>
        <w:rPr>
          <w:szCs w:val="24"/>
        </w:rPr>
        <w:t>(6) Failure Analysis</w:t>
      </w:r>
    </w:p>
    <w:p w14:paraId="04AF6BAD">
      <w:pPr>
        <w:pStyle w:val="16"/>
        <w:spacing w:before="31" w:after="31"/>
        <w:ind w:firstLine="480"/>
        <w:rPr>
          <w:rFonts w:hint="eastAsia"/>
          <w:szCs w:val="24"/>
        </w:rPr>
      </w:pPr>
      <w:r>
        <w:rPr>
          <w:szCs w:val="24"/>
        </w:rPr>
        <w:t>The metallurgical quality of the failed component material meets the requirements. The hydrogen in the spring washer mainly comes from the electroplating process. An investigation into the production process of these spring washers revealed that this batch</w:t>
      </w:r>
      <w:r>
        <w:rPr>
          <w:rFonts w:hint="eastAsia"/>
          <w:szCs w:val="24"/>
        </w:rPr>
        <w:t xml:space="preserve"> of spring washers did not undergo timely and sufficient hydrogen removal after electroplating, with only 3 hours of hydrogen removal time (standard requirement ≥8 hours).</w:t>
      </w:r>
    </w:p>
    <w:p w14:paraId="49F639CC">
      <w:pPr>
        <w:pStyle w:val="16"/>
        <w:spacing w:before="31" w:after="31"/>
        <w:ind w:firstLine="480"/>
        <w:rPr>
          <w:szCs w:val="24"/>
        </w:rPr>
      </w:pPr>
      <w:r>
        <w:rPr>
          <w:szCs w:val="24"/>
        </w:rPr>
        <w:t>The fracture morphology indicates that the failure is due to hydrogen embrittlement. Generally, in steels, hydrogen-induced cracking occurs when the hydrogen content is above (5~10)×10^-6. In the failed washer, the average hydrogen content is significantly higher at 17×10^-6. When hydrogen encounters assembly stress, it aggregates, leading to hydrogen embrittlement fracture.</w:t>
      </w:r>
    </w:p>
    <w:p w14:paraId="34619462">
      <w:pPr>
        <w:pStyle w:val="16"/>
        <w:spacing w:before="31" w:after="31"/>
        <w:ind w:firstLine="480"/>
        <w:rPr>
          <w:szCs w:val="24"/>
        </w:rPr>
      </w:pPr>
      <w:r>
        <w:rPr>
          <w:szCs w:val="24"/>
        </w:rPr>
        <w:t>(7) Impact and Harm Caused</w:t>
      </w:r>
    </w:p>
    <w:p w14:paraId="573CC2FE">
      <w:pPr>
        <w:pStyle w:val="16"/>
        <w:spacing w:before="31" w:after="31"/>
        <w:ind w:firstLine="480"/>
        <w:rPr>
          <w:szCs w:val="24"/>
        </w:rPr>
      </w:pPr>
      <w:r>
        <w:rPr>
          <w:szCs w:val="24"/>
        </w:rPr>
        <w:t>Missile assembly failure.</w:t>
      </w:r>
    </w:p>
    <w:p w14:paraId="79B9766D">
      <w:pPr>
        <w:pStyle w:val="16"/>
        <w:spacing w:before="31" w:after="31"/>
        <w:ind w:firstLine="480"/>
        <w:rPr>
          <w:szCs w:val="24"/>
        </w:rPr>
      </w:pPr>
      <w:r>
        <w:rPr>
          <w:szCs w:val="24"/>
        </w:rPr>
        <w:t>(8) Conclusion and Improvement Measures</w:t>
      </w:r>
    </w:p>
    <w:p w14:paraId="1B24F963">
      <w:pPr>
        <w:pStyle w:val="16"/>
        <w:spacing w:before="31" w:after="31"/>
        <w:ind w:firstLine="480"/>
        <w:rPr>
          <w:szCs w:val="24"/>
        </w:rPr>
      </w:pPr>
      <w:r>
        <w:rPr>
          <w:szCs w:val="24"/>
        </w:rPr>
        <w:t>The fracture mechanism of the spring washer is hydrogen embrittlement. Improper hydrogen removal after electroplating led to incomplete hydrogen removal in the washer, resulting in hydrogen embrittlement fracture during assembly.</w:t>
      </w:r>
    </w:p>
    <w:p w14:paraId="195D6413">
      <w:pPr>
        <w:pStyle w:val="16"/>
        <w:spacing w:before="31" w:after="31"/>
        <w:ind w:firstLine="480"/>
        <w:rPr>
          <w:szCs w:val="24"/>
        </w:rPr>
      </w:pPr>
      <w:r>
        <w:rPr>
          <w:szCs w:val="24"/>
        </w:rPr>
        <w:t>Recommended improvement measures: (a) Change the material of the spring washer to 1Cr18Ni9Ti stainless steel with better elasticity. (b) Adopt advanced surface treatment and hydrogen removal processes, strictly controlling the hydrogen content in the metal matrix. (c) Strengthen the incoming inspection of standard parts.</w:t>
      </w:r>
    </w:p>
    <w:p w14:paraId="55DD0E7F">
      <w:pPr>
        <w:pStyle w:val="16"/>
        <w:spacing w:before="31" w:after="31"/>
        <w:ind w:firstLine="0" w:firstLineChars="0"/>
        <w:rPr>
          <w:b/>
          <w:bCs/>
          <w:szCs w:val="24"/>
        </w:rPr>
      </w:pPr>
      <w:r>
        <w:rPr>
          <w:rFonts w:hint="eastAsia"/>
          <w:b/>
          <w:bCs/>
          <w:szCs w:val="24"/>
          <w:lang w:val="en-US" w:eastAsia="zh-CN"/>
        </w:rPr>
        <w:t>6.4</w:t>
      </w:r>
      <w:r>
        <w:rPr>
          <w:b/>
          <w:bCs/>
          <w:szCs w:val="24"/>
        </w:rPr>
        <w:t xml:space="preserve"> Case </w:t>
      </w:r>
      <w:r>
        <w:rPr>
          <w:rFonts w:hint="eastAsia"/>
          <w:b/>
          <w:bCs/>
          <w:szCs w:val="24"/>
          <w:lang w:val="en-US" w:eastAsia="zh-CN"/>
        </w:rPr>
        <w:t>6</w:t>
      </w:r>
      <w:r>
        <w:rPr>
          <w:b/>
          <w:bCs/>
          <w:szCs w:val="24"/>
        </w:rPr>
        <w:t>-21 Fracture of Front Landing Gear in a Certain Aircraft</w:t>
      </w:r>
    </w:p>
    <w:p w14:paraId="20C1D6BA">
      <w:pPr>
        <w:pStyle w:val="16"/>
        <w:spacing w:before="31" w:after="31"/>
        <w:ind w:firstLine="480"/>
        <w:rPr>
          <w:szCs w:val="24"/>
        </w:rPr>
      </w:pPr>
      <w:r>
        <w:rPr>
          <w:szCs w:val="24"/>
        </w:rPr>
        <w:t>(1) Case Name</w:t>
      </w:r>
    </w:p>
    <w:p w14:paraId="1C0B9B61">
      <w:pPr>
        <w:pStyle w:val="16"/>
        <w:spacing w:before="31" w:after="31"/>
        <w:ind w:firstLine="480"/>
        <w:rPr>
          <w:szCs w:val="24"/>
        </w:rPr>
      </w:pPr>
      <w:r>
        <w:rPr>
          <w:szCs w:val="24"/>
        </w:rPr>
        <w:t>Fracture of front landing gear in a certain aircraft</w:t>
      </w:r>
    </w:p>
    <w:p w14:paraId="32AB8404">
      <w:pPr>
        <w:pStyle w:val="16"/>
        <w:spacing w:before="31" w:after="31"/>
        <w:ind w:firstLine="480"/>
        <w:rPr>
          <w:szCs w:val="24"/>
        </w:rPr>
      </w:pPr>
      <w:r>
        <w:rPr>
          <w:szCs w:val="24"/>
        </w:rPr>
        <w:t>(2) Failure Process Description</w:t>
      </w:r>
    </w:p>
    <w:p w14:paraId="14150914">
      <w:pPr>
        <w:pStyle w:val="16"/>
        <w:spacing w:before="31" w:after="31"/>
        <w:ind w:firstLine="480"/>
        <w:rPr>
          <w:szCs w:val="24"/>
        </w:rPr>
      </w:pPr>
      <w:r>
        <w:rPr>
          <w:szCs w:val="24"/>
        </w:rPr>
        <w:t>A certain aircraft, after completing passenger boarding, experienced the front landing gear folding forward suddenly while being towed away from the gate for approximately 29.57 meters. The aircraft nose descended, and both front landing gear doors touched the ground, causing no casualties. After the incident, with the aircraft nose pressed against the towbar.</w:t>
      </w:r>
    </w:p>
    <w:p w14:paraId="458D1A0F">
      <w:pPr>
        <w:pStyle w:val="16"/>
        <w:spacing w:before="31" w:after="31"/>
        <w:ind w:firstLine="480"/>
        <w:rPr>
          <w:szCs w:val="24"/>
        </w:rPr>
      </w:pPr>
      <w:r>
        <w:rPr>
          <w:szCs w:val="24"/>
        </w:rPr>
        <w:t>(3) Service Environment</w:t>
      </w:r>
    </w:p>
    <w:p w14:paraId="387B8083">
      <w:pPr>
        <w:pStyle w:val="16"/>
        <w:spacing w:before="31" w:after="31"/>
        <w:ind w:firstLine="480"/>
        <w:rPr>
          <w:szCs w:val="24"/>
        </w:rPr>
      </w:pPr>
      <w:r>
        <w:rPr>
          <w:szCs w:val="24"/>
        </w:rPr>
        <w:t>Natural atmospheric environment.</w:t>
      </w:r>
    </w:p>
    <w:p w14:paraId="057AD0DB">
      <w:pPr>
        <w:pStyle w:val="16"/>
        <w:spacing w:before="31" w:after="31"/>
        <w:ind w:firstLine="480"/>
        <w:rPr>
          <w:szCs w:val="24"/>
        </w:rPr>
      </w:pPr>
      <w:r>
        <w:rPr>
          <w:szCs w:val="24"/>
        </w:rPr>
        <w:t>(4) Failed Component and Material</w:t>
      </w:r>
    </w:p>
    <w:p w14:paraId="34BF015B">
      <w:pPr>
        <w:pStyle w:val="16"/>
        <w:spacing w:before="31" w:after="31"/>
        <w:ind w:firstLine="480"/>
        <w:rPr>
          <w:szCs w:val="24"/>
        </w:rPr>
      </w:pPr>
      <w:r>
        <w:rPr>
          <w:szCs w:val="24"/>
        </w:rPr>
        <w:t>Failed component: front landing gear. The fractured lower drag link material is similar to the U.S. material grade 4340 steel, and the shear pin material is alloy structural steel.</w:t>
      </w:r>
    </w:p>
    <w:p w14:paraId="5118E2FA">
      <w:pPr>
        <w:pStyle w:val="16"/>
        <w:spacing w:before="31" w:after="31"/>
        <w:ind w:firstLine="480"/>
        <w:rPr>
          <w:szCs w:val="24"/>
        </w:rPr>
      </w:pPr>
      <w:r>
        <w:rPr>
          <w:szCs w:val="24"/>
        </w:rPr>
        <w:t>(5) Component Failure Appearance</w:t>
      </w:r>
    </w:p>
    <w:p w14:paraId="1BA76230">
      <w:pPr>
        <w:pStyle w:val="16"/>
        <w:spacing w:before="31" w:after="31"/>
        <w:ind w:firstLine="480"/>
        <w:rPr>
          <w:szCs w:val="24"/>
        </w:rPr>
      </w:pPr>
      <w:r>
        <w:rPr>
          <w:szCs w:val="24"/>
        </w:rPr>
        <w:t>The main damages to the aircraft include: fracture of the lower drag link of the front landing gear, bending deformation of the connecting pin at the upper pivot point of the lower drag link, traces of the inner side of the left lug at the lower pivot point of the lower drag link being pressed by the lower drag link, deformation of the front landing gear locking mechanism, tearing of the rear belly plate of the front landing gear bay, damage to the front landing gear turning mechanism, fracture of the landing light base in the front landing gear, severe deformation of the shear pins on the towbar, and fracture of the upper lug on the towbar head.</w:t>
      </w:r>
    </w:p>
    <w:p w14:paraId="79777F8C">
      <w:pPr>
        <w:pStyle w:val="16"/>
        <w:spacing w:before="31" w:after="31"/>
        <w:ind w:firstLine="480"/>
        <w:rPr>
          <w:szCs w:val="24"/>
        </w:rPr>
      </w:pPr>
      <w:r>
        <w:rPr>
          <w:szCs w:val="24"/>
        </w:rPr>
        <w:t>The external appearance of the fractured lower drag link, with the fracture occurring near the middle of the lower drag link. There is obvious macroscopic plastic deformation near the fracture. Near the fracture, the front edge of the "I"-shaped cross-section of the lower drag link has buckling, and there is significant necking deformation at the rear edge. The overall appearance of the fracture on the lower drag link, with a dimple fracture morphology at the rear edge of the "I"-shaped cross-section and a shear dimple morphology at the front edge.</w:t>
      </w:r>
    </w:p>
    <w:p w14:paraId="14EAA0C3">
      <w:pPr>
        <w:pStyle w:val="16"/>
        <w:spacing w:before="31" w:after="31"/>
        <w:ind w:firstLine="480"/>
        <w:rPr>
          <w:szCs w:val="24"/>
        </w:rPr>
      </w:pPr>
      <w:r>
        <w:rPr>
          <w:szCs w:val="24"/>
        </w:rPr>
        <w:t>Upon examination, the material of the lower drag link meets the requirements of material strength specifications, and the microstructure is tempered martensite, showing no abnormalities.</w:t>
      </w:r>
    </w:p>
    <w:p w14:paraId="1276ED8E">
      <w:pPr>
        <w:pStyle w:val="16"/>
        <w:spacing w:before="31" w:after="31"/>
        <w:ind w:firstLine="480"/>
        <w:rPr>
          <w:szCs w:val="24"/>
        </w:rPr>
      </w:pPr>
      <w:r>
        <w:rPr>
          <w:szCs w:val="24"/>
        </w:rPr>
        <w:t>Both shear pins are fractured, with each shear pin breaking into three segments. Two segments of each shear pin are scattered on the ground, while the other four segments remain in the shear pin holes of the towbar. The microscopic appearance of all shear pin fractures is elongated shear dimples.</w:t>
      </w:r>
    </w:p>
    <w:p w14:paraId="1D232167">
      <w:pPr>
        <w:pStyle w:val="16"/>
        <w:spacing w:before="31" w:after="31"/>
        <w:ind w:firstLine="480"/>
        <w:rPr>
          <w:szCs w:val="24"/>
        </w:rPr>
      </w:pPr>
      <w:r>
        <w:rPr>
          <w:szCs w:val="24"/>
        </w:rPr>
        <w:t>Upon inspection, the strength of the shear pins meets the requirements of technical specifications, and the microstructure of the shear pins is tempered sorbite, exhibiting normal structure.</w:t>
      </w:r>
    </w:p>
    <w:p w14:paraId="55F89E30">
      <w:pPr>
        <w:pStyle w:val="16"/>
        <w:spacing w:before="31" w:after="31"/>
        <w:ind w:firstLine="480"/>
        <w:rPr>
          <w:szCs w:val="24"/>
        </w:rPr>
      </w:pPr>
      <w:r>
        <w:rPr>
          <w:szCs w:val="24"/>
        </w:rPr>
        <w:t>The upper lug on the towbar head suffered severe deformation, with marks indicating being pressed by the tongue-shaped lug. The towbar locking pin is severely deformed, located in the lug hole near the end of the tongue-shaped lug, and is squeezed by the edge of the lug hole, making it unable to be pulled out normally. The lower lug on the towbar head also shows traces of being pressed by the tongue-shaped lug. The deformation and fracture condition of the upper shear pin on the lower lug, and the deformation and fracture condition of the shear pin on</w:t>
      </w:r>
    </w:p>
    <w:p w14:paraId="7D6F61EA">
      <w:pPr>
        <w:pStyle w:val="16"/>
        <w:spacing w:before="31" w:after="31"/>
        <w:ind w:firstLine="480"/>
        <w:rPr>
          <w:szCs w:val="24"/>
        </w:rPr>
      </w:pPr>
      <w:r>
        <w:rPr>
          <w:szCs w:val="24"/>
        </w:rPr>
        <w:t>(6) Failure Analysis</w:t>
      </w:r>
    </w:p>
    <w:p w14:paraId="42991FD5">
      <w:pPr>
        <w:pStyle w:val="16"/>
        <w:spacing w:before="31" w:after="31"/>
        <w:ind w:firstLine="480"/>
        <w:rPr>
          <w:szCs w:val="24"/>
        </w:rPr>
      </w:pPr>
      <w:r>
        <w:rPr>
          <w:szCs w:val="24"/>
        </w:rPr>
        <w:t>Based on the analysis of the fracture morphology: the shear pin fractures were overload shear fractures; the lower drag link failed due to instability under compressive stress, initially bowing to the right. Due to the constraint of the connecting lug, it ultimately bowed backward until complete fracture. Based on the deformation and fracture conditions of the shear pins and the locations where the upper and lower lugs on the towbar head were pressed by the tongue-shaped lug, it indicates that the aircraft experienced tension forces from the towbar during the incident, not the normal pushing force when towing the aircraft. Stress analysis indicates that when the tension force applied to the aircraft by the towbar reaches 2.26×10^5 N, the lower drag link of the front landing gear will experience unstable fracture.</w:t>
      </w:r>
    </w:p>
    <w:p w14:paraId="47A17AAB">
      <w:pPr>
        <w:pStyle w:val="16"/>
        <w:spacing w:before="31" w:after="31"/>
        <w:ind w:firstLine="480"/>
        <w:rPr>
          <w:szCs w:val="24"/>
        </w:rPr>
      </w:pPr>
      <w:r>
        <w:rPr>
          <w:szCs w:val="24"/>
        </w:rPr>
        <w:t>(7) Impact and Harm Caused</w:t>
      </w:r>
    </w:p>
    <w:p w14:paraId="7F0EFD2D">
      <w:pPr>
        <w:pStyle w:val="16"/>
        <w:spacing w:before="31" w:after="31"/>
        <w:ind w:firstLine="480"/>
        <w:rPr>
          <w:szCs w:val="24"/>
        </w:rPr>
      </w:pPr>
      <w:r>
        <w:rPr>
          <w:szCs w:val="24"/>
        </w:rPr>
        <w:t>Front landing gear damage, preventing the aircraft from flying normally.</w:t>
      </w:r>
    </w:p>
    <w:p w14:paraId="3BC4A92A">
      <w:pPr>
        <w:pStyle w:val="16"/>
        <w:spacing w:before="31" w:after="31"/>
        <w:ind w:firstLine="480"/>
        <w:rPr>
          <w:szCs w:val="24"/>
        </w:rPr>
      </w:pPr>
      <w:r>
        <w:rPr>
          <w:szCs w:val="24"/>
        </w:rPr>
        <w:t>(8) Conclusion and Improvement Measures</w:t>
      </w:r>
    </w:p>
    <w:p w14:paraId="068A543B">
      <w:pPr>
        <w:pStyle w:val="16"/>
        <w:spacing w:before="31" w:after="31"/>
        <w:ind w:firstLine="480"/>
        <w:rPr>
          <w:szCs w:val="24"/>
        </w:rPr>
      </w:pPr>
      <w:r>
        <w:rPr>
          <w:szCs w:val="24"/>
        </w:rPr>
        <w:t>The fractures of the lower drag link in the front landing gear and the shear pins on the towbar are overload fractures. The reason is that the towbar applied excessive tension force to the aircraft, leading to the unstable fracture of the lower drag link.</w:t>
      </w:r>
    </w:p>
    <w:p w14:paraId="52ADD1F3">
      <w:pPr>
        <w:pStyle w:val="16"/>
        <w:spacing w:before="31" w:after="31"/>
        <w:ind w:firstLine="0" w:firstLineChars="0"/>
        <w:rPr>
          <w:szCs w:val="24"/>
        </w:rPr>
      </w:pPr>
      <w:r>
        <w:rPr>
          <w:szCs w:val="24"/>
        </w:rPr>
        <w:t>In response to this landing gear incident, the aircraft manufacturer has issued a service bulletin, warning that the towbar may apply excessive loads to the front landing gear, causing unintended incidents of the front landing gear retracting.</w:t>
      </w:r>
    </w:p>
    <w:p w14:paraId="5E93ABDE">
      <w:pPr>
        <w:pStyle w:val="16"/>
        <w:spacing w:before="31" w:after="31"/>
        <w:ind w:firstLine="0" w:firstLineChars="0"/>
        <w:rPr>
          <w:b/>
          <w:bCs/>
          <w:sz w:val="30"/>
          <w:szCs w:val="30"/>
        </w:rPr>
      </w:pPr>
    </w:p>
    <w:p w14:paraId="4321B1A0">
      <w:pPr>
        <w:pStyle w:val="16"/>
        <w:spacing w:before="31" w:after="31"/>
        <w:ind w:firstLine="0" w:firstLineChars="0"/>
        <w:rPr>
          <w:b/>
          <w:bCs/>
          <w:sz w:val="30"/>
          <w:szCs w:val="30"/>
        </w:rPr>
      </w:pPr>
      <w:r>
        <w:rPr>
          <w:rFonts w:hint="eastAsia"/>
          <w:b/>
          <w:bCs/>
          <w:sz w:val="30"/>
          <w:szCs w:val="30"/>
          <w:lang w:val="en-US" w:eastAsia="zh-CN"/>
        </w:rPr>
        <w:t>7</w:t>
      </w:r>
      <w:r>
        <w:rPr>
          <w:b/>
          <w:bCs/>
          <w:sz w:val="30"/>
          <w:szCs w:val="30"/>
        </w:rPr>
        <w:t>. Summary of Failure Cases in Transportation Industry</w:t>
      </w:r>
    </w:p>
    <w:p w14:paraId="2BE46AFD">
      <w:pPr>
        <w:pStyle w:val="16"/>
        <w:spacing w:before="31" w:after="31"/>
        <w:ind w:firstLine="0" w:firstLineChars="0"/>
        <w:rPr>
          <w:b/>
          <w:bCs/>
          <w:szCs w:val="24"/>
        </w:rPr>
      </w:pPr>
      <w:r>
        <w:rPr>
          <w:rFonts w:hint="eastAsia"/>
          <w:b/>
          <w:bCs/>
          <w:szCs w:val="24"/>
          <w:lang w:val="en-US" w:eastAsia="zh-CN"/>
        </w:rPr>
        <w:t>7.1</w:t>
      </w:r>
      <w:r>
        <w:rPr>
          <w:b/>
          <w:bCs/>
          <w:szCs w:val="24"/>
        </w:rPr>
        <w:t xml:space="preserve"> Case </w:t>
      </w:r>
      <w:r>
        <w:rPr>
          <w:rFonts w:hint="eastAsia"/>
          <w:b/>
          <w:bCs/>
          <w:szCs w:val="24"/>
          <w:lang w:val="en-US" w:eastAsia="zh-CN"/>
        </w:rPr>
        <w:t>7</w:t>
      </w:r>
      <w:r>
        <w:rPr>
          <w:b/>
          <w:bCs/>
          <w:szCs w:val="24"/>
        </w:rPr>
        <w:t>-15 Deterioration of Concrete Pavement on Hening Road</w:t>
      </w:r>
    </w:p>
    <w:p w14:paraId="6E67E1DF">
      <w:pPr>
        <w:pStyle w:val="16"/>
        <w:spacing w:before="31" w:after="31"/>
        <w:ind w:firstLine="480"/>
        <w:rPr>
          <w:szCs w:val="24"/>
        </w:rPr>
      </w:pPr>
      <w:r>
        <w:rPr>
          <w:szCs w:val="24"/>
        </w:rPr>
        <w:t>(1) Case Name</w:t>
      </w:r>
    </w:p>
    <w:p w14:paraId="7F237E7B">
      <w:pPr>
        <w:pStyle w:val="16"/>
        <w:spacing w:before="31" w:after="31"/>
        <w:ind w:firstLine="480"/>
        <w:rPr>
          <w:szCs w:val="24"/>
        </w:rPr>
      </w:pPr>
      <w:r>
        <w:rPr>
          <w:szCs w:val="24"/>
        </w:rPr>
        <w:t>Deterioration of Concrete Pavement on Hening Road</w:t>
      </w:r>
    </w:p>
    <w:p w14:paraId="56A5C030">
      <w:pPr>
        <w:pStyle w:val="16"/>
        <w:spacing w:before="31" w:after="31"/>
        <w:ind w:firstLine="480"/>
        <w:rPr>
          <w:szCs w:val="24"/>
        </w:rPr>
      </w:pPr>
      <w:r>
        <w:rPr>
          <w:szCs w:val="24"/>
        </w:rPr>
        <w:t>(2) Description of Failure Process</w:t>
      </w:r>
    </w:p>
    <w:p w14:paraId="29DA3F7D">
      <w:pPr>
        <w:pStyle w:val="16"/>
        <w:spacing w:before="31" w:after="31"/>
        <w:ind w:firstLine="480"/>
        <w:rPr>
          <w:szCs w:val="24"/>
        </w:rPr>
      </w:pPr>
      <w:r>
        <w:rPr>
          <w:szCs w:val="24"/>
        </w:rPr>
        <w:t>The Hening Road, connecting Hefei to Nanjing, is a crucial transportation route from Anhui to Jiangsu, Shanghai, and other provinces and cities. Operating for over a decade until 2003, the road experienced extensive damage due to the exponential growth in traffic volume and the abnormal movement of heavy and overloaded vehicles.</w:t>
      </w:r>
    </w:p>
    <w:p w14:paraId="4A530FC0">
      <w:pPr>
        <w:pStyle w:val="16"/>
        <w:spacing w:before="31" w:after="31"/>
        <w:ind w:firstLine="480"/>
        <w:rPr>
          <w:szCs w:val="24"/>
        </w:rPr>
      </w:pPr>
      <w:r>
        <w:rPr>
          <w:szCs w:val="24"/>
        </w:rPr>
        <w:t>(3) Operating Environment of Components</w:t>
      </w:r>
    </w:p>
    <w:p w14:paraId="7FC63962">
      <w:pPr>
        <w:pStyle w:val="16"/>
        <w:spacing w:before="31" w:after="31"/>
        <w:ind w:firstLine="480"/>
        <w:rPr>
          <w:szCs w:val="24"/>
        </w:rPr>
      </w:pPr>
      <w:r>
        <w:rPr>
          <w:szCs w:val="24"/>
        </w:rPr>
        <w:t>Interaction of traffic loads and water infiltration</w:t>
      </w:r>
    </w:p>
    <w:p w14:paraId="29D4F85B">
      <w:pPr>
        <w:pStyle w:val="16"/>
        <w:spacing w:before="31" w:after="31"/>
        <w:ind w:firstLine="480"/>
        <w:rPr>
          <w:szCs w:val="24"/>
        </w:rPr>
      </w:pPr>
    </w:p>
    <w:p w14:paraId="7886F142">
      <w:pPr>
        <w:pStyle w:val="16"/>
        <w:spacing w:before="31" w:after="31"/>
        <w:ind w:firstLine="480"/>
        <w:rPr>
          <w:szCs w:val="24"/>
        </w:rPr>
      </w:pPr>
      <w:r>
        <w:rPr>
          <w:szCs w:val="24"/>
        </w:rPr>
        <w:t>(4) Failed Components and Materials</w:t>
      </w:r>
    </w:p>
    <w:p w14:paraId="6D824A53">
      <w:pPr>
        <w:pStyle w:val="16"/>
        <w:spacing w:before="31" w:after="31"/>
        <w:ind w:firstLine="480"/>
        <w:rPr>
          <w:szCs w:val="24"/>
        </w:rPr>
      </w:pPr>
      <w:r>
        <w:rPr>
          <w:szCs w:val="24"/>
        </w:rPr>
        <w:t>Asphalt pavement on the highway</w:t>
      </w:r>
    </w:p>
    <w:p w14:paraId="298C97B0">
      <w:pPr>
        <w:pStyle w:val="16"/>
        <w:spacing w:before="31" w:after="31"/>
        <w:ind w:firstLine="480"/>
        <w:rPr>
          <w:szCs w:val="24"/>
        </w:rPr>
      </w:pPr>
      <w:r>
        <w:rPr>
          <w:szCs w:val="24"/>
        </w:rPr>
        <w:t>(5) Basic Information of Failed Components</w:t>
      </w:r>
    </w:p>
    <w:p w14:paraId="04F48F4C">
      <w:pPr>
        <w:pStyle w:val="16"/>
        <w:spacing w:before="31" w:after="31"/>
        <w:ind w:firstLine="480"/>
        <w:rPr>
          <w:szCs w:val="24"/>
        </w:rPr>
      </w:pPr>
      <w:r>
        <w:rPr>
          <w:szCs w:val="24"/>
        </w:rPr>
        <w:t>The statistical results of the pavement condition investigation in this section are presented in Table 8-5.</w:t>
      </w:r>
    </w:p>
    <w:p w14:paraId="14CB9532">
      <w:pPr>
        <w:pStyle w:val="16"/>
        <w:spacing w:before="31" w:after="31"/>
        <w:ind w:firstLine="482"/>
        <w:jc w:val="center"/>
        <w:rPr>
          <w:b/>
          <w:bCs/>
          <w:szCs w:val="24"/>
        </w:rPr>
      </w:pPr>
      <w:r>
        <w:rPr>
          <w:b/>
          <w:bCs/>
          <w:szCs w:val="24"/>
        </w:rPr>
        <w:t>Table 8-5: Results of Pavement Condition Investigation</w:t>
      </w:r>
    </w:p>
    <w:tbl>
      <w:tblPr>
        <w:tblStyle w:val="9"/>
        <w:tblW w:w="0" w:type="auto"/>
        <w:tblInd w:w="0" w:type="dxa"/>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2038"/>
        <w:gridCol w:w="2038"/>
        <w:gridCol w:w="2038"/>
        <w:gridCol w:w="2039"/>
      </w:tblGrid>
      <w:tr w14:paraId="02A95E19">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2038" w:type="dxa"/>
            <w:tcBorders>
              <w:top w:val="single" w:color="auto" w:sz="12" w:space="0"/>
              <w:left w:val="nil"/>
              <w:bottom w:val="single" w:color="auto" w:sz="12" w:space="0"/>
              <w:right w:val="nil"/>
            </w:tcBorders>
          </w:tcPr>
          <w:p w14:paraId="5C46EAF0">
            <w:pPr>
              <w:spacing w:line="312" w:lineRule="auto"/>
              <w:jc w:val="center"/>
              <w:rPr>
                <w:kern w:val="0"/>
              </w:rPr>
            </w:pPr>
            <w:r>
              <w:t>Slabs</w:t>
            </w:r>
          </w:p>
        </w:tc>
        <w:tc>
          <w:tcPr>
            <w:tcW w:w="2038" w:type="dxa"/>
            <w:tcBorders>
              <w:top w:val="single" w:color="auto" w:sz="12" w:space="0"/>
              <w:left w:val="nil"/>
              <w:bottom w:val="single" w:color="auto" w:sz="12" w:space="0"/>
              <w:right w:val="nil"/>
            </w:tcBorders>
          </w:tcPr>
          <w:p w14:paraId="40261BCE">
            <w:pPr>
              <w:spacing w:line="312" w:lineRule="auto"/>
              <w:jc w:val="center"/>
              <w:rPr>
                <w:kern w:val="0"/>
              </w:rPr>
            </w:pPr>
            <w:r>
              <w:t>Broken Slabs</w:t>
            </w:r>
          </w:p>
        </w:tc>
        <w:tc>
          <w:tcPr>
            <w:tcW w:w="2038" w:type="dxa"/>
            <w:tcBorders>
              <w:top w:val="single" w:color="auto" w:sz="12" w:space="0"/>
              <w:left w:val="nil"/>
              <w:bottom w:val="single" w:color="auto" w:sz="12" w:space="0"/>
              <w:right w:val="nil"/>
            </w:tcBorders>
          </w:tcPr>
          <w:p w14:paraId="2E0D949B">
            <w:pPr>
              <w:spacing w:line="312" w:lineRule="auto"/>
              <w:jc w:val="center"/>
              <w:rPr>
                <w:kern w:val="0"/>
              </w:rPr>
            </w:pPr>
            <w:r>
              <w:t>Fractured Block Corners</w:t>
            </w:r>
          </w:p>
        </w:tc>
        <w:tc>
          <w:tcPr>
            <w:tcW w:w="2039" w:type="dxa"/>
            <w:tcBorders>
              <w:top w:val="single" w:color="auto" w:sz="12" w:space="0"/>
              <w:left w:val="nil"/>
              <w:bottom w:val="single" w:color="auto" w:sz="12" w:space="0"/>
              <w:right w:val="nil"/>
            </w:tcBorders>
          </w:tcPr>
          <w:p w14:paraId="5B13DFA3">
            <w:pPr>
              <w:spacing w:line="312" w:lineRule="auto"/>
              <w:jc w:val="center"/>
              <w:rPr>
                <w:kern w:val="0"/>
              </w:rPr>
            </w:pPr>
            <w:r>
              <w:t>Mud Squeeze, Misalignment (locations)</w:t>
            </w:r>
          </w:p>
        </w:tc>
      </w:tr>
      <w:tr w14:paraId="1347FC5E">
        <w:tblPrEx>
          <w:tblBorders>
            <w:top w:val="single" w:color="auto" w:sz="12"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c>
          <w:tcPr>
            <w:tcW w:w="2038" w:type="dxa"/>
            <w:tcBorders>
              <w:top w:val="single" w:color="auto" w:sz="12" w:space="0"/>
              <w:left w:val="nil"/>
              <w:bottom w:val="single" w:color="auto" w:sz="12" w:space="0"/>
              <w:right w:val="nil"/>
            </w:tcBorders>
          </w:tcPr>
          <w:p w14:paraId="6B53E34F">
            <w:pPr>
              <w:spacing w:line="312" w:lineRule="auto"/>
              <w:jc w:val="center"/>
              <w:rPr>
                <w:kern w:val="0"/>
              </w:rPr>
            </w:pPr>
            <w:r>
              <w:rPr>
                <w:kern w:val="0"/>
              </w:rPr>
              <w:t>3451</w:t>
            </w:r>
          </w:p>
        </w:tc>
        <w:tc>
          <w:tcPr>
            <w:tcW w:w="2038" w:type="dxa"/>
            <w:tcBorders>
              <w:top w:val="single" w:color="auto" w:sz="12" w:space="0"/>
              <w:left w:val="nil"/>
              <w:bottom w:val="single" w:color="auto" w:sz="12" w:space="0"/>
              <w:right w:val="nil"/>
            </w:tcBorders>
          </w:tcPr>
          <w:p w14:paraId="65F7A754">
            <w:pPr>
              <w:spacing w:line="312" w:lineRule="auto"/>
              <w:jc w:val="center"/>
              <w:rPr>
                <w:kern w:val="0"/>
              </w:rPr>
            </w:pPr>
            <w:r>
              <w:rPr>
                <w:kern w:val="0"/>
              </w:rPr>
              <w:t>1750</w:t>
            </w:r>
          </w:p>
        </w:tc>
        <w:tc>
          <w:tcPr>
            <w:tcW w:w="2038" w:type="dxa"/>
            <w:tcBorders>
              <w:top w:val="single" w:color="auto" w:sz="12" w:space="0"/>
              <w:left w:val="nil"/>
              <w:bottom w:val="single" w:color="auto" w:sz="12" w:space="0"/>
              <w:right w:val="nil"/>
            </w:tcBorders>
          </w:tcPr>
          <w:p w14:paraId="7581EC85">
            <w:pPr>
              <w:spacing w:line="312" w:lineRule="auto"/>
              <w:jc w:val="center"/>
              <w:rPr>
                <w:kern w:val="0"/>
              </w:rPr>
            </w:pPr>
            <w:r>
              <w:rPr>
                <w:kern w:val="0"/>
              </w:rPr>
              <w:t>2286</w:t>
            </w:r>
          </w:p>
        </w:tc>
        <w:tc>
          <w:tcPr>
            <w:tcW w:w="2039" w:type="dxa"/>
            <w:tcBorders>
              <w:top w:val="single" w:color="auto" w:sz="12" w:space="0"/>
              <w:left w:val="nil"/>
              <w:bottom w:val="single" w:color="auto" w:sz="12" w:space="0"/>
              <w:right w:val="nil"/>
            </w:tcBorders>
          </w:tcPr>
          <w:p w14:paraId="5A89A865">
            <w:pPr>
              <w:spacing w:line="312" w:lineRule="auto"/>
              <w:jc w:val="center"/>
              <w:rPr>
                <w:kern w:val="0"/>
              </w:rPr>
            </w:pPr>
            <w:r>
              <w:rPr>
                <w:kern w:val="0"/>
              </w:rPr>
              <w:t>2423</w:t>
            </w:r>
          </w:p>
        </w:tc>
      </w:tr>
    </w:tbl>
    <w:p w14:paraId="2FB2736E">
      <w:pPr>
        <w:pStyle w:val="16"/>
        <w:spacing w:before="31" w:after="31"/>
        <w:ind w:firstLine="480"/>
        <w:rPr>
          <w:szCs w:val="24"/>
        </w:rPr>
      </w:pPr>
      <w:r>
        <w:rPr>
          <w:szCs w:val="24"/>
        </w:rPr>
        <w:t>Note: Breakage of the panel into two pieces is termed as a broken slab; if cross cracks divide the panel into three or more parts, it is referred to as a fractured slab. Fractured block corners denote vertical cracks intersecting at the block corner with distances between the crack ends and the block length not exceeding half the length. Mud squeeze refers to the gradual extrusion of base materials along the panel joint due to vehicle traffic, causing the foundation to lose support, leading to voids beneath the pavement slabs. Misalignment refers to the vertical height difference at the joint between adjacent slabs.</w:t>
      </w:r>
    </w:p>
    <w:p w14:paraId="4563E0FF">
      <w:pPr>
        <w:pStyle w:val="16"/>
        <w:spacing w:before="31" w:after="31"/>
        <w:ind w:firstLine="480"/>
        <w:rPr>
          <w:szCs w:val="24"/>
        </w:rPr>
      </w:pPr>
      <w:r>
        <w:rPr>
          <w:szCs w:val="24"/>
        </w:rPr>
        <w:t>Referring to the classification of damage types in the "Highway Cement Concrete Pavement Maintenance Code," the actual damage types are categorized into these four main forms. These forms typically appear in one or several slabs of a panel, but for statistical purposes, only the most representative type is considered.</w:t>
      </w:r>
    </w:p>
    <w:p w14:paraId="23B17551">
      <w:pPr>
        <w:pStyle w:val="16"/>
        <w:spacing w:before="31" w:after="31"/>
        <w:ind w:firstLine="480"/>
        <w:rPr>
          <w:szCs w:val="24"/>
        </w:rPr>
      </w:pPr>
      <w:r>
        <w:rPr>
          <w:szCs w:val="24"/>
        </w:rPr>
        <w:t>According to the "Highway Cement Concrete Pavement Maintenance Code," the pavement condition is assessed using the Pavement Condition Index (PCI) and the Distress Bottom Length (DBL). The evaluation criteria are divided into five grades: Excellent, Good, Fair, Poor, and Very Poor, as shown in Table 8-6.</w:t>
      </w:r>
    </w:p>
    <w:p w14:paraId="0669926A">
      <w:pPr>
        <w:pStyle w:val="16"/>
        <w:spacing w:before="31" w:after="31"/>
        <w:ind w:firstLine="480"/>
        <w:rPr>
          <w:szCs w:val="24"/>
        </w:rPr>
      </w:pPr>
      <w:r>
        <w:rPr>
          <w:szCs w:val="24"/>
        </w:rPr>
        <w:t>Table 8-6: Pavement Damage Condition Rating Criteria</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1"/>
        <w:gridCol w:w="1018"/>
        <w:gridCol w:w="993"/>
        <w:gridCol w:w="992"/>
        <w:gridCol w:w="992"/>
        <w:gridCol w:w="851"/>
      </w:tblGrid>
      <w:tr w14:paraId="3ECEDC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01" w:type="dxa"/>
            <w:tcBorders>
              <w:top w:val="single" w:color="auto" w:sz="12" w:space="0"/>
              <w:left w:val="nil"/>
              <w:bottom w:val="single" w:color="auto" w:sz="12" w:space="0"/>
              <w:right w:val="nil"/>
            </w:tcBorders>
          </w:tcPr>
          <w:p w14:paraId="446E522F">
            <w:pPr>
              <w:autoSpaceDE w:val="0"/>
              <w:autoSpaceDN w:val="0"/>
              <w:adjustRightInd w:val="0"/>
              <w:spacing w:line="312" w:lineRule="auto"/>
              <w:jc w:val="center"/>
              <w:rPr>
                <w:rFonts w:hAnsi="宋体"/>
                <w:sz w:val="24"/>
              </w:rPr>
            </w:pPr>
            <w:r>
              <w:t>Rating Level</w:t>
            </w:r>
          </w:p>
        </w:tc>
        <w:tc>
          <w:tcPr>
            <w:tcW w:w="1018" w:type="dxa"/>
            <w:tcBorders>
              <w:top w:val="single" w:color="auto" w:sz="12" w:space="0"/>
              <w:left w:val="nil"/>
              <w:bottom w:val="single" w:color="auto" w:sz="12" w:space="0"/>
              <w:right w:val="nil"/>
            </w:tcBorders>
          </w:tcPr>
          <w:p w14:paraId="2566A5BA">
            <w:pPr>
              <w:autoSpaceDE w:val="0"/>
              <w:autoSpaceDN w:val="0"/>
              <w:adjustRightInd w:val="0"/>
              <w:spacing w:line="312" w:lineRule="auto"/>
              <w:jc w:val="center"/>
              <w:rPr>
                <w:rFonts w:hAnsi="宋体"/>
                <w:sz w:val="24"/>
              </w:rPr>
            </w:pPr>
            <w:r>
              <w:t>Excellent</w:t>
            </w:r>
          </w:p>
        </w:tc>
        <w:tc>
          <w:tcPr>
            <w:tcW w:w="993" w:type="dxa"/>
            <w:tcBorders>
              <w:top w:val="single" w:color="auto" w:sz="12" w:space="0"/>
              <w:left w:val="nil"/>
              <w:bottom w:val="single" w:color="auto" w:sz="12" w:space="0"/>
              <w:right w:val="nil"/>
            </w:tcBorders>
          </w:tcPr>
          <w:p w14:paraId="32DCBA82">
            <w:pPr>
              <w:autoSpaceDE w:val="0"/>
              <w:autoSpaceDN w:val="0"/>
              <w:adjustRightInd w:val="0"/>
              <w:spacing w:line="312" w:lineRule="auto"/>
              <w:jc w:val="center"/>
              <w:rPr>
                <w:rFonts w:hAnsi="宋体"/>
                <w:sz w:val="24"/>
              </w:rPr>
            </w:pPr>
            <w:r>
              <w:t xml:space="preserve">Good  </w:t>
            </w:r>
          </w:p>
        </w:tc>
        <w:tc>
          <w:tcPr>
            <w:tcW w:w="992" w:type="dxa"/>
            <w:tcBorders>
              <w:top w:val="single" w:color="auto" w:sz="12" w:space="0"/>
              <w:left w:val="nil"/>
              <w:bottom w:val="single" w:color="auto" w:sz="12" w:space="0"/>
              <w:right w:val="nil"/>
            </w:tcBorders>
          </w:tcPr>
          <w:p w14:paraId="73FF016C">
            <w:pPr>
              <w:autoSpaceDE w:val="0"/>
              <w:autoSpaceDN w:val="0"/>
              <w:adjustRightInd w:val="0"/>
              <w:spacing w:line="312" w:lineRule="auto"/>
              <w:jc w:val="center"/>
              <w:rPr>
                <w:rFonts w:hAnsi="宋体"/>
                <w:sz w:val="24"/>
              </w:rPr>
            </w:pPr>
            <w:r>
              <w:t>Fair</w:t>
            </w:r>
          </w:p>
        </w:tc>
        <w:tc>
          <w:tcPr>
            <w:tcW w:w="992" w:type="dxa"/>
            <w:tcBorders>
              <w:top w:val="single" w:color="auto" w:sz="12" w:space="0"/>
              <w:left w:val="nil"/>
              <w:bottom w:val="single" w:color="auto" w:sz="12" w:space="0"/>
              <w:right w:val="nil"/>
            </w:tcBorders>
          </w:tcPr>
          <w:p w14:paraId="0E36C3C4">
            <w:pPr>
              <w:autoSpaceDE w:val="0"/>
              <w:autoSpaceDN w:val="0"/>
              <w:adjustRightInd w:val="0"/>
              <w:spacing w:line="312" w:lineRule="auto"/>
              <w:jc w:val="center"/>
              <w:rPr>
                <w:rFonts w:hAnsi="宋体"/>
                <w:sz w:val="24"/>
              </w:rPr>
            </w:pPr>
            <w:r>
              <w:t>Poor</w:t>
            </w:r>
          </w:p>
        </w:tc>
        <w:tc>
          <w:tcPr>
            <w:tcW w:w="851" w:type="dxa"/>
            <w:tcBorders>
              <w:top w:val="single" w:color="auto" w:sz="12" w:space="0"/>
              <w:left w:val="nil"/>
              <w:bottom w:val="single" w:color="auto" w:sz="12" w:space="0"/>
              <w:right w:val="nil"/>
            </w:tcBorders>
          </w:tcPr>
          <w:p w14:paraId="6ECC2110">
            <w:pPr>
              <w:autoSpaceDE w:val="0"/>
              <w:autoSpaceDN w:val="0"/>
              <w:adjustRightInd w:val="0"/>
              <w:spacing w:line="312" w:lineRule="auto"/>
              <w:jc w:val="center"/>
              <w:rPr>
                <w:rFonts w:hAnsi="宋体"/>
                <w:sz w:val="24"/>
              </w:rPr>
            </w:pPr>
            <w:r>
              <w:t>Very Poor</w:t>
            </w:r>
          </w:p>
        </w:tc>
      </w:tr>
      <w:tr w14:paraId="4C4037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01" w:type="dxa"/>
            <w:tcBorders>
              <w:top w:val="single" w:color="auto" w:sz="12" w:space="0"/>
              <w:left w:val="nil"/>
              <w:bottom w:val="nil"/>
              <w:right w:val="nil"/>
            </w:tcBorders>
          </w:tcPr>
          <w:p w14:paraId="09DA1B88">
            <w:pPr>
              <w:autoSpaceDE w:val="0"/>
              <w:autoSpaceDN w:val="0"/>
              <w:adjustRightInd w:val="0"/>
              <w:spacing w:line="312" w:lineRule="auto"/>
              <w:jc w:val="center"/>
              <w:rPr>
                <w:rFonts w:hAnsi="宋体"/>
                <w:sz w:val="24"/>
              </w:rPr>
            </w:pPr>
            <w:r>
              <w:rPr>
                <w:rFonts w:hint="eastAsia"/>
              </w:rPr>
              <w:t>PCI</w:t>
            </w:r>
          </w:p>
        </w:tc>
        <w:tc>
          <w:tcPr>
            <w:tcW w:w="1018" w:type="dxa"/>
            <w:tcBorders>
              <w:top w:val="single" w:color="auto" w:sz="12" w:space="0"/>
              <w:left w:val="nil"/>
              <w:bottom w:val="nil"/>
              <w:right w:val="nil"/>
            </w:tcBorders>
          </w:tcPr>
          <w:p w14:paraId="0B7B9EC4">
            <w:pPr>
              <w:autoSpaceDE w:val="0"/>
              <w:autoSpaceDN w:val="0"/>
              <w:adjustRightInd w:val="0"/>
              <w:spacing w:line="312" w:lineRule="auto"/>
              <w:jc w:val="center"/>
              <w:rPr>
                <w:rFonts w:hAnsi="宋体"/>
                <w:sz w:val="24"/>
              </w:rPr>
            </w:pPr>
            <w:r>
              <w:rPr>
                <w:rFonts w:hint="eastAsia" w:hAnsi="宋体"/>
                <w:sz w:val="24"/>
              </w:rPr>
              <w:t>≥</w:t>
            </w:r>
            <w:r>
              <w:rPr>
                <w:rFonts w:hAnsi="宋体"/>
                <w:sz w:val="24"/>
              </w:rPr>
              <w:t>85</w:t>
            </w:r>
          </w:p>
        </w:tc>
        <w:tc>
          <w:tcPr>
            <w:tcW w:w="993" w:type="dxa"/>
            <w:tcBorders>
              <w:top w:val="single" w:color="auto" w:sz="12" w:space="0"/>
              <w:left w:val="nil"/>
              <w:bottom w:val="nil"/>
              <w:right w:val="nil"/>
            </w:tcBorders>
          </w:tcPr>
          <w:p w14:paraId="3087FCF0">
            <w:pPr>
              <w:autoSpaceDE w:val="0"/>
              <w:autoSpaceDN w:val="0"/>
              <w:adjustRightInd w:val="0"/>
              <w:spacing w:line="312" w:lineRule="auto"/>
              <w:jc w:val="center"/>
              <w:rPr>
                <w:rFonts w:hAnsi="宋体"/>
                <w:sz w:val="24"/>
              </w:rPr>
            </w:pPr>
            <w:r>
              <w:rPr>
                <w:rFonts w:hAnsi="宋体"/>
                <w:sz w:val="24"/>
              </w:rPr>
              <w:t>84~70</w:t>
            </w:r>
          </w:p>
        </w:tc>
        <w:tc>
          <w:tcPr>
            <w:tcW w:w="992" w:type="dxa"/>
            <w:tcBorders>
              <w:top w:val="single" w:color="auto" w:sz="12" w:space="0"/>
              <w:left w:val="nil"/>
              <w:bottom w:val="nil"/>
              <w:right w:val="nil"/>
            </w:tcBorders>
          </w:tcPr>
          <w:p w14:paraId="6340BB4F">
            <w:pPr>
              <w:autoSpaceDE w:val="0"/>
              <w:autoSpaceDN w:val="0"/>
              <w:adjustRightInd w:val="0"/>
              <w:spacing w:line="312" w:lineRule="auto"/>
              <w:jc w:val="center"/>
              <w:rPr>
                <w:rFonts w:hAnsi="宋体"/>
                <w:sz w:val="24"/>
              </w:rPr>
            </w:pPr>
            <w:r>
              <w:rPr>
                <w:rFonts w:hAnsi="宋体"/>
                <w:sz w:val="24"/>
              </w:rPr>
              <w:t>69~55</w:t>
            </w:r>
          </w:p>
        </w:tc>
        <w:tc>
          <w:tcPr>
            <w:tcW w:w="992" w:type="dxa"/>
            <w:tcBorders>
              <w:top w:val="single" w:color="auto" w:sz="12" w:space="0"/>
              <w:left w:val="nil"/>
              <w:bottom w:val="nil"/>
              <w:right w:val="nil"/>
            </w:tcBorders>
          </w:tcPr>
          <w:p w14:paraId="4A2F67BC">
            <w:pPr>
              <w:autoSpaceDE w:val="0"/>
              <w:autoSpaceDN w:val="0"/>
              <w:adjustRightInd w:val="0"/>
              <w:spacing w:line="312" w:lineRule="auto"/>
              <w:jc w:val="center"/>
              <w:rPr>
                <w:rFonts w:hAnsi="宋体"/>
                <w:sz w:val="24"/>
              </w:rPr>
            </w:pPr>
            <w:r>
              <w:rPr>
                <w:rFonts w:hAnsi="宋体"/>
                <w:sz w:val="24"/>
              </w:rPr>
              <w:t>54~40</w:t>
            </w:r>
          </w:p>
        </w:tc>
        <w:tc>
          <w:tcPr>
            <w:tcW w:w="851" w:type="dxa"/>
            <w:tcBorders>
              <w:top w:val="single" w:color="auto" w:sz="12" w:space="0"/>
              <w:left w:val="nil"/>
              <w:bottom w:val="nil"/>
              <w:right w:val="nil"/>
            </w:tcBorders>
          </w:tcPr>
          <w:p w14:paraId="2C26A249">
            <w:pPr>
              <w:autoSpaceDE w:val="0"/>
              <w:autoSpaceDN w:val="0"/>
              <w:adjustRightInd w:val="0"/>
              <w:spacing w:line="312" w:lineRule="auto"/>
              <w:jc w:val="center"/>
              <w:rPr>
                <w:rFonts w:hAnsi="宋体"/>
                <w:sz w:val="24"/>
              </w:rPr>
            </w:pPr>
            <w:r>
              <w:rPr>
                <w:rFonts w:hint="eastAsia" w:hAnsi="宋体"/>
                <w:sz w:val="24"/>
              </w:rPr>
              <w:t>＜</w:t>
            </w:r>
            <w:r>
              <w:rPr>
                <w:rFonts w:hAnsi="宋体"/>
                <w:sz w:val="24"/>
              </w:rPr>
              <w:t>40</w:t>
            </w:r>
          </w:p>
        </w:tc>
      </w:tr>
      <w:tr w14:paraId="421249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01" w:type="dxa"/>
            <w:tcBorders>
              <w:top w:val="nil"/>
              <w:left w:val="nil"/>
              <w:bottom w:val="single" w:color="auto" w:sz="12" w:space="0"/>
              <w:right w:val="nil"/>
            </w:tcBorders>
          </w:tcPr>
          <w:p w14:paraId="4A563540">
            <w:pPr>
              <w:autoSpaceDE w:val="0"/>
              <w:autoSpaceDN w:val="0"/>
              <w:adjustRightInd w:val="0"/>
              <w:spacing w:line="312" w:lineRule="auto"/>
              <w:jc w:val="center"/>
              <w:rPr>
                <w:rFonts w:hAnsi="宋体"/>
                <w:sz w:val="24"/>
              </w:rPr>
            </w:pPr>
            <w:r>
              <w:rPr>
                <w:rFonts w:hint="eastAsia"/>
              </w:rPr>
              <w:t>DBL (%)</w:t>
            </w:r>
          </w:p>
        </w:tc>
        <w:tc>
          <w:tcPr>
            <w:tcW w:w="1018" w:type="dxa"/>
            <w:tcBorders>
              <w:top w:val="nil"/>
              <w:left w:val="nil"/>
              <w:bottom w:val="single" w:color="auto" w:sz="12" w:space="0"/>
              <w:right w:val="nil"/>
            </w:tcBorders>
          </w:tcPr>
          <w:p w14:paraId="2AFF8AC2">
            <w:pPr>
              <w:autoSpaceDE w:val="0"/>
              <w:autoSpaceDN w:val="0"/>
              <w:adjustRightInd w:val="0"/>
              <w:spacing w:line="312" w:lineRule="auto"/>
              <w:jc w:val="center"/>
              <w:rPr>
                <w:rFonts w:hAnsi="宋体"/>
                <w:sz w:val="24"/>
              </w:rPr>
            </w:pPr>
            <w:r>
              <w:rPr>
                <w:rFonts w:hint="eastAsia" w:hAnsi="宋体"/>
                <w:sz w:val="24"/>
              </w:rPr>
              <w:t>≤</w:t>
            </w:r>
            <w:r>
              <w:rPr>
                <w:rFonts w:hAnsi="宋体"/>
                <w:sz w:val="24"/>
              </w:rPr>
              <w:t>1</w:t>
            </w:r>
          </w:p>
        </w:tc>
        <w:tc>
          <w:tcPr>
            <w:tcW w:w="993" w:type="dxa"/>
            <w:tcBorders>
              <w:top w:val="nil"/>
              <w:left w:val="nil"/>
              <w:bottom w:val="single" w:color="auto" w:sz="12" w:space="0"/>
              <w:right w:val="nil"/>
            </w:tcBorders>
          </w:tcPr>
          <w:p w14:paraId="243A7E07">
            <w:pPr>
              <w:autoSpaceDE w:val="0"/>
              <w:autoSpaceDN w:val="0"/>
              <w:adjustRightInd w:val="0"/>
              <w:spacing w:line="312" w:lineRule="auto"/>
              <w:jc w:val="center"/>
              <w:rPr>
                <w:rFonts w:hAnsi="宋体"/>
                <w:sz w:val="24"/>
              </w:rPr>
            </w:pPr>
            <w:r>
              <w:rPr>
                <w:rFonts w:hAnsi="宋体"/>
                <w:sz w:val="24"/>
              </w:rPr>
              <w:t>2~5</w:t>
            </w:r>
          </w:p>
        </w:tc>
        <w:tc>
          <w:tcPr>
            <w:tcW w:w="992" w:type="dxa"/>
            <w:tcBorders>
              <w:top w:val="nil"/>
              <w:left w:val="nil"/>
              <w:bottom w:val="single" w:color="auto" w:sz="12" w:space="0"/>
              <w:right w:val="nil"/>
            </w:tcBorders>
          </w:tcPr>
          <w:p w14:paraId="017BB8CD">
            <w:pPr>
              <w:autoSpaceDE w:val="0"/>
              <w:autoSpaceDN w:val="0"/>
              <w:adjustRightInd w:val="0"/>
              <w:spacing w:line="312" w:lineRule="auto"/>
              <w:jc w:val="center"/>
              <w:rPr>
                <w:rFonts w:hAnsi="宋体"/>
                <w:sz w:val="24"/>
              </w:rPr>
            </w:pPr>
            <w:r>
              <w:rPr>
                <w:rFonts w:hAnsi="宋体"/>
                <w:sz w:val="24"/>
              </w:rPr>
              <w:t>6~10</w:t>
            </w:r>
          </w:p>
        </w:tc>
        <w:tc>
          <w:tcPr>
            <w:tcW w:w="992" w:type="dxa"/>
            <w:tcBorders>
              <w:top w:val="nil"/>
              <w:left w:val="nil"/>
              <w:bottom w:val="single" w:color="auto" w:sz="12" w:space="0"/>
              <w:right w:val="nil"/>
            </w:tcBorders>
          </w:tcPr>
          <w:p w14:paraId="04D79130">
            <w:pPr>
              <w:autoSpaceDE w:val="0"/>
              <w:autoSpaceDN w:val="0"/>
              <w:adjustRightInd w:val="0"/>
              <w:spacing w:line="312" w:lineRule="auto"/>
              <w:jc w:val="center"/>
              <w:rPr>
                <w:rFonts w:hAnsi="宋体"/>
                <w:sz w:val="24"/>
              </w:rPr>
            </w:pPr>
            <w:r>
              <w:rPr>
                <w:rFonts w:hAnsi="宋体"/>
                <w:sz w:val="24"/>
              </w:rPr>
              <w:t>11~20</w:t>
            </w:r>
          </w:p>
        </w:tc>
        <w:tc>
          <w:tcPr>
            <w:tcW w:w="851" w:type="dxa"/>
            <w:tcBorders>
              <w:top w:val="nil"/>
              <w:left w:val="nil"/>
              <w:bottom w:val="single" w:color="auto" w:sz="12" w:space="0"/>
              <w:right w:val="nil"/>
            </w:tcBorders>
          </w:tcPr>
          <w:p w14:paraId="5010290D">
            <w:pPr>
              <w:autoSpaceDE w:val="0"/>
              <w:autoSpaceDN w:val="0"/>
              <w:adjustRightInd w:val="0"/>
              <w:spacing w:line="312" w:lineRule="auto"/>
              <w:jc w:val="center"/>
              <w:rPr>
                <w:rFonts w:hAnsi="宋体"/>
                <w:sz w:val="24"/>
              </w:rPr>
            </w:pPr>
            <w:r>
              <w:rPr>
                <w:rFonts w:hint="eastAsia" w:hAnsi="宋体"/>
                <w:sz w:val="24"/>
              </w:rPr>
              <w:t>＞</w:t>
            </w:r>
            <w:r>
              <w:rPr>
                <w:rFonts w:hAnsi="宋体"/>
                <w:sz w:val="24"/>
              </w:rPr>
              <w:t>20</w:t>
            </w:r>
          </w:p>
        </w:tc>
      </w:tr>
    </w:tbl>
    <w:p w14:paraId="07756D00">
      <w:pPr>
        <w:pStyle w:val="16"/>
        <w:spacing w:before="31" w:after="31"/>
        <w:ind w:firstLine="480"/>
        <w:rPr>
          <w:szCs w:val="24"/>
        </w:rPr>
      </w:pPr>
      <w:r>
        <w:rPr>
          <w:szCs w:val="24"/>
        </w:rPr>
        <w:t>The statistical calculations for various evaluation indicators in this section are as follows: PCI = 68,188, rated as "Fair"; Average DBL = 21,190%, rated as "Very Poor." According to the "Highway Cement Concrete Pavement Maintenance Code," when the pavement damage condition is rated as "Fair" or lower, comprehensive repair or improvement measures should be implemented for the entire section, including asphalt mix patching, block crushing and compaction stabilization, laying asphalt concrete or cement concrete overlay, and constructing longitudinal edge drainage measures.</w:t>
      </w:r>
    </w:p>
    <w:p w14:paraId="5E9C6D72">
      <w:pPr>
        <w:pStyle w:val="16"/>
        <w:spacing w:before="31" w:after="31"/>
        <w:ind w:firstLine="480"/>
        <w:rPr>
          <w:szCs w:val="24"/>
        </w:rPr>
      </w:pPr>
      <w:r>
        <w:rPr>
          <w:szCs w:val="24"/>
        </w:rPr>
        <w:t>(6) Failure Cause Analysis</w:t>
      </w:r>
    </w:p>
    <w:p w14:paraId="637DE364">
      <w:pPr>
        <w:pStyle w:val="16"/>
        <w:spacing w:before="31" w:after="31"/>
        <w:ind w:firstLine="480"/>
        <w:rPr>
          <w:szCs w:val="24"/>
        </w:rPr>
      </w:pPr>
      <w:r>
        <w:rPr>
          <w:szCs w:val="24"/>
        </w:rPr>
        <w:t>Concrete has high mechanical strength and modulus of elasticity. Therefore, the surface layer of the concrete pavement is the primary load-bearing structural layer, directly bearing the effects of both loads and environmental factors. It possesses significant stiffness, durability, good surface characteristics, and effectively distributes vehicle loads over a large area of the foundation beneath the slab. However, due to various reasons, the pavement slabs are damaged, shortening the road's lifespan. The authors conducted an analysis of various major failure causes.</w:t>
      </w:r>
    </w:p>
    <w:p w14:paraId="36A7AD71">
      <w:pPr>
        <w:pStyle w:val="16"/>
        <w:spacing w:before="31" w:after="31"/>
        <w:ind w:firstLine="480"/>
        <w:rPr>
          <w:szCs w:val="24"/>
        </w:rPr>
      </w:pPr>
      <w:r>
        <w:rPr>
          <w:szCs w:val="24"/>
        </w:rPr>
        <w:t>(a) Failure of Roadbed and Surface Drainage Facilities</w:t>
      </w:r>
    </w:p>
    <w:p w14:paraId="5F63FB73">
      <w:pPr>
        <w:pStyle w:val="16"/>
        <w:spacing w:before="31" w:after="31"/>
        <w:ind w:firstLine="480"/>
        <w:rPr>
          <w:szCs w:val="24"/>
        </w:rPr>
      </w:pPr>
      <w:r>
        <w:rPr>
          <w:szCs w:val="24"/>
        </w:rPr>
        <w:t>The authors conducted drilling and coring on the roadbed soil and performed physical property tests on the collected soil samples. The test results indicated that the moisture content (W) of the current roadbed soil ranged from 20.15% to 31.11%. In the same borehole, the moisture content of the soil within the range of 0–0.18 m below the bottom of the road surface layer was relatively high, generally between 25.10% and 31.11%, while the soil's moisture content within the range of 0.18 m to 1.15 m was significantly lower, usually not exceeding 25.10%. The saturation degree (Sr) ranged from 83.18% to 100.10%.</w:t>
      </w:r>
    </w:p>
    <w:p w14:paraId="44DFD502">
      <w:pPr>
        <w:pStyle w:val="16"/>
        <w:spacing w:before="31" w:after="31"/>
        <w:ind w:firstLine="480"/>
        <w:rPr>
          <w:szCs w:val="24"/>
        </w:rPr>
      </w:pPr>
      <w:r>
        <w:rPr>
          <w:szCs w:val="24"/>
        </w:rPr>
        <w:t>Based on the classification of roadbed soil, it was categorized as high liquid limit clay (CH) or low liquid limit clay (CL), with an average consistency index ranging between 0.181 and 1.104, indicating a roadbed moisture type of "moist to moderately moist."</w:t>
      </w:r>
    </w:p>
    <w:p w14:paraId="1C291AF3">
      <w:pPr>
        <w:pStyle w:val="16"/>
        <w:spacing w:before="31" w:after="31"/>
        <w:ind w:firstLine="480"/>
        <w:rPr>
          <w:szCs w:val="24"/>
        </w:rPr>
      </w:pPr>
      <w:r>
        <w:rPr>
          <w:szCs w:val="24"/>
        </w:rPr>
        <w:t>The free swelling ratio (Fs) ranged from 14% to 46%, with most values being less than 40%. Some roadbed fill soils exhibited weak expansive characteristics, where the compaction density would significantly decrease after encountering water, leading to a reduction in roadbed strength.</w:t>
      </w:r>
    </w:p>
    <w:p w14:paraId="31C5EE68">
      <w:pPr>
        <w:pStyle w:val="16"/>
        <w:spacing w:before="31" w:after="31"/>
        <w:ind w:firstLine="480"/>
        <w:rPr>
          <w:szCs w:val="24"/>
        </w:rPr>
      </w:pPr>
      <w:r>
        <w:rPr>
          <w:szCs w:val="24"/>
        </w:rPr>
        <w:t>From the test results of the collected roadbed soil, it was observed that the moisture content in the roadbed fill increased due to capillary water rise and surface water infiltration, causing an increase in moisture content and saturation, reducing the cohesion of the soil. Additionally, the inability of water to drain from the roadbed fill led to damage to the structural integrity of the roadbed, resulting in decreased strength.</w:t>
      </w:r>
    </w:p>
    <w:p w14:paraId="2BB39608">
      <w:pPr>
        <w:pStyle w:val="16"/>
        <w:spacing w:before="31" w:after="31"/>
        <w:ind w:firstLine="480"/>
        <w:rPr>
          <w:szCs w:val="24"/>
        </w:rPr>
      </w:pPr>
      <w:r>
        <w:rPr>
          <w:szCs w:val="24"/>
        </w:rPr>
        <w:t>Surface water was unable to drain promptly, leading to prolonged ponding, causing surface water to infiltrate through the cracks in the surface layer. This resulted in erosion of the roadbed base layer and upper layers of the roadbed soil, structural damage, severe soil erosion, and clogging of side ditches, coupled with traffic loads, leading to voids beneath the slabs and various pavement damages. The pavement damages, in turn, intensified the infiltration of surface water, causing further damage to the structural integrity and strength of the roadbed.</w:t>
      </w:r>
    </w:p>
    <w:p w14:paraId="38FB55A2">
      <w:pPr>
        <w:pStyle w:val="16"/>
        <w:spacing w:before="31" w:after="31"/>
        <w:ind w:firstLine="480"/>
        <w:rPr>
          <w:szCs w:val="24"/>
        </w:rPr>
      </w:pPr>
      <w:r>
        <w:rPr>
          <w:szCs w:val="24"/>
        </w:rPr>
        <w:t>(b) Loss of Load Transfer Capacity and Joint Failure</w:t>
      </w:r>
    </w:p>
    <w:p w14:paraId="14E696A2">
      <w:pPr>
        <w:pStyle w:val="16"/>
        <w:spacing w:before="31" w:after="31"/>
        <w:ind w:firstLine="480"/>
        <w:rPr>
          <w:szCs w:val="24"/>
        </w:rPr>
      </w:pPr>
      <w:r>
        <w:rPr>
          <w:szCs w:val="24"/>
        </w:rPr>
        <w:t>I. Loss of load transfer capacity of the transmission rod resulted in excessive load stress, warping stress, or shrinkage stress at the periphery of the slab, leading to cracks. Short longitudinal cracks developing at transverse joints might result in shear cracks due to the presence of compressive stress at the cross-sectional area.</w:t>
      </w:r>
    </w:p>
    <w:p w14:paraId="7825E071">
      <w:pPr>
        <w:pStyle w:val="16"/>
        <w:spacing w:before="31" w:after="31"/>
        <w:ind w:firstLine="480"/>
        <w:rPr>
          <w:szCs w:val="24"/>
        </w:rPr>
      </w:pPr>
      <w:r>
        <w:rPr>
          <w:szCs w:val="24"/>
        </w:rPr>
        <w:t>II. Local loss of load transfer capacity resulted in significant stress on the corners of the slab, easily causing fractures at the corners.</w:t>
      </w:r>
    </w:p>
    <w:p w14:paraId="3E4250B4">
      <w:pPr>
        <w:pStyle w:val="16"/>
        <w:spacing w:before="31" w:after="31"/>
        <w:ind w:firstLine="480"/>
        <w:rPr>
          <w:szCs w:val="24"/>
        </w:rPr>
      </w:pPr>
      <w:r>
        <w:rPr>
          <w:szCs w:val="24"/>
        </w:rPr>
        <w:t>III. Loss of load transfer capacity led to weak or damaged load transfer at the joints. The presence of gaps and weak layers beneath the slab, coupled with the action of the load, induced vibration in the slab, resulting in mud squeezing at the joints and eventually causing misalignment. Severe overloading and the increase in overloaded axle loads correlated with increasing overloads. The operation of vehicles on the pavement with overloads and excessive axle loads aggravated pavement damage.</w:t>
      </w:r>
    </w:p>
    <w:p w14:paraId="53E6DCEE">
      <w:pPr>
        <w:pStyle w:val="16"/>
        <w:spacing w:before="31" w:after="31"/>
        <w:ind w:firstLine="480"/>
        <w:rPr>
          <w:szCs w:val="24"/>
        </w:rPr>
      </w:pPr>
      <w:r>
        <w:rPr>
          <w:szCs w:val="24"/>
        </w:rPr>
        <w:t>(c) Construction Control</w:t>
      </w:r>
    </w:p>
    <w:p w14:paraId="35D6F464">
      <w:pPr>
        <w:pStyle w:val="16"/>
        <w:spacing w:before="31" w:after="31"/>
        <w:ind w:firstLine="480"/>
        <w:rPr>
          <w:szCs w:val="24"/>
        </w:rPr>
      </w:pPr>
      <w:r>
        <w:rPr>
          <w:szCs w:val="24"/>
        </w:rPr>
        <w:t>I. Poor treatment of the roadbed in areas of filling, zero-filling, and excavation; uneven strength in roadbed construction; these areas exhibited more slab cracks.</w:t>
      </w:r>
    </w:p>
    <w:p w14:paraId="7B3667DB">
      <w:pPr>
        <w:pStyle w:val="16"/>
        <w:spacing w:before="31" w:after="31"/>
        <w:ind w:firstLine="480"/>
        <w:rPr>
          <w:szCs w:val="24"/>
        </w:rPr>
      </w:pPr>
      <w:r>
        <w:rPr>
          <w:szCs w:val="24"/>
        </w:rPr>
        <w:t>II. Individual concrete surface layer samples had lower compressive strength than the design requirements.</w:t>
      </w:r>
    </w:p>
    <w:p w14:paraId="1DCAE915">
      <w:pPr>
        <w:pStyle w:val="16"/>
        <w:spacing w:before="31" w:after="31"/>
        <w:ind w:firstLine="480"/>
        <w:rPr>
          <w:szCs w:val="24"/>
        </w:rPr>
      </w:pPr>
      <w:r>
        <w:rPr>
          <w:szCs w:val="24"/>
        </w:rPr>
        <w:t>III. Inadequate compaction during concrete pouring.</w:t>
      </w:r>
    </w:p>
    <w:p w14:paraId="329BA87D">
      <w:pPr>
        <w:pStyle w:val="16"/>
        <w:spacing w:before="31" w:after="31"/>
        <w:ind w:firstLine="480"/>
        <w:rPr>
          <w:szCs w:val="24"/>
        </w:rPr>
      </w:pPr>
      <w:r>
        <w:rPr>
          <w:szCs w:val="24"/>
        </w:rPr>
        <w:t>(7) Impact and Harm Caused</w:t>
      </w:r>
    </w:p>
    <w:p w14:paraId="33124106">
      <w:pPr>
        <w:pStyle w:val="16"/>
        <w:spacing w:before="31" w:after="31"/>
        <w:ind w:firstLine="480"/>
        <w:rPr>
          <w:szCs w:val="24"/>
        </w:rPr>
      </w:pPr>
      <w:r>
        <w:rPr>
          <w:szCs w:val="24"/>
        </w:rPr>
        <w:t>Severely affected road safety and reduced the service level of the highway.</w:t>
      </w:r>
    </w:p>
    <w:p w14:paraId="79E32150">
      <w:pPr>
        <w:pStyle w:val="16"/>
        <w:spacing w:before="31" w:after="31"/>
        <w:ind w:firstLine="480"/>
        <w:rPr>
          <w:szCs w:val="24"/>
        </w:rPr>
      </w:pPr>
    </w:p>
    <w:p w14:paraId="626CE2FF">
      <w:pPr>
        <w:pStyle w:val="16"/>
        <w:spacing w:before="31" w:after="31"/>
        <w:ind w:firstLine="480"/>
        <w:rPr>
          <w:szCs w:val="24"/>
        </w:rPr>
      </w:pPr>
      <w:r>
        <w:rPr>
          <w:szCs w:val="24"/>
        </w:rPr>
        <w:t>(8) Conclusion and Improvement Measures</w:t>
      </w:r>
    </w:p>
    <w:p w14:paraId="56FE3DA2">
      <w:pPr>
        <w:pStyle w:val="16"/>
        <w:spacing w:before="31" w:after="31"/>
        <w:ind w:firstLine="480"/>
        <w:rPr>
          <w:szCs w:val="24"/>
        </w:rPr>
      </w:pPr>
      <w:r>
        <w:rPr>
          <w:szCs w:val="24"/>
        </w:rPr>
        <w:t>In recent years, with the development of highway construction, many reconstruction or expansion projects have involved laying a flexible asphalt concrete surface layer on existing cement concrete road surfaces. This approach effectively improves road performance, has minimal impact on traffic and the environment, and provides good driving comfort. It is the preferred solution for repairing old cement concrete road surfaces. The treatment of existing cement slabs is a primary concern in reconstruction, and currently, two approaches are considered: one involves breaking all damaged slabs, inducing cracks in the remaining intact slabs, and using a heavy roller to compact the broken slabs into the roadbed as the new road surface base or sub-base. Another approach involves conducting a current pavement quality survey, identifying and analyzing defects, treating different defects, and then laying the surface layer.</w:t>
      </w:r>
    </w:p>
    <w:p w14:paraId="1F393626">
      <w:pPr>
        <w:pStyle w:val="16"/>
        <w:spacing w:before="31" w:after="31"/>
        <w:ind w:firstLine="480"/>
        <w:rPr>
          <w:szCs w:val="24"/>
        </w:rPr>
      </w:pPr>
      <w:r>
        <w:rPr>
          <w:szCs w:val="24"/>
        </w:rPr>
        <w:t>(a) Repair and improve existing drainage facilities according to design requirements. In sections with a high water table, blind ditches can be installed below side ditches.</w:t>
      </w:r>
    </w:p>
    <w:p w14:paraId="07A6247A">
      <w:pPr>
        <w:pStyle w:val="16"/>
        <w:spacing w:before="31" w:after="31"/>
        <w:ind w:firstLine="480"/>
        <w:rPr>
          <w:szCs w:val="24"/>
        </w:rPr>
      </w:pPr>
      <w:r>
        <w:rPr>
          <w:szCs w:val="24"/>
        </w:rPr>
        <w:t>(b) Clean all construction joints thoroughly and reseal them with asphalt. When joint widths exceed 3 mm, it is recommended to use fine hemp strips soaked in penetrating asphalt for sealing to prevent surface water from infiltrating the base layer.</w:t>
      </w:r>
    </w:p>
    <w:p w14:paraId="6F5F9097">
      <w:pPr>
        <w:pStyle w:val="16"/>
        <w:spacing w:before="31" w:after="31"/>
        <w:ind w:firstLine="480"/>
        <w:rPr>
          <w:szCs w:val="24"/>
        </w:rPr>
      </w:pPr>
      <w:r>
        <w:rPr>
          <w:szCs w:val="24"/>
        </w:rPr>
        <w:t>(c) If the moisture content in the roadbed soil exceeds the design value, appropriate measures should be taken to improve the roadbed soil, enhancing its structural integrity and strength.</w:t>
      </w:r>
    </w:p>
    <w:p w14:paraId="1DFE0D82">
      <w:pPr>
        <w:pStyle w:val="16"/>
        <w:spacing w:before="31" w:after="31"/>
        <w:ind w:firstLine="480"/>
        <w:rPr>
          <w:szCs w:val="24"/>
        </w:rPr>
      </w:pPr>
      <w:r>
        <w:rPr>
          <w:szCs w:val="24"/>
        </w:rPr>
        <w:t>(d) For non-expansive small cracks, cut two deep (4 cm) parallel grooves along both sides of the crack at intervals of 2 cm to 3 cm, manually chisel small grooves, insert foam plastic strips below, and fill the upper part with PE road sealing glue. For slabs that are fractured or exhibit obvious medium to severe cracks, grouting can be used to fill the cracks in the slabs, simultaneously filling the voids generated in the base layer.</w:t>
      </w:r>
    </w:p>
    <w:p w14:paraId="56737069">
      <w:pPr>
        <w:pStyle w:val="16"/>
        <w:spacing w:before="31" w:after="31"/>
        <w:ind w:firstLine="480"/>
        <w:rPr>
          <w:szCs w:val="24"/>
        </w:rPr>
      </w:pPr>
      <w:r>
        <w:rPr>
          <w:szCs w:val="24"/>
        </w:rPr>
        <w:t>(e) When slabs are broken into three or more pieces and have a significant impact on traffic safety, the entire slab must be removed. After treating the base layer, a new concrete slab can be cast. Before pouring, the base layer should be inspected, and all crushed and loose material should be removed. Some soil bases may also need excavation. Compaction of semi-rigid base is difficult; therefore, after compacting the roadbed, a 15 cm thick C15 concrete layer is laid as the base layer, followed by the placement of the concrete surface layer. To ensure the coordination between old and new concrete slabs and increase load transfer capacity between slabs, concrete can be excavated below adjacent old slabs and filled, or holes can be drilled along the edges of old concrete slabs to set new rods longitudinally and add load transfer rods transversely.</w:t>
      </w:r>
    </w:p>
    <w:p w14:paraId="28F2C298">
      <w:pPr>
        <w:pStyle w:val="16"/>
        <w:spacing w:before="31" w:after="31"/>
        <w:ind w:firstLine="480"/>
        <w:rPr>
          <w:szCs w:val="24"/>
        </w:rPr>
      </w:pPr>
      <w:r>
        <w:rPr>
          <w:szCs w:val="24"/>
        </w:rPr>
        <w:t>(f) Trim the edges of fractured panels and chisel the joint faces. Inject epoxy cement slurry into drilled holes and insert reinforcing bars as load transfer rods. Newly poured concrete should include early-strength additives.</w:t>
      </w:r>
    </w:p>
    <w:p w14:paraId="244590BA">
      <w:pPr>
        <w:pStyle w:val="16"/>
        <w:spacing w:before="31" w:after="31"/>
        <w:ind w:firstLine="480"/>
        <w:rPr>
          <w:szCs w:val="24"/>
        </w:rPr>
      </w:pPr>
      <w:r>
        <w:rPr>
          <w:szCs w:val="24"/>
        </w:rPr>
        <w:t>(g) For a large number of misaligned slabs, two scenarios can be considered based on the misalignment height:</w:t>
      </w:r>
    </w:p>
    <w:p w14:paraId="5BDBC651">
      <w:pPr>
        <w:pStyle w:val="16"/>
        <w:spacing w:before="31" w:after="31"/>
        <w:ind w:firstLine="480"/>
        <w:rPr>
          <w:szCs w:val="24"/>
        </w:rPr>
      </w:pPr>
      <w:r>
        <w:rPr>
          <w:szCs w:val="24"/>
        </w:rPr>
        <w:t>I. For misalignment heights less than 115 cm, use a pickaxe and chisel to remove the raised parts and make them level with the adjacent slabs.</w:t>
      </w:r>
    </w:p>
    <w:p w14:paraId="0E706833">
      <w:pPr>
        <w:pStyle w:val="16"/>
        <w:spacing w:before="31" w:after="31"/>
        <w:ind w:firstLine="480"/>
        <w:rPr>
          <w:szCs w:val="24"/>
        </w:rPr>
      </w:pPr>
      <w:r>
        <w:rPr>
          <w:szCs w:val="24"/>
        </w:rPr>
        <w:t>II. For misalignment heights greater than 115 cm, use the method of chiseling low and leveling. Chisel the lower side of the slab, fill it with rapid-repair mortar, smooth it, and repair it within a width of 50 cm to 100 cm.</w:t>
      </w:r>
    </w:p>
    <w:p w14:paraId="7CA1239E">
      <w:pPr>
        <w:pStyle w:val="16"/>
        <w:spacing w:before="31" w:after="31"/>
        <w:ind w:firstLine="480"/>
        <w:rPr>
          <w:szCs w:val="24"/>
        </w:rPr>
      </w:pPr>
      <w:r>
        <w:rPr>
          <w:szCs w:val="24"/>
        </w:rPr>
        <w:t>III. Use grouting for repairs. The misaligned location can be leveled by lifting one side of the concrete slab and filling the gap between the slabs.</w:t>
      </w:r>
    </w:p>
    <w:p w14:paraId="42343026">
      <w:pPr>
        <w:pStyle w:val="16"/>
        <w:spacing w:before="31" w:after="31"/>
        <w:ind w:firstLine="0" w:firstLineChars="0"/>
        <w:rPr>
          <w:b/>
          <w:bCs/>
          <w:szCs w:val="24"/>
        </w:rPr>
      </w:pPr>
      <w:r>
        <w:rPr>
          <w:rFonts w:hint="eastAsia"/>
          <w:b/>
          <w:bCs/>
          <w:szCs w:val="24"/>
          <w:lang w:val="en-US" w:eastAsia="zh-CN"/>
        </w:rPr>
        <w:t>7</w:t>
      </w:r>
      <w:r>
        <w:rPr>
          <w:b/>
          <w:bCs/>
          <w:szCs w:val="24"/>
        </w:rPr>
        <w:t xml:space="preserve">.2 Case </w:t>
      </w:r>
      <w:r>
        <w:rPr>
          <w:rFonts w:hint="eastAsia"/>
          <w:b/>
          <w:bCs/>
          <w:szCs w:val="24"/>
          <w:lang w:val="en-US" w:eastAsia="zh-CN"/>
        </w:rPr>
        <w:t>7</w:t>
      </w:r>
      <w:r>
        <w:rPr>
          <w:b/>
          <w:bCs/>
          <w:szCs w:val="24"/>
        </w:rPr>
        <w:t>-16 Cracking, Depression, and Mud Squeeze in Asphalt Pavement on Highways</w:t>
      </w:r>
    </w:p>
    <w:p w14:paraId="65E73E0B">
      <w:pPr>
        <w:pStyle w:val="16"/>
        <w:spacing w:before="31" w:after="31"/>
        <w:ind w:firstLine="480"/>
        <w:rPr>
          <w:szCs w:val="24"/>
        </w:rPr>
      </w:pPr>
      <w:r>
        <w:rPr>
          <w:szCs w:val="24"/>
        </w:rPr>
        <w:t>(1) Case Name</w:t>
      </w:r>
    </w:p>
    <w:p w14:paraId="7059A076">
      <w:pPr>
        <w:pStyle w:val="16"/>
        <w:spacing w:before="31" w:after="31"/>
        <w:ind w:firstLine="480"/>
        <w:rPr>
          <w:rFonts w:hint="default" w:eastAsia="宋体"/>
          <w:szCs w:val="24"/>
          <w:lang w:val="en-US" w:eastAsia="zh-CN"/>
        </w:rPr>
      </w:pPr>
      <w:r>
        <w:rPr>
          <w:szCs w:val="24"/>
        </w:rPr>
        <w:t>Cracking, Depression, and Mud Squeeze in Asphalt Pavement on Highway</w:t>
      </w:r>
      <w:r>
        <w:rPr>
          <w:rFonts w:hint="eastAsia"/>
          <w:szCs w:val="24"/>
          <w:lang w:val="en-US" w:eastAsia="zh-CN"/>
        </w:rPr>
        <w:t>s.</w:t>
      </w:r>
    </w:p>
    <w:p w14:paraId="790D8069">
      <w:pPr>
        <w:pStyle w:val="16"/>
        <w:spacing w:before="31" w:after="31"/>
        <w:ind w:firstLine="480"/>
        <w:rPr>
          <w:szCs w:val="24"/>
        </w:rPr>
      </w:pPr>
      <w:r>
        <w:rPr>
          <w:szCs w:val="24"/>
        </w:rPr>
        <w:t>(2) Description of Failure Process</w:t>
      </w:r>
    </w:p>
    <w:p w14:paraId="4983BA15">
      <w:pPr>
        <w:pStyle w:val="16"/>
        <w:spacing w:before="31" w:after="31"/>
        <w:ind w:firstLine="480"/>
        <w:rPr>
          <w:szCs w:val="24"/>
        </w:rPr>
      </w:pPr>
      <w:r>
        <w:rPr>
          <w:szCs w:val="24"/>
        </w:rPr>
        <w:t>The section from Xiamen to Zhangzhou (referred to as the downward line) has maintained good road conditions for a year and a half, with few cracks. However, in some sections from Zhangzhou to Xiamen (referred to as the upward line), there are transverse cracks, grid cracks, localized ruts, depressions, and mud squeeze. The main features of the distress are: transverse cracks concentrate in the driving lane and generally do not extend into the passing lane; longitudinal cracks mainly concentrate in the driving lane and near the right side of the passing lane; grid cracks mainly concentrate in the driving lane and near the right stripe of the passing lane, displaying a fine and widespread distribution; significant ruts and depressions occur in some sections of the main lane. These ruts are permanent deformations caused by repeated loading, surface cracking, water infiltration, and vehicle impacts rather than the common ruts caused by high temperatures. Depressions and mud squeezing occur in the locations of the ruts due to the repeated action of the load, rainwater infiltration, and mud and water carried away during mud squeezing.</w:t>
      </w:r>
    </w:p>
    <w:p w14:paraId="768FF313">
      <w:pPr>
        <w:pStyle w:val="16"/>
        <w:spacing w:before="31" w:after="31"/>
        <w:ind w:firstLine="480"/>
        <w:rPr>
          <w:szCs w:val="24"/>
        </w:rPr>
      </w:pPr>
      <w:r>
        <w:rPr>
          <w:szCs w:val="24"/>
        </w:rPr>
        <w:t>(3) Operating Environment of Components</w:t>
      </w:r>
    </w:p>
    <w:p w14:paraId="60466137">
      <w:pPr>
        <w:pStyle w:val="16"/>
        <w:spacing w:before="31" w:after="31"/>
        <w:ind w:firstLine="480"/>
        <w:rPr>
          <w:szCs w:val="24"/>
        </w:rPr>
      </w:pPr>
      <w:r>
        <w:rPr>
          <w:szCs w:val="24"/>
        </w:rPr>
        <w:t>Operating environment: Interaction of traffic loads and water infiltration</w:t>
      </w:r>
    </w:p>
    <w:p w14:paraId="6534BFDD">
      <w:pPr>
        <w:pStyle w:val="16"/>
        <w:spacing w:before="31" w:after="31"/>
        <w:ind w:firstLine="480"/>
        <w:rPr>
          <w:szCs w:val="24"/>
        </w:rPr>
      </w:pPr>
      <w:r>
        <w:rPr>
          <w:szCs w:val="24"/>
        </w:rPr>
        <w:t>(4) Failed Components and Materials</w:t>
      </w:r>
    </w:p>
    <w:p w14:paraId="7B11D1F5">
      <w:pPr>
        <w:pStyle w:val="16"/>
        <w:spacing w:before="31" w:after="31"/>
        <w:ind w:firstLine="480"/>
        <w:rPr>
          <w:szCs w:val="24"/>
        </w:rPr>
      </w:pPr>
      <w:r>
        <w:rPr>
          <w:szCs w:val="24"/>
        </w:rPr>
        <w:t>Asphalt pavement on the highway</w:t>
      </w:r>
    </w:p>
    <w:p w14:paraId="1F82402B">
      <w:pPr>
        <w:pStyle w:val="16"/>
        <w:spacing w:before="31" w:after="31"/>
        <w:ind w:firstLine="480"/>
        <w:rPr>
          <w:szCs w:val="24"/>
        </w:rPr>
      </w:pPr>
      <w:r>
        <w:rPr>
          <w:szCs w:val="24"/>
        </w:rPr>
        <w:t>(5) Failed Component Morphology:</w:t>
      </w:r>
    </w:p>
    <w:p w14:paraId="44AA946F">
      <w:pPr>
        <w:pStyle w:val="16"/>
        <w:spacing w:before="31" w:after="31"/>
        <w:ind w:firstLine="420" w:firstLineChars="0"/>
        <w:rPr>
          <w:rFonts w:hint="eastAsia"/>
          <w:szCs w:val="24"/>
        </w:rPr>
      </w:pPr>
      <w:r>
        <w:rPr>
          <w:szCs w:val="24"/>
        </w:rPr>
        <w:t>Null</w:t>
      </w:r>
    </w:p>
    <w:p w14:paraId="36075DEC">
      <w:pPr>
        <w:pStyle w:val="16"/>
        <w:spacing w:before="31" w:after="31"/>
        <w:ind w:firstLine="480"/>
        <w:rPr>
          <w:szCs w:val="24"/>
        </w:rPr>
      </w:pPr>
      <w:r>
        <w:rPr>
          <w:szCs w:val="24"/>
        </w:rPr>
        <w:t>(6) Failure Cause Analysis</w:t>
      </w:r>
    </w:p>
    <w:p w14:paraId="12324729">
      <w:pPr>
        <w:pStyle w:val="16"/>
        <w:spacing w:before="31" w:after="31"/>
        <w:ind w:firstLine="480"/>
        <w:rPr>
          <w:szCs w:val="24"/>
        </w:rPr>
      </w:pPr>
      <w:r>
        <w:rPr>
          <w:szCs w:val="24"/>
        </w:rPr>
        <w:t>Through sampling and analysis of core samples from areas with grid cracks and depressions in the upward line and core samples from emergency parking areas and intact road areas, the following results were obtained:</w:t>
      </w:r>
    </w:p>
    <w:p w14:paraId="06F23482">
      <w:pPr>
        <w:pStyle w:val="16"/>
        <w:spacing w:before="31" w:after="31"/>
        <w:ind w:firstLine="480"/>
        <w:rPr>
          <w:szCs w:val="24"/>
        </w:rPr>
      </w:pPr>
      <w:r>
        <w:rPr>
          <w:szCs w:val="24"/>
        </w:rPr>
        <w:t>(a) Core Sample and Borehole Observations</w:t>
      </w:r>
    </w:p>
    <w:p w14:paraId="25FE9EB9">
      <w:pPr>
        <w:pStyle w:val="16"/>
        <w:spacing w:before="31" w:after="31"/>
        <w:ind w:firstLine="480"/>
        <w:rPr>
          <w:szCs w:val="24"/>
        </w:rPr>
      </w:pPr>
      <w:r>
        <w:rPr>
          <w:rFonts w:hint="eastAsia"/>
          <w:szCs w:val="24"/>
        </w:rPr>
        <w:t>① The surface layer and middle layer bonding at the sites of grid cracks and depressions are good, but the middle layer and bottom layer are easily separated. The AC-25-II asphalt mixture in the bottom layer suffers serious water damage, and there is almos</w:t>
      </w:r>
      <w:r>
        <w:rPr>
          <w:szCs w:val="24"/>
        </w:rPr>
        <w:t>t no asphalt between the middle and bottom layers. The top 1 cm to 2 cm of the semi-rigid base layer exhibits softening.</w:t>
      </w:r>
    </w:p>
    <w:p w14:paraId="668D9BEB">
      <w:pPr>
        <w:pStyle w:val="16"/>
        <w:spacing w:before="31" w:after="31"/>
        <w:ind w:firstLine="480"/>
        <w:rPr>
          <w:szCs w:val="24"/>
        </w:rPr>
      </w:pPr>
      <w:r>
        <w:rPr>
          <w:rFonts w:hint="eastAsia"/>
          <w:szCs w:val="24"/>
        </w:rPr>
        <w:t>② Observation of excavated areas with severe depressions shows that the 33 cm semi-rigid base layer paved in two passes has completely loosened in the upper 16 cm, while the lower 17 cm remains intact. This is caused by surface layer cracking, surface wate</w:t>
      </w:r>
      <w:r>
        <w:rPr>
          <w:szCs w:val="24"/>
        </w:rPr>
        <w:t>r seeping into the semi-rigid base layer, and the impact of driving.</w:t>
      </w:r>
    </w:p>
    <w:p w14:paraId="7C2DAF50">
      <w:pPr>
        <w:pStyle w:val="16"/>
        <w:spacing w:before="31" w:after="31"/>
        <w:ind w:firstLine="480"/>
        <w:rPr>
          <w:szCs w:val="24"/>
        </w:rPr>
      </w:pPr>
      <w:r>
        <w:rPr>
          <w:szCs w:val="24"/>
        </w:rPr>
        <w:t>(b) Actual Measurement of Porosity and Extracted Sieve Analysis of Core Samples</w:t>
      </w:r>
    </w:p>
    <w:p w14:paraId="02808A50">
      <w:pPr>
        <w:pStyle w:val="16"/>
        <w:spacing w:before="31" w:after="31"/>
        <w:ind w:firstLine="480"/>
        <w:rPr>
          <w:rFonts w:hint="eastAsia"/>
          <w:szCs w:val="24"/>
        </w:rPr>
      </w:pPr>
      <w:r>
        <w:rPr>
          <w:rFonts w:hint="eastAsia"/>
          <w:szCs w:val="24"/>
        </w:rPr>
        <w:t>① The porosity of the asphalt mixture in the surface layer on the emergency parking lane is significantly higher than that on the driving lane.</w:t>
      </w:r>
    </w:p>
    <w:p w14:paraId="2612A51B">
      <w:pPr>
        <w:pStyle w:val="16"/>
        <w:spacing w:before="31" w:after="31"/>
        <w:ind w:firstLine="480"/>
        <w:rPr>
          <w:rFonts w:hint="eastAsia"/>
          <w:szCs w:val="24"/>
        </w:rPr>
      </w:pPr>
      <w:r>
        <w:rPr>
          <w:rFonts w:hint="eastAsia"/>
          <w:szCs w:val="24"/>
        </w:rPr>
        <w:t>② A comparison of the porosity of the asphalt mixtures on the emergency parking lane and the driving lane shows that there is a significant but not too pronounced difference, indicating a clear trend towards densification.</w:t>
      </w:r>
    </w:p>
    <w:p w14:paraId="26D007B2">
      <w:pPr>
        <w:pStyle w:val="16"/>
        <w:spacing w:before="31" w:after="31"/>
        <w:ind w:firstLine="480"/>
        <w:rPr>
          <w:szCs w:val="24"/>
        </w:rPr>
      </w:pPr>
      <w:r>
        <w:rPr>
          <w:rFonts w:hint="eastAsia"/>
          <w:szCs w:val="24"/>
        </w:rPr>
        <w:t>③ Test results from the extraction and screening experiment indicate that no abnormalities were found in the gradation of the asphalt mixture. However, in one group, the oil-stone ratio was relatively low due to cracking of the surface layer, surface wat</w:t>
      </w:r>
      <w:r>
        <w:rPr>
          <w:szCs w:val="24"/>
        </w:rPr>
        <w:t>er infiltration, erosion, and impact from vehicle splashing. This caused some asphalt on the surface of the aggregate to be peeled off by water and carried away during mud splashing, resulting in a lower oil-stone ratio in the underlying AC-25-II mixture. Core samples from parking lots and intact road surfaces confirmed a normal oil-stone ratio without any apparent anomalies.</w:t>
      </w:r>
    </w:p>
    <w:p w14:paraId="0AD10A08">
      <w:pPr>
        <w:pStyle w:val="16"/>
        <w:spacing w:before="31" w:after="31"/>
        <w:ind w:firstLine="480"/>
        <w:rPr>
          <w:szCs w:val="24"/>
        </w:rPr>
      </w:pPr>
      <w:r>
        <w:rPr>
          <w:szCs w:val="24"/>
        </w:rPr>
        <w:t>(7) Impact and Harm Caused</w:t>
      </w:r>
    </w:p>
    <w:p w14:paraId="503C8740">
      <w:pPr>
        <w:pStyle w:val="16"/>
        <w:spacing w:before="31" w:after="31"/>
        <w:ind w:firstLine="480"/>
        <w:rPr>
          <w:rFonts w:hint="eastAsia"/>
          <w:szCs w:val="24"/>
        </w:rPr>
      </w:pPr>
      <w:r>
        <w:rPr>
          <w:rFonts w:hint="eastAsia"/>
          <w:szCs w:val="24"/>
        </w:rPr>
        <w:t>The impacts and hazards caused economic losses.</w:t>
      </w:r>
    </w:p>
    <w:p w14:paraId="3C12B024">
      <w:pPr>
        <w:pStyle w:val="16"/>
        <w:spacing w:before="31" w:after="31"/>
        <w:ind w:firstLine="480"/>
        <w:rPr>
          <w:szCs w:val="24"/>
        </w:rPr>
      </w:pPr>
      <w:r>
        <w:rPr>
          <w:szCs w:val="24"/>
        </w:rPr>
        <w:t>(8) Conclusion and Improvement Measures</w:t>
      </w:r>
    </w:p>
    <w:p w14:paraId="667BE4F6">
      <w:pPr>
        <w:pStyle w:val="16"/>
        <w:spacing w:before="31" w:after="31"/>
        <w:ind w:firstLine="480"/>
        <w:rPr>
          <w:szCs w:val="24"/>
        </w:rPr>
      </w:pPr>
      <w:r>
        <w:rPr>
          <w:rFonts w:hint="eastAsia"/>
          <w:szCs w:val="24"/>
        </w:rPr>
        <w:t>based on the investigation and analysis above, the mix design, construction mix ratio control, and on-site compaction conditions for each surface layer are generally normal. Doubts about road damage caused by</w:t>
      </w:r>
      <w:r>
        <w:rPr>
          <w:szCs w:val="24"/>
        </w:rPr>
        <w:t xml:space="preserve"> construction quality can be ruled out. The main reason for the damage is excessive overloading of vehicles transporting coal and cement (loading 13t to 18t on a 5t-rated vehicle), resulting in excessive shear stress on the asphalt surface.</w:t>
      </w:r>
    </w:p>
    <w:p w14:paraId="5A2E3594">
      <w:pPr>
        <w:pStyle w:val="16"/>
        <w:spacing w:before="31" w:after="31"/>
        <w:ind w:firstLine="0" w:firstLineChars="0"/>
        <w:rPr>
          <w:b/>
          <w:bCs/>
          <w:szCs w:val="24"/>
        </w:rPr>
      </w:pPr>
      <w:r>
        <w:rPr>
          <w:rFonts w:hint="eastAsia"/>
          <w:b/>
          <w:bCs/>
          <w:szCs w:val="24"/>
          <w:lang w:val="en-US" w:eastAsia="zh-CN"/>
        </w:rPr>
        <w:t>7.3</w:t>
      </w:r>
      <w:r>
        <w:rPr>
          <w:b/>
          <w:bCs/>
          <w:szCs w:val="24"/>
        </w:rPr>
        <w:t xml:space="preserve"> Case </w:t>
      </w:r>
      <w:r>
        <w:rPr>
          <w:rFonts w:hint="eastAsia"/>
          <w:b/>
          <w:bCs/>
          <w:szCs w:val="24"/>
          <w:lang w:val="en-US" w:eastAsia="zh-CN"/>
        </w:rPr>
        <w:t>7</w:t>
      </w:r>
      <w:r>
        <w:rPr>
          <w:b/>
          <w:bCs/>
          <w:szCs w:val="24"/>
        </w:rPr>
        <w:t>-17: Surface Damage on Section of National Highway 110 from Changping to Yanqing</w:t>
      </w:r>
    </w:p>
    <w:p w14:paraId="2BB93E6B">
      <w:pPr>
        <w:pStyle w:val="16"/>
        <w:spacing w:before="31" w:after="31"/>
        <w:ind w:firstLine="480"/>
        <w:rPr>
          <w:szCs w:val="24"/>
        </w:rPr>
      </w:pPr>
      <w:r>
        <w:rPr>
          <w:szCs w:val="24"/>
        </w:rPr>
        <w:t>(1) Case Name</w:t>
      </w:r>
    </w:p>
    <w:p w14:paraId="08DFBEFB">
      <w:pPr>
        <w:pStyle w:val="16"/>
        <w:spacing w:before="31" w:after="31"/>
        <w:ind w:firstLine="480"/>
        <w:rPr>
          <w:szCs w:val="24"/>
        </w:rPr>
      </w:pPr>
      <w:r>
        <w:rPr>
          <w:szCs w:val="24"/>
        </w:rPr>
        <w:t>Surface Damage on Section of National Highway 110 from Changping to Yanqing</w:t>
      </w:r>
    </w:p>
    <w:p w14:paraId="59F249FA">
      <w:pPr>
        <w:pStyle w:val="16"/>
        <w:spacing w:before="31" w:after="31"/>
        <w:ind w:firstLine="480"/>
        <w:rPr>
          <w:szCs w:val="24"/>
        </w:rPr>
      </w:pPr>
      <w:r>
        <w:rPr>
          <w:szCs w:val="24"/>
        </w:rPr>
        <w:t>(2) Description of Failure Process</w:t>
      </w:r>
    </w:p>
    <w:p w14:paraId="235EF00D">
      <w:pPr>
        <w:pStyle w:val="16"/>
        <w:spacing w:before="31" w:after="31"/>
        <w:ind w:firstLine="480"/>
        <w:rPr>
          <w:szCs w:val="24"/>
        </w:rPr>
      </w:pPr>
      <w:r>
        <w:rPr>
          <w:szCs w:val="24"/>
        </w:rPr>
        <w:t>Operational since 1992, asphalt surface. Cracks and deformations were observed on November 15, 2003; aging of the road surface. Widespread cracks; 50% of the surface with a mosaic pattern; grooves up to 15cm deep; exposed base layer; ruts with a depth of up to 13cm; edge damage.</w:t>
      </w:r>
    </w:p>
    <w:p w14:paraId="1AF9EDEF">
      <w:pPr>
        <w:pStyle w:val="16"/>
        <w:spacing w:before="31" w:after="31"/>
        <w:ind w:firstLine="480"/>
        <w:rPr>
          <w:szCs w:val="24"/>
        </w:rPr>
      </w:pPr>
      <w:r>
        <w:rPr>
          <w:szCs w:val="24"/>
        </w:rPr>
        <w:t>(3) Service Environment of Components</w:t>
      </w:r>
    </w:p>
    <w:p w14:paraId="443F3445">
      <w:pPr>
        <w:pStyle w:val="16"/>
        <w:spacing w:before="31" w:after="31"/>
        <w:ind w:firstLine="480"/>
        <w:rPr>
          <w:szCs w:val="24"/>
        </w:rPr>
      </w:pPr>
      <w:r>
        <w:rPr>
          <w:szCs w:val="24"/>
        </w:rPr>
        <w:t>Natural environment</w:t>
      </w:r>
    </w:p>
    <w:p w14:paraId="78ADA309">
      <w:pPr>
        <w:pStyle w:val="16"/>
        <w:spacing w:before="31" w:after="31"/>
        <w:ind w:firstLine="480"/>
        <w:rPr>
          <w:szCs w:val="24"/>
        </w:rPr>
      </w:pPr>
      <w:r>
        <w:rPr>
          <w:szCs w:val="24"/>
        </w:rPr>
        <w:t xml:space="preserve">(4) Failed Component </w:t>
      </w:r>
      <w:r>
        <w:rPr>
          <w:kern w:val="0"/>
          <w:szCs w:val="24"/>
        </w:rPr>
        <w:t>and Material</w:t>
      </w:r>
    </w:p>
    <w:p w14:paraId="1E4C22D2">
      <w:pPr>
        <w:pStyle w:val="16"/>
        <w:spacing w:before="31" w:after="31"/>
        <w:ind w:firstLine="480"/>
        <w:rPr>
          <w:szCs w:val="24"/>
        </w:rPr>
      </w:pPr>
      <w:r>
        <w:rPr>
          <w:szCs w:val="24"/>
        </w:rPr>
        <w:t>Road surface</w:t>
      </w:r>
    </w:p>
    <w:p w14:paraId="4CD1984F">
      <w:pPr>
        <w:pStyle w:val="16"/>
        <w:spacing w:before="31" w:after="31"/>
        <w:ind w:firstLine="480"/>
        <w:rPr>
          <w:szCs w:val="24"/>
        </w:rPr>
      </w:pPr>
      <w:r>
        <w:rPr>
          <w:szCs w:val="24"/>
        </w:rPr>
        <w:t>(5) Failed Component Morphology:</w:t>
      </w:r>
    </w:p>
    <w:p w14:paraId="24CA882A">
      <w:pPr>
        <w:pStyle w:val="16"/>
        <w:spacing w:before="31" w:after="31"/>
        <w:ind w:firstLine="480"/>
        <w:rPr>
          <w:rFonts w:hint="eastAsia"/>
          <w:szCs w:val="24"/>
        </w:rPr>
      </w:pPr>
      <w:r>
        <w:rPr>
          <w:szCs w:val="24"/>
        </w:rPr>
        <w:t>Null</w:t>
      </w:r>
    </w:p>
    <w:p w14:paraId="6D43BC8C">
      <w:pPr>
        <w:pStyle w:val="16"/>
        <w:spacing w:before="31" w:after="31"/>
        <w:ind w:firstLine="480"/>
        <w:rPr>
          <w:szCs w:val="24"/>
        </w:rPr>
      </w:pPr>
      <w:r>
        <w:rPr>
          <w:szCs w:val="24"/>
        </w:rPr>
        <w:t>(6) Analysis of Failure Causes</w:t>
      </w:r>
    </w:p>
    <w:p w14:paraId="567F12A5">
      <w:pPr>
        <w:pStyle w:val="16"/>
        <w:spacing w:before="31" w:after="31"/>
        <w:ind w:firstLine="480"/>
        <w:rPr>
          <w:szCs w:val="24"/>
        </w:rPr>
      </w:pPr>
      <w:r>
        <w:rPr>
          <w:szCs w:val="24"/>
        </w:rPr>
        <w:t>Low winter temperatures causing contraction cracks and deformations; road surface aging; poor quality of lime soil structural layer, inadequate half-width construction joints; significant increase in load due to economic development, exceeding design values; inadequate drainage system.</w:t>
      </w:r>
    </w:p>
    <w:p w14:paraId="6D98D433">
      <w:pPr>
        <w:pStyle w:val="16"/>
        <w:spacing w:before="31" w:after="31"/>
        <w:ind w:firstLine="480"/>
        <w:rPr>
          <w:szCs w:val="24"/>
        </w:rPr>
      </w:pPr>
      <w:r>
        <w:rPr>
          <w:szCs w:val="24"/>
        </w:rPr>
        <w:t>(7) Impact and Harm Caused</w:t>
      </w:r>
    </w:p>
    <w:p w14:paraId="76B6B156">
      <w:pPr>
        <w:pStyle w:val="16"/>
        <w:spacing w:before="31" w:after="31"/>
        <w:ind w:firstLine="480"/>
        <w:rPr>
          <w:szCs w:val="24"/>
        </w:rPr>
      </w:pPr>
      <w:r>
        <w:rPr>
          <w:szCs w:val="24"/>
        </w:rPr>
        <w:t>The accident resulted in economic losses.</w:t>
      </w:r>
    </w:p>
    <w:p w14:paraId="66AC1DA2">
      <w:pPr>
        <w:pStyle w:val="16"/>
        <w:spacing w:before="31" w:after="31"/>
        <w:ind w:firstLine="480"/>
        <w:rPr>
          <w:szCs w:val="24"/>
        </w:rPr>
      </w:pPr>
      <w:r>
        <w:rPr>
          <w:szCs w:val="24"/>
        </w:rPr>
        <w:t>(8) Conclusion and Improvement Measures</w:t>
      </w:r>
    </w:p>
    <w:p w14:paraId="33929139">
      <w:pPr>
        <w:pStyle w:val="16"/>
        <w:spacing w:before="31" w:after="31"/>
        <w:ind w:firstLine="480"/>
        <w:rPr>
          <w:szCs w:val="24"/>
        </w:rPr>
      </w:pPr>
      <w:r>
        <w:rPr>
          <w:rFonts w:hint="eastAsia"/>
          <w:szCs w:val="24"/>
        </w:rPr>
        <w:t>N</w:t>
      </w:r>
      <w:r>
        <w:rPr>
          <w:szCs w:val="24"/>
        </w:rPr>
        <w:t>ull</w:t>
      </w:r>
    </w:p>
    <w:p w14:paraId="208C5DCC">
      <w:pPr>
        <w:pStyle w:val="16"/>
        <w:spacing w:before="31" w:after="31"/>
        <w:ind w:firstLine="0" w:firstLineChars="0"/>
        <w:rPr>
          <w:b/>
          <w:bCs/>
          <w:sz w:val="30"/>
          <w:szCs w:val="30"/>
        </w:rPr>
      </w:pPr>
    </w:p>
    <w:p w14:paraId="1FE022D8">
      <w:pPr>
        <w:pStyle w:val="16"/>
        <w:spacing w:before="31" w:after="31"/>
        <w:ind w:firstLine="0" w:firstLineChars="0"/>
        <w:rPr>
          <w:b/>
          <w:bCs/>
          <w:sz w:val="30"/>
          <w:szCs w:val="30"/>
        </w:rPr>
      </w:pPr>
      <w:r>
        <w:rPr>
          <w:rFonts w:hint="eastAsia"/>
          <w:b/>
          <w:bCs/>
          <w:sz w:val="30"/>
          <w:szCs w:val="30"/>
          <w:lang w:val="en-US" w:eastAsia="zh-CN"/>
        </w:rPr>
        <w:t>8</w:t>
      </w:r>
      <w:r>
        <w:rPr>
          <w:b/>
          <w:bCs/>
          <w:sz w:val="30"/>
          <w:szCs w:val="30"/>
        </w:rPr>
        <w:t xml:space="preserve"> Summary of Equipment Manufacturing Failure Cases</w:t>
      </w:r>
    </w:p>
    <w:p w14:paraId="71163C30">
      <w:pPr>
        <w:pStyle w:val="16"/>
        <w:spacing w:before="31" w:after="31"/>
        <w:ind w:firstLine="0" w:firstLineChars="0"/>
        <w:rPr>
          <w:rFonts w:hint="eastAsia"/>
          <w:b/>
          <w:bCs/>
          <w:szCs w:val="24"/>
          <w:lang w:val="en-US" w:eastAsia="zh-CN"/>
        </w:rPr>
      </w:pPr>
      <w:r>
        <w:rPr>
          <w:rFonts w:hint="eastAsia"/>
          <w:b/>
          <w:bCs/>
          <w:szCs w:val="24"/>
          <w:lang w:val="en-US" w:eastAsia="zh-CN"/>
        </w:rPr>
        <w:t>8.1 Case 8-8 Analysis of Accidents Caused by Insufficient Mechanical Strength in Several Imported Transformers</w:t>
      </w:r>
    </w:p>
    <w:p w14:paraId="2CC84B39">
      <w:pPr>
        <w:pStyle w:val="16"/>
        <w:spacing w:before="31" w:after="31"/>
        <w:ind w:firstLine="480"/>
        <w:rPr>
          <w:szCs w:val="24"/>
        </w:rPr>
      </w:pPr>
      <w:r>
        <w:rPr>
          <w:szCs w:val="24"/>
        </w:rPr>
        <w:t>(1) Case Name</w:t>
      </w:r>
    </w:p>
    <w:p w14:paraId="09C3F661">
      <w:pPr>
        <w:pStyle w:val="16"/>
        <w:spacing w:before="31" w:after="31"/>
        <w:ind w:firstLine="480"/>
        <w:rPr>
          <w:szCs w:val="24"/>
        </w:rPr>
      </w:pPr>
      <w:r>
        <w:rPr>
          <w:szCs w:val="24"/>
        </w:rPr>
        <w:t>Analysis of accidents caused by insufficient mechanical strength in several imported transformers</w:t>
      </w:r>
    </w:p>
    <w:p w14:paraId="2DD74CCD">
      <w:pPr>
        <w:pStyle w:val="16"/>
        <w:spacing w:before="31" w:after="31"/>
        <w:ind w:firstLine="480"/>
        <w:rPr>
          <w:szCs w:val="24"/>
        </w:rPr>
      </w:pPr>
      <w:r>
        <w:rPr>
          <w:szCs w:val="24"/>
        </w:rPr>
        <w:t>(2) Description of Failure Process</w:t>
      </w:r>
    </w:p>
    <w:p w14:paraId="0A9B5CE3">
      <w:pPr>
        <w:pStyle w:val="16"/>
        <w:spacing w:before="31" w:after="31"/>
        <w:ind w:firstLine="480"/>
        <w:rPr>
          <w:szCs w:val="24"/>
        </w:rPr>
      </w:pPr>
      <w:r>
        <w:rPr>
          <w:szCs w:val="24"/>
        </w:rPr>
        <w:t>In 1986, Shenzhen Power Supply Bureau imported 9 transformers from Mitsubishi Corporation in Japan. Within less than two years, 3 transformers were burnt due to three-phase short circuits at the junction of 10kV outgoing cables and overhead lines. The damaged transformers were sent back to Guangzhou Electric Equipment Factory for dismantling and analysis. The damaged parts were essentially the same. During normal operation, vibration was detected, and upon inspection, it was found that the V and W-phase shield near the top of the low-voltage winding was ruptured. Three taps of the W-phase regulating winding were burnt, and a short circuit occurred in the V-phase outgoing line. The transformer had experienced three previous short circuits.</w:t>
      </w:r>
    </w:p>
    <w:p w14:paraId="57619012">
      <w:pPr>
        <w:pStyle w:val="16"/>
        <w:spacing w:before="31" w:after="31"/>
        <w:ind w:firstLine="480"/>
        <w:rPr>
          <w:szCs w:val="24"/>
        </w:rPr>
      </w:pPr>
      <w:r>
        <w:rPr>
          <w:szCs w:val="24"/>
        </w:rPr>
        <w:t>(3) Component Service Environment</w:t>
      </w:r>
    </w:p>
    <w:p w14:paraId="2325D369">
      <w:pPr>
        <w:pStyle w:val="16"/>
        <w:spacing w:before="31" w:after="31"/>
        <w:ind w:firstLine="480"/>
        <w:rPr>
          <w:szCs w:val="24"/>
        </w:rPr>
      </w:pPr>
      <w:r>
        <w:rPr>
          <w:szCs w:val="24"/>
        </w:rPr>
        <w:t>Guangdong Provincial Electric Power Testing and Research Institute.</w:t>
      </w:r>
    </w:p>
    <w:p w14:paraId="533B5540">
      <w:pPr>
        <w:pStyle w:val="16"/>
        <w:spacing w:before="31" w:after="31"/>
        <w:ind w:firstLine="480"/>
        <w:rPr>
          <w:szCs w:val="24"/>
        </w:rPr>
      </w:pPr>
      <w:r>
        <w:rPr>
          <w:szCs w:val="24"/>
        </w:rPr>
        <w:t>(4) Failed Component and Material</w:t>
      </w:r>
    </w:p>
    <w:p w14:paraId="7BC859F5">
      <w:pPr>
        <w:pStyle w:val="16"/>
        <w:spacing w:before="31" w:after="31"/>
        <w:ind w:firstLine="480"/>
        <w:rPr>
          <w:szCs w:val="24"/>
        </w:rPr>
      </w:pPr>
      <w:r>
        <w:rPr>
          <w:szCs w:val="24"/>
        </w:rPr>
        <w:t>Imported transformer model: TIH50/CRBNRH31500/KTRT123.</w:t>
      </w:r>
    </w:p>
    <w:p w14:paraId="7FD7894A">
      <w:pPr>
        <w:pStyle w:val="16"/>
        <w:spacing w:before="31" w:after="31"/>
        <w:ind w:firstLine="480"/>
        <w:rPr>
          <w:szCs w:val="24"/>
        </w:rPr>
      </w:pPr>
      <w:r>
        <w:rPr>
          <w:szCs w:val="24"/>
        </w:rPr>
        <w:t>(5) Failure Appearance of Components</w:t>
      </w:r>
    </w:p>
    <w:p w14:paraId="01E5C05E">
      <w:pPr>
        <w:pStyle w:val="16"/>
        <w:spacing w:before="31" w:after="31"/>
        <w:ind w:firstLine="480"/>
        <w:rPr>
          <w:szCs w:val="24"/>
        </w:rPr>
      </w:pPr>
      <w:r>
        <w:rPr>
          <w:szCs w:val="24"/>
        </w:rPr>
        <w:t>The upper part of the low-voltage winding V-phase coil near the W-phase had severe burn deformation in 5 steps, and between the 2nd and 3rd coils, there were 2 coils with severe burn deformation. The low-voltage coil spacer and support bar were rotated counterclockwise by 10-50 mm. At the S-shaped bend between the 37th and 38th coils of the low-voltage winding, the wire moved about 40 mm inside the oil. In the upper part of the high-voltage U-phase coil near the V-phase side, 5 coils on both sides of the phase, totaling 12 coils, were severely deformed with an amplitude of 15mm, while the W-phase deformation was less severe. At the upper part of the U, V, W three-phase coils, there were cracks in the 3.2 mm coils at the junction between the press plate and the non-press plate in the interphase (the upper press plate is a two-part laminated wooden plate, and there is no pressing device in the interphase, and the distance between the two halves of the press plate is equal to the distance between the iron core crossbars).</w:t>
      </w:r>
    </w:p>
    <w:p w14:paraId="782FC6D1">
      <w:pPr>
        <w:pStyle w:val="16"/>
        <w:spacing w:before="31" w:after="31"/>
        <w:ind w:firstLine="480"/>
        <w:rPr>
          <w:szCs w:val="24"/>
        </w:rPr>
      </w:pPr>
      <w:r>
        <w:rPr>
          <w:szCs w:val="24"/>
        </w:rPr>
        <w:t>(6) Failure Analysis</w:t>
      </w:r>
    </w:p>
    <w:p w14:paraId="732BFB6E">
      <w:pPr>
        <w:pStyle w:val="16"/>
        <w:spacing w:before="31" w:after="31"/>
        <w:ind w:firstLine="480"/>
        <w:rPr>
          <w:szCs w:val="24"/>
        </w:rPr>
      </w:pPr>
      <w:r>
        <w:rPr>
          <w:szCs w:val="24"/>
        </w:rPr>
        <w:t>(a) The transformer structure is unreasonable, and the turns are unbalanced without a regulating winding. The post-accident survey results showed that the unbalance turns in the first and third zones reached 7.59%, and in the second and fourth zones, the unbalance turns reached 6.85%, both exceeding 5%. The axial mechanical force calculation results for coil short circuits: 353,780 N at maximum tap, 972,160 N at minimum tap, and 126,420 N at fault tap.</w:t>
      </w:r>
    </w:p>
    <w:p w14:paraId="20F59D1D">
      <w:pPr>
        <w:pStyle w:val="16"/>
        <w:spacing w:before="31" w:after="31"/>
        <w:ind w:firstLine="480"/>
        <w:rPr>
          <w:szCs w:val="24"/>
        </w:rPr>
      </w:pPr>
      <w:r>
        <w:rPr>
          <w:szCs w:val="24"/>
        </w:rPr>
        <w:t>(b) Poor axial clamping device. The isolation switch at the junction of the 10kV outgoing cable and overhead line at Shenzhen Shahe Substation No. 2 main transformer flashed over, and the entire process, from the differential protection action to the circuit breaker tripping, took less than 1 second, and the short-circuit current did not exceed the allowable value. From the above situation, it seems that the main transformer should be able to withstand the impact of this mechanical force, but from the analysis of the dismantled transformer, the most severe damage and deformation occurred in the interphase. The upper part of the iron core window had no clamping device for the coils, only a 3.2 mm paper ring. The damaged parts of the three transformers were all in this position, while the parts clamped by nails and plates had little deformation. Therefore, the lack of clamping of the coils in the iron core window part is the main cause of the accident.</w:t>
      </w:r>
    </w:p>
    <w:p w14:paraId="36A48E22">
      <w:pPr>
        <w:pStyle w:val="16"/>
        <w:spacing w:before="31" w:after="31"/>
        <w:ind w:firstLine="480"/>
        <w:rPr>
          <w:szCs w:val="24"/>
        </w:rPr>
      </w:pPr>
      <w:r>
        <w:rPr>
          <w:szCs w:val="24"/>
        </w:rPr>
        <w:t>(c) Neglect of maintenance and supervision of 10kV side equipment in operation and maintenance. The burnout of the three main transformers was caused by the flashover of the isolation switch at the junction of the 10kV outgoing cable and overhead line, leading to a three-phase short circuit and causing transformer accidents. Many units lack maintenance and management of 10kV equipment during normal times, and the pre-test cycle of three years is obviously unreasonable, especially for the isolation switch combined with overhead lines, which has long been in a state of neglect.</w:t>
      </w:r>
    </w:p>
    <w:p w14:paraId="41730FD9">
      <w:pPr>
        <w:pStyle w:val="16"/>
        <w:spacing w:before="31" w:after="31"/>
        <w:ind w:firstLine="480"/>
        <w:rPr>
          <w:szCs w:val="24"/>
        </w:rPr>
      </w:pPr>
      <w:r>
        <w:rPr>
          <w:szCs w:val="24"/>
        </w:rPr>
        <w:t>(7) Impact and Harm</w:t>
      </w:r>
    </w:p>
    <w:p w14:paraId="4AF542AA">
      <w:pPr>
        <w:pStyle w:val="16"/>
        <w:spacing w:before="31" w:after="31"/>
        <w:ind w:firstLine="480"/>
        <w:rPr>
          <w:szCs w:val="24"/>
        </w:rPr>
      </w:pPr>
      <w:r>
        <w:rPr>
          <w:szCs w:val="24"/>
        </w:rPr>
        <w:t>Caused an economic loss of about 2 million yuan.</w:t>
      </w:r>
    </w:p>
    <w:p w14:paraId="71D182B9">
      <w:pPr>
        <w:pStyle w:val="16"/>
        <w:spacing w:before="31" w:after="31"/>
        <w:ind w:firstLine="480"/>
        <w:rPr>
          <w:szCs w:val="24"/>
        </w:rPr>
      </w:pPr>
      <w:r>
        <w:rPr>
          <w:szCs w:val="24"/>
        </w:rPr>
        <w:t>(8) Conclusion and Improvement Measures</w:t>
      </w:r>
    </w:p>
    <w:p w14:paraId="4C068672">
      <w:pPr>
        <w:pStyle w:val="16"/>
        <w:spacing w:before="31" w:after="31"/>
        <w:ind w:firstLine="480"/>
        <w:rPr>
          <w:szCs w:val="24"/>
        </w:rPr>
      </w:pPr>
      <w:r>
        <w:rPr>
          <w:szCs w:val="24"/>
        </w:rPr>
        <w:t>(a) Conclusion</w:t>
      </w:r>
    </w:p>
    <w:p w14:paraId="3A00E193">
      <w:pPr>
        <w:pStyle w:val="16"/>
        <w:spacing w:before="31" w:after="31"/>
        <w:ind w:firstLine="480"/>
        <w:rPr>
          <w:szCs w:val="24"/>
        </w:rPr>
      </w:pPr>
      <w:r>
        <w:rPr>
          <w:szCs w:val="24"/>
        </w:rPr>
        <w:t>The analysis of several imported transformer accidents found that the transformer structure is unreasonable, the turns are unbalanced without a regulating winding, and the lack of clamping for the coils in the iron core window is the main cause of the accidents. In terms of operation and maintenance, the lack of maintenance and management of 10kV equipment during normal times, especially the neglect of the isolation switch combined with overhead lines, leading to its long-term neglect, is also one of the causes of the accidents. For transformers with a structure lacking clamping components, using strap binding for coils and without clamping rings and nails on the upper and lower parts of the coils, and no metal components, it is difficult to carry out transformation. The only solution is to strengthen attention to its insufficient short-circuit strength and prevent near-zone short circuits.</w:t>
      </w:r>
    </w:p>
    <w:p w14:paraId="71A9B995">
      <w:pPr>
        <w:pStyle w:val="16"/>
        <w:spacing w:before="31" w:after="31"/>
        <w:ind w:firstLine="480"/>
        <w:rPr>
          <w:szCs w:val="24"/>
        </w:rPr>
      </w:pPr>
      <w:r>
        <w:rPr>
          <w:szCs w:val="24"/>
        </w:rPr>
        <w:t>(b) Improvement Measures</w:t>
      </w:r>
    </w:p>
    <w:p w14:paraId="60949D1D">
      <w:pPr>
        <w:pStyle w:val="16"/>
        <w:spacing w:before="31" w:after="31"/>
        <w:ind w:firstLine="480"/>
        <w:rPr>
          <w:szCs w:val="24"/>
        </w:rPr>
      </w:pPr>
      <w:r>
        <w:rPr>
          <w:szCs w:val="24"/>
        </w:rPr>
        <w:t>Shenzhen Power Supply Bureau imported 9 units of the same batch of products from Mitsubishi Corporation, with the same structure and design. Three of the failed transformers were rewound, and the high-voltage side voltage tap was changed from (110±8×1.5%) kV to 110+2×1.5%—6×1.5% kV to minimize the unbalance turns. In addition, the segmented clamping ring was changed to a complete clamping ring with an appropriate increase in clamping nails to ensure uniform stress around the coils. The remaining 6 transformers were also retrofitted in stages (mainly replacing complete clamping rings and increasing clamping nails), with materials provided by the manufacturer, such as insulation clamping rings, spacers, sealing rings, and other accessories. Experts were dispatched to guide the retrofitting on-site. For Alstom products, it seems impossible to make major changes to their structure, so efforts must focus on operational maintenance. For example, canceling the reclosing of the transformer cable outlet or extending the reclosing time, conducting preventive tests on the isolation switch at the transformer cable outlet every year, strengthening the maintenance of 10kV equipment, and preventing near-zone short circuits.</w:t>
      </w:r>
    </w:p>
    <w:p w14:paraId="52B4E288">
      <w:pPr>
        <w:pStyle w:val="16"/>
        <w:spacing w:before="31" w:after="31"/>
        <w:ind w:firstLine="0" w:firstLineChars="0"/>
        <w:rPr>
          <w:rFonts w:hint="eastAsia"/>
          <w:b/>
          <w:bCs/>
          <w:szCs w:val="24"/>
          <w:lang w:val="en-US" w:eastAsia="zh-CN"/>
        </w:rPr>
      </w:pPr>
      <w:r>
        <w:rPr>
          <w:rFonts w:hint="eastAsia"/>
          <w:b/>
          <w:bCs/>
          <w:szCs w:val="24"/>
          <w:lang w:val="en-US" w:eastAsia="zh-CN"/>
        </w:rPr>
        <w:t>8.2 Case 8-9 Failure Analysis of Spur Gear Shaft Breakage in Loader Rear Axle Reducer</w:t>
      </w:r>
    </w:p>
    <w:p w14:paraId="076E26ED">
      <w:pPr>
        <w:pStyle w:val="16"/>
        <w:spacing w:before="31" w:after="31"/>
        <w:ind w:firstLine="480"/>
        <w:rPr>
          <w:szCs w:val="24"/>
        </w:rPr>
      </w:pPr>
      <w:r>
        <w:rPr>
          <w:szCs w:val="24"/>
        </w:rPr>
        <w:t>(1) Case Name</w:t>
      </w:r>
    </w:p>
    <w:p w14:paraId="27299C2A">
      <w:pPr>
        <w:pStyle w:val="16"/>
        <w:spacing w:before="31" w:after="31"/>
        <w:ind w:firstLine="480"/>
        <w:rPr>
          <w:szCs w:val="24"/>
        </w:rPr>
      </w:pPr>
      <w:r>
        <w:rPr>
          <w:szCs w:val="24"/>
        </w:rPr>
        <w:t>Failure analysis of spur gear shaft breakage in loader rear axle reducer</w:t>
      </w:r>
    </w:p>
    <w:p w14:paraId="2B86C11F">
      <w:pPr>
        <w:pStyle w:val="16"/>
        <w:spacing w:before="31" w:after="31"/>
        <w:ind w:firstLine="480"/>
        <w:rPr>
          <w:szCs w:val="24"/>
        </w:rPr>
      </w:pPr>
      <w:r>
        <w:rPr>
          <w:szCs w:val="24"/>
        </w:rPr>
        <w:t>(2) Description of Failure Process</w:t>
      </w:r>
    </w:p>
    <w:p w14:paraId="688D8B00">
      <w:pPr>
        <w:pStyle w:val="16"/>
        <w:spacing w:before="31" w:after="31"/>
        <w:ind w:firstLine="480"/>
        <w:rPr>
          <w:szCs w:val="24"/>
        </w:rPr>
      </w:pPr>
      <w:r>
        <w:rPr>
          <w:szCs w:val="24"/>
        </w:rPr>
        <w:t>The active gear shaft used in the ZR50 loader rear axle reducer produced by a certain factory exhibited abnormalities after approximately 7 months of assembly use</w:t>
      </w:r>
    </w:p>
    <w:p w14:paraId="74CB5762">
      <w:pPr>
        <w:pStyle w:val="16"/>
        <w:spacing w:before="31" w:after="31"/>
        <w:ind w:firstLine="480"/>
        <w:rPr>
          <w:szCs w:val="24"/>
        </w:rPr>
      </w:pPr>
      <w:r>
        <w:rPr>
          <w:szCs w:val="24"/>
        </w:rPr>
        <w:t>After another month of service, it lost its mating function and was forced to stop operating. Upon disassembly, severe damage to the gear shaft was discovered.</w:t>
      </w:r>
    </w:p>
    <w:p w14:paraId="7D264A69">
      <w:pPr>
        <w:pStyle w:val="16"/>
        <w:spacing w:before="31" w:after="31"/>
        <w:ind w:firstLine="480"/>
        <w:rPr>
          <w:szCs w:val="24"/>
        </w:rPr>
      </w:pPr>
      <w:r>
        <w:rPr>
          <w:szCs w:val="24"/>
        </w:rPr>
        <w:t>(3) Component Service Environment</w:t>
      </w:r>
    </w:p>
    <w:p w14:paraId="1C4FE824">
      <w:pPr>
        <w:pStyle w:val="16"/>
        <w:spacing w:before="31" w:after="31"/>
        <w:ind w:firstLine="480"/>
        <w:rPr>
          <w:szCs w:val="24"/>
        </w:rPr>
      </w:pPr>
      <w:r>
        <w:rPr>
          <w:szCs w:val="24"/>
        </w:rPr>
        <w:t>Service environment: Not specified.</w:t>
      </w:r>
    </w:p>
    <w:p w14:paraId="0E3F81B3">
      <w:pPr>
        <w:pStyle w:val="16"/>
        <w:spacing w:before="31" w:after="31"/>
        <w:ind w:firstLine="480"/>
        <w:rPr>
          <w:szCs w:val="24"/>
        </w:rPr>
      </w:pPr>
      <w:r>
        <w:rPr>
          <w:szCs w:val="24"/>
        </w:rPr>
        <w:t>(4) Failed Component and Material</w:t>
      </w:r>
    </w:p>
    <w:p w14:paraId="13FFCE60">
      <w:pPr>
        <w:pStyle w:val="16"/>
        <w:spacing w:before="31" w:after="31"/>
        <w:ind w:firstLine="480"/>
        <w:rPr>
          <w:szCs w:val="24"/>
        </w:rPr>
      </w:pPr>
      <w:r>
        <w:rPr>
          <w:szCs w:val="24"/>
        </w:rPr>
        <w:t>Failed component: Active gear shaft of the loader rear axle reducer. Key information as follows:</w:t>
      </w:r>
    </w:p>
    <w:p w14:paraId="64BC51B0">
      <w:pPr>
        <w:pStyle w:val="16"/>
        <w:spacing w:before="31" w:after="31"/>
        <w:ind w:firstLine="480"/>
        <w:rPr>
          <w:szCs w:val="24"/>
        </w:rPr>
      </w:pPr>
      <w:r>
        <w:rPr>
          <w:szCs w:val="24"/>
        </w:rPr>
        <w:t>(a) Material and dimensions</w:t>
      </w:r>
    </w:p>
    <w:p w14:paraId="1F9F8932">
      <w:pPr>
        <w:pStyle w:val="16"/>
        <w:spacing w:before="31" w:after="31"/>
        <w:ind w:firstLine="480"/>
        <w:rPr>
          <w:szCs w:val="24"/>
        </w:rPr>
      </w:pPr>
      <w:r>
        <w:rPr>
          <w:szCs w:val="24"/>
        </w:rPr>
        <w:t>The material of the gear shaft is 20CrMnTi steel, and the surface undergoes carburizing treatment. The total length of the gear shaft is 250 mm, and the umbrella gear segment is 80 mm long.</w:t>
      </w:r>
    </w:p>
    <w:p w14:paraId="01F9B4A1">
      <w:pPr>
        <w:pStyle w:val="16"/>
        <w:spacing w:before="31" w:after="31"/>
        <w:ind w:firstLine="480"/>
        <w:rPr>
          <w:szCs w:val="24"/>
        </w:rPr>
      </w:pPr>
      <w:r>
        <w:rPr>
          <w:szCs w:val="24"/>
        </w:rPr>
        <w:t>(b) Chemical composition</w:t>
      </w:r>
    </w:p>
    <w:p w14:paraId="4D2A89DF">
      <w:pPr>
        <w:pStyle w:val="16"/>
        <w:spacing w:before="31" w:after="31"/>
        <w:ind w:firstLine="480"/>
        <w:rPr>
          <w:szCs w:val="24"/>
        </w:rPr>
      </w:pPr>
      <w:r>
        <w:rPr>
          <w:szCs w:val="24"/>
        </w:rPr>
        <w:t>The material's chemical composition, verified by the manufacturer, complies with the requirements of GB/T 3077-1999 "Alloy Structure Steel" standard.</w:t>
      </w:r>
    </w:p>
    <w:p w14:paraId="586FC534">
      <w:pPr>
        <w:pStyle w:val="16"/>
        <w:spacing w:before="31" w:after="31"/>
        <w:ind w:firstLine="480"/>
        <w:rPr>
          <w:szCs w:val="24"/>
        </w:rPr>
      </w:pPr>
      <w:r>
        <w:rPr>
          <w:szCs w:val="24"/>
        </w:rPr>
        <w:t>(c) Metallographic structure</w:t>
      </w:r>
    </w:p>
    <w:p w14:paraId="7E222408">
      <w:pPr>
        <w:pStyle w:val="16"/>
        <w:spacing w:before="31" w:after="31"/>
        <w:ind w:firstLine="480"/>
        <w:rPr>
          <w:szCs w:val="24"/>
        </w:rPr>
      </w:pPr>
      <w:r>
        <w:rPr>
          <w:szCs w:val="24"/>
        </w:rPr>
        <w:t>The undamaged entire carburized layer has a continuous distribution and uniform thickness. The carburizing layer's depth measured by metallography is only about 1.2 mm, which does not meet the technical requirement. In addition, the depth of the effective hardening layer is generally lower than that measured by metallography. Therefore, the carburizing layer's depth is much lower than the minimum standard of 1.4 mm. The microstructure distribution in various regions of the carburizing layer. It is observed that: (1) The outermost layer is slightly lower-carbon tempered martensite with no carbides found. The color of the outermost layer is significantly darker than that of the sub-layer, indicating decarburization in the outermost layer, resulting in a relatively lower carbon content, and causing a decrease in the amount of white residual austenite. (2) The sub-layer consists of coarse martensite + residual austenite structure. According to JB/T 6141.3-1992 "Heavy-duty Gear Carburizing Metallographic Inspection" regulations, the martensite is approximately level 5-6, and the residual austenite in the sub-layer is approximately level 4 according to the ASTM E112 metal average grain size rating chart. (3) The core of the gear is low-carbon plate martensite, without free ferrite observed, not conforming to JB/T 6141.3.</w:t>
      </w:r>
    </w:p>
    <w:p w14:paraId="384BCF19">
      <w:pPr>
        <w:pStyle w:val="16"/>
        <w:spacing w:before="31" w:after="31"/>
        <w:ind w:firstLine="480"/>
        <w:rPr>
          <w:szCs w:val="24"/>
        </w:rPr>
      </w:pPr>
      <w:r>
        <w:rPr>
          <w:szCs w:val="24"/>
        </w:rPr>
        <w:t>(b) Mechanical properties</w:t>
      </w:r>
    </w:p>
    <w:p w14:paraId="6C1BEF3E">
      <w:pPr>
        <w:pStyle w:val="16"/>
        <w:spacing w:before="31" w:after="31"/>
        <w:ind w:firstLine="480"/>
        <w:rPr>
          <w:szCs w:val="24"/>
        </w:rPr>
      </w:pPr>
      <w:r>
        <w:rPr>
          <w:szCs w:val="24"/>
        </w:rPr>
        <w:t>The technical standard requires a carburizing layer depth of 1.4-1.75 mm, surface hardness of 58-62 HRC, and core hardness of 33-48 HRC. The average surface hardness of the tested sample is 61 HRC. The hardness distribution of the surface layer, sub-layer, and core of the gear section is as follows: surface hardness of 61-63 HRC, sub-layer hardness of 56-60 HRC, and core hardness of 36-42 HRC. The results show that the hardness in each area meets the technical standard requirements.</w:t>
      </w:r>
    </w:p>
    <w:p w14:paraId="6E6A4E50">
      <w:pPr>
        <w:pStyle w:val="16"/>
        <w:spacing w:before="31" w:after="31"/>
        <w:ind w:firstLine="480"/>
        <w:rPr>
          <w:szCs w:val="24"/>
        </w:rPr>
      </w:pPr>
      <w:r>
        <w:rPr>
          <w:szCs w:val="24"/>
        </w:rPr>
        <w:t>(5) Failure Appearance of Components</w:t>
      </w:r>
    </w:p>
    <w:p w14:paraId="345F2CA2">
      <w:pPr>
        <w:pStyle w:val="16"/>
        <w:spacing w:before="31" w:after="31"/>
        <w:ind w:firstLine="480"/>
        <w:rPr>
          <w:szCs w:val="24"/>
        </w:rPr>
      </w:pPr>
      <w:r>
        <w:rPr>
          <w:szCs w:val="24"/>
        </w:rPr>
        <w:t>(a) Macroscopic Appearance</w:t>
      </w:r>
    </w:p>
    <w:p w14:paraId="2C488F4A">
      <w:pPr>
        <w:pStyle w:val="16"/>
        <w:spacing w:before="31" w:after="31"/>
        <w:ind w:firstLine="480"/>
        <w:rPr>
          <w:szCs w:val="24"/>
        </w:rPr>
      </w:pPr>
      <w:r>
        <w:rPr>
          <w:szCs w:val="24"/>
        </w:rPr>
        <w:t>The entire tooth surface wears evenly, and the surface is shiny. The broken tooth part is about 40 mm long, deep in the middle, and shallow at both ends, forming a notch-like shape. The failure mode is that the middle of all teeth in the umbrella gear section is broken. Radiating lines starting from the surface can be seen, and the extended area has obvious steps, presenting a multi-directional irregular fracture surface. This indicates that the breakage did not occur in a single fracture but resulted from multiple fall-offs during the repeated rotation of the gear shaft. Additionally, the fracture surface has obvious radiating and porcelain-like areas, and no obvious macroscopic plastic deformation is observed. This suggests that the fracture type is a typical macroscopic brittle fracture.</w:t>
      </w:r>
    </w:p>
    <w:p w14:paraId="4092D6A5">
      <w:pPr>
        <w:pStyle w:val="16"/>
        <w:spacing w:before="31" w:after="31"/>
        <w:ind w:firstLine="480"/>
        <w:rPr>
          <w:szCs w:val="24"/>
        </w:rPr>
      </w:pPr>
      <w:r>
        <w:rPr>
          <w:szCs w:val="24"/>
        </w:rPr>
        <w:t>(b) Microscopic Appearance</w:t>
      </w:r>
    </w:p>
    <w:p w14:paraId="2F7CD6FC">
      <w:pPr>
        <w:pStyle w:val="16"/>
        <w:spacing w:before="31" w:after="31"/>
        <w:ind w:firstLine="480"/>
        <w:rPr>
          <w:szCs w:val="24"/>
        </w:rPr>
      </w:pPr>
      <w:r>
        <w:rPr>
          <w:szCs w:val="24"/>
        </w:rPr>
        <w:t>A fracture pattern similar to quasi-cleavage fracture can be seen, and when a local area is magnified, the river pattern is not very obvious. This is because the observed fracture surface is not the surface of a single fracture but has undergone multiple fall-offs, and after rotational friction, the morphology of the fracture surface may not be very typical. Additionally, since the observed fracture location is not in the carburized layer area but in the core structure, it reflects certain toughness characteristics.</w:t>
      </w:r>
    </w:p>
    <w:p w14:paraId="2F1A2A92">
      <w:pPr>
        <w:pStyle w:val="16"/>
        <w:spacing w:before="31" w:after="31"/>
        <w:ind w:firstLine="480"/>
        <w:rPr>
          <w:szCs w:val="24"/>
        </w:rPr>
      </w:pPr>
      <w:r>
        <w:rPr>
          <w:szCs w:val="24"/>
        </w:rPr>
        <w:t>(6) Failure Analysis</w:t>
      </w:r>
    </w:p>
    <w:p w14:paraId="1D2B4FD4">
      <w:pPr>
        <w:pStyle w:val="16"/>
        <w:spacing w:before="31" w:after="31"/>
        <w:ind w:firstLine="480"/>
        <w:rPr>
          <w:szCs w:val="24"/>
        </w:rPr>
      </w:pPr>
      <w:r>
        <w:rPr>
          <w:szCs w:val="24"/>
        </w:rPr>
        <w:t>The severe tooth breakage phenomenon of the failed part is not the initial state of damage but occurs after the comprehensive action of multiple factors. Improper control of carburizing and heat treatment processes of the gear shaft, resulting in insufficient depth and coarse martensite structure of the carburizing layer, and problems such as decarburization on the carburizing layer surface, are the main internal causes of tooth breakage. The main reason for the central collapse of the active gear in the umbrella gear section is the high brittleness of the material, and there are phenomena of bias loading and overloading during operation.</w:t>
      </w:r>
    </w:p>
    <w:p w14:paraId="368C15BE">
      <w:pPr>
        <w:pStyle w:val="16"/>
        <w:spacing w:before="31" w:after="31"/>
        <w:ind w:firstLine="480"/>
        <w:rPr>
          <w:szCs w:val="24"/>
        </w:rPr>
      </w:pPr>
      <w:r>
        <w:rPr>
          <w:szCs w:val="24"/>
        </w:rPr>
        <w:t>(7) Impact and Harm</w:t>
      </w:r>
    </w:p>
    <w:p w14:paraId="59F44C84">
      <w:pPr>
        <w:pStyle w:val="16"/>
        <w:spacing w:before="31" w:after="31"/>
        <w:ind w:firstLine="480"/>
        <w:rPr>
          <w:szCs w:val="24"/>
        </w:rPr>
      </w:pPr>
      <w:r>
        <w:rPr>
          <w:szCs w:val="24"/>
        </w:rPr>
        <w:t>Forced shutdown for inspection, affecting work, resulting in losses.</w:t>
      </w:r>
    </w:p>
    <w:p w14:paraId="07740743">
      <w:pPr>
        <w:pStyle w:val="16"/>
        <w:spacing w:before="31" w:after="31"/>
        <w:ind w:firstLine="480"/>
        <w:rPr>
          <w:szCs w:val="24"/>
        </w:rPr>
      </w:pPr>
      <w:r>
        <w:rPr>
          <w:szCs w:val="24"/>
        </w:rPr>
        <w:t>(8) Conclusion and Improvement Measures</w:t>
      </w:r>
    </w:p>
    <w:p w14:paraId="2269A122">
      <w:pPr>
        <w:pStyle w:val="16"/>
        <w:spacing w:before="31" w:after="31"/>
        <w:ind w:firstLine="0" w:firstLineChars="0"/>
        <w:rPr>
          <w:szCs w:val="24"/>
        </w:rPr>
      </w:pPr>
      <w:r>
        <w:rPr>
          <w:szCs w:val="24"/>
        </w:rPr>
        <w:t>It is recommended to strictly control various parameters of the carburizing process, conduct random inspections on batches of carburized gear shafts, and eliminate the use of unqualified products. Install the gear shaft with precision according to the gear shaft's accuracy. Improve the usage conditions of the gear shaft, and stop promptly when equipment abnormalities occur to avoid major accidents. After the manufacturer improved according to the recommended measures, the product quality improved significantly, and no serious quality problems have been found recently.</w:t>
      </w:r>
    </w:p>
    <w:p w14:paraId="66BE735F">
      <w:pPr>
        <w:pStyle w:val="16"/>
        <w:spacing w:before="31" w:after="31"/>
        <w:ind w:firstLine="0" w:firstLineChars="0"/>
        <w:rPr>
          <w:szCs w:val="24"/>
        </w:rPr>
      </w:pPr>
    </w:p>
    <w:p w14:paraId="07F48FE4">
      <w:pPr>
        <w:pStyle w:val="16"/>
        <w:spacing w:before="31" w:after="31"/>
        <w:ind w:firstLine="0" w:firstLineChars="0"/>
        <w:rPr>
          <w:rFonts w:hint="eastAsia"/>
          <w:b/>
          <w:bCs/>
          <w:sz w:val="30"/>
          <w:szCs w:val="30"/>
          <w:lang w:val="en-US" w:eastAsia="zh-CN"/>
        </w:rPr>
      </w:pPr>
      <w:r>
        <w:rPr>
          <w:rFonts w:hint="eastAsia"/>
          <w:b/>
          <w:bCs/>
          <w:sz w:val="30"/>
          <w:szCs w:val="30"/>
          <w:lang w:val="en-US" w:eastAsia="zh-CN"/>
        </w:rPr>
        <w:t>9. Hydraulic Engineering Failure Case Summary</w:t>
      </w:r>
    </w:p>
    <w:p w14:paraId="236DF6E2">
      <w:pPr>
        <w:pStyle w:val="16"/>
        <w:spacing w:before="31" w:after="31"/>
        <w:ind w:firstLine="0" w:firstLineChars="0"/>
        <w:rPr>
          <w:b/>
          <w:bCs/>
          <w:szCs w:val="24"/>
        </w:rPr>
      </w:pPr>
      <w:r>
        <w:rPr>
          <w:rFonts w:hint="eastAsia"/>
          <w:b/>
          <w:bCs/>
          <w:szCs w:val="24"/>
          <w:lang w:val="en-US" w:eastAsia="zh-CN"/>
        </w:rPr>
        <w:t>9.1</w:t>
      </w:r>
      <w:r>
        <w:rPr>
          <w:b/>
          <w:bCs/>
          <w:szCs w:val="24"/>
        </w:rPr>
        <w:t xml:space="preserve"> Case </w:t>
      </w:r>
      <w:r>
        <w:rPr>
          <w:rFonts w:hint="eastAsia"/>
          <w:b/>
          <w:bCs/>
          <w:szCs w:val="24"/>
          <w:lang w:val="en-US" w:eastAsia="zh-CN"/>
        </w:rPr>
        <w:t>9</w:t>
      </w:r>
      <w:r>
        <w:rPr>
          <w:b/>
          <w:bCs/>
          <w:szCs w:val="24"/>
        </w:rPr>
        <w:t>-9 Dam Failure of Gouhou Reservoir</w:t>
      </w:r>
    </w:p>
    <w:p w14:paraId="0BE6E734">
      <w:pPr>
        <w:pStyle w:val="16"/>
        <w:spacing w:before="31" w:after="31"/>
        <w:ind w:firstLine="480"/>
        <w:rPr>
          <w:szCs w:val="24"/>
        </w:rPr>
      </w:pPr>
      <w:r>
        <w:rPr>
          <w:szCs w:val="24"/>
        </w:rPr>
        <w:t>(1) Case Name</w:t>
      </w:r>
    </w:p>
    <w:p w14:paraId="3D634C5F">
      <w:pPr>
        <w:pStyle w:val="16"/>
        <w:spacing w:before="31" w:after="31"/>
        <w:ind w:firstLine="480"/>
        <w:rPr>
          <w:szCs w:val="24"/>
        </w:rPr>
      </w:pPr>
      <w:r>
        <w:rPr>
          <w:szCs w:val="24"/>
        </w:rPr>
        <w:t>Gouhou Reservoir Dam Failure</w:t>
      </w:r>
    </w:p>
    <w:p w14:paraId="1F5B2FBA">
      <w:pPr>
        <w:pStyle w:val="16"/>
        <w:spacing w:before="31" w:after="31"/>
        <w:ind w:firstLine="480"/>
        <w:rPr>
          <w:szCs w:val="24"/>
        </w:rPr>
      </w:pPr>
      <w:r>
        <w:rPr>
          <w:szCs w:val="24"/>
        </w:rPr>
        <w:t xml:space="preserve">(2) </w:t>
      </w:r>
      <w:r>
        <w:rPr>
          <w:kern w:val="0"/>
          <w:szCs w:val="24"/>
        </w:rPr>
        <w:t>Failure Process Description</w:t>
      </w:r>
    </w:p>
    <w:p w14:paraId="7AFB6D45">
      <w:pPr>
        <w:pStyle w:val="16"/>
        <w:spacing w:before="31" w:after="31"/>
        <w:ind w:firstLine="480"/>
        <w:rPr>
          <w:szCs w:val="24"/>
        </w:rPr>
      </w:pPr>
      <w:r>
        <w:rPr>
          <w:szCs w:val="24"/>
        </w:rPr>
        <w:t>From the completion of the reservoir in October 1990 until the dam collapse, the reservoir had been operated with four water storage cycles. Before the collapse, the water level had been continuously running for 43 days between 3,261m and 3,277m. On the day of the collapse, around noon, the measured water level was 3,277m. Around 21:00, the reservoir duty officer in the control room suddenly heard a thunderous noise from the dam area. Subsequently, a loud rushing water and rolling stones sound was heard, and sparks from stones rolling on the dam were seen. Shortly afterward, a significant water flow sound from the dam was heard downstream, and the sound became louder until around 22:40 when the dam collapsed. Around 23:45, the flood reached a location 13 kilometers downstream, where 30,000 people lived in the town of Qabqa.</w:t>
      </w:r>
    </w:p>
    <w:p w14:paraId="7EF7EFB5">
      <w:pPr>
        <w:pStyle w:val="16"/>
        <w:spacing w:before="31" w:after="31"/>
        <w:ind w:firstLine="480"/>
        <w:rPr>
          <w:szCs w:val="24"/>
        </w:rPr>
      </w:pPr>
      <w:r>
        <w:rPr>
          <w:szCs w:val="24"/>
        </w:rPr>
        <w:t>(3)</w:t>
      </w:r>
      <w:r>
        <w:rPr>
          <w:kern w:val="0"/>
          <w:szCs w:val="24"/>
        </w:rPr>
        <w:t xml:space="preserve"> Service Environment:</w:t>
      </w:r>
    </w:p>
    <w:p w14:paraId="03793C63">
      <w:pPr>
        <w:pStyle w:val="16"/>
        <w:spacing w:before="31" w:after="31"/>
        <w:ind w:firstLine="480"/>
        <w:rPr>
          <w:szCs w:val="24"/>
        </w:rPr>
      </w:pPr>
      <w:r>
        <w:rPr>
          <w:szCs w:val="24"/>
        </w:rPr>
        <w:t>Gouhou Reservoir is located in Qabqa Town, Gonghe County, Qinghai Province. It is an irrigation and water supply hub with a sand and gravel rockfill dam, classified as a fourth-class small project. The dam controls a watershed area of 198km2, with an average annual flow of 0.4m3/s in the Qabqa River, in a dry plateau region. The main structures include a sand and gravel reinforced concrete panel dam with a height of 71m, a top length of 265m, a width of 7m, upstream slope 1:1.6, downstream slope 1:1.5, and normal and design water levels both at 3,278m. The spillway structure is a left bank water conveyance tunnel with a length of 390m. The total reservoir capacity is 3.3 million m3.</w:t>
      </w:r>
    </w:p>
    <w:p w14:paraId="6D5B9CAA">
      <w:pPr>
        <w:pStyle w:val="16"/>
        <w:spacing w:before="31" w:after="31"/>
        <w:ind w:firstLine="480"/>
        <w:rPr>
          <w:rFonts w:hint="eastAsia"/>
          <w:szCs w:val="24"/>
        </w:rPr>
      </w:pPr>
      <w:r>
        <w:rPr>
          <w:szCs w:val="24"/>
        </w:rPr>
        <w:t>(4) Failure Locations</w:t>
      </w:r>
    </w:p>
    <w:p w14:paraId="30632FDF">
      <w:pPr>
        <w:pStyle w:val="16"/>
        <w:spacing w:before="31" w:after="31"/>
        <w:ind w:firstLine="480"/>
        <w:rPr>
          <w:rFonts w:hint="default" w:eastAsia="宋体"/>
          <w:szCs w:val="24"/>
          <w:lang w:val="en-US" w:eastAsia="zh-CN"/>
        </w:rPr>
      </w:pPr>
      <w:r>
        <w:rPr>
          <w:rFonts w:hint="eastAsia"/>
          <w:szCs w:val="24"/>
          <w:lang w:val="en-US" w:eastAsia="zh-CN"/>
        </w:rPr>
        <w:t>Null</w:t>
      </w:r>
    </w:p>
    <w:p w14:paraId="554239D4">
      <w:pPr>
        <w:pStyle w:val="16"/>
        <w:spacing w:before="31" w:after="31"/>
        <w:ind w:firstLine="480"/>
        <w:rPr>
          <w:szCs w:val="24"/>
        </w:rPr>
      </w:pPr>
      <w:r>
        <w:rPr>
          <w:szCs w:val="24"/>
        </w:rPr>
        <w:t>(5) Failed Component Morphology:</w:t>
      </w:r>
    </w:p>
    <w:p w14:paraId="4B16AA1D">
      <w:pPr>
        <w:pStyle w:val="16"/>
        <w:spacing w:before="31" w:after="31"/>
        <w:ind w:firstLine="480"/>
        <w:rPr>
          <w:szCs w:val="24"/>
        </w:rPr>
      </w:pPr>
      <w:r>
        <w:rPr>
          <w:szCs w:val="24"/>
        </w:rPr>
        <w:t>Null</w:t>
      </w:r>
    </w:p>
    <w:p w14:paraId="3662E2E0">
      <w:pPr>
        <w:pStyle w:val="16"/>
        <w:spacing w:before="31" w:after="31"/>
        <w:ind w:firstLine="480"/>
        <w:rPr>
          <w:szCs w:val="24"/>
        </w:rPr>
      </w:pPr>
      <w:r>
        <w:rPr>
          <w:szCs w:val="24"/>
        </w:rPr>
        <w:t>(6) Analysis of Failure Causes</w:t>
      </w:r>
    </w:p>
    <w:p w14:paraId="1BE15C4F">
      <w:pPr>
        <w:pStyle w:val="16"/>
        <w:spacing w:before="31" w:after="31"/>
        <w:ind w:firstLine="480"/>
        <w:rPr>
          <w:szCs w:val="24"/>
        </w:rPr>
      </w:pPr>
      <w:r>
        <w:rPr>
          <w:szCs w:val="24"/>
        </w:rPr>
        <w:t>According to relevant data on the Gouhou Reservoir dam failure, the main cause of the dam failure was the leakage of the reinforced concrete panel. Factors causing panel leakage include: (1) Concrete panels with penetrating honeycombs. (2) Poor connection between the water stop and concrete in some areas between panel joints, and some have even fallen off. (3) Horizontal joints between the upstream horizontal waterstop plate and the panel have only one rubber strip for waterproofing, and some areas are not embedded in the concrete. (4) Cracks occurred in the horizontal waterstop plate on the upstream side after construction. Later, a simple surface treatment method of applying sand mortar was used, which did not achieve the desired leak-blocking effect.</w:t>
      </w:r>
    </w:p>
    <w:p w14:paraId="733C147C">
      <w:pPr>
        <w:pStyle w:val="16"/>
        <w:spacing w:before="31" w:after="31"/>
        <w:ind w:firstLine="480"/>
        <w:rPr>
          <w:szCs w:val="24"/>
        </w:rPr>
      </w:pPr>
      <w:r>
        <w:rPr>
          <w:szCs w:val="24"/>
        </w:rPr>
        <w:t>The Shaanxi Water Resources and Electric Power Civil Engineering Survey and Design Institute found that the lack of drainage in the dam body, coupled with the poor permeability of the selected dam fill material, resulted in poor drainage of the dam body. The saturation of the infiltrated line gradually increased, leading to the collapse of the dam. Severe quality problems during reservoir construction and design defects in the dam body left fatal hidden dangers for the dam collapse. From the cross-section of the dam body design, although four zones are designated, they are not distinct, and the dam is effectively a "homogeneous" sand and gravel rockfill dam. The average particle size of small particles in the gravel is less than , and the content of particles smaller than is , resulting in insufficient permeability of the fill material. After many days of high water level operation, the water leakage from the panel increased, and since there was no drainage set in the dam body,</w:t>
      </w:r>
    </w:p>
    <w:p w14:paraId="4C05389C">
      <w:pPr>
        <w:pStyle w:val="16"/>
        <w:spacing w:before="31" w:after="31"/>
        <w:ind w:firstLine="480"/>
        <w:rPr>
          <w:szCs w:val="24"/>
        </w:rPr>
      </w:pPr>
      <w:r>
        <w:rPr>
          <w:szCs w:val="24"/>
        </w:rPr>
        <w:t>the infiltrated water could not be discharged, gradually saturating the dam body and raising the infiltration line. This reduced the strength and stability of the dam body. According to calculations, in the part of the dam body with the worst stability, the upper part of the dam, the stability safety factor is already less than 1. Therefore, landslides occurred first in the upper part of the dam, and as the flood eroded the dam, the range rapidly expanded. This caused the concrete panel to fracture due to the loss of support, and the water quickly surged out, causing the dam to collapse.</w:t>
      </w:r>
    </w:p>
    <w:p w14:paraId="6884636B">
      <w:pPr>
        <w:pStyle w:val="16"/>
        <w:spacing w:before="31" w:after="31"/>
        <w:ind w:firstLine="480"/>
        <w:rPr>
          <w:szCs w:val="24"/>
        </w:rPr>
      </w:pPr>
      <w:r>
        <w:rPr>
          <w:szCs w:val="24"/>
        </w:rPr>
        <w:t xml:space="preserve">(7) </w:t>
      </w:r>
      <w:r>
        <w:rPr>
          <w:kern w:val="0"/>
          <w:szCs w:val="24"/>
        </w:rPr>
        <w:t>Impact and Harm Caused</w:t>
      </w:r>
    </w:p>
    <w:p w14:paraId="23F9A982">
      <w:pPr>
        <w:pStyle w:val="16"/>
        <w:spacing w:before="31" w:after="31"/>
        <w:ind w:firstLine="480"/>
        <w:rPr>
          <w:szCs w:val="24"/>
        </w:rPr>
      </w:pPr>
      <w:r>
        <w:rPr>
          <w:szCs w:val="24"/>
        </w:rPr>
        <w:t>As the dam collapsed late at night, the concentrated release of floodwaters exceeded the defense standards by more than 5 times, causing a massive and catastrophic loss. Verified casualties included 285 bodies, with 40 people still missing. Thirteen units suffered destructive disasters, affecting 521 households and 2,837 people, destroying or severely damaging 2,932 houses. Agricultural land covering 13,700 mu was damaged, and 35 kilometers of water supply pipelines for humans and animals were destroyed. Waterworks structures, including 405, were damaged, along with 26.3 kilometers of roads, 50 kilometers of agricultural irrigation channels, over 10 kilometers of power transmission lines, and three bridges. The water supply system for 12,000 residents in the western area of Qabqa Town was completely destroyed, resulting in a direct economic loss of 153 million yuan.</w:t>
      </w:r>
    </w:p>
    <w:p w14:paraId="0B0D9F29">
      <w:pPr>
        <w:pStyle w:val="16"/>
        <w:spacing w:before="31" w:after="31"/>
        <w:ind w:firstLine="480"/>
        <w:rPr>
          <w:szCs w:val="24"/>
        </w:rPr>
      </w:pPr>
      <w:r>
        <w:rPr>
          <w:szCs w:val="24"/>
        </w:rPr>
        <w:t>(8) Conclusion and Improvement Measures</w:t>
      </w:r>
    </w:p>
    <w:p w14:paraId="0D339B79">
      <w:pPr>
        <w:pStyle w:val="16"/>
        <w:spacing w:before="31" w:after="31"/>
        <w:ind w:firstLine="480"/>
        <w:rPr>
          <w:szCs w:val="24"/>
        </w:rPr>
      </w:pPr>
      <w:r>
        <w:rPr>
          <w:szCs w:val="24"/>
        </w:rPr>
        <w:t>Serious quality problems during reservoir construction and design defects in the dam body were the main reasons for the dam collapse, leaving fatal hidden dangers for the reservoir.</w:t>
      </w:r>
    </w:p>
    <w:p w14:paraId="3350EB5E">
      <w:pPr>
        <w:pStyle w:val="16"/>
        <w:spacing w:before="31" w:after="31"/>
        <w:ind w:firstLine="0" w:firstLineChars="0"/>
        <w:rPr>
          <w:b/>
          <w:bCs/>
          <w:szCs w:val="24"/>
        </w:rPr>
      </w:pPr>
      <w:r>
        <w:rPr>
          <w:rFonts w:hint="eastAsia"/>
          <w:b/>
          <w:bCs/>
          <w:szCs w:val="24"/>
          <w:lang w:val="en-US" w:eastAsia="zh-CN"/>
        </w:rPr>
        <w:t>9</w:t>
      </w:r>
      <w:r>
        <w:rPr>
          <w:b/>
          <w:bCs/>
          <w:szCs w:val="24"/>
        </w:rPr>
        <w:t xml:space="preserve">.2 Case </w:t>
      </w:r>
      <w:r>
        <w:rPr>
          <w:rFonts w:hint="eastAsia"/>
          <w:b/>
          <w:bCs/>
          <w:szCs w:val="24"/>
          <w:lang w:val="en-US" w:eastAsia="zh-CN"/>
        </w:rPr>
        <w:t>9</w:t>
      </w:r>
      <w:r>
        <w:rPr>
          <w:b/>
          <w:bCs/>
          <w:szCs w:val="24"/>
        </w:rPr>
        <w:t>-10: Sulfate Erosion of Bapanxia Dam</w:t>
      </w:r>
    </w:p>
    <w:p w14:paraId="264FFC4C">
      <w:pPr>
        <w:pStyle w:val="16"/>
        <w:spacing w:before="31" w:after="31"/>
        <w:ind w:firstLine="480"/>
        <w:rPr>
          <w:szCs w:val="24"/>
        </w:rPr>
      </w:pPr>
      <w:r>
        <w:rPr>
          <w:szCs w:val="24"/>
        </w:rPr>
        <w:t>(1) Case Name</w:t>
      </w:r>
    </w:p>
    <w:p w14:paraId="478B2633">
      <w:pPr>
        <w:pStyle w:val="16"/>
        <w:spacing w:before="31" w:after="31"/>
        <w:ind w:firstLine="480"/>
        <w:rPr>
          <w:szCs w:val="24"/>
        </w:rPr>
      </w:pPr>
      <w:r>
        <w:rPr>
          <w:szCs w:val="24"/>
        </w:rPr>
        <w:t>Sulfate Erosion of Bapanxia Dam</w:t>
      </w:r>
    </w:p>
    <w:p w14:paraId="6FB27E15">
      <w:pPr>
        <w:pStyle w:val="16"/>
        <w:spacing w:before="31" w:after="31"/>
        <w:ind w:firstLine="480"/>
        <w:rPr>
          <w:szCs w:val="24"/>
        </w:rPr>
      </w:pPr>
      <w:r>
        <w:rPr>
          <w:szCs w:val="24"/>
        </w:rPr>
        <w:t>(2)</w:t>
      </w:r>
      <w:r>
        <w:rPr>
          <w:kern w:val="0"/>
          <w:szCs w:val="24"/>
        </w:rPr>
        <w:t xml:space="preserve"> Failure Process Description</w:t>
      </w:r>
    </w:p>
    <w:p w14:paraId="571075D5">
      <w:pPr>
        <w:pStyle w:val="16"/>
        <w:spacing w:before="31" w:after="31"/>
        <w:ind w:firstLine="480"/>
        <w:rPr>
          <w:szCs w:val="24"/>
        </w:rPr>
      </w:pPr>
      <w:r>
        <w:rPr>
          <w:szCs w:val="24"/>
        </w:rPr>
        <w:t>Since the Bapanxia Hydropower Station started operation, issues such as high sulfate content in groundwater causing erosion of concrete, leakage in the right auxiliary dam foundation, softening and liquefaction of the dam foundation rock mass, and excessive uplift pressure in the foundation of Units 3 and 4 have been observed. The measured seepage pressure coefficient in the original underground curtain was 0.40, exceeding the design requirement of 0.30, indicating possible erosion damage to the curtain. Additionally, concrete near the measurement pipes in the dam's foundation corridor and some parts of the corridor's concrete floor have cracked and collapsed. Metal structures such as drainage pipes and measurement pipes have also suffered severe corrosion.</w:t>
      </w:r>
    </w:p>
    <w:p w14:paraId="7A78BDED">
      <w:pPr>
        <w:pStyle w:val="16"/>
        <w:spacing w:before="31" w:after="31"/>
        <w:ind w:firstLine="480"/>
        <w:rPr>
          <w:szCs w:val="24"/>
        </w:rPr>
      </w:pPr>
      <w:r>
        <w:rPr>
          <w:szCs w:val="24"/>
        </w:rPr>
        <w:t>(3) Service Environment</w:t>
      </w:r>
    </w:p>
    <w:p w14:paraId="1FF0D448">
      <w:pPr>
        <w:pStyle w:val="16"/>
        <w:spacing w:before="31" w:after="31"/>
        <w:ind w:firstLine="480"/>
        <w:rPr>
          <w:szCs w:val="24"/>
        </w:rPr>
      </w:pPr>
      <w:r>
        <w:rPr>
          <w:szCs w:val="24"/>
        </w:rPr>
        <w:t>The Bapanxia Hydropower Station is located on the main stream of the Yellow River, approximately 52 km from Lanzhou City. The main structures include the diversion dam, riverbed power plant, and sand discharge structures, with a total of 23 dam segments, a maximum dam height of 33m, and a dam length of 396m. The dam is a concrete gravity dam.</w:t>
      </w:r>
    </w:p>
    <w:p w14:paraId="765C9837">
      <w:pPr>
        <w:pStyle w:val="16"/>
        <w:spacing w:before="31" w:after="31"/>
        <w:ind w:firstLine="480"/>
        <w:rPr>
          <w:szCs w:val="24"/>
        </w:rPr>
      </w:pPr>
      <w:r>
        <w:rPr>
          <w:szCs w:val="24"/>
        </w:rPr>
        <w:t>The sulfate ion content in groundwater in the Panxia area is above 2000mg/L, reaching as high as 12300mg/L at the left bank summit. The hydropower station was constructed during the Cultural Revolution, and water quality analysis was conducted during dam design and construction, as shown in Table 9-3.</w:t>
      </w:r>
    </w:p>
    <w:p w14:paraId="6B2DA76E">
      <w:pPr>
        <w:pStyle w:val="16"/>
        <w:spacing w:before="31" w:after="31"/>
        <w:ind w:firstLine="482"/>
        <w:jc w:val="center"/>
        <w:rPr>
          <w:b/>
          <w:bCs/>
          <w:szCs w:val="24"/>
        </w:rPr>
      </w:pPr>
      <w:r>
        <w:rPr>
          <w:b/>
          <w:bCs/>
          <w:szCs w:val="24"/>
        </w:rPr>
        <w:t>Table 9-3 Groundwater Sulfate and Chloride Ion Analysis</w:t>
      </w:r>
    </w:p>
    <w:p w14:paraId="1A2A95E8">
      <w:pPr>
        <w:pStyle w:val="16"/>
        <w:spacing w:before="31" w:after="31"/>
        <w:ind w:firstLine="480"/>
        <w:jc w:val="center"/>
        <w:rPr>
          <w:szCs w:val="24"/>
        </w:rPr>
      </w:pPr>
      <w:r>
        <w:rPr>
          <w:szCs w:val="24"/>
        </w:rPr>
        <w:t>Sampling Location  | SO42- (mg/L) | Cl- (mg/L) | pH</w:t>
      </w:r>
    </w:p>
    <w:p w14:paraId="73ED9A78">
      <w:pPr>
        <w:pStyle w:val="16"/>
        <w:spacing w:before="31" w:after="31"/>
        <w:ind w:firstLine="480"/>
        <w:jc w:val="center"/>
        <w:rPr>
          <w:szCs w:val="24"/>
        </w:rPr>
      </w:pPr>
      <w:r>
        <w:rPr>
          <w:szCs w:val="24"/>
        </w:rPr>
        <w:t>River Water (Upstream) | 48.28 | 46.58 | 8.33</w:t>
      </w:r>
    </w:p>
    <w:p w14:paraId="117061CD">
      <w:pPr>
        <w:pStyle w:val="16"/>
        <w:spacing w:before="31" w:after="31"/>
        <w:ind w:firstLine="480"/>
        <w:jc w:val="center"/>
        <w:rPr>
          <w:szCs w:val="24"/>
        </w:rPr>
      </w:pPr>
      <w:r>
        <w:rPr>
          <w:szCs w:val="24"/>
        </w:rPr>
        <w:t>Hole 42 (Right Bank Summit) | 3320.45 | 3773.06 | 7.32</w:t>
      </w:r>
    </w:p>
    <w:p w14:paraId="7CA5B98D">
      <w:pPr>
        <w:pStyle w:val="16"/>
        <w:spacing w:before="31" w:after="31"/>
        <w:ind w:firstLine="480"/>
        <w:jc w:val="center"/>
        <w:rPr>
          <w:szCs w:val="24"/>
        </w:rPr>
      </w:pPr>
      <w:r>
        <w:rPr>
          <w:szCs w:val="24"/>
        </w:rPr>
        <w:t>Hole 43 (Right Bank Summit) | 3952.00 | 3541.18 | 7.71</w:t>
      </w:r>
    </w:p>
    <w:p w14:paraId="5080200F">
      <w:pPr>
        <w:pStyle w:val="16"/>
        <w:spacing w:before="31" w:after="31"/>
        <w:ind w:firstLine="480"/>
        <w:jc w:val="center"/>
        <w:rPr>
          <w:szCs w:val="24"/>
        </w:rPr>
      </w:pPr>
      <w:r>
        <w:rPr>
          <w:szCs w:val="24"/>
        </w:rPr>
        <w:t>B13 Hole (Right Side of Corridor) | 2483.90 | 984.79 | 7.86</w:t>
      </w:r>
    </w:p>
    <w:p w14:paraId="68F9F707">
      <w:pPr>
        <w:pStyle w:val="16"/>
        <w:spacing w:before="31" w:after="31"/>
        <w:ind w:firstLine="480"/>
        <w:jc w:val="center"/>
        <w:rPr>
          <w:szCs w:val="24"/>
        </w:rPr>
      </w:pPr>
      <w:r>
        <w:rPr>
          <w:szCs w:val="24"/>
        </w:rPr>
        <w:t>B32 Hole (Left Side of Corridor) | 3506.02 | 15240.39 | 9.56</w:t>
      </w:r>
    </w:p>
    <w:p w14:paraId="27913200">
      <w:pPr>
        <w:pStyle w:val="16"/>
        <w:spacing w:before="31" w:after="31"/>
        <w:ind w:firstLine="480"/>
        <w:rPr>
          <w:szCs w:val="24"/>
        </w:rPr>
      </w:pPr>
      <w:r>
        <w:rPr>
          <w:szCs w:val="24"/>
        </w:rPr>
        <w:t>(4) Locations of Failure</w:t>
      </w:r>
    </w:p>
    <w:p w14:paraId="0219E334">
      <w:pPr>
        <w:pStyle w:val="16"/>
        <w:spacing w:before="31" w:after="31"/>
        <w:ind w:firstLine="480"/>
        <w:rPr>
          <w:szCs w:val="24"/>
        </w:rPr>
      </w:pPr>
      <w:r>
        <w:rPr>
          <w:szCs w:val="24"/>
        </w:rPr>
        <w:t>Currently, due to sulfate erosion in the groundwater of the dam foundation corridor, concrete near the measurement pipes and some parts of the corridor's concrete floor have cracked and collapsed. The left bank summit groundwater flow into the dam's top not only erodes the concrete but also causes severe erosion of the dam's top gate machine steel rails. The penetration of groundwater also led to corrosion damage in the lower part of the main power plant's concrete wall.</w:t>
      </w:r>
    </w:p>
    <w:p w14:paraId="53CB3AA3">
      <w:pPr>
        <w:pStyle w:val="16"/>
        <w:spacing w:before="31" w:after="31"/>
        <w:ind w:firstLine="480"/>
        <w:rPr>
          <w:szCs w:val="24"/>
        </w:rPr>
      </w:pPr>
      <w:r>
        <w:rPr>
          <w:szCs w:val="24"/>
        </w:rPr>
        <w:t>(5) Failed Component Morphology:</w:t>
      </w:r>
    </w:p>
    <w:p w14:paraId="302CC160">
      <w:pPr>
        <w:pStyle w:val="16"/>
        <w:spacing w:before="31" w:after="31"/>
        <w:ind w:firstLine="420" w:firstLineChars="0"/>
        <w:rPr>
          <w:szCs w:val="24"/>
        </w:rPr>
      </w:pPr>
      <w:r>
        <w:rPr>
          <w:szCs w:val="24"/>
        </w:rPr>
        <w:t>Null</w:t>
      </w:r>
    </w:p>
    <w:p w14:paraId="5AA70B83">
      <w:pPr>
        <w:pStyle w:val="16"/>
        <w:spacing w:before="31" w:after="31"/>
        <w:ind w:firstLine="480"/>
        <w:rPr>
          <w:szCs w:val="24"/>
        </w:rPr>
      </w:pPr>
      <w:r>
        <w:rPr>
          <w:szCs w:val="24"/>
        </w:rPr>
        <w:t>(6) Analysis of Failure Causes</w:t>
      </w:r>
    </w:p>
    <w:p w14:paraId="3C5892F3">
      <w:pPr>
        <w:pStyle w:val="16"/>
        <w:spacing w:before="31" w:after="31"/>
        <w:ind w:firstLine="480"/>
        <w:rPr>
          <w:szCs w:val="24"/>
        </w:rPr>
      </w:pPr>
      <w:r>
        <w:rPr>
          <w:szCs w:val="24"/>
        </w:rPr>
        <w:t>Table 9-4 summarizes the main hydrochemical characteristics of groundwater on both sides of the dam site in the surrounding areas over the past 10 years (1988-2004).</w:t>
      </w:r>
    </w:p>
    <w:p w14:paraId="30536ADB">
      <w:pPr>
        <w:pStyle w:val="16"/>
        <w:spacing w:before="31" w:after="31"/>
        <w:ind w:firstLine="482"/>
        <w:jc w:val="center"/>
        <w:rPr>
          <w:b/>
          <w:bCs/>
          <w:szCs w:val="24"/>
        </w:rPr>
      </w:pPr>
      <w:r>
        <w:rPr>
          <w:b/>
          <w:bCs/>
          <w:szCs w:val="24"/>
        </w:rPr>
        <w:t>Table 9-4: Major Water Quality Indicators of Left and Right Bank Slope Groundwater</w:t>
      </w:r>
    </w:p>
    <w:tbl>
      <w:tblPr>
        <w:tblStyle w:val="9"/>
        <w:tblW w:w="820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6"/>
        <w:gridCol w:w="1103"/>
        <w:gridCol w:w="737"/>
        <w:gridCol w:w="983"/>
        <w:gridCol w:w="990"/>
        <w:gridCol w:w="1157"/>
        <w:gridCol w:w="1105"/>
        <w:gridCol w:w="775"/>
      </w:tblGrid>
      <w:tr w14:paraId="5E0E70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tcBorders>
              <w:top w:val="single" w:color="auto" w:sz="12" w:space="0"/>
              <w:left w:val="nil"/>
              <w:bottom w:val="single" w:color="auto" w:sz="12" w:space="0"/>
              <w:right w:val="nil"/>
            </w:tcBorders>
            <w:vAlign w:val="center"/>
          </w:tcPr>
          <w:p w14:paraId="77455011">
            <w:pPr>
              <w:widowControl/>
              <w:spacing w:line="312" w:lineRule="auto"/>
              <w:rPr>
                <w:spacing w:val="8"/>
                <w:szCs w:val="21"/>
              </w:rPr>
            </w:pPr>
            <w:r>
              <w:t>Sampling Location</w:t>
            </w:r>
          </w:p>
        </w:tc>
        <w:tc>
          <w:tcPr>
            <w:tcW w:w="236" w:type="dxa"/>
            <w:tcBorders>
              <w:top w:val="single" w:color="auto" w:sz="12" w:space="0"/>
              <w:left w:val="nil"/>
              <w:bottom w:val="single" w:color="auto" w:sz="12" w:space="0"/>
              <w:right w:val="nil"/>
            </w:tcBorders>
            <w:vAlign w:val="center"/>
          </w:tcPr>
          <w:p w14:paraId="0EC1FD0C">
            <w:pPr>
              <w:widowControl/>
              <w:spacing w:line="312" w:lineRule="auto"/>
              <w:rPr>
                <w:spacing w:val="8"/>
                <w:szCs w:val="21"/>
              </w:rPr>
            </w:pPr>
            <w:r>
              <w:t>Sampling Frequency</w:t>
            </w:r>
          </w:p>
        </w:tc>
        <w:tc>
          <w:tcPr>
            <w:tcW w:w="765" w:type="dxa"/>
            <w:tcBorders>
              <w:top w:val="single" w:color="auto" w:sz="12" w:space="0"/>
              <w:left w:val="nil"/>
              <w:bottom w:val="single" w:color="auto" w:sz="12" w:space="0"/>
              <w:right w:val="nil"/>
            </w:tcBorders>
            <w:vAlign w:val="center"/>
          </w:tcPr>
          <w:p w14:paraId="7BE2A118">
            <w:pPr>
              <w:widowControl/>
              <w:spacing w:line="312" w:lineRule="auto"/>
              <w:rPr>
                <w:spacing w:val="8"/>
                <w:szCs w:val="21"/>
              </w:rPr>
            </w:pPr>
            <w:r>
              <w:rPr>
                <w:spacing w:val="8"/>
                <w:szCs w:val="21"/>
              </w:rPr>
              <w:t>pH</w:t>
            </w:r>
          </w:p>
        </w:tc>
        <w:tc>
          <w:tcPr>
            <w:tcW w:w="1033" w:type="dxa"/>
            <w:tcBorders>
              <w:top w:val="single" w:color="auto" w:sz="12" w:space="0"/>
              <w:left w:val="nil"/>
              <w:bottom w:val="single" w:color="auto" w:sz="12" w:space="0"/>
              <w:right w:val="nil"/>
            </w:tcBorders>
          </w:tcPr>
          <w:p w14:paraId="783E396C">
            <w:pPr>
              <w:widowControl/>
              <w:spacing w:line="312" w:lineRule="auto"/>
              <w:rPr>
                <w:spacing w:val="8"/>
                <w:szCs w:val="21"/>
                <w:vertAlign w:val="superscript"/>
              </w:rPr>
            </w:pPr>
            <w:r>
              <w:rPr>
                <w:spacing w:val="8"/>
                <w:szCs w:val="21"/>
              </w:rPr>
              <w:t>Ca</w:t>
            </w:r>
            <w:r>
              <w:rPr>
                <w:spacing w:val="8"/>
                <w:szCs w:val="21"/>
                <w:vertAlign w:val="superscript"/>
              </w:rPr>
              <w:t>2+</w:t>
            </w:r>
          </w:p>
          <w:p w14:paraId="2C1282C0">
            <w:pPr>
              <w:widowControl/>
              <w:spacing w:line="312" w:lineRule="auto"/>
              <w:rPr>
                <w:spacing w:val="8"/>
                <w:szCs w:val="21"/>
              </w:rPr>
            </w:pPr>
            <w:r>
              <w:rPr>
                <w:spacing w:val="8"/>
                <w:szCs w:val="21"/>
              </w:rPr>
              <w:t>/mg·L</w:t>
            </w:r>
            <w:r>
              <w:rPr>
                <w:spacing w:val="8"/>
                <w:szCs w:val="21"/>
                <w:vertAlign w:val="superscript"/>
              </w:rPr>
              <w:t>-1</w:t>
            </w:r>
          </w:p>
        </w:tc>
        <w:tc>
          <w:tcPr>
            <w:tcW w:w="1051" w:type="dxa"/>
            <w:tcBorders>
              <w:top w:val="single" w:color="auto" w:sz="12" w:space="0"/>
              <w:left w:val="nil"/>
              <w:bottom w:val="single" w:color="auto" w:sz="12" w:space="0"/>
              <w:right w:val="nil"/>
            </w:tcBorders>
          </w:tcPr>
          <w:p w14:paraId="225C0D15">
            <w:pPr>
              <w:widowControl/>
              <w:spacing w:line="312" w:lineRule="auto"/>
              <w:rPr>
                <w:spacing w:val="8"/>
                <w:szCs w:val="21"/>
                <w:vertAlign w:val="superscript"/>
              </w:rPr>
            </w:pPr>
            <w:r>
              <w:rPr>
                <w:spacing w:val="8"/>
                <w:szCs w:val="21"/>
              </w:rPr>
              <w:t>SO</w:t>
            </w:r>
            <w:r>
              <w:rPr>
                <w:spacing w:val="8"/>
                <w:szCs w:val="21"/>
                <w:vertAlign w:val="subscript"/>
              </w:rPr>
              <w:t>4</w:t>
            </w:r>
            <w:r>
              <w:rPr>
                <w:spacing w:val="8"/>
                <w:szCs w:val="21"/>
                <w:vertAlign w:val="superscript"/>
              </w:rPr>
              <w:t>2-</w:t>
            </w:r>
          </w:p>
          <w:p w14:paraId="5C852695">
            <w:pPr>
              <w:widowControl/>
              <w:spacing w:line="312" w:lineRule="auto"/>
              <w:rPr>
                <w:spacing w:val="8"/>
                <w:szCs w:val="21"/>
              </w:rPr>
            </w:pPr>
            <w:r>
              <w:rPr>
                <w:spacing w:val="8"/>
                <w:szCs w:val="21"/>
              </w:rPr>
              <w:t>/mg·L</w:t>
            </w:r>
            <w:r>
              <w:rPr>
                <w:spacing w:val="8"/>
                <w:szCs w:val="21"/>
                <w:vertAlign w:val="superscript"/>
              </w:rPr>
              <w:t>-1</w:t>
            </w:r>
          </w:p>
        </w:tc>
        <w:tc>
          <w:tcPr>
            <w:tcW w:w="1173" w:type="dxa"/>
            <w:tcBorders>
              <w:top w:val="single" w:color="auto" w:sz="12" w:space="0"/>
              <w:left w:val="nil"/>
              <w:bottom w:val="single" w:color="auto" w:sz="12" w:space="0"/>
              <w:right w:val="nil"/>
            </w:tcBorders>
          </w:tcPr>
          <w:p w14:paraId="2580EFFD">
            <w:pPr>
              <w:widowControl/>
              <w:spacing w:line="312" w:lineRule="auto"/>
              <w:rPr>
                <w:spacing w:val="8"/>
                <w:szCs w:val="21"/>
              </w:rPr>
            </w:pPr>
            <w:r>
              <w:t>Alkalinity</w:t>
            </w:r>
            <w:r>
              <w:rPr>
                <w:spacing w:val="8"/>
                <w:szCs w:val="21"/>
              </w:rPr>
              <w:t xml:space="preserve"> /mmol·L</w:t>
            </w:r>
            <w:r>
              <w:rPr>
                <w:spacing w:val="8"/>
                <w:szCs w:val="21"/>
                <w:vertAlign w:val="superscript"/>
              </w:rPr>
              <w:t>-1</w:t>
            </w:r>
          </w:p>
        </w:tc>
        <w:tc>
          <w:tcPr>
            <w:tcW w:w="1169" w:type="dxa"/>
            <w:tcBorders>
              <w:top w:val="single" w:color="auto" w:sz="12" w:space="0"/>
              <w:left w:val="nil"/>
              <w:bottom w:val="single" w:color="auto" w:sz="12" w:space="0"/>
              <w:right w:val="nil"/>
            </w:tcBorders>
          </w:tcPr>
          <w:p w14:paraId="5B975476">
            <w:pPr>
              <w:widowControl/>
              <w:spacing w:line="312" w:lineRule="auto"/>
              <w:rPr>
                <w:spacing w:val="8"/>
                <w:szCs w:val="21"/>
              </w:rPr>
            </w:pPr>
            <w:r>
              <w:t>Hardness</w:t>
            </w:r>
            <w:r>
              <w:rPr>
                <w:spacing w:val="8"/>
                <w:szCs w:val="21"/>
              </w:rPr>
              <w:t xml:space="preserve"> mg·L</w:t>
            </w:r>
            <w:r>
              <w:rPr>
                <w:spacing w:val="8"/>
                <w:szCs w:val="21"/>
                <w:vertAlign w:val="superscript"/>
              </w:rPr>
              <w:t>-1</w:t>
            </w:r>
          </w:p>
        </w:tc>
        <w:tc>
          <w:tcPr>
            <w:tcW w:w="837" w:type="dxa"/>
            <w:tcBorders>
              <w:top w:val="single" w:color="auto" w:sz="12" w:space="0"/>
              <w:left w:val="nil"/>
              <w:bottom w:val="single" w:color="auto" w:sz="12" w:space="0"/>
              <w:right w:val="nil"/>
            </w:tcBorders>
          </w:tcPr>
          <w:p w14:paraId="10DC40C0">
            <w:pPr>
              <w:widowControl/>
              <w:spacing w:line="312" w:lineRule="auto"/>
              <w:rPr>
                <w:spacing w:val="8"/>
                <w:szCs w:val="21"/>
              </w:rPr>
            </w:pPr>
            <w:r>
              <w:rPr>
                <w:spacing w:val="8"/>
                <w:szCs w:val="21"/>
              </w:rPr>
              <w:t>TDS</w:t>
            </w:r>
          </w:p>
          <w:p w14:paraId="7CDCCF53">
            <w:pPr>
              <w:widowControl/>
              <w:spacing w:line="312" w:lineRule="auto"/>
              <w:rPr>
                <w:spacing w:val="8"/>
                <w:szCs w:val="21"/>
              </w:rPr>
            </w:pPr>
            <w:r>
              <w:rPr>
                <w:spacing w:val="8"/>
                <w:szCs w:val="21"/>
              </w:rPr>
              <w:t>/g·L</w:t>
            </w:r>
            <w:r>
              <w:rPr>
                <w:spacing w:val="8"/>
                <w:szCs w:val="21"/>
                <w:vertAlign w:val="superscript"/>
              </w:rPr>
              <w:t>-1</w:t>
            </w:r>
          </w:p>
        </w:tc>
      </w:tr>
      <w:tr w14:paraId="62A8EE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tcBorders>
              <w:top w:val="single" w:color="auto" w:sz="12" w:space="0"/>
              <w:left w:val="nil"/>
              <w:bottom w:val="nil"/>
              <w:right w:val="nil"/>
            </w:tcBorders>
          </w:tcPr>
          <w:p w14:paraId="360998A4">
            <w:pPr>
              <w:widowControl/>
              <w:spacing w:line="312" w:lineRule="auto"/>
              <w:rPr>
                <w:spacing w:val="8"/>
                <w:szCs w:val="21"/>
              </w:rPr>
            </w:pPr>
            <w:r>
              <w:t>Left Bypass</w:t>
            </w:r>
            <w:r>
              <w:rPr>
                <w:spacing w:val="8"/>
                <w:szCs w:val="21"/>
              </w:rPr>
              <w:t xml:space="preserve"> 1</w:t>
            </w:r>
            <w:r>
              <w:rPr>
                <w:spacing w:val="8"/>
                <w:szCs w:val="21"/>
                <w:vertAlign w:val="superscript"/>
              </w:rPr>
              <w:t>#</w:t>
            </w:r>
          </w:p>
        </w:tc>
        <w:tc>
          <w:tcPr>
            <w:tcW w:w="236" w:type="dxa"/>
            <w:tcBorders>
              <w:top w:val="single" w:color="auto" w:sz="12" w:space="0"/>
              <w:left w:val="nil"/>
              <w:bottom w:val="nil"/>
              <w:right w:val="nil"/>
            </w:tcBorders>
          </w:tcPr>
          <w:p w14:paraId="78A99CD4">
            <w:pPr>
              <w:widowControl/>
              <w:spacing w:line="312" w:lineRule="auto"/>
              <w:rPr>
                <w:spacing w:val="8"/>
                <w:szCs w:val="21"/>
              </w:rPr>
            </w:pPr>
            <w:r>
              <w:rPr>
                <w:spacing w:val="8"/>
                <w:szCs w:val="21"/>
              </w:rPr>
              <w:t>10</w:t>
            </w:r>
          </w:p>
        </w:tc>
        <w:tc>
          <w:tcPr>
            <w:tcW w:w="765" w:type="dxa"/>
            <w:tcBorders>
              <w:top w:val="single" w:color="auto" w:sz="12" w:space="0"/>
              <w:left w:val="nil"/>
              <w:bottom w:val="nil"/>
              <w:right w:val="nil"/>
            </w:tcBorders>
          </w:tcPr>
          <w:p w14:paraId="72A7F6F4">
            <w:pPr>
              <w:widowControl/>
              <w:spacing w:line="312" w:lineRule="auto"/>
              <w:rPr>
                <w:spacing w:val="8"/>
                <w:szCs w:val="21"/>
              </w:rPr>
            </w:pPr>
            <w:r>
              <w:rPr>
                <w:spacing w:val="8"/>
                <w:szCs w:val="21"/>
              </w:rPr>
              <w:t>7.90</w:t>
            </w:r>
          </w:p>
        </w:tc>
        <w:tc>
          <w:tcPr>
            <w:tcW w:w="1033" w:type="dxa"/>
            <w:tcBorders>
              <w:top w:val="single" w:color="auto" w:sz="12" w:space="0"/>
              <w:left w:val="nil"/>
              <w:bottom w:val="nil"/>
              <w:right w:val="nil"/>
            </w:tcBorders>
          </w:tcPr>
          <w:p w14:paraId="17C5E116">
            <w:pPr>
              <w:widowControl/>
              <w:spacing w:line="312" w:lineRule="auto"/>
              <w:rPr>
                <w:spacing w:val="8"/>
                <w:szCs w:val="21"/>
              </w:rPr>
            </w:pPr>
            <w:r>
              <w:rPr>
                <w:spacing w:val="8"/>
                <w:szCs w:val="21"/>
              </w:rPr>
              <w:t>700.82</w:t>
            </w:r>
          </w:p>
        </w:tc>
        <w:tc>
          <w:tcPr>
            <w:tcW w:w="1051" w:type="dxa"/>
            <w:tcBorders>
              <w:top w:val="single" w:color="auto" w:sz="12" w:space="0"/>
              <w:left w:val="nil"/>
              <w:bottom w:val="nil"/>
              <w:right w:val="nil"/>
            </w:tcBorders>
          </w:tcPr>
          <w:p w14:paraId="6B80489D">
            <w:pPr>
              <w:widowControl/>
              <w:spacing w:line="312" w:lineRule="auto"/>
              <w:rPr>
                <w:spacing w:val="8"/>
                <w:szCs w:val="21"/>
              </w:rPr>
            </w:pPr>
            <w:r>
              <w:rPr>
                <w:spacing w:val="8"/>
                <w:szCs w:val="21"/>
              </w:rPr>
              <w:t>4806.85</w:t>
            </w:r>
          </w:p>
        </w:tc>
        <w:tc>
          <w:tcPr>
            <w:tcW w:w="1173" w:type="dxa"/>
            <w:tcBorders>
              <w:top w:val="single" w:color="auto" w:sz="12" w:space="0"/>
              <w:left w:val="nil"/>
              <w:bottom w:val="nil"/>
              <w:right w:val="nil"/>
            </w:tcBorders>
          </w:tcPr>
          <w:p w14:paraId="3080E0E1">
            <w:pPr>
              <w:widowControl/>
              <w:spacing w:line="312" w:lineRule="auto"/>
              <w:rPr>
                <w:spacing w:val="8"/>
                <w:szCs w:val="21"/>
              </w:rPr>
            </w:pPr>
            <w:r>
              <w:rPr>
                <w:spacing w:val="8"/>
                <w:szCs w:val="21"/>
              </w:rPr>
              <w:t>3.72</w:t>
            </w:r>
          </w:p>
        </w:tc>
        <w:tc>
          <w:tcPr>
            <w:tcW w:w="1169" w:type="dxa"/>
            <w:tcBorders>
              <w:top w:val="single" w:color="auto" w:sz="12" w:space="0"/>
              <w:left w:val="nil"/>
              <w:bottom w:val="nil"/>
              <w:right w:val="nil"/>
            </w:tcBorders>
          </w:tcPr>
          <w:p w14:paraId="41E44B47">
            <w:pPr>
              <w:widowControl/>
              <w:spacing w:line="312" w:lineRule="auto"/>
              <w:rPr>
                <w:spacing w:val="8"/>
                <w:szCs w:val="21"/>
              </w:rPr>
            </w:pPr>
            <w:r>
              <w:rPr>
                <w:spacing w:val="8"/>
                <w:szCs w:val="21"/>
              </w:rPr>
              <w:t>6334.84</w:t>
            </w:r>
          </w:p>
        </w:tc>
        <w:tc>
          <w:tcPr>
            <w:tcW w:w="837" w:type="dxa"/>
            <w:tcBorders>
              <w:top w:val="single" w:color="auto" w:sz="12" w:space="0"/>
              <w:left w:val="nil"/>
              <w:bottom w:val="nil"/>
              <w:right w:val="nil"/>
            </w:tcBorders>
          </w:tcPr>
          <w:p w14:paraId="4207C586">
            <w:pPr>
              <w:widowControl/>
              <w:spacing w:line="312" w:lineRule="auto"/>
              <w:rPr>
                <w:spacing w:val="8"/>
                <w:szCs w:val="21"/>
              </w:rPr>
            </w:pPr>
            <w:r>
              <w:rPr>
                <w:spacing w:val="8"/>
                <w:szCs w:val="21"/>
              </w:rPr>
              <w:t>32.43</w:t>
            </w:r>
          </w:p>
        </w:tc>
      </w:tr>
      <w:tr w14:paraId="2A9015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tcBorders>
              <w:top w:val="nil"/>
              <w:left w:val="nil"/>
              <w:bottom w:val="nil"/>
              <w:right w:val="nil"/>
            </w:tcBorders>
          </w:tcPr>
          <w:p w14:paraId="4A3E84B4">
            <w:pPr>
              <w:widowControl/>
              <w:spacing w:line="312" w:lineRule="auto"/>
              <w:rPr>
                <w:spacing w:val="8"/>
                <w:szCs w:val="21"/>
              </w:rPr>
            </w:pPr>
            <w:r>
              <w:t>Left Bypass</w:t>
            </w:r>
            <w:r>
              <w:rPr>
                <w:spacing w:val="8"/>
                <w:szCs w:val="21"/>
              </w:rPr>
              <w:t xml:space="preserve"> 2</w:t>
            </w:r>
            <w:r>
              <w:rPr>
                <w:spacing w:val="8"/>
                <w:szCs w:val="21"/>
                <w:vertAlign w:val="superscript"/>
              </w:rPr>
              <w:t>#</w:t>
            </w:r>
          </w:p>
        </w:tc>
        <w:tc>
          <w:tcPr>
            <w:tcW w:w="236" w:type="dxa"/>
            <w:tcBorders>
              <w:top w:val="nil"/>
              <w:left w:val="nil"/>
              <w:bottom w:val="nil"/>
              <w:right w:val="nil"/>
            </w:tcBorders>
          </w:tcPr>
          <w:p w14:paraId="70014D8C">
            <w:pPr>
              <w:widowControl/>
              <w:spacing w:line="312" w:lineRule="auto"/>
              <w:rPr>
                <w:spacing w:val="8"/>
                <w:szCs w:val="21"/>
              </w:rPr>
            </w:pPr>
            <w:r>
              <w:rPr>
                <w:spacing w:val="8"/>
                <w:szCs w:val="21"/>
              </w:rPr>
              <w:t>14</w:t>
            </w:r>
          </w:p>
        </w:tc>
        <w:tc>
          <w:tcPr>
            <w:tcW w:w="765" w:type="dxa"/>
            <w:tcBorders>
              <w:top w:val="nil"/>
              <w:left w:val="nil"/>
              <w:bottom w:val="nil"/>
              <w:right w:val="nil"/>
            </w:tcBorders>
          </w:tcPr>
          <w:p w14:paraId="5E4B8CB3">
            <w:pPr>
              <w:widowControl/>
              <w:spacing w:line="312" w:lineRule="auto"/>
              <w:rPr>
                <w:spacing w:val="8"/>
                <w:szCs w:val="21"/>
              </w:rPr>
            </w:pPr>
            <w:r>
              <w:rPr>
                <w:spacing w:val="8"/>
                <w:szCs w:val="21"/>
              </w:rPr>
              <w:t>7.58</w:t>
            </w:r>
          </w:p>
        </w:tc>
        <w:tc>
          <w:tcPr>
            <w:tcW w:w="1033" w:type="dxa"/>
            <w:tcBorders>
              <w:top w:val="nil"/>
              <w:left w:val="nil"/>
              <w:bottom w:val="nil"/>
              <w:right w:val="nil"/>
            </w:tcBorders>
          </w:tcPr>
          <w:p w14:paraId="58597E4D">
            <w:pPr>
              <w:widowControl/>
              <w:spacing w:line="312" w:lineRule="auto"/>
              <w:rPr>
                <w:spacing w:val="8"/>
                <w:szCs w:val="21"/>
              </w:rPr>
            </w:pPr>
            <w:r>
              <w:rPr>
                <w:spacing w:val="8"/>
                <w:szCs w:val="21"/>
              </w:rPr>
              <w:t>580.9</w:t>
            </w:r>
          </w:p>
        </w:tc>
        <w:tc>
          <w:tcPr>
            <w:tcW w:w="1051" w:type="dxa"/>
            <w:tcBorders>
              <w:top w:val="nil"/>
              <w:left w:val="nil"/>
              <w:bottom w:val="nil"/>
              <w:right w:val="nil"/>
            </w:tcBorders>
          </w:tcPr>
          <w:p w14:paraId="5F8FCDC3">
            <w:pPr>
              <w:widowControl/>
              <w:spacing w:line="312" w:lineRule="auto"/>
              <w:rPr>
                <w:spacing w:val="8"/>
                <w:szCs w:val="21"/>
              </w:rPr>
            </w:pPr>
            <w:r>
              <w:rPr>
                <w:spacing w:val="8"/>
                <w:szCs w:val="21"/>
              </w:rPr>
              <w:t>8941.06</w:t>
            </w:r>
          </w:p>
        </w:tc>
        <w:tc>
          <w:tcPr>
            <w:tcW w:w="1173" w:type="dxa"/>
            <w:tcBorders>
              <w:top w:val="nil"/>
              <w:left w:val="nil"/>
              <w:bottom w:val="nil"/>
              <w:right w:val="nil"/>
            </w:tcBorders>
          </w:tcPr>
          <w:p w14:paraId="53D63684">
            <w:pPr>
              <w:widowControl/>
              <w:spacing w:line="312" w:lineRule="auto"/>
              <w:rPr>
                <w:spacing w:val="8"/>
                <w:szCs w:val="21"/>
              </w:rPr>
            </w:pPr>
            <w:r>
              <w:rPr>
                <w:spacing w:val="8"/>
                <w:szCs w:val="21"/>
              </w:rPr>
              <w:t>4.16</w:t>
            </w:r>
          </w:p>
        </w:tc>
        <w:tc>
          <w:tcPr>
            <w:tcW w:w="1169" w:type="dxa"/>
            <w:tcBorders>
              <w:top w:val="nil"/>
              <w:left w:val="nil"/>
              <w:bottom w:val="nil"/>
              <w:right w:val="nil"/>
            </w:tcBorders>
          </w:tcPr>
          <w:p w14:paraId="77C24106">
            <w:pPr>
              <w:widowControl/>
              <w:spacing w:line="312" w:lineRule="auto"/>
              <w:rPr>
                <w:spacing w:val="8"/>
                <w:szCs w:val="21"/>
              </w:rPr>
            </w:pPr>
            <w:r>
              <w:rPr>
                <w:spacing w:val="8"/>
                <w:szCs w:val="21"/>
              </w:rPr>
              <w:t>3903.18</w:t>
            </w:r>
          </w:p>
        </w:tc>
        <w:tc>
          <w:tcPr>
            <w:tcW w:w="837" w:type="dxa"/>
            <w:tcBorders>
              <w:top w:val="nil"/>
              <w:left w:val="nil"/>
              <w:bottom w:val="nil"/>
              <w:right w:val="nil"/>
            </w:tcBorders>
          </w:tcPr>
          <w:p w14:paraId="57FD19E2">
            <w:pPr>
              <w:widowControl/>
              <w:spacing w:line="312" w:lineRule="auto"/>
              <w:rPr>
                <w:spacing w:val="8"/>
                <w:szCs w:val="21"/>
              </w:rPr>
            </w:pPr>
            <w:r>
              <w:rPr>
                <w:spacing w:val="8"/>
                <w:szCs w:val="21"/>
              </w:rPr>
              <w:t>24.69</w:t>
            </w:r>
          </w:p>
        </w:tc>
      </w:tr>
      <w:tr w14:paraId="789B2B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tcBorders>
              <w:top w:val="nil"/>
              <w:left w:val="nil"/>
              <w:bottom w:val="nil"/>
              <w:right w:val="nil"/>
            </w:tcBorders>
          </w:tcPr>
          <w:p w14:paraId="3FAA0C6D">
            <w:pPr>
              <w:widowControl/>
              <w:spacing w:line="312" w:lineRule="auto"/>
              <w:rPr>
                <w:spacing w:val="8"/>
                <w:szCs w:val="21"/>
              </w:rPr>
            </w:pPr>
            <w:r>
              <w:t>Left Bypass</w:t>
            </w:r>
            <w:r>
              <w:rPr>
                <w:spacing w:val="8"/>
                <w:szCs w:val="21"/>
              </w:rPr>
              <w:t xml:space="preserve"> 3</w:t>
            </w:r>
            <w:r>
              <w:rPr>
                <w:spacing w:val="8"/>
                <w:szCs w:val="21"/>
                <w:vertAlign w:val="superscript"/>
              </w:rPr>
              <w:t>#</w:t>
            </w:r>
          </w:p>
        </w:tc>
        <w:tc>
          <w:tcPr>
            <w:tcW w:w="236" w:type="dxa"/>
            <w:tcBorders>
              <w:top w:val="nil"/>
              <w:left w:val="nil"/>
              <w:bottom w:val="nil"/>
              <w:right w:val="nil"/>
            </w:tcBorders>
          </w:tcPr>
          <w:p w14:paraId="1DEC729E">
            <w:pPr>
              <w:widowControl/>
              <w:spacing w:line="312" w:lineRule="auto"/>
              <w:rPr>
                <w:spacing w:val="8"/>
                <w:szCs w:val="21"/>
              </w:rPr>
            </w:pPr>
            <w:r>
              <w:rPr>
                <w:spacing w:val="8"/>
                <w:szCs w:val="21"/>
              </w:rPr>
              <w:t>13</w:t>
            </w:r>
          </w:p>
        </w:tc>
        <w:tc>
          <w:tcPr>
            <w:tcW w:w="765" w:type="dxa"/>
            <w:tcBorders>
              <w:top w:val="nil"/>
              <w:left w:val="nil"/>
              <w:bottom w:val="nil"/>
              <w:right w:val="nil"/>
            </w:tcBorders>
          </w:tcPr>
          <w:p w14:paraId="788BEBC7">
            <w:pPr>
              <w:widowControl/>
              <w:spacing w:line="312" w:lineRule="auto"/>
              <w:rPr>
                <w:spacing w:val="8"/>
                <w:szCs w:val="21"/>
              </w:rPr>
            </w:pPr>
            <w:r>
              <w:rPr>
                <w:spacing w:val="8"/>
                <w:szCs w:val="21"/>
              </w:rPr>
              <w:t>8.30</w:t>
            </w:r>
          </w:p>
        </w:tc>
        <w:tc>
          <w:tcPr>
            <w:tcW w:w="1033" w:type="dxa"/>
            <w:tcBorders>
              <w:top w:val="nil"/>
              <w:left w:val="nil"/>
              <w:bottom w:val="nil"/>
              <w:right w:val="nil"/>
            </w:tcBorders>
          </w:tcPr>
          <w:p w14:paraId="5A8264C5">
            <w:pPr>
              <w:widowControl/>
              <w:spacing w:line="312" w:lineRule="auto"/>
              <w:rPr>
                <w:spacing w:val="8"/>
                <w:szCs w:val="21"/>
              </w:rPr>
            </w:pPr>
            <w:r>
              <w:rPr>
                <w:spacing w:val="8"/>
                <w:szCs w:val="21"/>
              </w:rPr>
              <w:t>985.19</w:t>
            </w:r>
          </w:p>
        </w:tc>
        <w:tc>
          <w:tcPr>
            <w:tcW w:w="1051" w:type="dxa"/>
            <w:tcBorders>
              <w:top w:val="nil"/>
              <w:left w:val="nil"/>
              <w:bottom w:val="nil"/>
              <w:right w:val="nil"/>
            </w:tcBorders>
          </w:tcPr>
          <w:p w14:paraId="0D471E27">
            <w:pPr>
              <w:widowControl/>
              <w:spacing w:line="312" w:lineRule="auto"/>
              <w:rPr>
                <w:spacing w:val="8"/>
                <w:szCs w:val="21"/>
              </w:rPr>
            </w:pPr>
            <w:r>
              <w:rPr>
                <w:spacing w:val="8"/>
                <w:szCs w:val="21"/>
              </w:rPr>
              <w:t>5802.79</w:t>
            </w:r>
          </w:p>
        </w:tc>
        <w:tc>
          <w:tcPr>
            <w:tcW w:w="1173" w:type="dxa"/>
            <w:tcBorders>
              <w:top w:val="nil"/>
              <w:left w:val="nil"/>
              <w:bottom w:val="nil"/>
              <w:right w:val="nil"/>
            </w:tcBorders>
          </w:tcPr>
          <w:p w14:paraId="1AFA9CAC">
            <w:pPr>
              <w:widowControl/>
              <w:spacing w:line="312" w:lineRule="auto"/>
              <w:rPr>
                <w:spacing w:val="8"/>
                <w:szCs w:val="21"/>
              </w:rPr>
            </w:pPr>
            <w:r>
              <w:rPr>
                <w:spacing w:val="8"/>
                <w:szCs w:val="21"/>
              </w:rPr>
              <w:t>1.38</w:t>
            </w:r>
          </w:p>
        </w:tc>
        <w:tc>
          <w:tcPr>
            <w:tcW w:w="1169" w:type="dxa"/>
            <w:tcBorders>
              <w:top w:val="nil"/>
              <w:left w:val="nil"/>
              <w:bottom w:val="nil"/>
              <w:right w:val="nil"/>
            </w:tcBorders>
          </w:tcPr>
          <w:p w14:paraId="7D7EEF59">
            <w:pPr>
              <w:widowControl/>
              <w:spacing w:line="312" w:lineRule="auto"/>
              <w:rPr>
                <w:spacing w:val="8"/>
                <w:szCs w:val="21"/>
              </w:rPr>
            </w:pPr>
            <w:r>
              <w:rPr>
                <w:spacing w:val="8"/>
                <w:szCs w:val="21"/>
              </w:rPr>
              <w:t>10152.59</w:t>
            </w:r>
          </w:p>
        </w:tc>
        <w:tc>
          <w:tcPr>
            <w:tcW w:w="837" w:type="dxa"/>
            <w:tcBorders>
              <w:top w:val="nil"/>
              <w:left w:val="nil"/>
              <w:bottom w:val="nil"/>
              <w:right w:val="nil"/>
            </w:tcBorders>
          </w:tcPr>
          <w:p w14:paraId="2F15A046">
            <w:pPr>
              <w:widowControl/>
              <w:spacing w:line="312" w:lineRule="auto"/>
              <w:rPr>
                <w:spacing w:val="8"/>
                <w:szCs w:val="21"/>
              </w:rPr>
            </w:pPr>
            <w:r>
              <w:rPr>
                <w:spacing w:val="8"/>
                <w:szCs w:val="21"/>
              </w:rPr>
              <w:t>74.56</w:t>
            </w:r>
          </w:p>
        </w:tc>
      </w:tr>
      <w:tr w14:paraId="2E3B71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tcBorders>
              <w:top w:val="nil"/>
              <w:left w:val="nil"/>
              <w:bottom w:val="nil"/>
              <w:right w:val="nil"/>
            </w:tcBorders>
          </w:tcPr>
          <w:p w14:paraId="1F571077">
            <w:pPr>
              <w:widowControl/>
              <w:spacing w:line="312" w:lineRule="auto"/>
              <w:rPr>
                <w:spacing w:val="8"/>
                <w:szCs w:val="21"/>
              </w:rPr>
            </w:pPr>
            <w:r>
              <w:t>Left Bypass</w:t>
            </w:r>
            <w:r>
              <w:rPr>
                <w:spacing w:val="8"/>
                <w:szCs w:val="21"/>
              </w:rPr>
              <w:t xml:space="preserve"> 5#</w:t>
            </w:r>
          </w:p>
        </w:tc>
        <w:tc>
          <w:tcPr>
            <w:tcW w:w="236" w:type="dxa"/>
            <w:tcBorders>
              <w:top w:val="nil"/>
              <w:left w:val="nil"/>
              <w:bottom w:val="nil"/>
              <w:right w:val="nil"/>
            </w:tcBorders>
          </w:tcPr>
          <w:p w14:paraId="3E81A07A">
            <w:pPr>
              <w:widowControl/>
              <w:spacing w:line="312" w:lineRule="auto"/>
              <w:rPr>
                <w:spacing w:val="8"/>
                <w:szCs w:val="21"/>
              </w:rPr>
            </w:pPr>
            <w:r>
              <w:rPr>
                <w:spacing w:val="8"/>
                <w:szCs w:val="21"/>
              </w:rPr>
              <w:t>43</w:t>
            </w:r>
          </w:p>
        </w:tc>
        <w:tc>
          <w:tcPr>
            <w:tcW w:w="765" w:type="dxa"/>
            <w:tcBorders>
              <w:top w:val="nil"/>
              <w:left w:val="nil"/>
              <w:bottom w:val="nil"/>
              <w:right w:val="nil"/>
            </w:tcBorders>
          </w:tcPr>
          <w:p w14:paraId="640D30B3">
            <w:pPr>
              <w:widowControl/>
              <w:spacing w:line="312" w:lineRule="auto"/>
              <w:rPr>
                <w:spacing w:val="8"/>
                <w:szCs w:val="21"/>
              </w:rPr>
            </w:pPr>
            <w:r>
              <w:rPr>
                <w:spacing w:val="8"/>
                <w:szCs w:val="21"/>
              </w:rPr>
              <w:t>7.67</w:t>
            </w:r>
          </w:p>
        </w:tc>
        <w:tc>
          <w:tcPr>
            <w:tcW w:w="1033" w:type="dxa"/>
            <w:tcBorders>
              <w:top w:val="nil"/>
              <w:left w:val="nil"/>
              <w:bottom w:val="nil"/>
              <w:right w:val="nil"/>
            </w:tcBorders>
          </w:tcPr>
          <w:p w14:paraId="2F68E0E0">
            <w:pPr>
              <w:widowControl/>
              <w:spacing w:line="312" w:lineRule="auto"/>
              <w:rPr>
                <w:spacing w:val="8"/>
                <w:szCs w:val="21"/>
              </w:rPr>
            </w:pPr>
            <w:r>
              <w:rPr>
                <w:spacing w:val="8"/>
                <w:szCs w:val="21"/>
              </w:rPr>
              <w:t>1007.63</w:t>
            </w:r>
          </w:p>
        </w:tc>
        <w:tc>
          <w:tcPr>
            <w:tcW w:w="1051" w:type="dxa"/>
            <w:tcBorders>
              <w:top w:val="nil"/>
              <w:left w:val="nil"/>
              <w:bottom w:val="nil"/>
              <w:right w:val="nil"/>
            </w:tcBorders>
          </w:tcPr>
          <w:p w14:paraId="35F2AFDC">
            <w:pPr>
              <w:widowControl/>
              <w:spacing w:line="312" w:lineRule="auto"/>
              <w:rPr>
                <w:spacing w:val="8"/>
                <w:szCs w:val="21"/>
              </w:rPr>
            </w:pPr>
            <w:r>
              <w:rPr>
                <w:spacing w:val="8"/>
                <w:szCs w:val="21"/>
              </w:rPr>
              <w:t>8132.51</w:t>
            </w:r>
          </w:p>
        </w:tc>
        <w:tc>
          <w:tcPr>
            <w:tcW w:w="1173" w:type="dxa"/>
            <w:tcBorders>
              <w:top w:val="nil"/>
              <w:left w:val="nil"/>
              <w:bottom w:val="nil"/>
              <w:right w:val="nil"/>
            </w:tcBorders>
          </w:tcPr>
          <w:p w14:paraId="5646C113">
            <w:pPr>
              <w:widowControl/>
              <w:spacing w:line="312" w:lineRule="auto"/>
              <w:rPr>
                <w:spacing w:val="8"/>
                <w:szCs w:val="21"/>
              </w:rPr>
            </w:pPr>
            <w:r>
              <w:rPr>
                <w:spacing w:val="8"/>
                <w:szCs w:val="21"/>
              </w:rPr>
              <w:t>1.52</w:t>
            </w:r>
          </w:p>
        </w:tc>
        <w:tc>
          <w:tcPr>
            <w:tcW w:w="1169" w:type="dxa"/>
            <w:tcBorders>
              <w:top w:val="nil"/>
              <w:left w:val="nil"/>
              <w:bottom w:val="nil"/>
              <w:right w:val="nil"/>
            </w:tcBorders>
          </w:tcPr>
          <w:p w14:paraId="657FC7D7">
            <w:pPr>
              <w:widowControl/>
              <w:spacing w:line="312" w:lineRule="auto"/>
              <w:rPr>
                <w:spacing w:val="8"/>
                <w:szCs w:val="21"/>
              </w:rPr>
            </w:pPr>
            <w:r>
              <w:rPr>
                <w:spacing w:val="8"/>
                <w:szCs w:val="21"/>
              </w:rPr>
              <w:t>6491.48</w:t>
            </w:r>
          </w:p>
        </w:tc>
        <w:tc>
          <w:tcPr>
            <w:tcW w:w="837" w:type="dxa"/>
            <w:tcBorders>
              <w:top w:val="nil"/>
              <w:left w:val="nil"/>
              <w:bottom w:val="nil"/>
              <w:right w:val="nil"/>
            </w:tcBorders>
          </w:tcPr>
          <w:p w14:paraId="097618B2">
            <w:pPr>
              <w:widowControl/>
              <w:spacing w:line="312" w:lineRule="auto"/>
              <w:rPr>
                <w:spacing w:val="8"/>
                <w:szCs w:val="21"/>
              </w:rPr>
            </w:pPr>
            <w:r>
              <w:rPr>
                <w:spacing w:val="8"/>
                <w:szCs w:val="21"/>
              </w:rPr>
              <w:t>57.01</w:t>
            </w:r>
          </w:p>
        </w:tc>
      </w:tr>
      <w:tr w14:paraId="550C6E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tcBorders>
              <w:top w:val="nil"/>
              <w:left w:val="nil"/>
              <w:bottom w:val="nil"/>
              <w:right w:val="nil"/>
            </w:tcBorders>
          </w:tcPr>
          <w:p w14:paraId="198CDB76">
            <w:pPr>
              <w:widowControl/>
              <w:spacing w:line="312" w:lineRule="auto"/>
              <w:rPr>
                <w:spacing w:val="8"/>
                <w:szCs w:val="21"/>
              </w:rPr>
            </w:pPr>
            <w:r>
              <w:t>Right Bypass</w:t>
            </w:r>
            <w:r>
              <w:rPr>
                <w:spacing w:val="8"/>
                <w:szCs w:val="21"/>
              </w:rPr>
              <w:t xml:space="preserve"> 3#</w:t>
            </w:r>
          </w:p>
        </w:tc>
        <w:tc>
          <w:tcPr>
            <w:tcW w:w="236" w:type="dxa"/>
            <w:tcBorders>
              <w:top w:val="nil"/>
              <w:left w:val="nil"/>
              <w:bottom w:val="nil"/>
              <w:right w:val="nil"/>
            </w:tcBorders>
          </w:tcPr>
          <w:p w14:paraId="619833BA">
            <w:pPr>
              <w:widowControl/>
              <w:spacing w:line="312" w:lineRule="auto"/>
              <w:rPr>
                <w:spacing w:val="8"/>
                <w:szCs w:val="21"/>
              </w:rPr>
            </w:pPr>
            <w:r>
              <w:rPr>
                <w:spacing w:val="8"/>
                <w:szCs w:val="21"/>
              </w:rPr>
              <w:t>55</w:t>
            </w:r>
          </w:p>
        </w:tc>
        <w:tc>
          <w:tcPr>
            <w:tcW w:w="765" w:type="dxa"/>
            <w:tcBorders>
              <w:top w:val="nil"/>
              <w:left w:val="nil"/>
              <w:bottom w:val="nil"/>
              <w:right w:val="nil"/>
            </w:tcBorders>
          </w:tcPr>
          <w:p w14:paraId="0823ACF3">
            <w:pPr>
              <w:widowControl/>
              <w:spacing w:line="312" w:lineRule="auto"/>
              <w:rPr>
                <w:spacing w:val="8"/>
                <w:szCs w:val="21"/>
              </w:rPr>
            </w:pPr>
            <w:r>
              <w:rPr>
                <w:spacing w:val="8"/>
                <w:szCs w:val="21"/>
              </w:rPr>
              <w:t>11.51</w:t>
            </w:r>
          </w:p>
        </w:tc>
        <w:tc>
          <w:tcPr>
            <w:tcW w:w="1033" w:type="dxa"/>
            <w:tcBorders>
              <w:top w:val="nil"/>
              <w:left w:val="nil"/>
              <w:bottom w:val="nil"/>
              <w:right w:val="nil"/>
            </w:tcBorders>
          </w:tcPr>
          <w:p w14:paraId="3B7B27AB">
            <w:pPr>
              <w:widowControl/>
              <w:spacing w:line="312" w:lineRule="auto"/>
              <w:rPr>
                <w:spacing w:val="8"/>
                <w:szCs w:val="21"/>
              </w:rPr>
            </w:pPr>
            <w:r>
              <w:rPr>
                <w:spacing w:val="8"/>
                <w:szCs w:val="21"/>
              </w:rPr>
              <w:t>51.82</w:t>
            </w:r>
          </w:p>
        </w:tc>
        <w:tc>
          <w:tcPr>
            <w:tcW w:w="1051" w:type="dxa"/>
            <w:tcBorders>
              <w:top w:val="nil"/>
              <w:left w:val="nil"/>
              <w:bottom w:val="nil"/>
              <w:right w:val="nil"/>
            </w:tcBorders>
          </w:tcPr>
          <w:p w14:paraId="1CA0969A">
            <w:pPr>
              <w:widowControl/>
              <w:spacing w:line="312" w:lineRule="auto"/>
              <w:rPr>
                <w:spacing w:val="8"/>
                <w:szCs w:val="21"/>
              </w:rPr>
            </w:pPr>
            <w:r>
              <w:rPr>
                <w:spacing w:val="8"/>
                <w:szCs w:val="21"/>
              </w:rPr>
              <w:t>586.70</w:t>
            </w:r>
          </w:p>
        </w:tc>
        <w:tc>
          <w:tcPr>
            <w:tcW w:w="1173" w:type="dxa"/>
            <w:tcBorders>
              <w:top w:val="nil"/>
              <w:left w:val="nil"/>
              <w:bottom w:val="nil"/>
              <w:right w:val="nil"/>
            </w:tcBorders>
          </w:tcPr>
          <w:p w14:paraId="3E8A19B0">
            <w:pPr>
              <w:widowControl/>
              <w:spacing w:line="312" w:lineRule="auto"/>
              <w:rPr>
                <w:spacing w:val="8"/>
                <w:szCs w:val="21"/>
              </w:rPr>
            </w:pPr>
            <w:r>
              <w:rPr>
                <w:spacing w:val="8"/>
                <w:szCs w:val="21"/>
              </w:rPr>
              <w:t>0.82</w:t>
            </w:r>
          </w:p>
        </w:tc>
        <w:tc>
          <w:tcPr>
            <w:tcW w:w="1169" w:type="dxa"/>
            <w:tcBorders>
              <w:top w:val="nil"/>
              <w:left w:val="nil"/>
              <w:bottom w:val="nil"/>
              <w:right w:val="nil"/>
            </w:tcBorders>
          </w:tcPr>
          <w:p w14:paraId="730A3883">
            <w:pPr>
              <w:widowControl/>
              <w:spacing w:line="312" w:lineRule="auto"/>
              <w:rPr>
                <w:spacing w:val="8"/>
                <w:szCs w:val="21"/>
              </w:rPr>
            </w:pPr>
            <w:r>
              <w:rPr>
                <w:spacing w:val="8"/>
                <w:szCs w:val="21"/>
              </w:rPr>
              <w:t>143.65</w:t>
            </w:r>
          </w:p>
        </w:tc>
        <w:tc>
          <w:tcPr>
            <w:tcW w:w="837" w:type="dxa"/>
            <w:tcBorders>
              <w:top w:val="nil"/>
              <w:left w:val="nil"/>
              <w:bottom w:val="nil"/>
              <w:right w:val="nil"/>
            </w:tcBorders>
          </w:tcPr>
          <w:p w14:paraId="54BC430E">
            <w:pPr>
              <w:widowControl/>
              <w:spacing w:line="312" w:lineRule="auto"/>
              <w:rPr>
                <w:spacing w:val="8"/>
                <w:szCs w:val="21"/>
              </w:rPr>
            </w:pPr>
            <w:r>
              <w:rPr>
                <w:spacing w:val="8"/>
                <w:szCs w:val="21"/>
              </w:rPr>
              <w:t>1.42</w:t>
            </w:r>
          </w:p>
        </w:tc>
      </w:tr>
      <w:tr w14:paraId="37B692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tcBorders>
              <w:top w:val="nil"/>
              <w:left w:val="nil"/>
              <w:bottom w:val="nil"/>
              <w:right w:val="nil"/>
            </w:tcBorders>
          </w:tcPr>
          <w:p w14:paraId="170B9A64">
            <w:pPr>
              <w:widowControl/>
              <w:spacing w:line="312" w:lineRule="auto"/>
              <w:rPr>
                <w:spacing w:val="8"/>
                <w:szCs w:val="21"/>
              </w:rPr>
            </w:pPr>
            <w:r>
              <w:t>Right Bypass</w:t>
            </w:r>
            <w:r>
              <w:rPr>
                <w:spacing w:val="8"/>
                <w:szCs w:val="21"/>
              </w:rPr>
              <w:t xml:space="preserve"> 2#</w:t>
            </w:r>
          </w:p>
        </w:tc>
        <w:tc>
          <w:tcPr>
            <w:tcW w:w="236" w:type="dxa"/>
            <w:tcBorders>
              <w:top w:val="nil"/>
              <w:left w:val="nil"/>
              <w:bottom w:val="nil"/>
              <w:right w:val="nil"/>
            </w:tcBorders>
          </w:tcPr>
          <w:p w14:paraId="58A844EF">
            <w:pPr>
              <w:widowControl/>
              <w:spacing w:line="312" w:lineRule="auto"/>
              <w:rPr>
                <w:spacing w:val="8"/>
                <w:szCs w:val="21"/>
              </w:rPr>
            </w:pPr>
            <w:r>
              <w:rPr>
                <w:spacing w:val="8"/>
                <w:szCs w:val="21"/>
              </w:rPr>
              <w:t>55</w:t>
            </w:r>
          </w:p>
        </w:tc>
        <w:tc>
          <w:tcPr>
            <w:tcW w:w="765" w:type="dxa"/>
            <w:tcBorders>
              <w:top w:val="nil"/>
              <w:left w:val="nil"/>
              <w:bottom w:val="nil"/>
              <w:right w:val="nil"/>
            </w:tcBorders>
          </w:tcPr>
          <w:p w14:paraId="3CFD6CC9">
            <w:pPr>
              <w:widowControl/>
              <w:spacing w:line="312" w:lineRule="auto"/>
              <w:rPr>
                <w:spacing w:val="8"/>
                <w:szCs w:val="21"/>
              </w:rPr>
            </w:pPr>
            <w:r>
              <w:rPr>
                <w:spacing w:val="8"/>
                <w:szCs w:val="21"/>
              </w:rPr>
              <w:t>8.16</w:t>
            </w:r>
          </w:p>
        </w:tc>
        <w:tc>
          <w:tcPr>
            <w:tcW w:w="1033" w:type="dxa"/>
            <w:tcBorders>
              <w:top w:val="nil"/>
              <w:left w:val="nil"/>
              <w:bottom w:val="nil"/>
              <w:right w:val="nil"/>
            </w:tcBorders>
          </w:tcPr>
          <w:p w14:paraId="0D96880C">
            <w:pPr>
              <w:widowControl/>
              <w:spacing w:line="312" w:lineRule="auto"/>
              <w:rPr>
                <w:spacing w:val="8"/>
                <w:szCs w:val="21"/>
              </w:rPr>
            </w:pPr>
            <w:r>
              <w:rPr>
                <w:spacing w:val="8"/>
                <w:szCs w:val="21"/>
              </w:rPr>
              <w:t>63.06</w:t>
            </w:r>
          </w:p>
        </w:tc>
        <w:tc>
          <w:tcPr>
            <w:tcW w:w="1051" w:type="dxa"/>
            <w:tcBorders>
              <w:top w:val="nil"/>
              <w:left w:val="nil"/>
              <w:bottom w:val="nil"/>
              <w:right w:val="nil"/>
            </w:tcBorders>
          </w:tcPr>
          <w:p w14:paraId="2264C3C5">
            <w:pPr>
              <w:widowControl/>
              <w:spacing w:line="312" w:lineRule="auto"/>
              <w:rPr>
                <w:spacing w:val="8"/>
                <w:szCs w:val="21"/>
              </w:rPr>
            </w:pPr>
            <w:r>
              <w:rPr>
                <w:spacing w:val="8"/>
                <w:szCs w:val="21"/>
              </w:rPr>
              <w:t>561.58</w:t>
            </w:r>
          </w:p>
        </w:tc>
        <w:tc>
          <w:tcPr>
            <w:tcW w:w="1173" w:type="dxa"/>
            <w:tcBorders>
              <w:top w:val="nil"/>
              <w:left w:val="nil"/>
              <w:bottom w:val="nil"/>
              <w:right w:val="nil"/>
            </w:tcBorders>
          </w:tcPr>
          <w:p w14:paraId="0DC42DEA">
            <w:pPr>
              <w:widowControl/>
              <w:spacing w:line="312" w:lineRule="auto"/>
              <w:rPr>
                <w:spacing w:val="8"/>
                <w:szCs w:val="21"/>
              </w:rPr>
            </w:pPr>
            <w:r>
              <w:rPr>
                <w:spacing w:val="8"/>
                <w:szCs w:val="21"/>
              </w:rPr>
              <w:t>5.80</w:t>
            </w:r>
          </w:p>
        </w:tc>
        <w:tc>
          <w:tcPr>
            <w:tcW w:w="1169" w:type="dxa"/>
            <w:tcBorders>
              <w:top w:val="nil"/>
              <w:left w:val="nil"/>
              <w:bottom w:val="nil"/>
              <w:right w:val="nil"/>
            </w:tcBorders>
          </w:tcPr>
          <w:p w14:paraId="2703FD81">
            <w:pPr>
              <w:widowControl/>
              <w:spacing w:line="312" w:lineRule="auto"/>
              <w:rPr>
                <w:spacing w:val="8"/>
                <w:szCs w:val="21"/>
              </w:rPr>
            </w:pPr>
            <w:r>
              <w:rPr>
                <w:spacing w:val="8"/>
                <w:szCs w:val="21"/>
              </w:rPr>
              <w:t>243.33</w:t>
            </w:r>
          </w:p>
        </w:tc>
        <w:tc>
          <w:tcPr>
            <w:tcW w:w="837" w:type="dxa"/>
            <w:tcBorders>
              <w:top w:val="nil"/>
              <w:left w:val="nil"/>
              <w:bottom w:val="nil"/>
              <w:right w:val="nil"/>
            </w:tcBorders>
          </w:tcPr>
          <w:p w14:paraId="5512009A">
            <w:pPr>
              <w:widowControl/>
              <w:spacing w:line="312" w:lineRule="auto"/>
              <w:rPr>
                <w:spacing w:val="8"/>
                <w:szCs w:val="21"/>
              </w:rPr>
            </w:pPr>
            <w:r>
              <w:rPr>
                <w:spacing w:val="8"/>
                <w:szCs w:val="21"/>
              </w:rPr>
              <w:t>1.41</w:t>
            </w:r>
          </w:p>
        </w:tc>
      </w:tr>
      <w:tr w14:paraId="64D4F2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tcBorders>
              <w:top w:val="nil"/>
              <w:left w:val="nil"/>
              <w:bottom w:val="nil"/>
              <w:right w:val="nil"/>
            </w:tcBorders>
          </w:tcPr>
          <w:p w14:paraId="08DEE78E">
            <w:pPr>
              <w:widowControl/>
              <w:spacing w:line="312" w:lineRule="auto"/>
              <w:rPr>
                <w:spacing w:val="-20"/>
                <w:szCs w:val="21"/>
              </w:rPr>
            </w:pPr>
            <w:r>
              <w:t>Right Cable Trench</w:t>
            </w:r>
          </w:p>
        </w:tc>
        <w:tc>
          <w:tcPr>
            <w:tcW w:w="236" w:type="dxa"/>
            <w:tcBorders>
              <w:top w:val="nil"/>
              <w:left w:val="nil"/>
              <w:bottom w:val="nil"/>
              <w:right w:val="nil"/>
            </w:tcBorders>
          </w:tcPr>
          <w:p w14:paraId="6EC5AF3C">
            <w:pPr>
              <w:widowControl/>
              <w:spacing w:line="312" w:lineRule="auto"/>
              <w:rPr>
                <w:spacing w:val="8"/>
                <w:szCs w:val="21"/>
              </w:rPr>
            </w:pPr>
            <w:r>
              <w:rPr>
                <w:spacing w:val="8"/>
                <w:szCs w:val="21"/>
              </w:rPr>
              <w:t>55</w:t>
            </w:r>
          </w:p>
        </w:tc>
        <w:tc>
          <w:tcPr>
            <w:tcW w:w="765" w:type="dxa"/>
            <w:tcBorders>
              <w:top w:val="nil"/>
              <w:left w:val="nil"/>
              <w:bottom w:val="nil"/>
              <w:right w:val="nil"/>
            </w:tcBorders>
          </w:tcPr>
          <w:p w14:paraId="6629DBFE">
            <w:pPr>
              <w:widowControl/>
              <w:spacing w:line="312" w:lineRule="auto"/>
              <w:rPr>
                <w:spacing w:val="8"/>
                <w:szCs w:val="21"/>
              </w:rPr>
            </w:pPr>
            <w:r>
              <w:rPr>
                <w:spacing w:val="8"/>
                <w:szCs w:val="21"/>
              </w:rPr>
              <w:t>7.87</w:t>
            </w:r>
          </w:p>
        </w:tc>
        <w:tc>
          <w:tcPr>
            <w:tcW w:w="1033" w:type="dxa"/>
            <w:tcBorders>
              <w:top w:val="nil"/>
              <w:left w:val="nil"/>
              <w:bottom w:val="nil"/>
              <w:right w:val="nil"/>
            </w:tcBorders>
          </w:tcPr>
          <w:p w14:paraId="2CB26239">
            <w:pPr>
              <w:widowControl/>
              <w:spacing w:line="312" w:lineRule="auto"/>
              <w:rPr>
                <w:spacing w:val="8"/>
                <w:szCs w:val="21"/>
              </w:rPr>
            </w:pPr>
            <w:r>
              <w:rPr>
                <w:spacing w:val="8"/>
                <w:szCs w:val="21"/>
              </w:rPr>
              <w:t>191.09</w:t>
            </w:r>
          </w:p>
        </w:tc>
        <w:tc>
          <w:tcPr>
            <w:tcW w:w="1051" w:type="dxa"/>
            <w:tcBorders>
              <w:top w:val="nil"/>
              <w:left w:val="nil"/>
              <w:bottom w:val="nil"/>
              <w:right w:val="nil"/>
            </w:tcBorders>
          </w:tcPr>
          <w:p w14:paraId="17ED0B15">
            <w:pPr>
              <w:widowControl/>
              <w:spacing w:line="312" w:lineRule="auto"/>
              <w:rPr>
                <w:spacing w:val="8"/>
                <w:szCs w:val="21"/>
              </w:rPr>
            </w:pPr>
            <w:r>
              <w:rPr>
                <w:spacing w:val="8"/>
                <w:szCs w:val="21"/>
              </w:rPr>
              <w:t>1442.36</w:t>
            </w:r>
          </w:p>
        </w:tc>
        <w:tc>
          <w:tcPr>
            <w:tcW w:w="1173" w:type="dxa"/>
            <w:tcBorders>
              <w:top w:val="nil"/>
              <w:left w:val="nil"/>
              <w:bottom w:val="nil"/>
              <w:right w:val="nil"/>
            </w:tcBorders>
          </w:tcPr>
          <w:p w14:paraId="3E803D2E">
            <w:pPr>
              <w:widowControl/>
              <w:spacing w:line="312" w:lineRule="auto"/>
              <w:rPr>
                <w:spacing w:val="8"/>
                <w:szCs w:val="21"/>
              </w:rPr>
            </w:pPr>
            <w:r>
              <w:rPr>
                <w:spacing w:val="8"/>
                <w:szCs w:val="21"/>
              </w:rPr>
              <w:t>6.47</w:t>
            </w:r>
          </w:p>
        </w:tc>
        <w:tc>
          <w:tcPr>
            <w:tcW w:w="1169" w:type="dxa"/>
            <w:tcBorders>
              <w:top w:val="nil"/>
              <w:left w:val="nil"/>
              <w:bottom w:val="nil"/>
              <w:right w:val="nil"/>
            </w:tcBorders>
          </w:tcPr>
          <w:p w14:paraId="4D452034">
            <w:pPr>
              <w:widowControl/>
              <w:spacing w:line="312" w:lineRule="auto"/>
              <w:rPr>
                <w:spacing w:val="8"/>
                <w:szCs w:val="21"/>
              </w:rPr>
            </w:pPr>
            <w:r>
              <w:rPr>
                <w:spacing w:val="8"/>
                <w:szCs w:val="21"/>
              </w:rPr>
              <w:t>831.97</w:t>
            </w:r>
          </w:p>
        </w:tc>
        <w:tc>
          <w:tcPr>
            <w:tcW w:w="837" w:type="dxa"/>
            <w:tcBorders>
              <w:top w:val="nil"/>
              <w:left w:val="nil"/>
              <w:bottom w:val="nil"/>
              <w:right w:val="nil"/>
            </w:tcBorders>
          </w:tcPr>
          <w:p w14:paraId="26634061">
            <w:pPr>
              <w:widowControl/>
              <w:spacing w:line="312" w:lineRule="auto"/>
              <w:rPr>
                <w:spacing w:val="8"/>
                <w:szCs w:val="21"/>
              </w:rPr>
            </w:pPr>
            <w:r>
              <w:rPr>
                <w:spacing w:val="8"/>
                <w:szCs w:val="21"/>
              </w:rPr>
              <w:t>3.32</w:t>
            </w:r>
          </w:p>
        </w:tc>
      </w:tr>
      <w:tr w14:paraId="20F0F0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2" w:type="dxa"/>
            <w:tcBorders>
              <w:top w:val="nil"/>
              <w:left w:val="nil"/>
              <w:bottom w:val="single" w:color="auto" w:sz="12" w:space="0"/>
              <w:right w:val="nil"/>
            </w:tcBorders>
          </w:tcPr>
          <w:p w14:paraId="42228D89">
            <w:pPr>
              <w:widowControl/>
              <w:spacing w:line="312" w:lineRule="auto"/>
              <w:rPr>
                <w:spacing w:val="8"/>
                <w:szCs w:val="21"/>
              </w:rPr>
            </w:pPr>
            <w:r>
              <w:t>Right Bypass</w:t>
            </w:r>
            <w:r>
              <w:rPr>
                <w:spacing w:val="8"/>
                <w:szCs w:val="21"/>
              </w:rPr>
              <w:t xml:space="preserve"> 7#</w:t>
            </w:r>
          </w:p>
        </w:tc>
        <w:tc>
          <w:tcPr>
            <w:tcW w:w="236" w:type="dxa"/>
            <w:tcBorders>
              <w:top w:val="nil"/>
              <w:left w:val="nil"/>
              <w:bottom w:val="single" w:color="auto" w:sz="12" w:space="0"/>
              <w:right w:val="nil"/>
            </w:tcBorders>
          </w:tcPr>
          <w:p w14:paraId="63862CFB">
            <w:pPr>
              <w:widowControl/>
              <w:spacing w:line="312" w:lineRule="auto"/>
              <w:rPr>
                <w:spacing w:val="8"/>
                <w:szCs w:val="21"/>
              </w:rPr>
            </w:pPr>
            <w:r>
              <w:rPr>
                <w:spacing w:val="8"/>
                <w:szCs w:val="21"/>
              </w:rPr>
              <w:t>10</w:t>
            </w:r>
          </w:p>
        </w:tc>
        <w:tc>
          <w:tcPr>
            <w:tcW w:w="765" w:type="dxa"/>
            <w:tcBorders>
              <w:top w:val="nil"/>
              <w:left w:val="nil"/>
              <w:bottom w:val="single" w:color="auto" w:sz="12" w:space="0"/>
              <w:right w:val="nil"/>
            </w:tcBorders>
          </w:tcPr>
          <w:p w14:paraId="7710A565">
            <w:pPr>
              <w:widowControl/>
              <w:spacing w:line="312" w:lineRule="auto"/>
              <w:rPr>
                <w:spacing w:val="8"/>
                <w:szCs w:val="21"/>
              </w:rPr>
            </w:pPr>
            <w:r>
              <w:rPr>
                <w:spacing w:val="8"/>
                <w:szCs w:val="21"/>
              </w:rPr>
              <w:t>7.60</w:t>
            </w:r>
          </w:p>
        </w:tc>
        <w:tc>
          <w:tcPr>
            <w:tcW w:w="1033" w:type="dxa"/>
            <w:tcBorders>
              <w:top w:val="nil"/>
              <w:left w:val="nil"/>
              <w:bottom w:val="single" w:color="auto" w:sz="12" w:space="0"/>
              <w:right w:val="nil"/>
            </w:tcBorders>
          </w:tcPr>
          <w:p w14:paraId="61A5E745">
            <w:pPr>
              <w:widowControl/>
              <w:spacing w:line="312" w:lineRule="auto"/>
              <w:rPr>
                <w:spacing w:val="8"/>
                <w:szCs w:val="21"/>
              </w:rPr>
            </w:pPr>
            <w:r>
              <w:rPr>
                <w:spacing w:val="8"/>
                <w:szCs w:val="21"/>
              </w:rPr>
              <w:t>146.06</w:t>
            </w:r>
          </w:p>
        </w:tc>
        <w:tc>
          <w:tcPr>
            <w:tcW w:w="1051" w:type="dxa"/>
            <w:tcBorders>
              <w:top w:val="nil"/>
              <w:left w:val="nil"/>
              <w:bottom w:val="single" w:color="auto" w:sz="12" w:space="0"/>
              <w:right w:val="nil"/>
            </w:tcBorders>
          </w:tcPr>
          <w:p w14:paraId="7746DA75">
            <w:pPr>
              <w:widowControl/>
              <w:spacing w:line="312" w:lineRule="auto"/>
              <w:rPr>
                <w:spacing w:val="8"/>
                <w:szCs w:val="21"/>
              </w:rPr>
            </w:pPr>
            <w:r>
              <w:rPr>
                <w:spacing w:val="8"/>
                <w:szCs w:val="21"/>
              </w:rPr>
              <w:t>1218.48</w:t>
            </w:r>
          </w:p>
        </w:tc>
        <w:tc>
          <w:tcPr>
            <w:tcW w:w="1173" w:type="dxa"/>
            <w:tcBorders>
              <w:top w:val="nil"/>
              <w:left w:val="nil"/>
              <w:bottom w:val="single" w:color="auto" w:sz="12" w:space="0"/>
              <w:right w:val="nil"/>
            </w:tcBorders>
          </w:tcPr>
          <w:p w14:paraId="76A2BFA1">
            <w:pPr>
              <w:widowControl/>
              <w:spacing w:line="312" w:lineRule="auto"/>
              <w:rPr>
                <w:spacing w:val="8"/>
                <w:szCs w:val="21"/>
              </w:rPr>
            </w:pPr>
            <w:r>
              <w:rPr>
                <w:spacing w:val="8"/>
                <w:szCs w:val="21"/>
              </w:rPr>
              <w:t>4.55</w:t>
            </w:r>
          </w:p>
        </w:tc>
        <w:tc>
          <w:tcPr>
            <w:tcW w:w="1169" w:type="dxa"/>
            <w:tcBorders>
              <w:top w:val="nil"/>
              <w:left w:val="nil"/>
              <w:bottom w:val="single" w:color="auto" w:sz="12" w:space="0"/>
              <w:right w:val="nil"/>
            </w:tcBorders>
          </w:tcPr>
          <w:p w14:paraId="17DBF332">
            <w:pPr>
              <w:widowControl/>
              <w:spacing w:line="312" w:lineRule="auto"/>
              <w:rPr>
                <w:spacing w:val="8"/>
                <w:szCs w:val="21"/>
              </w:rPr>
            </w:pPr>
            <w:r>
              <w:rPr>
                <w:spacing w:val="8"/>
                <w:szCs w:val="21"/>
              </w:rPr>
              <w:t>810.43</w:t>
            </w:r>
          </w:p>
        </w:tc>
        <w:tc>
          <w:tcPr>
            <w:tcW w:w="837" w:type="dxa"/>
            <w:tcBorders>
              <w:top w:val="nil"/>
              <w:left w:val="nil"/>
              <w:bottom w:val="single" w:color="auto" w:sz="12" w:space="0"/>
              <w:right w:val="nil"/>
            </w:tcBorders>
          </w:tcPr>
          <w:p w14:paraId="235CFED3">
            <w:pPr>
              <w:widowControl/>
              <w:spacing w:line="312" w:lineRule="auto"/>
              <w:rPr>
                <w:spacing w:val="8"/>
                <w:szCs w:val="21"/>
              </w:rPr>
            </w:pPr>
            <w:r>
              <w:rPr>
                <w:spacing w:val="8"/>
                <w:szCs w:val="21"/>
              </w:rPr>
              <w:t>2.72</w:t>
            </w:r>
          </w:p>
        </w:tc>
      </w:tr>
    </w:tbl>
    <w:p w14:paraId="64EA51CD">
      <w:pPr>
        <w:pStyle w:val="16"/>
        <w:spacing w:before="31" w:after="31"/>
        <w:ind w:firstLine="480"/>
        <w:rPr>
          <w:rFonts w:hint="eastAsia"/>
          <w:szCs w:val="24"/>
        </w:rPr>
      </w:pPr>
      <w:r>
        <w:rPr>
          <w:szCs w:val="24"/>
        </w:rPr>
        <w:t>After analyzing annual water quality data, it was found that in 1990, the sulfate ion content in groundwater on the left bank slope increased significantly, changing from 600-1500mg/L to 3000-8000mg/L. Groundwater, which was originally non-corrosive to sulfate, became weak to strongly corrosive. In the following years, this indicator remained generally stable in the range of 6000-10000mg/L, sometimes exceeding 10000mg/L, showing strong corrosiveness. The higher the sulfate ion concentration in environmental water and the higher the content of tricalcium aluminate in concrete, the more severe the damage from sulfate erosion.</w:t>
      </w:r>
    </w:p>
    <w:p w14:paraId="5CD4EEB8">
      <w:pPr>
        <w:pStyle w:val="16"/>
        <w:spacing w:before="31" w:after="31"/>
        <w:ind w:firstLine="480"/>
        <w:rPr>
          <w:szCs w:val="24"/>
        </w:rPr>
      </w:pPr>
      <w:r>
        <w:rPr>
          <w:szCs w:val="24"/>
        </w:rPr>
        <w:t>(7) Impact and Harm Caused</w:t>
      </w:r>
    </w:p>
    <w:p w14:paraId="5CA51119">
      <w:pPr>
        <w:pStyle w:val="16"/>
        <w:spacing w:before="31" w:after="31"/>
        <w:ind w:firstLine="480"/>
        <w:rPr>
          <w:szCs w:val="24"/>
        </w:rPr>
      </w:pPr>
      <w:r>
        <w:rPr>
          <w:szCs w:val="24"/>
        </w:rPr>
        <w:t>Due to the leap-like expansion process of sulfate damage to concrete, there may be a period of calm where the concrete volume does not change significantly. However, at some point, the concrete volume will suddenly expand, causing cracking. This is followed by a period of minimal volume change, brewing the potential for a second volume mutation. Although there is no major abnormal change in the dam macroscopically at present, the occurrence of a significant mutation at some point is unknown, posing a potential threat to the safe operation of the dam.</w:t>
      </w:r>
    </w:p>
    <w:p w14:paraId="411EBF66">
      <w:pPr>
        <w:pStyle w:val="16"/>
        <w:spacing w:before="31" w:after="31"/>
        <w:ind w:firstLine="480"/>
        <w:rPr>
          <w:szCs w:val="24"/>
        </w:rPr>
      </w:pPr>
      <w:r>
        <w:rPr>
          <w:szCs w:val="24"/>
        </w:rPr>
        <w:t>(8) Conclusion and Improvement Measures</w:t>
      </w:r>
    </w:p>
    <w:p w14:paraId="14CA9530">
      <w:pPr>
        <w:pStyle w:val="16"/>
        <w:spacing w:before="31" w:after="31"/>
        <w:ind w:firstLine="480"/>
        <w:rPr>
          <w:szCs w:val="24"/>
        </w:rPr>
      </w:pPr>
      <w:r>
        <w:rPr>
          <w:szCs w:val="24"/>
        </w:rPr>
        <w:t>Due to the high sulfate concentration in the groundwater of Bapanxia Hydropower Station, serious sulfate erosion has occurred in the concrete dam.</w:t>
      </w:r>
    </w:p>
    <w:p w14:paraId="732FD843">
      <w:pPr>
        <w:pStyle w:val="16"/>
        <w:spacing w:before="31" w:after="31"/>
        <w:ind w:firstLine="480"/>
        <w:rPr>
          <w:rFonts w:hint="eastAsia" w:eastAsia="宋体"/>
          <w:szCs w:val="24"/>
          <w:lang w:val="en-US" w:eastAsia="zh-CN"/>
        </w:rPr>
      </w:pPr>
      <w:r>
        <w:rPr>
          <w:szCs w:val="24"/>
        </w:rPr>
        <w:t>To address the above issues, the following protective measures are proposed: 1) Strengthen the joints of different curtain bodies, such as re-grouting, eliminate weak seepage areas, and reduce the impact of high-mineralization groundwater on the left bank segment of the riverbed. 2) Since it is not</w:t>
      </w:r>
    </w:p>
    <w:p w14:paraId="2FC73952">
      <w:pPr>
        <w:pStyle w:val="16"/>
        <w:spacing w:before="31" w:after="31"/>
        <w:ind w:firstLine="480"/>
        <w:rPr>
          <w:szCs w:val="24"/>
        </w:rPr>
      </w:pPr>
      <w:r>
        <w:rPr>
          <w:szCs w:val="24"/>
        </w:rPr>
        <w:t>possible to completely cut off the groundwater supply route, strengthen the drainage system while reducing the collection, allowing high-mineralization groundwater to be smoothly discharged without causing accumulation. 3) Utilize reservoir water desalination to improve the drainage curtain's drainage function. If the drainage curtain can drain both the left bank groundwater and the reservoir water, the dilution effect of the reservoir water on the rock mass of the left bank slope will weaken. 4) Remove corroded concrete and reapply reinforced concrete with an added appropriate amount of fly ash. 5) Establish a sound groundwater quality monitoring system. Considering the layout of drainage curtains and impermeable curtains, improve the long-term monitoring network, conduct regular inspections and tests, and remedy any problems promptly.</w:t>
      </w:r>
    </w:p>
    <w:p w14:paraId="18C7BABA">
      <w:pPr>
        <w:pStyle w:val="16"/>
        <w:spacing w:before="31" w:after="31"/>
        <w:ind w:firstLine="480"/>
        <w:rPr>
          <w:szCs w:val="24"/>
        </w:rPr>
      </w:pPr>
    </w:p>
    <w:p w14:paraId="43752630">
      <w:pPr>
        <w:pStyle w:val="16"/>
        <w:spacing w:before="31" w:after="31"/>
        <w:ind w:firstLine="480"/>
        <w:rPr>
          <w:rFonts w:hint="eastAsia"/>
          <w:szCs w:val="24"/>
        </w:rPr>
      </w:pPr>
    </w:p>
    <w:p w14:paraId="43113FA3">
      <w:pPr>
        <w:rPr>
          <w:rFonts w:hint="eastAsia"/>
          <w:lang w:val="en-US" w:eastAsia="zh-CN"/>
        </w:rPr>
      </w:pPr>
      <w:bookmarkStart w:id="3" w:name="_GoBack"/>
      <w:bookmarkEnd w:id="3"/>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A164D">
    <w:pPr>
      <w:pStyle w:val="5"/>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VII</w:t>
    </w:r>
    <w:r>
      <w:rPr>
        <w:kern w:val="0"/>
        <w:sz w:val="21"/>
        <w:szCs w:val="21"/>
      </w:rPr>
      <w:fldChar w:fldCharType="end"/>
    </w:r>
    <w:r>
      <w:rPr>
        <w:kern w:val="0"/>
        <w:sz w:val="21"/>
        <w:szCs w:val="21"/>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9B33D3"/>
    <w:multiLevelType w:val="multilevel"/>
    <w:tmpl w:val="099B33D3"/>
    <w:lvl w:ilvl="0" w:tentative="0">
      <w:start w:val="1"/>
      <w:numFmt w:val="decimal"/>
      <w:pStyle w:val="18"/>
      <w:suff w:val="space"/>
      <w:lvlText w:val="%1"/>
      <w:lvlJc w:val="left"/>
      <w:pPr>
        <w:ind w:left="283" w:hanging="425"/>
      </w:pPr>
      <w:rPr>
        <w:rFonts w:hint="eastAsia"/>
      </w:rPr>
    </w:lvl>
    <w:lvl w:ilvl="1" w:tentative="0">
      <w:start w:val="1"/>
      <w:numFmt w:val="decimal"/>
      <w:pStyle w:val="19"/>
      <w:suff w:val="space"/>
      <w:lvlText w:val="%1.%2"/>
      <w:lvlJc w:val="left"/>
      <w:pPr>
        <w:ind w:left="992" w:hanging="992"/>
      </w:pPr>
      <w:rPr>
        <w:rFonts w:hint="eastAsia"/>
        <w:sz w:val="28"/>
        <w:szCs w:val="28"/>
      </w:rPr>
    </w:lvl>
    <w:lvl w:ilvl="2" w:tentative="0">
      <w:start w:val="1"/>
      <w:numFmt w:val="decimal"/>
      <w:pStyle w:val="21"/>
      <w:suff w:val="space"/>
      <w:lvlText w:val="%1.%2.%3"/>
      <w:lvlJc w:val="left"/>
      <w:pPr>
        <w:ind w:left="2400" w:hanging="2400"/>
      </w:pPr>
      <w:rPr>
        <w:rFonts w:hint="eastAsia"/>
      </w:rPr>
    </w:lvl>
    <w:lvl w:ilvl="3" w:tentative="0">
      <w:start w:val="1"/>
      <w:numFmt w:val="decimal"/>
      <w:lvlText w:val="%1.%2.%3.%4"/>
      <w:lvlJc w:val="left"/>
      <w:pPr>
        <w:tabs>
          <w:tab w:val="left" w:pos="2880"/>
        </w:tabs>
        <w:ind w:left="708" w:hanging="708"/>
      </w:pPr>
      <w:rPr>
        <w:rFonts w:hint="eastAsia"/>
      </w:rPr>
    </w:lvl>
    <w:lvl w:ilvl="4" w:tentative="0">
      <w:start w:val="1"/>
      <w:numFmt w:val="decimal"/>
      <w:lvlText w:val="%1.%2.%3.%4.%5"/>
      <w:lvlJc w:val="left"/>
      <w:pPr>
        <w:tabs>
          <w:tab w:val="left" w:pos="5159"/>
        </w:tabs>
        <w:ind w:left="2409" w:hanging="850"/>
      </w:pPr>
      <w:rPr>
        <w:rFonts w:hint="eastAsia"/>
      </w:rPr>
    </w:lvl>
    <w:lvl w:ilvl="5" w:tentative="0">
      <w:start w:val="1"/>
      <w:numFmt w:val="decimal"/>
      <w:lvlText w:val="%1.%2.%3.%4.%5.%6"/>
      <w:lvlJc w:val="left"/>
      <w:pPr>
        <w:tabs>
          <w:tab w:val="left" w:pos="6304"/>
        </w:tabs>
        <w:ind w:left="3118" w:hanging="1134"/>
      </w:pPr>
      <w:rPr>
        <w:rFonts w:hint="eastAsia"/>
      </w:rPr>
    </w:lvl>
    <w:lvl w:ilvl="6" w:tentative="0">
      <w:start w:val="1"/>
      <w:numFmt w:val="decimal"/>
      <w:lvlText w:val="%1.%2.%3.%4.%5.%6.%7"/>
      <w:lvlJc w:val="left"/>
      <w:pPr>
        <w:tabs>
          <w:tab w:val="left" w:pos="7449"/>
        </w:tabs>
        <w:ind w:left="3685" w:hanging="1276"/>
      </w:pPr>
      <w:rPr>
        <w:rFonts w:hint="eastAsia"/>
      </w:rPr>
    </w:lvl>
    <w:lvl w:ilvl="7" w:tentative="0">
      <w:start w:val="1"/>
      <w:numFmt w:val="decimal"/>
      <w:lvlText w:val="%1.%2.%3.%4.%5.%6.%7.%8"/>
      <w:lvlJc w:val="left"/>
      <w:pPr>
        <w:tabs>
          <w:tab w:val="left" w:pos="8594"/>
        </w:tabs>
        <w:ind w:left="4252" w:hanging="1418"/>
      </w:pPr>
      <w:rPr>
        <w:rFonts w:hint="eastAsia"/>
      </w:rPr>
    </w:lvl>
    <w:lvl w:ilvl="8" w:tentative="0">
      <w:start w:val="1"/>
      <w:numFmt w:val="decimal"/>
      <w:lvlText w:val="%1.%2.%3.%4.%5.%6.%7.%8.%9"/>
      <w:lvlJc w:val="left"/>
      <w:pPr>
        <w:tabs>
          <w:tab w:val="left" w:pos="9380"/>
        </w:tabs>
        <w:ind w:left="4960"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NjNmUwZDk0OGZkNjg5YmNhZTcxMTE0ODZjNWY5MmIifQ=="/>
  </w:docVars>
  <w:rsids>
    <w:rsidRoot w:val="00E37A2B"/>
    <w:rsid w:val="00060538"/>
    <w:rsid w:val="00060A19"/>
    <w:rsid w:val="000D5E1D"/>
    <w:rsid w:val="000D7690"/>
    <w:rsid w:val="000E4EFD"/>
    <w:rsid w:val="001375B9"/>
    <w:rsid w:val="00297E36"/>
    <w:rsid w:val="002E5BCD"/>
    <w:rsid w:val="00345E15"/>
    <w:rsid w:val="00385478"/>
    <w:rsid w:val="00396D27"/>
    <w:rsid w:val="003D2A09"/>
    <w:rsid w:val="003E22BD"/>
    <w:rsid w:val="003E2CF0"/>
    <w:rsid w:val="004015D5"/>
    <w:rsid w:val="00413363"/>
    <w:rsid w:val="005263BD"/>
    <w:rsid w:val="00561166"/>
    <w:rsid w:val="00577017"/>
    <w:rsid w:val="00581B14"/>
    <w:rsid w:val="00591955"/>
    <w:rsid w:val="006000A8"/>
    <w:rsid w:val="00634453"/>
    <w:rsid w:val="0065493A"/>
    <w:rsid w:val="00685282"/>
    <w:rsid w:val="006F2889"/>
    <w:rsid w:val="00744866"/>
    <w:rsid w:val="007800FA"/>
    <w:rsid w:val="00783267"/>
    <w:rsid w:val="007A202B"/>
    <w:rsid w:val="007B2047"/>
    <w:rsid w:val="007D34B0"/>
    <w:rsid w:val="007D44E6"/>
    <w:rsid w:val="00851DC0"/>
    <w:rsid w:val="008530F7"/>
    <w:rsid w:val="00891103"/>
    <w:rsid w:val="00924F65"/>
    <w:rsid w:val="0095559C"/>
    <w:rsid w:val="009747AC"/>
    <w:rsid w:val="009952CF"/>
    <w:rsid w:val="009B4E63"/>
    <w:rsid w:val="009E78A1"/>
    <w:rsid w:val="00A045E8"/>
    <w:rsid w:val="00A05BEC"/>
    <w:rsid w:val="00A07742"/>
    <w:rsid w:val="00A30FFF"/>
    <w:rsid w:val="00A34C05"/>
    <w:rsid w:val="00AC3D88"/>
    <w:rsid w:val="00B414BF"/>
    <w:rsid w:val="00B5341D"/>
    <w:rsid w:val="00C1073C"/>
    <w:rsid w:val="00CB214B"/>
    <w:rsid w:val="00CC3910"/>
    <w:rsid w:val="00CE416E"/>
    <w:rsid w:val="00D27A4B"/>
    <w:rsid w:val="00D63DE0"/>
    <w:rsid w:val="00E37A2B"/>
    <w:rsid w:val="00E609F5"/>
    <w:rsid w:val="00EE3A43"/>
    <w:rsid w:val="00F02A51"/>
    <w:rsid w:val="00F52619"/>
    <w:rsid w:val="00FA4B6C"/>
    <w:rsid w:val="03C36359"/>
    <w:rsid w:val="08117F52"/>
    <w:rsid w:val="0985568D"/>
    <w:rsid w:val="0B4B5CE1"/>
    <w:rsid w:val="0B75579F"/>
    <w:rsid w:val="0BAF2B53"/>
    <w:rsid w:val="1086739B"/>
    <w:rsid w:val="13272331"/>
    <w:rsid w:val="149736F8"/>
    <w:rsid w:val="16BE56D5"/>
    <w:rsid w:val="189B082C"/>
    <w:rsid w:val="199303C6"/>
    <w:rsid w:val="1BCC2910"/>
    <w:rsid w:val="1CD84193"/>
    <w:rsid w:val="1DF002C0"/>
    <w:rsid w:val="1E3F5FC4"/>
    <w:rsid w:val="1E5E381D"/>
    <w:rsid w:val="1F953DF8"/>
    <w:rsid w:val="2024055B"/>
    <w:rsid w:val="206530FE"/>
    <w:rsid w:val="206632F2"/>
    <w:rsid w:val="20A33C26"/>
    <w:rsid w:val="21D55FCA"/>
    <w:rsid w:val="221D0DA7"/>
    <w:rsid w:val="235B30B4"/>
    <w:rsid w:val="243C28D0"/>
    <w:rsid w:val="24723874"/>
    <w:rsid w:val="25B77AC2"/>
    <w:rsid w:val="28153891"/>
    <w:rsid w:val="284A641C"/>
    <w:rsid w:val="298555AB"/>
    <w:rsid w:val="2BF27E1A"/>
    <w:rsid w:val="2C013E0A"/>
    <w:rsid w:val="2D5F3092"/>
    <w:rsid w:val="2E6A4912"/>
    <w:rsid w:val="2F040369"/>
    <w:rsid w:val="2F5A3FAB"/>
    <w:rsid w:val="33595455"/>
    <w:rsid w:val="33AC740B"/>
    <w:rsid w:val="35A700D9"/>
    <w:rsid w:val="36372C24"/>
    <w:rsid w:val="36B61AA0"/>
    <w:rsid w:val="39AE4085"/>
    <w:rsid w:val="3AB331C1"/>
    <w:rsid w:val="3B4D7B21"/>
    <w:rsid w:val="3B777969"/>
    <w:rsid w:val="3C925059"/>
    <w:rsid w:val="3D8D4788"/>
    <w:rsid w:val="400B6D66"/>
    <w:rsid w:val="405E004A"/>
    <w:rsid w:val="40B01FB1"/>
    <w:rsid w:val="41336822"/>
    <w:rsid w:val="41757948"/>
    <w:rsid w:val="41DA54D8"/>
    <w:rsid w:val="42755200"/>
    <w:rsid w:val="45370DA9"/>
    <w:rsid w:val="45783CBB"/>
    <w:rsid w:val="460D086C"/>
    <w:rsid w:val="46110DE0"/>
    <w:rsid w:val="496D0261"/>
    <w:rsid w:val="49885887"/>
    <w:rsid w:val="4A9F0E72"/>
    <w:rsid w:val="4ABC2FE9"/>
    <w:rsid w:val="4C922ACD"/>
    <w:rsid w:val="4FEA2E05"/>
    <w:rsid w:val="50F970EC"/>
    <w:rsid w:val="51C27D36"/>
    <w:rsid w:val="52A77D71"/>
    <w:rsid w:val="52C92E7B"/>
    <w:rsid w:val="52D90E94"/>
    <w:rsid w:val="54BD24B2"/>
    <w:rsid w:val="560A4F3A"/>
    <w:rsid w:val="576F6293"/>
    <w:rsid w:val="588A4303"/>
    <w:rsid w:val="58C009F4"/>
    <w:rsid w:val="593117F2"/>
    <w:rsid w:val="5A087AF9"/>
    <w:rsid w:val="5A6C1BB7"/>
    <w:rsid w:val="5D341EBF"/>
    <w:rsid w:val="5D477C4C"/>
    <w:rsid w:val="5DD07D1F"/>
    <w:rsid w:val="5F102786"/>
    <w:rsid w:val="613E0672"/>
    <w:rsid w:val="62A14052"/>
    <w:rsid w:val="64C4441F"/>
    <w:rsid w:val="675D2A1E"/>
    <w:rsid w:val="68397AE4"/>
    <w:rsid w:val="68A363DF"/>
    <w:rsid w:val="68B12474"/>
    <w:rsid w:val="694D3499"/>
    <w:rsid w:val="69DC6DBD"/>
    <w:rsid w:val="6B0332D4"/>
    <w:rsid w:val="6E69536A"/>
    <w:rsid w:val="6E8326A2"/>
    <w:rsid w:val="6F485C4A"/>
    <w:rsid w:val="6FF050A4"/>
    <w:rsid w:val="70057F0C"/>
    <w:rsid w:val="709F7728"/>
    <w:rsid w:val="72874381"/>
    <w:rsid w:val="72926652"/>
    <w:rsid w:val="73B40DD1"/>
    <w:rsid w:val="74C7146F"/>
    <w:rsid w:val="75574453"/>
    <w:rsid w:val="77F600D5"/>
    <w:rsid w:val="79271D61"/>
    <w:rsid w:val="7A890A30"/>
    <w:rsid w:val="7ABE226C"/>
    <w:rsid w:val="7C152965"/>
    <w:rsid w:val="7C844F25"/>
    <w:rsid w:val="7DE103F1"/>
    <w:rsid w:val="7E492AC2"/>
    <w:rsid w:val="7EC30AC6"/>
    <w:rsid w:val="7F5239C3"/>
    <w:rsid w:val="7FAA04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2">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link w:val="27"/>
    <w:qFormat/>
    <w:uiPriority w:val="0"/>
    <w:pPr>
      <w:pBdr>
        <w:bottom w:val="single" w:color="auto" w:sz="6" w:space="1"/>
      </w:pBdr>
      <w:tabs>
        <w:tab w:val="center" w:pos="4153"/>
        <w:tab w:val="right" w:pos="8306"/>
      </w:tabs>
      <w:snapToGrid w:val="0"/>
      <w:jc w:val="center"/>
    </w:pPr>
    <w:rPr>
      <w:sz w:val="18"/>
      <w:szCs w:val="18"/>
    </w:rPr>
  </w:style>
  <w:style w:type="paragraph" w:styleId="7">
    <w:name w:val="footnote text"/>
    <w:basedOn w:val="1"/>
    <w:link w:val="25"/>
    <w:qFormat/>
    <w:uiPriority w:val="0"/>
    <w:pPr>
      <w:widowControl/>
      <w:jc w:val="left"/>
    </w:pPr>
    <w:rPr>
      <w:rFonts w:asciiTheme="minorHAnsi" w:hAnsiTheme="minorHAnsi" w:eastAsiaTheme="minorEastAsia"/>
      <w:kern w:val="0"/>
      <w:sz w:val="20"/>
      <w:szCs w:val="20"/>
    </w:rPr>
  </w:style>
  <w:style w:type="paragraph" w:styleId="8">
    <w:name w:val="Normal (Web)"/>
    <w:basedOn w:val="1"/>
    <w:qFormat/>
    <w:uiPriority w:val="0"/>
    <w:rPr>
      <w:sz w:val="24"/>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
    <w:name w:val="Light Shading Accent 1"/>
    <w:basedOn w:val="9"/>
    <w:qFormat/>
    <w:uiPriority w:val="60"/>
    <w:rPr>
      <w:rFonts w:asciiTheme="minorHAnsi" w:hAnsiTheme="minorHAnsi" w:eastAsiaTheme="minorEastAsia" w:cstheme="minorBidi"/>
      <w:color w:val="2E54A1" w:themeColor="accent1" w:themeShade="BF"/>
      <w:sz w:val="22"/>
      <w:szCs w:val="22"/>
    </w:rPr>
    <w:tblPr>
      <w:tblBorders>
        <w:top w:val="single" w:color="4874CB" w:themeColor="accent1" w:sz="8" w:space="0"/>
        <w:bottom w:val="single" w:color="4874CB" w:themeColor="accent1" w:sz="8" w:space="0"/>
      </w:tblBorders>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character" w:styleId="13">
    <w:name w:val="Hyperlink"/>
    <w:basedOn w:val="12"/>
    <w:qFormat/>
    <w:uiPriority w:val="0"/>
    <w:rPr>
      <w:color w:val="0000FF"/>
      <w:u w:val="single"/>
    </w:rPr>
  </w:style>
  <w:style w:type="paragraph" w:customStyle="1" w:styleId="14">
    <w:name w:val="其他"/>
    <w:basedOn w:val="1"/>
    <w:qFormat/>
    <w:uiPriority w:val="0"/>
  </w:style>
  <w:style w:type="paragraph" w:customStyle="1" w:styleId="15">
    <w:name w:val="u标题"/>
    <w:basedOn w:val="2"/>
    <w:next w:val="16"/>
    <w:qFormat/>
    <w:uiPriority w:val="0"/>
    <w:pPr>
      <w:jc w:val="center"/>
    </w:pPr>
    <w:rPr>
      <w:rFonts w:eastAsia="黑体"/>
      <w:sz w:val="30"/>
    </w:rPr>
  </w:style>
  <w:style w:type="paragraph" w:customStyle="1" w:styleId="16">
    <w:name w:val="u正文"/>
    <w:basedOn w:val="1"/>
    <w:link w:val="23"/>
    <w:qFormat/>
    <w:uiPriority w:val="0"/>
    <w:pPr>
      <w:spacing w:beforeLines="10" w:afterLines="10" w:line="312" w:lineRule="auto"/>
      <w:ind w:firstLine="200" w:firstLineChars="200"/>
    </w:pPr>
    <w:rPr>
      <w:rFonts w:cs="宋体"/>
      <w:sz w:val="24"/>
      <w:szCs w:val="20"/>
    </w:rPr>
  </w:style>
  <w:style w:type="character" w:customStyle="1" w:styleId="17">
    <w:name w:val="z书脊"/>
    <w:basedOn w:val="12"/>
    <w:qFormat/>
    <w:uiPriority w:val="0"/>
    <w:rPr>
      <w:rFonts w:ascii="Times New Roman" w:hAnsi="Times New Roman" w:eastAsia="宋体"/>
      <w:b/>
      <w:sz w:val="32"/>
    </w:rPr>
  </w:style>
  <w:style w:type="paragraph" w:customStyle="1" w:styleId="18">
    <w:name w:val="u正文1级标题"/>
    <w:basedOn w:val="2"/>
    <w:next w:val="16"/>
    <w:qFormat/>
    <w:uiPriority w:val="0"/>
    <w:pPr>
      <w:pageBreakBefore/>
      <w:numPr>
        <w:ilvl w:val="0"/>
        <w:numId w:val="1"/>
      </w:numPr>
      <w:spacing w:after="340" w:line="312" w:lineRule="auto"/>
    </w:pPr>
    <w:rPr>
      <w:rFonts w:eastAsia="黑体"/>
      <w:sz w:val="30"/>
    </w:rPr>
  </w:style>
  <w:style w:type="paragraph" w:customStyle="1" w:styleId="19">
    <w:name w:val="u正文2级标题"/>
    <w:basedOn w:val="3"/>
    <w:next w:val="16"/>
    <w:qFormat/>
    <w:uiPriority w:val="0"/>
    <w:pPr>
      <w:numPr>
        <w:ilvl w:val="1"/>
        <w:numId w:val="1"/>
      </w:numPr>
      <w:spacing w:line="312" w:lineRule="auto"/>
    </w:pPr>
    <w:rPr>
      <w:rFonts w:ascii="Times New Roman" w:hAnsi="Times New Roman" w:eastAsia="Times New Roman"/>
      <w:sz w:val="28"/>
    </w:rPr>
  </w:style>
  <w:style w:type="paragraph" w:customStyle="1" w:styleId="20">
    <w:name w:val="u表标题"/>
    <w:basedOn w:val="1"/>
    <w:qFormat/>
    <w:uiPriority w:val="0"/>
    <w:pPr>
      <w:spacing w:beforeLines="150" w:afterLines="50" w:line="360" w:lineRule="auto"/>
      <w:jc w:val="center"/>
    </w:pPr>
    <w:rPr>
      <w:rFonts w:eastAsia="黑体"/>
      <w:b/>
    </w:rPr>
  </w:style>
  <w:style w:type="paragraph" w:customStyle="1" w:styleId="21">
    <w:name w:val="u正文3级标题"/>
    <w:basedOn w:val="4"/>
    <w:next w:val="16"/>
    <w:qFormat/>
    <w:uiPriority w:val="0"/>
    <w:pPr>
      <w:numPr>
        <w:ilvl w:val="2"/>
        <w:numId w:val="1"/>
      </w:numPr>
      <w:spacing w:line="312" w:lineRule="auto"/>
    </w:pPr>
    <w:rPr>
      <w:rFonts w:eastAsia="Times New Roman"/>
      <w:sz w:val="28"/>
    </w:rPr>
  </w:style>
  <w:style w:type="paragraph" w:customStyle="1" w:styleId="22">
    <w:name w:val="u图标题"/>
    <w:basedOn w:val="1"/>
    <w:next w:val="16"/>
    <w:qFormat/>
    <w:uiPriority w:val="0"/>
    <w:pPr>
      <w:spacing w:beforeLines="50" w:afterLines="150" w:line="360" w:lineRule="auto"/>
      <w:jc w:val="center"/>
    </w:pPr>
    <w:rPr>
      <w:rFonts w:eastAsia="黑体"/>
      <w:b/>
    </w:rPr>
  </w:style>
  <w:style w:type="character" w:customStyle="1" w:styleId="23">
    <w:name w:val="u正文 Char"/>
    <w:basedOn w:val="12"/>
    <w:link w:val="16"/>
    <w:qFormat/>
    <w:uiPriority w:val="0"/>
    <w:rPr>
      <w:rFonts w:cs="宋体"/>
      <w:kern w:val="2"/>
      <w:sz w:val="24"/>
    </w:rPr>
  </w:style>
  <w:style w:type="paragraph" w:customStyle="1" w:styleId="24">
    <w:name w:val="Decimal Aligned"/>
    <w:basedOn w:val="1"/>
    <w:qFormat/>
    <w:uiPriority w:val="40"/>
    <w:pPr>
      <w:widowControl/>
      <w:tabs>
        <w:tab w:val="decimal" w:pos="360"/>
      </w:tabs>
      <w:spacing w:after="200" w:line="276" w:lineRule="auto"/>
      <w:jc w:val="left"/>
    </w:pPr>
    <w:rPr>
      <w:rFonts w:asciiTheme="minorHAnsi" w:hAnsiTheme="minorHAnsi" w:eastAsiaTheme="minorEastAsia"/>
      <w:kern w:val="0"/>
      <w:sz w:val="22"/>
      <w:szCs w:val="22"/>
    </w:rPr>
  </w:style>
  <w:style w:type="character" w:customStyle="1" w:styleId="25">
    <w:name w:val="脚注文本 字符"/>
    <w:basedOn w:val="12"/>
    <w:link w:val="7"/>
    <w:qFormat/>
    <w:uiPriority w:val="99"/>
    <w:rPr>
      <w:rFonts w:asciiTheme="minorHAnsi" w:hAnsiTheme="minorHAnsi" w:eastAsiaTheme="minorEastAsia"/>
    </w:rPr>
  </w:style>
  <w:style w:type="character" w:customStyle="1" w:styleId="26">
    <w:name w:val="Subtle Emphasis"/>
    <w:basedOn w:val="12"/>
    <w:qFormat/>
    <w:uiPriority w:val="19"/>
    <w:rPr>
      <w:i/>
      <w:iCs/>
    </w:rPr>
  </w:style>
  <w:style w:type="character" w:customStyle="1" w:styleId="27">
    <w:name w:val="页眉 字符"/>
    <w:basedOn w:val="12"/>
    <w:link w:val="6"/>
    <w:qFormat/>
    <w:uiPriority w:val="0"/>
    <w:rPr>
      <w:kern w:val="2"/>
      <w:sz w:val="18"/>
      <w:szCs w:val="18"/>
    </w:rPr>
  </w:style>
  <w:style w:type="paragraph" w:styleId="2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61</Pages>
  <Words>718</Words>
  <Characters>3949</Characters>
  <Lines>5892</Lines>
  <Paragraphs>1659</Paragraphs>
  <TotalTime>17</TotalTime>
  <ScaleCrop>false</ScaleCrop>
  <LinksUpToDate>false</LinksUpToDate>
  <CharactersWithSpaces>4623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2024-01-23T14:15:00Z</dcterms:created>
  <dc:creator>sijie</dc:creator>
  <cp:lastModifiedBy>Chang</cp:lastModifiedBy>
  <dcterms:modified xsi:type="dcterms:W3CDTF">2025-03-03T05:19:28Z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F75D8725ED074AD6BDD41D0F59D81CCA_13</vt:lpwstr>
  </property>
  <property fmtid="{D5CDD505-2E9C-101B-9397-08002B2CF9AE}" pid="4" name="KSOTemplateDocerSaveRecord">
    <vt:lpwstr>eyJoZGlkIjoiY2I5NDQxNTBiMDk3YjQ4NmFkNzBlZmU2NWUxNThmYzMiLCJ1c2VySWQiOiIxMDE2OTQxMzI0In0=</vt:lpwstr>
  </property>
</Properties>
</file>