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81F86">
      <w:pPr>
        <w:pStyle w:val="14"/>
        <w:rPr>
          <w:color w:val="000000"/>
          <w:sz w:val="84"/>
          <w:szCs w:val="84"/>
        </w:rPr>
      </w:pPr>
      <w:bookmarkStart w:id="0" w:name="_Toc533927376"/>
      <w:r>
        <w:rPr>
          <w:color w:val="000000"/>
          <w:sz w:val="84"/>
          <w:szCs w:val="84"/>
        </w:rPr>
        <mc:AlternateContent>
          <mc:Choice Requires="wps">
            <w:drawing>
              <wp:anchor distT="0" distB="0" distL="114300" distR="114300" simplePos="0" relativeHeight="251659264" behindDoc="0" locked="0" layoutInCell="0" allowOverlap="1">
                <wp:simplePos x="0" y="0"/>
                <wp:positionH relativeFrom="column">
                  <wp:posOffset>800100</wp:posOffset>
                </wp:positionH>
                <wp:positionV relativeFrom="paragraph">
                  <wp:posOffset>5213985</wp:posOffset>
                </wp:positionV>
                <wp:extent cx="443230" cy="1720850"/>
                <wp:effectExtent l="0" t="0" r="0" b="0"/>
                <wp:wrapTopAndBottom/>
                <wp:docPr id="3" name="文本框 3"/>
                <wp:cNvGraphicFramePr/>
                <a:graphic xmlns:a="http://schemas.openxmlformats.org/drawingml/2006/main">
                  <a:graphicData uri="http://schemas.microsoft.com/office/word/2010/wordprocessingShape">
                    <wps:wsp>
                      <wps:cNvSpPr txBox="1"/>
                      <wps:spPr>
                        <a:xfrm>
                          <a:off x="0" y="0"/>
                          <a:ext cx="443230" cy="1720850"/>
                        </a:xfrm>
                        <a:prstGeom prst="rect">
                          <a:avLst/>
                        </a:prstGeom>
                        <a:noFill/>
                        <a:ln>
                          <a:noFill/>
                        </a:ln>
                      </wps:spPr>
                      <wps:txbx>
                        <w:txbxContent>
                          <w:p w14:paraId="3000EA6A">
                            <w:pPr>
                              <w:rPr>
                                <w:rStyle w:val="17"/>
                              </w:rPr>
                            </w:pPr>
                          </w:p>
                        </w:txbxContent>
                      </wps:txbx>
                      <wps:bodyPr vert="eaVert" upright="1"/>
                    </wps:wsp>
                  </a:graphicData>
                </a:graphic>
              </wp:anchor>
            </w:drawing>
          </mc:Choice>
          <mc:Fallback>
            <w:pict>
              <v:shape id="_x0000_s1026" o:spid="_x0000_s1026" o:spt="202" type="#_x0000_t202" style="position:absolute;left:0pt;margin-left:63pt;margin-top:410.55pt;height:135.5pt;width:34.9pt;mso-wrap-distance-bottom:0pt;mso-wrap-distance-top:0pt;z-index:251659264;mso-width-relative:page;mso-height-relative:page;" filled="f" stroked="f" coordsize="21600,21600" o:allowincell="f" o:gfxdata="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VrxV1tsAAAAMAQAADwAAAAAAAAABACAAAAAiAAAAZHJzL2Rvd25yZXYueG1sUEsBAhQA&#10;FAAAAAgAh07iQFPSTIa2AQAAXAMAAA4AAAAAAAAAAQAgAAAAKgEAAGRycy9lMm9Eb2MueG1sUEsF&#10;BgAAAAAGAAYAWQEAAFIFAAAAAA==&#10;">
                <v:fill on="f" focussize="0,0"/>
                <v:stroke on="f"/>
                <v:imagedata o:title=""/>
                <o:lock v:ext="edit" aspectratio="f"/>
                <v:textbox style="layout-flow:vertical-ideographic;">
                  <w:txbxContent>
                    <w:p w14:paraId="3000EA6A">
                      <w:pPr>
                        <w:rPr>
                          <w:rStyle w:val="17"/>
                        </w:rPr>
                      </w:pPr>
                    </w:p>
                  </w:txbxContent>
                </v:textbox>
                <w10:wrap type="topAndBottom"/>
              </v:shape>
            </w:pict>
          </mc:Fallback>
        </mc:AlternateContent>
      </w:r>
      <w:r>
        <w:rPr>
          <w:color w:val="000000"/>
          <w:sz w:val="84"/>
          <w:szCs w:val="84"/>
        </w:rPr>
        <mc:AlternateContent>
          <mc:Choice Requires="wps">
            <w:drawing>
              <wp:anchor distT="0" distB="0" distL="114300" distR="114300" simplePos="0" relativeHeight="251660288" behindDoc="0" locked="0" layoutInCell="1" allowOverlap="1">
                <wp:simplePos x="0" y="0"/>
                <wp:positionH relativeFrom="column">
                  <wp:posOffset>1774825</wp:posOffset>
                </wp:positionH>
                <wp:positionV relativeFrom="paragraph">
                  <wp:posOffset>-6221730</wp:posOffset>
                </wp:positionV>
                <wp:extent cx="4308475" cy="1393190"/>
                <wp:effectExtent l="5080" t="4445" r="14605" b="19685"/>
                <wp:wrapNone/>
                <wp:docPr id="2" name="矩形 2"/>
                <wp:cNvGraphicFramePr/>
                <a:graphic xmlns:a="http://schemas.openxmlformats.org/drawingml/2006/main">
                  <a:graphicData uri="http://schemas.microsoft.com/office/word/2010/wordprocessingShape">
                    <wps:wsp>
                      <wps:cNvSpPr/>
                      <wps:spPr>
                        <a:xfrm>
                          <a:off x="0" y="0"/>
                          <a:ext cx="4308475" cy="1393190"/>
                        </a:xfrm>
                        <a:prstGeom prst="rect">
                          <a:avLst/>
                        </a:prstGeom>
                        <a:solidFill>
                          <a:srgbClr val="CCFFFF"/>
                        </a:solidFill>
                        <a:ln w="9525" cap="flat" cmpd="sng">
                          <a:solidFill>
                            <a:srgbClr val="0000FF"/>
                          </a:solidFill>
                          <a:prstDash val="solid"/>
                          <a:miter/>
                          <a:headEnd type="none" w="med" len="med"/>
                          <a:tailEnd type="none" w="med" len="med"/>
                        </a:ln>
                      </wps:spPr>
                      <wps:txbx>
                        <w:txbxContent>
                          <w:p w14:paraId="27B35EA2">
                            <w:r>
                              <w:rPr>
                                <w:rFonts w:hint="eastAsia"/>
                                <w:b/>
                                <w:color w:val="FF0000"/>
                              </w:rPr>
                              <w:t>提示信息：</w:t>
                            </w:r>
                            <w:r>
                              <w:rPr>
                                <w:rFonts w:hint="eastAsia"/>
                              </w:rPr>
                              <w:t>为保证本文中的链接能够使用，请您先将本文件</w:t>
                            </w:r>
                            <w:r>
                              <w:rPr>
                                <w:rFonts w:hint="eastAsia"/>
                                <w:color w:val="FF0000"/>
                              </w:rPr>
                              <w:t>按规定的命名方式命名</w:t>
                            </w:r>
                            <w:r>
                              <w:rPr>
                                <w:rFonts w:hint="eastAsia"/>
                              </w:rPr>
                              <w:t>，并与</w:t>
                            </w:r>
                            <w:bookmarkStart w:id="9" w:name="OLE_LINK1"/>
                            <w:r>
                              <w:rPr>
                                <w:rFonts w:hint="eastAsia"/>
                              </w:rPr>
                              <w:t>“</w:t>
                            </w:r>
                            <w:r>
                              <w:fldChar w:fldCharType="begin"/>
                            </w:r>
                            <w:r>
                              <w:instrText xml:space="preserve"> HYPERLINK "file:///C:\\Users\\lenovo\\Desktop\\USTB博士学位论文规范及论文制作指南.exe" </w:instrText>
                            </w:r>
                            <w:r>
                              <w:fldChar w:fldCharType="separate"/>
                            </w:r>
                            <w:r>
                              <w:rPr>
                                <w:rStyle w:val="13"/>
                                <w:rFonts w:hint="eastAsia"/>
                              </w:rPr>
                              <w:t>USTB博士学位论文规范及论文制作指南.exe</w:t>
                            </w:r>
                            <w:r>
                              <w:rPr>
                                <w:rStyle w:val="13"/>
                                <w:rFonts w:hint="eastAsia"/>
                              </w:rPr>
                              <w:fldChar w:fldCharType="end"/>
                            </w:r>
                            <w:r>
                              <w:rPr>
                                <w:rFonts w:hint="eastAsia"/>
                              </w:rPr>
                              <w:t>”</w:t>
                            </w:r>
                            <w:bookmarkEnd w:id="9"/>
                            <w:r>
                              <w:rPr>
                                <w:rFonts w:hint="eastAsia"/>
                                <w:color w:val="FF0000"/>
                              </w:rPr>
                              <w:t>保存于同一目录。</w:t>
                            </w:r>
                          </w:p>
                          <w:p w14:paraId="27422EDD">
                            <w:pPr>
                              <w:ind w:firstLine="420" w:firstLineChars="200"/>
                            </w:pPr>
                            <w:r>
                              <w:rPr>
                                <w:rFonts w:hint="eastAsia"/>
                                <w:color w:val="0000FF"/>
                                <w:u w:val="single"/>
                              </w:rPr>
                              <w:t>不用此信息时，删除此框</w:t>
                            </w:r>
                            <w:r>
                              <w:rPr>
                                <w:rFonts w:hint="eastAsia"/>
                              </w:rPr>
                              <w:t>。</w:t>
                            </w:r>
                          </w:p>
                          <w:p w14:paraId="310CAF19">
                            <w:r>
                              <w:rPr>
                                <w:rFonts w:hint="eastAsia"/>
                              </w:rPr>
                              <w:t>（鼠标移到此框四边，鼠标变为十字箭头</w:t>
                            </w:r>
                            <w:r>
                              <w:drawing>
                                <wp:inline distT="0" distB="0" distL="114300" distR="114300">
                                  <wp:extent cx="361950" cy="257175"/>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clrChange>
                                              <a:clrFrom>
                                                <a:srgbClr val="FFFFFF"/>
                                              </a:clrFrom>
                                              <a:clrTo>
                                                <a:srgbClr val="FFFFFF">
                                                  <a:alpha val="0"/>
                                                </a:srgbClr>
                                              </a:clrTo>
                                            </a:clrChange>
                                          </a:blip>
                                          <a:stretch>
                                            <a:fillRect/>
                                          </a:stretch>
                                        </pic:blipFill>
                                        <pic:spPr>
                                          <a:xfrm>
                                            <a:off x="0" y="0"/>
                                            <a:ext cx="361950" cy="257175"/>
                                          </a:xfrm>
                                          <a:prstGeom prst="rect">
                                            <a:avLst/>
                                          </a:prstGeom>
                                          <a:noFill/>
                                          <a:ln>
                                            <a:noFill/>
                                          </a:ln>
                                        </pic:spPr>
                                      </pic:pic>
                                    </a:graphicData>
                                  </a:graphic>
                                </wp:inline>
                              </w:drawing>
                            </w:r>
                            <w:r>
                              <w:rPr>
                                <w:rFonts w:hint="eastAsia"/>
                              </w:rPr>
                              <w:t>，点击边框选中此框，然后按Del删除）</w:t>
                            </w:r>
                          </w:p>
                        </w:txbxContent>
                      </wps:txbx>
                      <wps:bodyPr upright="1"/>
                    </wps:wsp>
                  </a:graphicData>
                </a:graphic>
              </wp:anchor>
            </w:drawing>
          </mc:Choice>
          <mc:Fallback>
            <w:pict>
              <v:rect id="_x0000_s1026" o:spid="_x0000_s1026" o:spt="1" style="position:absolute;left:0pt;margin-left:139.75pt;margin-top:-489.9pt;height:109.7pt;width:339.25pt;z-index:251660288;mso-width-relative:page;mso-height-relative:page;" fillcolor="#CCFFFF" filled="t" stroked="t" coordsize="21600,21600" o:gfxdata="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qb3ZL3gAAAA0BAAAPAAAAAAAAAAEAIAAA&#10;ACIAAABkcnMvZG93bnJldi54bWxQSwECFAAUAAAACACHTuJA2x3fRQYCAAAqBAAADgAAAAAAAAAB&#10;ACAAAAAtAQAAZHJzL2Uyb0RvYy54bWxQSwUGAAAAAAYABgBZAQAApQUAAAAA&#10;">
                <v:fill on="t" focussize="0,0"/>
                <v:stroke color="#0000FF" joinstyle="miter"/>
                <v:imagedata o:title=""/>
                <o:lock v:ext="edit" aspectratio="f"/>
                <v:textbox>
                  <w:txbxContent>
                    <w:p w14:paraId="27B35EA2">
                      <w:r>
                        <w:rPr>
                          <w:rFonts w:hint="eastAsia"/>
                          <w:b/>
                          <w:color w:val="FF0000"/>
                        </w:rPr>
                        <w:t>提示信息：</w:t>
                      </w:r>
                      <w:r>
                        <w:rPr>
                          <w:rFonts w:hint="eastAsia"/>
                        </w:rPr>
                        <w:t>为保证本文中的链接能够使用，请您先将本文件</w:t>
                      </w:r>
                      <w:r>
                        <w:rPr>
                          <w:rFonts w:hint="eastAsia"/>
                          <w:color w:val="FF0000"/>
                        </w:rPr>
                        <w:t>按规定的命名方式命名</w:t>
                      </w:r>
                      <w:r>
                        <w:rPr>
                          <w:rFonts w:hint="eastAsia"/>
                        </w:rPr>
                        <w:t>，并与</w:t>
                      </w:r>
                      <w:bookmarkStart w:id="9" w:name="OLE_LINK1"/>
                      <w:r>
                        <w:rPr>
                          <w:rFonts w:hint="eastAsia"/>
                        </w:rPr>
                        <w:t>“</w:t>
                      </w:r>
                      <w:r>
                        <w:fldChar w:fldCharType="begin"/>
                      </w:r>
                      <w:r>
                        <w:instrText xml:space="preserve"> HYPERLINK "file:///C:\\Users\\lenovo\\Desktop\\USTB博士学位论文规范及论文制作指南.exe" </w:instrText>
                      </w:r>
                      <w:r>
                        <w:fldChar w:fldCharType="separate"/>
                      </w:r>
                      <w:r>
                        <w:rPr>
                          <w:rStyle w:val="13"/>
                          <w:rFonts w:hint="eastAsia"/>
                        </w:rPr>
                        <w:t>USTB博士学位论文规范及论文制作指南.exe</w:t>
                      </w:r>
                      <w:r>
                        <w:rPr>
                          <w:rStyle w:val="13"/>
                          <w:rFonts w:hint="eastAsia"/>
                        </w:rPr>
                        <w:fldChar w:fldCharType="end"/>
                      </w:r>
                      <w:r>
                        <w:rPr>
                          <w:rFonts w:hint="eastAsia"/>
                        </w:rPr>
                        <w:t>”</w:t>
                      </w:r>
                      <w:bookmarkEnd w:id="9"/>
                      <w:r>
                        <w:rPr>
                          <w:rFonts w:hint="eastAsia"/>
                          <w:color w:val="FF0000"/>
                        </w:rPr>
                        <w:t>保存于同一目录。</w:t>
                      </w:r>
                    </w:p>
                    <w:p w14:paraId="27422EDD">
                      <w:pPr>
                        <w:ind w:firstLine="420" w:firstLineChars="200"/>
                      </w:pPr>
                      <w:r>
                        <w:rPr>
                          <w:rFonts w:hint="eastAsia"/>
                          <w:color w:val="0000FF"/>
                          <w:u w:val="single"/>
                        </w:rPr>
                        <w:t>不用此信息时，删除此框</w:t>
                      </w:r>
                      <w:r>
                        <w:rPr>
                          <w:rFonts w:hint="eastAsia"/>
                        </w:rPr>
                        <w:t>。</w:t>
                      </w:r>
                    </w:p>
                    <w:p w14:paraId="310CAF19">
                      <w:r>
                        <w:rPr>
                          <w:rFonts w:hint="eastAsia"/>
                        </w:rPr>
                        <w:t>（鼠标移到此框四边，鼠标变为十字箭头</w:t>
                      </w:r>
                      <w:r>
                        <w:drawing>
                          <wp:inline distT="0" distB="0" distL="114300" distR="114300">
                            <wp:extent cx="361950" cy="257175"/>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clrChange>
                                        <a:clrFrom>
                                          <a:srgbClr val="FFFFFF"/>
                                        </a:clrFrom>
                                        <a:clrTo>
                                          <a:srgbClr val="FFFFFF">
                                            <a:alpha val="0"/>
                                          </a:srgbClr>
                                        </a:clrTo>
                                      </a:clrChange>
                                    </a:blip>
                                    <a:stretch>
                                      <a:fillRect/>
                                    </a:stretch>
                                  </pic:blipFill>
                                  <pic:spPr>
                                    <a:xfrm>
                                      <a:off x="0" y="0"/>
                                      <a:ext cx="361950" cy="257175"/>
                                    </a:xfrm>
                                    <a:prstGeom prst="rect">
                                      <a:avLst/>
                                    </a:prstGeom>
                                    <a:noFill/>
                                    <a:ln>
                                      <a:noFill/>
                                    </a:ln>
                                  </pic:spPr>
                                </pic:pic>
                              </a:graphicData>
                            </a:graphic>
                          </wp:inline>
                        </w:drawing>
                      </w:r>
                      <w:r>
                        <w:rPr>
                          <w:rFonts w:hint="eastAsia"/>
                        </w:rPr>
                        <w:t>，点击边框选中此框，然后按Del删除）</w:t>
                      </w:r>
                    </w:p>
                  </w:txbxContent>
                </v:textbox>
              </v:rect>
            </w:pict>
          </mc:Fallback>
        </mc:AlternateContent>
      </w:r>
    </w:p>
    <w:bookmarkEnd w:id="0"/>
    <w:p w14:paraId="264A7D9D">
      <w:pPr>
        <w:pStyle w:val="15"/>
        <w:rPr>
          <w:rFonts w:hint="eastAsia"/>
          <w:color w:val="000000"/>
          <w:sz w:val="84"/>
          <w:szCs w:val="84"/>
        </w:rPr>
      </w:pPr>
      <w:r>
        <w:rPr>
          <w:rFonts w:hint="eastAsia"/>
          <w:color w:val="000000"/>
          <w:sz w:val="84"/>
          <w:szCs w:val="84"/>
        </w:rPr>
        <w:t>Failure accident investigation report</w:t>
      </w:r>
    </w:p>
    <w:p w14:paraId="6A666742">
      <w:pPr>
        <w:pStyle w:val="16"/>
      </w:pPr>
    </w:p>
    <w:p w14:paraId="12C1A77C">
      <w:pPr>
        <w:rPr>
          <w:color w:val="000000"/>
        </w:rPr>
      </w:pPr>
    </w:p>
    <w:p w14:paraId="0201FB74">
      <w:pPr>
        <w:pStyle w:val="15"/>
        <w:rPr>
          <w:color w:val="000000"/>
        </w:rPr>
        <w:sectPr>
          <w:footerReference r:id="rId3" w:type="default"/>
          <w:pgSz w:w="11906" w:h="16838"/>
          <w:pgMar w:top="1701" w:right="1701" w:bottom="1134" w:left="1701" w:header="851" w:footer="992" w:gutter="567"/>
          <w:pgNumType w:fmt="upperRoman" w:start="1"/>
          <w:cols w:space="425" w:num="1"/>
          <w:docGrid w:linePitch="312" w:charSpace="0"/>
        </w:sectPr>
      </w:pPr>
      <w:bookmarkStart w:id="1" w:name="_Toc533927359"/>
    </w:p>
    <w:bookmarkEnd w:id="1"/>
    <w:p w14:paraId="67E691EF">
      <w:pPr>
        <w:rPr>
          <w:sz w:val="24"/>
        </w:rPr>
      </w:pPr>
      <w:r>
        <w:rPr>
          <w:rFonts w:hint="eastAsia"/>
          <w:sz w:val="24"/>
        </w:rPr>
        <w:t>0 Introduction</w:t>
      </w:r>
    </w:p>
    <w:p w14:paraId="13795FE9">
      <w:pPr>
        <w:rPr>
          <w:sz w:val="24"/>
        </w:rPr>
      </w:pPr>
    </w:p>
    <w:p w14:paraId="32611834">
      <w:pPr>
        <w:ind w:firstLine="420"/>
        <w:rPr>
          <w:sz w:val="24"/>
        </w:rPr>
      </w:pPr>
      <w:r>
        <w:rPr>
          <w:rFonts w:hint="eastAsia"/>
          <w:sz w:val="24"/>
        </w:rPr>
        <w:t>As is well known, engineering materials and structures (components) often experience failure during service due to factors such as corrosion, wear, and fracture, leading to significant and catastrophic accidents, resulting in enormous economic losses. Statistics indicate that the annual global economic losses caused by corrosion of engineering materials and structures (components) are approximately $1 trillion, accounting for 2-4% of the GDP of various countries. The 2002 "Investigation and Countermeasures for Corrosion Problems in Chinese Industry and Natural Environment" report pointed out that the annual direct and indirect economic losses caused by corrosion in China alone exceed ¥490 billion, accounting for about 5% of the country's GDP.In 1986 and 2003, the U.S. space shuttles Challenger and Columbia experienced disasters due to the failure of the right booster rocket O-ring and damage to the left wing leading-edge thermal protection component, resulting in the deaths of 14 astronauts. In 2004, the conventional island of Unit 3 at the Mihama Nuclear Power Station in Japan suffered severe erosion due to unstable flow rates, leading to a steam pipe explosion, causing 4 deaths and 7 injuries, causing extreme panic in Japanese society. In 1998, the Xi'an Liquefied Petroleum Gas Station tank area experienced a liquefied gas leakage and explosion accident due to the mechanical failure of the discharge valve flange, resulting in the deaths of 13 firefighters and employees, and over 30 injuries. Therefore, ensuring the safe and reliable operation of major engineering materials and structures (components), achieving comprehensive corrosion control with advanced technology, reducing economic losses, conserving energy resources, and protecting the environment have become important measures to promote the sustainable development of the national economy and society.</w:t>
      </w:r>
    </w:p>
    <w:p w14:paraId="51EA6353">
      <w:pPr>
        <w:rPr>
          <w:sz w:val="24"/>
        </w:rPr>
      </w:pPr>
    </w:p>
    <w:p w14:paraId="27F1383A">
      <w:pPr>
        <w:ind w:firstLine="420"/>
        <w:rPr>
          <w:sz w:val="24"/>
        </w:rPr>
      </w:pPr>
      <w:r>
        <w:rPr>
          <w:rFonts w:hint="eastAsia"/>
          <w:sz w:val="24"/>
        </w:rPr>
        <w:t>Domestic and international practices have shown that strengthening the collection, exploration, and timely revision of basic data such as in-service data, risk data, and standard data related to the failure of engineering materials and structures (components) is a fundamental approach to mitigate the failure of engineering structures and materials, reduce safety accidents, and minimize economic losses. For example, Oak Ridge and Argonne National Laboratories in the United States, as well as the French Institute for Materials Research (FAMAT) conducted extensive tracking investigations, case analyses, and data mining of the operational conditions of numerous nuclear power plants. Based on this, they revised nuclear design standards such as ASME SECTION 3, providing crucial technical support for the research, safe operation, and life extension assessment of 3rd and 4th generation reactors. This, in turn, provided scientific justification for the decision to extend the operational lifespan of some U.S. nuclear power plants from 40 to 60 years, creating significant social and economic benefits. The National Institute for Materials Science (NIMS) in Japan, addressing the high-temperature creep issues faced by (ultra) supercritical thermal power plants during operation, conducted continuous high-temperature creep tests over a thirty-year period, accumulating a wealth of experimental data. This effort led to the establishment of a series of design standards and safety assessment criteria, actively promoting the construction and development of (ultra) supercritical thermal power plants in Japan, ensuring the safe operation of (ultra) supercritical thermal power units.</w:t>
      </w:r>
    </w:p>
    <w:p w14:paraId="6C06D113">
      <w:pPr>
        <w:ind w:firstLine="420"/>
        <w:rPr>
          <w:sz w:val="24"/>
        </w:rPr>
      </w:pPr>
    </w:p>
    <w:p w14:paraId="5C8FB518">
      <w:pPr>
        <w:ind w:firstLine="420"/>
        <w:rPr>
          <w:sz w:val="24"/>
        </w:rPr>
      </w:pPr>
      <w:r>
        <w:rPr>
          <w:rFonts w:hint="eastAsia"/>
          <w:sz w:val="24"/>
        </w:rPr>
        <w:t>In recent years, with the progress of technology and rapid economic development in China, the field of research on the in-service safety of engineering structures and materials has exposed a series of problems. Currently, a multitude of major projects, such as strategic crude oil reserves, long-distance transnational oil pipelines, high-sulfur oil and gas field development and transportation, large-scale nuclear power construction, (ultra) supercritical thermal power units, high-speed heavy-load railroads, Three Gorges Dam, manned spaceflight, and deep-sea exploration, have been successively constructed and put into operation. However, the existing in-service safety data and related technical standards in China are inadequate to adapt to the new characteristics of these in-service structures and materials, making it challenging to meet the design, construction, and safety service needs of major projects. The main issues include: 1) incomplete characterization data for in-service safety; 2) poor availability of some engineering data; 3) basic blank spaces in risk data. These problems not only reflect the shortcomings of data work but also directly result in the inadequacy of safety service technical standards in China, such as material selection standards, design specifications, usage condition control standards, and safety assessment methods. These standards are found to be incomplete and inapplicable in engineering applications. It highlights the insufficient understanding of the usage conditions and environments of engineering structures and materials in China's current design, research, and usage practices, leading to incorrect device designs and ineffective assessments of device lifespans. This situation seriously affects the scientific and reliable aspects of the design, construction, and safety service of major engineering projects, creating significant safety hazards and causing numerous failure accidents.</w:t>
      </w:r>
    </w:p>
    <w:p w14:paraId="102348D7">
      <w:pPr>
        <w:ind w:firstLine="420"/>
        <w:rPr>
          <w:sz w:val="24"/>
        </w:rPr>
      </w:pPr>
    </w:p>
    <w:p w14:paraId="34AE21E5">
      <w:pPr>
        <w:ind w:firstLine="420"/>
        <w:rPr>
          <w:sz w:val="24"/>
        </w:rPr>
      </w:pPr>
      <w:r>
        <w:rPr>
          <w:rFonts w:hint="eastAsia"/>
          <w:sz w:val="24"/>
        </w:rPr>
        <w:t>Therefore, as China's national economy develops and overall strength improves, it is necessary to select major industries such as petroleum and petrochemicals, nuclear power/thermal power, transportation, hydraulic engineering, marine engineering, aerospace, equipment manufacturing, energy engineering, and infrastructure, which are crucial to national well-being. Investigation into major engineering structure and material failure accidents should be conducted, analyzing the essential causes of engineering structure and material failure and the resulting engineering accidents. This involves cultivating and enhancing the ability to analyze the failure of engineering structures and materials. Based on the comprehensive results of failure accident investigations, it is essential to determine the types and framework of data that can adequately characterize material performance, environmental factors, structural characteristics, failure processes, and risk analysis related to engineering structure and material failure accidents. Subsequently, targeted investigations should be carried out around issues such as frequent and harmful failures of engineering structures and material failures, as well as characterization parameters such as damage tolerance, ultimate loads, and extreme environments. This aims to develop safety service technical standards, including material selection standards, design specifications, usage condition control standards, and safety assessment methods. These investigations will help understand the demand for new technical standards in the development of engineering construction, as well as the inapplicability of current technical standards in engineering applications. The ultimate goal is to provide strong scientific support for ensuring the safety, reliability, and economic longevity of major engineering structures and materials, achieving comprehensive corrosion control with advanced technology, and reducing economic losses.</w:t>
      </w:r>
    </w:p>
    <w:p w14:paraId="1757141A">
      <w:pPr>
        <w:rPr>
          <w:sz w:val="24"/>
        </w:rPr>
      </w:pPr>
      <w:r>
        <w:rPr>
          <w:rFonts w:hint="eastAsia"/>
          <w:sz w:val="24"/>
        </w:rPr>
        <w:br w:type="page"/>
      </w:r>
    </w:p>
    <w:p w14:paraId="02AAEEFC">
      <w:pPr>
        <w:pStyle w:val="18"/>
        <w:numPr>
          <w:ilvl w:val="0"/>
          <w:numId w:val="0"/>
        </w:numPr>
        <w:rPr>
          <w:color w:val="000000"/>
        </w:rPr>
      </w:pPr>
      <w:r>
        <w:rPr>
          <w:rFonts w:hint="eastAsia"/>
          <w:color w:val="000000"/>
        </w:rPr>
        <w:t>1 Overview of the Main Work Content and Results</w:t>
      </w:r>
    </w:p>
    <w:p w14:paraId="729EDC3C">
      <w:pPr>
        <w:rPr>
          <w:sz w:val="24"/>
        </w:rPr>
      </w:pPr>
    </w:p>
    <w:p w14:paraId="5373EDD2">
      <w:pPr>
        <w:pStyle w:val="19"/>
        <w:numPr>
          <w:ilvl w:val="1"/>
          <w:numId w:val="0"/>
        </w:numPr>
        <w:rPr>
          <w:rFonts w:eastAsia="宋体"/>
          <w:color w:val="000000"/>
        </w:rPr>
      </w:pPr>
      <w:r>
        <w:rPr>
          <w:rFonts w:hint="eastAsia" w:eastAsia="宋体"/>
          <w:color w:val="000000"/>
        </w:rPr>
        <w:t>1.1 Main Work Content and Approaches</w:t>
      </w:r>
    </w:p>
    <w:p w14:paraId="21778428">
      <w:pPr>
        <w:rPr>
          <w:sz w:val="24"/>
        </w:rPr>
      </w:pPr>
    </w:p>
    <w:p w14:paraId="0115B778">
      <w:pPr>
        <w:ind w:firstLine="420"/>
        <w:rPr>
          <w:sz w:val="24"/>
        </w:rPr>
      </w:pPr>
      <w:r>
        <w:rPr>
          <w:rFonts w:hint="eastAsia"/>
          <w:sz w:val="24"/>
        </w:rPr>
        <w:t>This research report primarily focuses on the investigation of major engineering material and structural (component) failure accidents in nine industry sectors: petroleum and petrochemicals, nuclear power/thermal power, marine engineering, energy engineering, infrastructure, aerospace, transportation, equipment manufacturing, and hydraulic engineering. Through the statistical analysis of failure accidents in each industry, the report aims to determine the essential causes of engineering material and structural failures, the types of failures, failure mechanisms, and proposed solutions. Simultaneously, it explores the shortcomings in the current methods of failure accident investigation. This investigation lays a solid foundation for the establishment and improvement of material selection standards, design specifications, and safety assessment methods, forming safety service technical standards regarding engineering structures and materials.</w:t>
      </w:r>
    </w:p>
    <w:p w14:paraId="392C2E44">
      <w:pPr>
        <w:rPr>
          <w:sz w:val="24"/>
        </w:rPr>
      </w:pPr>
    </w:p>
    <w:p w14:paraId="6EF7BEF8">
      <w:pPr>
        <w:ind w:firstLine="420"/>
        <w:rPr>
          <w:sz w:val="24"/>
        </w:rPr>
      </w:pPr>
      <w:r>
        <w:rPr>
          <w:rFonts w:hint="eastAsia"/>
          <w:sz w:val="24"/>
        </w:rPr>
        <w:t>For a complete failure accident case, it should encompass the in-service environment, material characteristics, failure morphology, failure causes, conclusions, and improvement measures related to the failed material or component. Meeting these criteria qualifies it as a typical failure accident case; otherwise, it is considered an ordinary case. In the investigation of failure accidents in various industries, the cases are categorized into typical and ordinary based on the investigation results.</w:t>
      </w:r>
    </w:p>
    <w:p w14:paraId="31661459">
      <w:pPr>
        <w:rPr>
          <w:sz w:val="24"/>
        </w:rPr>
      </w:pPr>
    </w:p>
    <w:p w14:paraId="342775AC">
      <w:pPr>
        <w:ind w:firstLine="420"/>
        <w:rPr>
          <w:sz w:val="24"/>
        </w:rPr>
      </w:pPr>
      <w:r>
        <w:rPr>
          <w:rFonts w:hint="eastAsia"/>
          <w:sz w:val="24"/>
        </w:rPr>
        <w:t>The content of this research report is primarily obtained through literature/reports/standards retrieval, on-site investigations, expert consultations, and other methods.</w:t>
      </w:r>
    </w:p>
    <w:p w14:paraId="68DA0B11">
      <w:pPr>
        <w:rPr>
          <w:sz w:val="24"/>
        </w:rPr>
      </w:pPr>
    </w:p>
    <w:p w14:paraId="0FE7853D">
      <w:pPr>
        <w:pStyle w:val="19"/>
        <w:numPr>
          <w:ilvl w:val="1"/>
          <w:numId w:val="0"/>
        </w:numPr>
        <w:rPr>
          <w:rFonts w:eastAsia="宋体"/>
          <w:color w:val="000000"/>
        </w:rPr>
      </w:pPr>
      <w:r>
        <w:rPr>
          <w:rFonts w:hint="eastAsia" w:eastAsia="宋体"/>
          <w:color w:val="000000"/>
        </w:rPr>
        <w:t>1.2 Project Achievements Overview</w:t>
      </w:r>
    </w:p>
    <w:p w14:paraId="3FEF2484">
      <w:pPr>
        <w:rPr>
          <w:sz w:val="24"/>
        </w:rPr>
      </w:pPr>
    </w:p>
    <w:p w14:paraId="5458AE00">
      <w:pPr>
        <w:ind w:firstLine="420"/>
        <w:rPr>
          <w:sz w:val="24"/>
        </w:rPr>
      </w:pPr>
      <w:r>
        <w:rPr>
          <w:rFonts w:hint="eastAsia"/>
          <w:sz w:val="24"/>
        </w:rPr>
        <w:t>This research report, targeting nine industry sectors, has conducted investigations into major engineering material and structural failure accidents. It has collected 39 failure cases in the petroleum and petrochemical industry, 58 cases in nuclear power/thermal power, 8 cases in marine engineering, 18 cases in energy engineering, 8 cases in infrastructure, 21 cases in aerospace, 8 cases in transportation, 9 cases in equipment manufacturing, and 10 cases in hydraulic engineering, totaling 179 failure cases. Through the analysis of failure cases in various industries, the report has summarized some common issues in the analysis of failure accident cases across industries: 1) issues of case completeness; 2) lack of critical influencing factors, such as quantitative descriptions and characterization data of in-service environmental factors; 3) absence of standardized or systemic solutions for failure accidents; 4) failure causes not being reflected in the applicability of standards.</w:t>
      </w:r>
    </w:p>
    <w:p w14:paraId="69180BDE">
      <w:pPr>
        <w:rPr>
          <w:sz w:val="24"/>
        </w:rPr>
      </w:pPr>
    </w:p>
    <w:p w14:paraId="5A8C23A1">
      <w:pPr>
        <w:pStyle w:val="19"/>
        <w:numPr>
          <w:ilvl w:val="1"/>
          <w:numId w:val="0"/>
        </w:numPr>
        <w:rPr>
          <w:rFonts w:eastAsia="宋体"/>
          <w:color w:val="000000"/>
        </w:rPr>
      </w:pPr>
      <w:r>
        <w:rPr>
          <w:rFonts w:hint="eastAsia" w:eastAsia="宋体"/>
          <w:color w:val="000000"/>
        </w:rPr>
        <w:t>1.3 Issues in Project Progress</w:t>
      </w:r>
    </w:p>
    <w:p w14:paraId="4D3FCB7A">
      <w:pPr>
        <w:rPr>
          <w:sz w:val="24"/>
        </w:rPr>
      </w:pPr>
    </w:p>
    <w:p w14:paraId="236DE80E">
      <w:pPr>
        <w:ind w:firstLine="420"/>
        <w:rPr>
          <w:sz w:val="24"/>
        </w:rPr>
      </w:pPr>
      <w:r>
        <w:rPr>
          <w:rFonts w:hint="eastAsia"/>
          <w:sz w:val="24"/>
        </w:rPr>
        <w:t>Several issues have been identified during the project implementation:</w:t>
      </w:r>
    </w:p>
    <w:p w14:paraId="4A6C27AB">
      <w:pPr>
        <w:rPr>
          <w:sz w:val="24"/>
        </w:rPr>
      </w:pPr>
    </w:p>
    <w:p w14:paraId="323AA902">
      <w:pPr>
        <w:ind w:firstLine="420"/>
        <w:rPr>
          <w:sz w:val="24"/>
        </w:rPr>
      </w:pPr>
      <w:r>
        <w:rPr>
          <w:rFonts w:hint="eastAsia"/>
          <w:sz w:val="24"/>
        </w:rPr>
        <w:t>1) Due to the primary reliance on failure cases provided by collaborating units and literature/report retrieval for the investigation, insufficient first-hand on-site information results in suboptimal quality of photographic materials and limited audiovisual data in failure investigations.</w:t>
      </w:r>
    </w:p>
    <w:p w14:paraId="0F727C0F">
      <w:pPr>
        <w:ind w:firstLine="420"/>
        <w:rPr>
          <w:sz w:val="24"/>
        </w:rPr>
      </w:pPr>
      <w:r>
        <w:rPr>
          <w:rFonts w:hint="eastAsia"/>
          <w:sz w:val="24"/>
        </w:rPr>
        <w:t>2) Most investigated cases exhibit completeness issues, often lacking quantitative characterization and improvement measures for critical factors influencing accidents. This makes them insufficient for forming effective case references, and the credibility of data sharing is not ideal. For instance, most cases only qualitatively describe the in-service environment of failed materials or structures (components), lacking quantitative characterization, and fail to propose "threshold values" for various influencing factors in that service environment. Information on material preparation and processing history is often lacking, making it challenging to trace the root causes of accidents if failure occurs due to material properties.</w:t>
      </w:r>
    </w:p>
    <w:p w14:paraId="360E061E">
      <w:pPr>
        <w:ind w:firstLine="420"/>
        <w:rPr>
          <w:sz w:val="24"/>
        </w:rPr>
      </w:pPr>
      <w:r>
        <w:rPr>
          <w:rFonts w:hint="eastAsia"/>
          <w:sz w:val="24"/>
        </w:rPr>
        <w:t>3) It is crucial to note that, due to confidentiality, security, intellectual property, and other issues in certain industries, there is a lack of failure accident cases for critical components or parts in some sectors. This results in incomplete coverage and insufficient information for failure investigations in certain specialized industries.</w:t>
      </w:r>
    </w:p>
    <w:p w14:paraId="530D8F5A">
      <w:pPr>
        <w:rPr>
          <w:sz w:val="24"/>
        </w:rPr>
      </w:pPr>
      <w:r>
        <w:rPr>
          <w:rFonts w:hint="eastAsia"/>
          <w:sz w:val="24"/>
        </w:rPr>
        <w:br w:type="page"/>
      </w:r>
    </w:p>
    <w:p w14:paraId="4A416376">
      <w:pPr>
        <w:pStyle w:val="18"/>
        <w:numPr>
          <w:ilvl w:val="0"/>
          <w:numId w:val="0"/>
        </w:numPr>
        <w:rPr>
          <w:color w:val="000000"/>
        </w:rPr>
      </w:pPr>
      <w:r>
        <w:rPr>
          <w:rFonts w:hint="eastAsia"/>
          <w:color w:val="000000"/>
        </w:rPr>
        <w:t>2 Failure Cases in the Petroleum and Petrochemical Industry</w:t>
      </w:r>
    </w:p>
    <w:p w14:paraId="499171B2">
      <w:pPr>
        <w:ind w:firstLine="420"/>
        <w:rPr>
          <w:sz w:val="24"/>
        </w:rPr>
      </w:pPr>
      <w:r>
        <w:rPr>
          <w:rFonts w:hint="eastAsia"/>
          <w:sz w:val="24"/>
        </w:rPr>
        <w:t>The petroleum and petrochemical industry is one of the pillar industries in China's national economy. In recent years, it has advanced towards a direction of "large-scale, advanced, and series," experiencing rapid development. Due to the diverse types of equipment in the petroleum and petrochemical industry, common devices include pumping units, oil pipes, casings, various pipelines, distillation towers, heaters, heat exchangers, condensers, compressors, turbines, various pumps, pressure vessels, and various large-scale equipment. These devices typically operate under high temperature and pressure, subjected to corrosive and toxic service environments, making them prone to failure accidents. Once an accident occurs, the equipment losses are severe, not only affecting the normal operation of the facility but also causing significant economic losses and accidents with casualties. Therefore, researching and analyzing failure accidents of facilities in the petroleum and petrochemical industry is crucial for improving the quality of major equipment, reducing economic and personnel losses, and ensuring the safe operation and normal development of the industry.In the development of the petroleum industry, the resolution of many significant engineering issues is closely related to the summary and analysis of failure accidents. For example, in the investigation of a drilling rod failure accident in 1985, it was found that 70% of drilling rod failure accidents occurred in the inner thickening transition zone. Through the analysis of failure accidents, it was concluded that the unreasonable structure of the inner thickening transition zone was the main cause of the failures. Based on this, relevant personnel optimized the design, resulting in a 2 to 3 times increase in the service life of drilling rods [1]. In recent years, China's petroleum and petrochemical industry has made significant progress and development, introducing new materials and equipment. Therefore, it is necessary to conduct case studies and analyses of recent failure accidents in the petroleum and petrochemical industry in China, summarizing the main equipment and components prone to failure accidents. It is also essential to qualitatively and quantitatively analyze internal factors leading to component failures, such as material composition, performance, structure, morphology, and external factors like environment and loading conditions. This will help extract correlated parameters and sensitive data types leading to component material failures, illustrating the overall failure status of major components in the petroleum and petrochemical industry and the current situation of failure case analysis.</w:t>
      </w:r>
    </w:p>
    <w:p w14:paraId="6BC38C9B">
      <w:pPr>
        <w:ind w:firstLine="420"/>
        <w:rPr>
          <w:sz w:val="24"/>
        </w:rPr>
      </w:pPr>
    </w:p>
    <w:p w14:paraId="47F6196F">
      <w:pPr>
        <w:ind w:firstLine="420"/>
        <w:rPr>
          <w:sz w:val="24"/>
        </w:rPr>
      </w:pPr>
      <w:r>
        <w:rPr>
          <w:rFonts w:hint="eastAsia"/>
          <w:sz w:val="24"/>
        </w:rPr>
        <w:t>The project compiles and organizes various failure cases from relevant units, published literature, and various publications. The major failure components in the petroleum and petrochemical industry are categorized into three types: petroleum drilling and extraction equipment, petroleum storage and transportation equipment, and petroleum refining and processing equipment. The investigation work on corrosion failure cases has been conducted. Through preliminary research efforts, the project has collected, studied, and organized 39 failure cases of various equipment and components [1,6,10-35]. Based on necessary data and content for analyzing the causes of failure, the report details 12 cases, as shown in Table 2-1.</w:t>
      </w:r>
    </w:p>
    <w:p w14:paraId="473A8C5E">
      <w:pPr>
        <w:pStyle w:val="20"/>
        <w:spacing w:before="468" w:after="156"/>
      </w:pPr>
      <w:r>
        <w:rPr>
          <w:rFonts w:hint="eastAsia"/>
        </w:rPr>
        <w:t>Table 2-1 Summary of Research on Failure Cases in the Petroleum and Petrochemical Industry</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9"/>
        <w:gridCol w:w="1701"/>
        <w:gridCol w:w="1559"/>
        <w:gridCol w:w="1922"/>
        <w:gridCol w:w="1020"/>
      </w:tblGrid>
      <w:tr w14:paraId="5996E0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59" w:type="dxa"/>
            <w:vMerge w:val="restart"/>
            <w:tcBorders>
              <w:top w:val="single" w:color="auto" w:sz="12" w:space="0"/>
              <w:bottom w:val="nil"/>
            </w:tcBorders>
            <w:vAlign w:val="center"/>
          </w:tcPr>
          <w:p w14:paraId="2C27D235">
            <w:pPr>
              <w:pStyle w:val="16"/>
              <w:spacing w:before="31" w:after="31"/>
              <w:ind w:firstLine="199" w:firstLineChars="95"/>
              <w:jc w:val="center"/>
              <w:rPr>
                <w:rFonts w:cs="Times New Roman"/>
                <w:sz w:val="21"/>
                <w:szCs w:val="21"/>
              </w:rPr>
            </w:pPr>
            <w:r>
              <w:rPr>
                <w:rFonts w:hint="eastAsia" w:cs="Times New Roman"/>
                <w:sz w:val="21"/>
                <w:szCs w:val="21"/>
              </w:rPr>
              <w:t>achievement</w:t>
            </w:r>
          </w:p>
        </w:tc>
        <w:tc>
          <w:tcPr>
            <w:tcW w:w="5182" w:type="dxa"/>
            <w:gridSpan w:val="3"/>
            <w:tcBorders>
              <w:top w:val="single" w:color="auto" w:sz="12" w:space="0"/>
              <w:bottom w:val="nil"/>
            </w:tcBorders>
            <w:vAlign w:val="center"/>
          </w:tcPr>
          <w:p w14:paraId="0EB80FDA">
            <w:pPr>
              <w:pStyle w:val="16"/>
              <w:spacing w:before="31" w:after="31"/>
              <w:ind w:firstLine="0" w:firstLineChars="0"/>
              <w:jc w:val="center"/>
              <w:rPr>
                <w:rFonts w:cs="Times New Roman"/>
                <w:sz w:val="21"/>
                <w:szCs w:val="21"/>
              </w:rPr>
            </w:pPr>
            <w:r>
              <w:rPr>
                <w:rFonts w:hint="eastAsia" w:cs="Times New Roman"/>
                <w:sz w:val="21"/>
                <w:szCs w:val="21"/>
              </w:rPr>
              <w:t>Petroleum and petrochemical industry</w:t>
            </w:r>
          </w:p>
        </w:tc>
        <w:tc>
          <w:tcPr>
            <w:tcW w:w="1020" w:type="dxa"/>
            <w:vMerge w:val="restart"/>
            <w:tcBorders>
              <w:top w:val="single" w:color="auto" w:sz="12" w:space="0"/>
              <w:bottom w:val="nil"/>
            </w:tcBorders>
            <w:vAlign w:val="center"/>
          </w:tcPr>
          <w:p w14:paraId="4644D471">
            <w:pPr>
              <w:pStyle w:val="16"/>
              <w:spacing w:before="31" w:after="31"/>
              <w:ind w:firstLine="0" w:firstLineChars="0"/>
              <w:jc w:val="center"/>
              <w:rPr>
                <w:rFonts w:cs="Times New Roman"/>
                <w:sz w:val="21"/>
                <w:szCs w:val="21"/>
              </w:rPr>
            </w:pPr>
            <w:r>
              <w:rPr>
                <w:rFonts w:hint="eastAsia" w:cs="Times New Roman"/>
                <w:sz w:val="21"/>
                <w:szCs w:val="21"/>
              </w:rPr>
              <w:t>total</w:t>
            </w:r>
          </w:p>
        </w:tc>
      </w:tr>
      <w:tr w14:paraId="158D72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59" w:type="dxa"/>
            <w:vMerge w:val="continue"/>
            <w:tcBorders>
              <w:top w:val="nil"/>
              <w:bottom w:val="single" w:color="auto" w:sz="12" w:space="0"/>
            </w:tcBorders>
            <w:vAlign w:val="center"/>
          </w:tcPr>
          <w:p w14:paraId="0C2A76E1">
            <w:pPr>
              <w:pStyle w:val="16"/>
              <w:spacing w:before="31" w:after="31"/>
              <w:ind w:firstLine="0" w:firstLineChars="0"/>
              <w:jc w:val="center"/>
              <w:rPr>
                <w:rFonts w:cs="Times New Roman"/>
                <w:sz w:val="21"/>
                <w:szCs w:val="21"/>
              </w:rPr>
            </w:pPr>
          </w:p>
        </w:tc>
        <w:tc>
          <w:tcPr>
            <w:tcW w:w="1701" w:type="dxa"/>
            <w:tcBorders>
              <w:top w:val="nil"/>
              <w:bottom w:val="single" w:color="auto" w:sz="12" w:space="0"/>
            </w:tcBorders>
            <w:vAlign w:val="center"/>
          </w:tcPr>
          <w:p w14:paraId="541F4B76">
            <w:pPr>
              <w:pStyle w:val="16"/>
              <w:spacing w:before="31" w:after="31" w:line="240" w:lineRule="auto"/>
              <w:ind w:firstLine="0" w:firstLineChars="0"/>
              <w:jc w:val="center"/>
              <w:rPr>
                <w:rFonts w:cs="Times New Roman"/>
                <w:sz w:val="21"/>
                <w:szCs w:val="21"/>
              </w:rPr>
            </w:pPr>
            <w:r>
              <w:rPr>
                <w:rFonts w:hint="eastAsia" w:cs="Times New Roman"/>
                <w:sz w:val="21"/>
                <w:szCs w:val="21"/>
              </w:rPr>
              <w:t>Oil drilling equipment</w:t>
            </w:r>
          </w:p>
        </w:tc>
        <w:tc>
          <w:tcPr>
            <w:tcW w:w="1559" w:type="dxa"/>
            <w:tcBorders>
              <w:top w:val="nil"/>
              <w:bottom w:val="single" w:color="auto" w:sz="12" w:space="0"/>
            </w:tcBorders>
            <w:vAlign w:val="center"/>
          </w:tcPr>
          <w:p w14:paraId="4F9ED0C6">
            <w:pPr>
              <w:pStyle w:val="16"/>
              <w:spacing w:before="31" w:after="31" w:line="240" w:lineRule="auto"/>
              <w:ind w:firstLine="0" w:firstLineChars="0"/>
              <w:jc w:val="center"/>
              <w:rPr>
                <w:rFonts w:cs="Times New Roman"/>
                <w:sz w:val="21"/>
                <w:szCs w:val="21"/>
              </w:rPr>
            </w:pPr>
            <w:r>
              <w:rPr>
                <w:rFonts w:hint="eastAsia" w:cs="Times New Roman"/>
                <w:sz w:val="21"/>
                <w:szCs w:val="21"/>
              </w:rPr>
              <w:t>Oil storage and transportation equipment</w:t>
            </w:r>
          </w:p>
        </w:tc>
        <w:tc>
          <w:tcPr>
            <w:tcW w:w="1922" w:type="dxa"/>
            <w:tcBorders>
              <w:top w:val="nil"/>
              <w:bottom w:val="single" w:color="auto" w:sz="12" w:space="0"/>
            </w:tcBorders>
            <w:vAlign w:val="center"/>
          </w:tcPr>
          <w:p w14:paraId="1ABC0CC8">
            <w:pPr>
              <w:pStyle w:val="16"/>
              <w:spacing w:before="31" w:after="31" w:line="240" w:lineRule="auto"/>
              <w:ind w:firstLine="0" w:firstLineChars="0"/>
              <w:jc w:val="center"/>
              <w:rPr>
                <w:rFonts w:cs="Times New Roman"/>
                <w:sz w:val="21"/>
                <w:szCs w:val="21"/>
              </w:rPr>
            </w:pPr>
            <w:r>
              <w:rPr>
                <w:rFonts w:hint="eastAsia" w:cs="Times New Roman"/>
                <w:sz w:val="21"/>
                <w:szCs w:val="21"/>
              </w:rPr>
              <w:t>Petroleum refining and processing equipment</w:t>
            </w:r>
          </w:p>
        </w:tc>
        <w:tc>
          <w:tcPr>
            <w:tcW w:w="1020" w:type="dxa"/>
            <w:vMerge w:val="continue"/>
            <w:tcBorders>
              <w:top w:val="nil"/>
              <w:bottom w:val="single" w:color="auto" w:sz="12" w:space="0"/>
            </w:tcBorders>
            <w:vAlign w:val="center"/>
          </w:tcPr>
          <w:p w14:paraId="3B4307C2">
            <w:pPr>
              <w:pStyle w:val="16"/>
              <w:spacing w:before="31" w:after="31"/>
              <w:ind w:firstLine="0" w:firstLineChars="0"/>
              <w:jc w:val="center"/>
              <w:rPr>
                <w:rFonts w:cs="Times New Roman"/>
                <w:sz w:val="21"/>
                <w:szCs w:val="21"/>
              </w:rPr>
            </w:pPr>
          </w:p>
        </w:tc>
      </w:tr>
      <w:tr w14:paraId="74F045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59" w:type="dxa"/>
            <w:tcBorders>
              <w:top w:val="single" w:color="auto" w:sz="12" w:space="0"/>
              <w:bottom w:val="nil"/>
            </w:tcBorders>
            <w:vAlign w:val="center"/>
          </w:tcPr>
          <w:p w14:paraId="6E74F81D">
            <w:pPr>
              <w:pStyle w:val="16"/>
              <w:spacing w:before="31" w:after="31" w:line="240" w:lineRule="auto"/>
              <w:ind w:firstLine="0" w:firstLineChars="0"/>
              <w:jc w:val="center"/>
              <w:rPr>
                <w:rFonts w:cs="Times New Roman"/>
                <w:sz w:val="21"/>
                <w:szCs w:val="21"/>
              </w:rPr>
            </w:pPr>
            <w:r>
              <w:rPr>
                <w:rFonts w:hint="eastAsia" w:cs="Times New Roman"/>
                <w:sz w:val="21"/>
                <w:szCs w:val="21"/>
              </w:rPr>
              <w:t>Number of cases not included in reports</w:t>
            </w:r>
          </w:p>
        </w:tc>
        <w:tc>
          <w:tcPr>
            <w:tcW w:w="1701" w:type="dxa"/>
            <w:tcBorders>
              <w:top w:val="single" w:color="auto" w:sz="12" w:space="0"/>
              <w:bottom w:val="nil"/>
            </w:tcBorders>
            <w:vAlign w:val="center"/>
          </w:tcPr>
          <w:p w14:paraId="185F6341">
            <w:pPr>
              <w:pStyle w:val="16"/>
              <w:spacing w:before="31" w:after="31"/>
              <w:ind w:firstLine="0" w:firstLineChars="0"/>
              <w:jc w:val="center"/>
              <w:rPr>
                <w:rFonts w:cs="Times New Roman"/>
                <w:sz w:val="21"/>
                <w:szCs w:val="21"/>
              </w:rPr>
            </w:pPr>
            <w:r>
              <w:rPr>
                <w:rFonts w:cs="Times New Roman"/>
                <w:sz w:val="21"/>
                <w:szCs w:val="21"/>
              </w:rPr>
              <w:t>10</w:t>
            </w:r>
          </w:p>
        </w:tc>
        <w:tc>
          <w:tcPr>
            <w:tcW w:w="1559" w:type="dxa"/>
            <w:tcBorders>
              <w:top w:val="single" w:color="auto" w:sz="12" w:space="0"/>
              <w:bottom w:val="nil"/>
            </w:tcBorders>
            <w:vAlign w:val="center"/>
          </w:tcPr>
          <w:p w14:paraId="1E6F6BB0">
            <w:pPr>
              <w:pStyle w:val="16"/>
              <w:spacing w:before="31" w:after="31"/>
              <w:ind w:firstLine="0" w:firstLineChars="0"/>
              <w:jc w:val="center"/>
              <w:rPr>
                <w:rFonts w:cs="Times New Roman"/>
                <w:sz w:val="21"/>
                <w:szCs w:val="21"/>
              </w:rPr>
            </w:pPr>
            <w:r>
              <w:rPr>
                <w:rFonts w:cs="Times New Roman"/>
                <w:sz w:val="21"/>
                <w:szCs w:val="21"/>
              </w:rPr>
              <w:t>6</w:t>
            </w:r>
          </w:p>
        </w:tc>
        <w:tc>
          <w:tcPr>
            <w:tcW w:w="1922" w:type="dxa"/>
            <w:tcBorders>
              <w:top w:val="single" w:color="auto" w:sz="12" w:space="0"/>
              <w:bottom w:val="nil"/>
            </w:tcBorders>
            <w:vAlign w:val="center"/>
          </w:tcPr>
          <w:p w14:paraId="338305D2">
            <w:pPr>
              <w:pStyle w:val="16"/>
              <w:spacing w:before="31" w:after="31"/>
              <w:ind w:firstLine="0" w:firstLineChars="0"/>
              <w:jc w:val="center"/>
              <w:rPr>
                <w:rFonts w:cs="Times New Roman"/>
                <w:sz w:val="21"/>
                <w:szCs w:val="21"/>
              </w:rPr>
            </w:pPr>
            <w:r>
              <w:rPr>
                <w:rFonts w:cs="Times New Roman"/>
                <w:sz w:val="21"/>
                <w:szCs w:val="21"/>
              </w:rPr>
              <w:t>11</w:t>
            </w:r>
          </w:p>
        </w:tc>
        <w:tc>
          <w:tcPr>
            <w:tcW w:w="1020" w:type="dxa"/>
            <w:tcBorders>
              <w:top w:val="single" w:color="auto" w:sz="12" w:space="0"/>
              <w:bottom w:val="nil"/>
            </w:tcBorders>
            <w:vAlign w:val="center"/>
          </w:tcPr>
          <w:p w14:paraId="44831CAF">
            <w:pPr>
              <w:pStyle w:val="16"/>
              <w:spacing w:before="31" w:after="31"/>
              <w:ind w:firstLine="0" w:firstLineChars="0"/>
              <w:jc w:val="center"/>
              <w:rPr>
                <w:rFonts w:cs="Times New Roman"/>
                <w:sz w:val="21"/>
                <w:szCs w:val="21"/>
              </w:rPr>
            </w:pPr>
            <w:r>
              <w:rPr>
                <w:rFonts w:cs="Times New Roman"/>
                <w:sz w:val="21"/>
                <w:szCs w:val="21"/>
              </w:rPr>
              <w:t>27</w:t>
            </w:r>
          </w:p>
        </w:tc>
      </w:tr>
      <w:tr w14:paraId="1965FE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59" w:type="dxa"/>
            <w:tcBorders>
              <w:top w:val="nil"/>
              <w:bottom w:val="nil"/>
            </w:tcBorders>
            <w:vAlign w:val="center"/>
          </w:tcPr>
          <w:p w14:paraId="40B1EC30">
            <w:pPr>
              <w:pStyle w:val="16"/>
              <w:spacing w:before="31" w:after="31" w:line="240" w:lineRule="auto"/>
              <w:ind w:firstLine="0" w:firstLineChars="0"/>
              <w:jc w:val="center"/>
              <w:rPr>
                <w:rFonts w:cs="Times New Roman"/>
                <w:sz w:val="21"/>
                <w:szCs w:val="21"/>
              </w:rPr>
            </w:pPr>
            <w:r>
              <w:rPr>
                <w:rFonts w:hint="eastAsia" w:cs="Times New Roman"/>
                <w:sz w:val="21"/>
                <w:szCs w:val="21"/>
              </w:rPr>
              <w:t>Number of cases included in reports</w:t>
            </w:r>
          </w:p>
        </w:tc>
        <w:tc>
          <w:tcPr>
            <w:tcW w:w="1701" w:type="dxa"/>
            <w:tcBorders>
              <w:top w:val="nil"/>
              <w:bottom w:val="nil"/>
            </w:tcBorders>
            <w:vAlign w:val="center"/>
          </w:tcPr>
          <w:p w14:paraId="04BEC1E3">
            <w:pPr>
              <w:pStyle w:val="16"/>
              <w:spacing w:before="31" w:after="31"/>
              <w:ind w:firstLine="0" w:firstLineChars="0"/>
              <w:jc w:val="center"/>
              <w:rPr>
                <w:rFonts w:cs="Times New Roman"/>
                <w:sz w:val="21"/>
                <w:szCs w:val="21"/>
              </w:rPr>
            </w:pPr>
            <w:r>
              <w:rPr>
                <w:rFonts w:cs="Times New Roman"/>
                <w:sz w:val="21"/>
                <w:szCs w:val="21"/>
              </w:rPr>
              <w:t>3</w:t>
            </w:r>
          </w:p>
        </w:tc>
        <w:tc>
          <w:tcPr>
            <w:tcW w:w="1559" w:type="dxa"/>
            <w:tcBorders>
              <w:top w:val="nil"/>
              <w:bottom w:val="nil"/>
            </w:tcBorders>
            <w:vAlign w:val="center"/>
          </w:tcPr>
          <w:p w14:paraId="2520C9C7">
            <w:pPr>
              <w:pStyle w:val="16"/>
              <w:spacing w:before="31" w:after="31"/>
              <w:ind w:firstLine="0" w:firstLineChars="0"/>
              <w:jc w:val="center"/>
              <w:rPr>
                <w:rFonts w:cs="Times New Roman"/>
                <w:sz w:val="21"/>
                <w:szCs w:val="21"/>
              </w:rPr>
            </w:pPr>
            <w:r>
              <w:rPr>
                <w:rFonts w:cs="Times New Roman"/>
                <w:sz w:val="21"/>
                <w:szCs w:val="21"/>
              </w:rPr>
              <w:t>4</w:t>
            </w:r>
          </w:p>
        </w:tc>
        <w:tc>
          <w:tcPr>
            <w:tcW w:w="1922" w:type="dxa"/>
            <w:tcBorders>
              <w:top w:val="nil"/>
              <w:bottom w:val="nil"/>
            </w:tcBorders>
            <w:vAlign w:val="center"/>
          </w:tcPr>
          <w:p w14:paraId="75E9A67D">
            <w:pPr>
              <w:pStyle w:val="16"/>
              <w:spacing w:before="31" w:after="31"/>
              <w:ind w:firstLine="0" w:firstLineChars="0"/>
              <w:jc w:val="center"/>
              <w:rPr>
                <w:rFonts w:cs="Times New Roman"/>
                <w:sz w:val="21"/>
                <w:szCs w:val="21"/>
              </w:rPr>
            </w:pPr>
            <w:r>
              <w:rPr>
                <w:rFonts w:cs="Times New Roman"/>
                <w:sz w:val="21"/>
                <w:szCs w:val="21"/>
              </w:rPr>
              <w:t>5</w:t>
            </w:r>
          </w:p>
        </w:tc>
        <w:tc>
          <w:tcPr>
            <w:tcW w:w="1020" w:type="dxa"/>
            <w:tcBorders>
              <w:top w:val="nil"/>
              <w:bottom w:val="nil"/>
            </w:tcBorders>
            <w:vAlign w:val="center"/>
          </w:tcPr>
          <w:p w14:paraId="1FA50964">
            <w:pPr>
              <w:pStyle w:val="16"/>
              <w:spacing w:before="31" w:after="31"/>
              <w:ind w:firstLine="0" w:firstLineChars="0"/>
              <w:jc w:val="center"/>
              <w:rPr>
                <w:rFonts w:cs="Times New Roman"/>
                <w:sz w:val="21"/>
                <w:szCs w:val="21"/>
              </w:rPr>
            </w:pPr>
            <w:r>
              <w:rPr>
                <w:rFonts w:cs="Times New Roman"/>
                <w:sz w:val="21"/>
                <w:szCs w:val="21"/>
              </w:rPr>
              <w:t>12</w:t>
            </w:r>
          </w:p>
        </w:tc>
      </w:tr>
      <w:tr w14:paraId="760ECA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59" w:type="dxa"/>
            <w:tcBorders>
              <w:top w:val="nil"/>
            </w:tcBorders>
            <w:vAlign w:val="center"/>
          </w:tcPr>
          <w:p w14:paraId="78D1C478">
            <w:pPr>
              <w:pStyle w:val="16"/>
              <w:spacing w:before="31" w:after="31" w:line="240" w:lineRule="auto"/>
              <w:ind w:firstLine="0" w:firstLineChars="0"/>
              <w:jc w:val="center"/>
              <w:rPr>
                <w:rFonts w:cs="Times New Roman"/>
                <w:sz w:val="21"/>
                <w:szCs w:val="21"/>
              </w:rPr>
            </w:pPr>
            <w:r>
              <w:rPr>
                <w:rFonts w:hint="eastAsia" w:cs="Times New Roman"/>
                <w:sz w:val="21"/>
                <w:szCs w:val="21"/>
              </w:rPr>
              <w:t>Picture data</w:t>
            </w:r>
          </w:p>
        </w:tc>
        <w:tc>
          <w:tcPr>
            <w:tcW w:w="1701" w:type="dxa"/>
            <w:tcBorders>
              <w:top w:val="nil"/>
            </w:tcBorders>
            <w:vAlign w:val="center"/>
          </w:tcPr>
          <w:p w14:paraId="226B230F">
            <w:pPr>
              <w:pStyle w:val="16"/>
              <w:spacing w:before="31" w:after="31"/>
              <w:ind w:firstLine="0" w:firstLineChars="0"/>
              <w:jc w:val="center"/>
              <w:rPr>
                <w:rFonts w:cs="Times New Roman"/>
                <w:sz w:val="21"/>
                <w:szCs w:val="21"/>
              </w:rPr>
            </w:pPr>
            <w:r>
              <w:rPr>
                <w:rFonts w:cs="Times New Roman"/>
                <w:sz w:val="21"/>
                <w:szCs w:val="21"/>
              </w:rPr>
              <w:t>21</w:t>
            </w:r>
          </w:p>
        </w:tc>
        <w:tc>
          <w:tcPr>
            <w:tcW w:w="1559" w:type="dxa"/>
            <w:tcBorders>
              <w:top w:val="nil"/>
            </w:tcBorders>
            <w:vAlign w:val="center"/>
          </w:tcPr>
          <w:p w14:paraId="032CCCD8">
            <w:pPr>
              <w:pStyle w:val="16"/>
              <w:spacing w:before="31" w:after="31"/>
              <w:ind w:firstLine="0" w:firstLineChars="0"/>
              <w:jc w:val="center"/>
              <w:rPr>
                <w:rFonts w:cs="Times New Roman"/>
                <w:sz w:val="21"/>
                <w:szCs w:val="21"/>
              </w:rPr>
            </w:pPr>
            <w:r>
              <w:rPr>
                <w:rFonts w:cs="Times New Roman"/>
                <w:sz w:val="21"/>
                <w:szCs w:val="21"/>
              </w:rPr>
              <w:t>6</w:t>
            </w:r>
          </w:p>
        </w:tc>
        <w:tc>
          <w:tcPr>
            <w:tcW w:w="1922" w:type="dxa"/>
            <w:tcBorders>
              <w:top w:val="nil"/>
            </w:tcBorders>
            <w:vAlign w:val="center"/>
          </w:tcPr>
          <w:p w14:paraId="68BB3E80">
            <w:pPr>
              <w:pStyle w:val="16"/>
              <w:spacing w:before="31" w:after="31"/>
              <w:ind w:firstLine="0" w:firstLineChars="0"/>
              <w:jc w:val="center"/>
              <w:rPr>
                <w:rFonts w:cs="Times New Roman"/>
                <w:sz w:val="21"/>
                <w:szCs w:val="21"/>
              </w:rPr>
            </w:pPr>
            <w:r>
              <w:rPr>
                <w:rFonts w:cs="Times New Roman"/>
                <w:sz w:val="21"/>
                <w:szCs w:val="21"/>
              </w:rPr>
              <w:t>37</w:t>
            </w:r>
          </w:p>
        </w:tc>
        <w:tc>
          <w:tcPr>
            <w:tcW w:w="1020" w:type="dxa"/>
            <w:tcBorders>
              <w:top w:val="nil"/>
            </w:tcBorders>
            <w:vAlign w:val="center"/>
          </w:tcPr>
          <w:p w14:paraId="7259B201">
            <w:pPr>
              <w:pStyle w:val="16"/>
              <w:spacing w:before="31" w:after="31"/>
              <w:ind w:firstLine="0" w:firstLineChars="0"/>
              <w:jc w:val="center"/>
              <w:rPr>
                <w:rFonts w:cs="Times New Roman"/>
                <w:sz w:val="21"/>
                <w:szCs w:val="21"/>
              </w:rPr>
            </w:pPr>
            <w:r>
              <w:rPr>
                <w:rFonts w:cs="Times New Roman"/>
                <w:sz w:val="21"/>
                <w:szCs w:val="21"/>
              </w:rPr>
              <w:t>64</w:t>
            </w:r>
          </w:p>
        </w:tc>
      </w:tr>
      <w:tr w14:paraId="72C4C4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59" w:type="dxa"/>
            <w:vAlign w:val="center"/>
          </w:tcPr>
          <w:p w14:paraId="3083E683">
            <w:pPr>
              <w:pStyle w:val="16"/>
              <w:spacing w:before="31" w:after="31" w:line="240" w:lineRule="auto"/>
              <w:ind w:firstLine="0" w:firstLineChars="0"/>
              <w:jc w:val="center"/>
              <w:rPr>
                <w:rFonts w:cs="Times New Roman"/>
                <w:sz w:val="21"/>
                <w:szCs w:val="21"/>
              </w:rPr>
            </w:pPr>
            <w:r>
              <w:rPr>
                <w:rFonts w:hint="eastAsia" w:cs="Times New Roman"/>
                <w:sz w:val="21"/>
                <w:szCs w:val="21"/>
              </w:rPr>
              <w:t>Number of references</w:t>
            </w:r>
          </w:p>
        </w:tc>
        <w:tc>
          <w:tcPr>
            <w:tcW w:w="1701" w:type="dxa"/>
            <w:vAlign w:val="center"/>
          </w:tcPr>
          <w:p w14:paraId="4F2EF832">
            <w:pPr>
              <w:pStyle w:val="16"/>
              <w:spacing w:before="31" w:after="31"/>
              <w:ind w:firstLine="0" w:firstLineChars="0"/>
              <w:jc w:val="center"/>
              <w:rPr>
                <w:rFonts w:cs="Times New Roman"/>
                <w:sz w:val="21"/>
                <w:szCs w:val="21"/>
              </w:rPr>
            </w:pPr>
            <w:r>
              <w:rPr>
                <w:rFonts w:cs="Times New Roman"/>
                <w:sz w:val="21"/>
                <w:szCs w:val="21"/>
              </w:rPr>
              <w:t>12</w:t>
            </w:r>
          </w:p>
        </w:tc>
        <w:tc>
          <w:tcPr>
            <w:tcW w:w="1559" w:type="dxa"/>
            <w:vAlign w:val="center"/>
          </w:tcPr>
          <w:p w14:paraId="57F47060">
            <w:pPr>
              <w:pStyle w:val="16"/>
              <w:spacing w:before="31" w:after="31"/>
              <w:ind w:firstLine="0" w:firstLineChars="0"/>
              <w:jc w:val="center"/>
              <w:rPr>
                <w:rFonts w:cs="Times New Roman"/>
                <w:sz w:val="21"/>
                <w:szCs w:val="21"/>
              </w:rPr>
            </w:pPr>
            <w:r>
              <w:rPr>
                <w:rFonts w:cs="Times New Roman"/>
                <w:sz w:val="21"/>
                <w:szCs w:val="21"/>
              </w:rPr>
              <w:t>12</w:t>
            </w:r>
          </w:p>
        </w:tc>
        <w:tc>
          <w:tcPr>
            <w:tcW w:w="1922" w:type="dxa"/>
            <w:vAlign w:val="center"/>
          </w:tcPr>
          <w:p w14:paraId="57880763">
            <w:pPr>
              <w:pStyle w:val="16"/>
              <w:spacing w:before="31" w:after="31"/>
              <w:ind w:firstLine="0" w:firstLineChars="0"/>
              <w:jc w:val="center"/>
              <w:rPr>
                <w:rFonts w:cs="Times New Roman"/>
                <w:sz w:val="21"/>
                <w:szCs w:val="21"/>
              </w:rPr>
            </w:pPr>
            <w:r>
              <w:rPr>
                <w:rFonts w:cs="Times New Roman"/>
                <w:sz w:val="21"/>
                <w:szCs w:val="21"/>
              </w:rPr>
              <w:t>10</w:t>
            </w:r>
          </w:p>
        </w:tc>
        <w:tc>
          <w:tcPr>
            <w:tcW w:w="1020" w:type="dxa"/>
            <w:vAlign w:val="center"/>
          </w:tcPr>
          <w:p w14:paraId="18904C1D">
            <w:pPr>
              <w:pStyle w:val="16"/>
              <w:spacing w:before="31" w:after="31"/>
              <w:ind w:firstLine="0" w:firstLineChars="0"/>
              <w:jc w:val="center"/>
              <w:rPr>
                <w:rFonts w:cs="Times New Roman"/>
                <w:sz w:val="21"/>
                <w:szCs w:val="21"/>
              </w:rPr>
            </w:pPr>
            <w:r>
              <w:rPr>
                <w:rFonts w:cs="Times New Roman"/>
                <w:sz w:val="21"/>
                <w:szCs w:val="21"/>
              </w:rPr>
              <w:t>33</w:t>
            </w:r>
          </w:p>
        </w:tc>
      </w:tr>
    </w:tbl>
    <w:p w14:paraId="01B85B5D">
      <w:pPr>
        <w:rPr>
          <w:sz w:val="24"/>
        </w:rPr>
      </w:pPr>
    </w:p>
    <w:p w14:paraId="1895B077">
      <w:pPr>
        <w:ind w:firstLine="420"/>
        <w:rPr>
          <w:sz w:val="24"/>
        </w:rPr>
      </w:pPr>
    </w:p>
    <w:p w14:paraId="419F891E">
      <w:pPr>
        <w:pStyle w:val="19"/>
        <w:numPr>
          <w:ilvl w:val="1"/>
          <w:numId w:val="0"/>
        </w:numPr>
        <w:rPr>
          <w:sz w:val="24"/>
          <w:szCs w:val="24"/>
        </w:rPr>
      </w:pPr>
      <w:r>
        <w:rPr>
          <w:rFonts w:hint="eastAsia" w:eastAsia="宋体"/>
          <w:color w:val="000000"/>
        </w:rPr>
        <w:t>2.1 Common Failure Locations in the Petroleum and Petrochemical Industry</w:t>
      </w:r>
    </w:p>
    <w:p w14:paraId="205C241C">
      <w:pPr>
        <w:ind w:firstLine="420"/>
        <w:rPr>
          <w:sz w:val="24"/>
        </w:rPr>
      </w:pPr>
      <w:r>
        <w:rPr>
          <w:rFonts w:hint="eastAsia"/>
          <w:sz w:val="24"/>
        </w:rPr>
        <w:t>In the petroleum and petrochemical industry, the primary working equipment can be broadly categorized into petroleum drilling and extraction equipment, petroleum storage and transportation equipment, and petroleum refining and processing facilities, based on the production sequence of petroleum products. Within these various types of equipment at this stage, the main components prone to failure include:</w:t>
      </w:r>
    </w:p>
    <w:p w14:paraId="09E20258">
      <w:pPr>
        <w:ind w:firstLine="420"/>
        <w:rPr>
          <w:sz w:val="24"/>
        </w:rPr>
      </w:pPr>
    </w:p>
    <w:p w14:paraId="3E8097FA">
      <w:pPr>
        <w:rPr>
          <w:sz w:val="24"/>
        </w:rPr>
      </w:pPr>
      <w:r>
        <w:rPr>
          <w:rFonts w:hint="eastAsia"/>
          <w:sz w:val="24"/>
        </w:rPr>
        <w:t>(1) Drill rods, drill bits, and couplings in drilling equipment</w:t>
      </w:r>
    </w:p>
    <w:p w14:paraId="66531986">
      <w:pPr>
        <w:ind w:firstLine="420"/>
        <w:rPr>
          <w:sz w:val="24"/>
        </w:rPr>
      </w:pPr>
      <w:r>
        <w:rPr>
          <w:rFonts w:hint="eastAsia"/>
          <w:sz w:val="24"/>
        </w:rPr>
        <w:t>Failures of drill rods, drill bits, and couplings are frequent incidents in oil fields. Improper material selection, low-quality materials, outdated processes, and the reasonable use of these components can all contribute to failure incidents. Material choice, complex operating conditions, and corrosive environments are the primary causes of equipment failure. According to statistics, there are approximately 1,000 cases of drill tool failures each year, with drill rod failures accounting for 50% to 60% of total drill tool failures. Drill rods and drill bits are mainly made from steel materials such as Q235, Q345, and 20, including plates and profiles. The primary failure modes are cracks and fractures.</w:t>
      </w:r>
    </w:p>
    <w:p w14:paraId="1D07235E">
      <w:pPr>
        <w:ind w:firstLine="420"/>
        <w:rPr>
          <w:sz w:val="24"/>
        </w:rPr>
      </w:pPr>
    </w:p>
    <w:p w14:paraId="35E48007">
      <w:pPr>
        <w:rPr>
          <w:sz w:val="24"/>
        </w:rPr>
      </w:pPr>
      <w:r>
        <w:rPr>
          <w:rFonts w:hint="eastAsia"/>
          <w:sz w:val="24"/>
        </w:rPr>
        <w:t>(2) Pumping unit oil pipes and tubing</w:t>
      </w:r>
    </w:p>
    <w:p w14:paraId="1A104CD6">
      <w:pPr>
        <w:ind w:firstLine="420"/>
        <w:rPr>
          <w:sz w:val="24"/>
        </w:rPr>
      </w:pPr>
      <w:r>
        <w:rPr>
          <w:rFonts w:hint="eastAsia"/>
          <w:sz w:val="24"/>
        </w:rPr>
        <w:t>Failures of pumping unit oil pipes mainly involve leakage, fracture, and other non-specific failures caused by unexpected accidents such as casing changes, pumping rod fractures, operational accidents, and acidizing fracturing residue corrosion. Leaks and fractures are common failure modes for oil tubing in pumping units. Typically, if the pressure inside the oil pipe exceeds the pressure outside the casing, any loose connections or leaks in the casing can lead to uncoupling and pipe bursting accidents. Oil tubing rupture and fracture can be caused by factors such as original folded cracks, layering and folding defects, original quenching cracks, welding of casing with a ring wellhead, perforation-induced cracks, and tubing fatigue.</w:t>
      </w:r>
    </w:p>
    <w:p w14:paraId="7E605B5F">
      <w:pPr>
        <w:ind w:firstLine="420"/>
        <w:rPr>
          <w:sz w:val="24"/>
        </w:rPr>
      </w:pPr>
    </w:p>
    <w:p w14:paraId="519E3D1A">
      <w:pPr>
        <w:rPr>
          <w:sz w:val="24"/>
        </w:rPr>
      </w:pPr>
      <w:r>
        <w:rPr>
          <w:rFonts w:hint="eastAsia"/>
          <w:sz w:val="24"/>
        </w:rPr>
        <w:t>(3) Petroleum Storage Tanks</w:t>
      </w:r>
    </w:p>
    <w:p w14:paraId="3E9AF65F">
      <w:pPr>
        <w:ind w:firstLine="420"/>
        <w:rPr>
          <w:sz w:val="24"/>
        </w:rPr>
      </w:pPr>
      <w:r>
        <w:rPr>
          <w:rFonts w:hint="eastAsia"/>
          <w:sz w:val="24"/>
        </w:rPr>
        <w:t>In storage tanks, corrosion is most severe in sewage tanks, high-water content oil tanks, water injection tanks, settling tanks, pressure filter tanks, etc., followed by crude oil tanks and finished product oil tanks. Due to the combined action of environmental corrosion and H2S corrosion in oil and gas, coupled with stress concentration in certain parts of the tank, stress corrosion cracking is prone to occur in equipment. The welded seams and the heat-affected zones of the tank are sensitive areas to corrosion cracking. Oil pipes connecting the storage tank are also prone to failure due to the long-term effects of high pressure, high H2S, and erosion corrosion.</w:t>
      </w:r>
    </w:p>
    <w:p w14:paraId="59EA71E0">
      <w:pPr>
        <w:rPr>
          <w:sz w:val="24"/>
        </w:rPr>
      </w:pPr>
    </w:p>
    <w:p w14:paraId="121F96A3">
      <w:pPr>
        <w:rPr>
          <w:sz w:val="24"/>
        </w:rPr>
      </w:pPr>
      <w:r>
        <w:rPr>
          <w:rFonts w:hint="eastAsia"/>
          <w:sz w:val="24"/>
        </w:rPr>
        <w:t>(4) Oil and Gas Pipelines</w:t>
      </w:r>
    </w:p>
    <w:p w14:paraId="60E2B325">
      <w:pPr>
        <w:ind w:firstLine="420"/>
        <w:rPr>
          <w:sz w:val="24"/>
        </w:rPr>
      </w:pPr>
      <w:r>
        <w:rPr>
          <w:rFonts w:hint="eastAsia"/>
          <w:sz w:val="24"/>
        </w:rPr>
        <w:t>The failure modes of oil and gas pipelines mainly include fracture, deformation, and surface damage. Failures can occur during steel pipe transportation, pipeline laying, hydrostatic testing, and pipeline operation. The causes of pipeline failures can be categorized as external interference, corrosion, welding and material defects, equipment and operations, and other reasons. Pipeline steel is prone to cracking, primarily due to factors such as (a) chemical composition of the steel, (b) continuous casting process, and (c) rolling process parameters.</w:t>
      </w:r>
    </w:p>
    <w:p w14:paraId="73FF7AAA">
      <w:pPr>
        <w:rPr>
          <w:sz w:val="24"/>
        </w:rPr>
      </w:pPr>
    </w:p>
    <w:p w14:paraId="2B11BF00">
      <w:pPr>
        <w:rPr>
          <w:sz w:val="24"/>
        </w:rPr>
      </w:pPr>
      <w:r>
        <w:rPr>
          <w:rFonts w:hint="eastAsia"/>
          <w:sz w:val="24"/>
        </w:rPr>
        <w:t>(5) Heat Exchangers in Various Large Units in Refining and Processing Equipment</w:t>
      </w:r>
    </w:p>
    <w:p w14:paraId="62D9248F">
      <w:pPr>
        <w:ind w:firstLine="420"/>
        <w:rPr>
          <w:sz w:val="24"/>
        </w:rPr>
      </w:pPr>
      <w:r>
        <w:rPr>
          <w:rFonts w:hint="eastAsia"/>
          <w:sz w:val="24"/>
        </w:rPr>
        <w:t>Refining units include several sets of equipment such as reduced pressure distillation units, delayed coking units, hydrogenation units, etc. Each set of equipment comprises multiple devices, making the failure scenarios complex. Heat exchangers and various types of pipelines in the condensation cooling system of each unit are prone to fractures and corrosion perforation accidents due to long-term exposure to alternating hot and cold, high temperature, high pressure, and erosive corrosion.</w:t>
      </w:r>
    </w:p>
    <w:p w14:paraId="3F5C7FAE">
      <w:pPr>
        <w:rPr>
          <w:sz w:val="24"/>
        </w:rPr>
      </w:pPr>
    </w:p>
    <w:p w14:paraId="5A9B081B">
      <w:pPr>
        <w:rPr>
          <w:sz w:val="24"/>
        </w:rPr>
      </w:pPr>
      <w:r>
        <w:rPr>
          <w:rFonts w:hint="eastAsia"/>
          <w:sz w:val="24"/>
        </w:rPr>
        <w:t>(6) Pipes, Bolts, and Other Components in Various Large Units of Refining and Processing Equipment</w:t>
      </w:r>
    </w:p>
    <w:p w14:paraId="0892E21B">
      <w:pPr>
        <w:ind w:firstLine="420"/>
        <w:rPr>
          <w:sz w:val="24"/>
        </w:rPr>
      </w:pPr>
      <w:r>
        <w:rPr>
          <w:rFonts w:hint="eastAsia"/>
          <w:sz w:val="24"/>
        </w:rPr>
        <w:t>In the long-term service of various pipelines in refining and processing equipment, the operating environment involves high temperatures, high pressures, and internal environments usually consisting of petroleum products and water. These components are often subjected to intense erosion from high-speed gas and liquid flows, making them highly susceptible to corrosion, cracking, and bursting failure incidents.</w:t>
      </w:r>
    </w:p>
    <w:p w14:paraId="05F8E7AD">
      <w:pPr>
        <w:ind w:firstLine="420"/>
        <w:rPr>
          <w:sz w:val="24"/>
        </w:rPr>
      </w:pPr>
    </w:p>
    <w:p w14:paraId="38DC7E5D">
      <w:pPr>
        <w:ind w:firstLine="420"/>
        <w:rPr>
          <w:sz w:val="24"/>
        </w:rPr>
      </w:pPr>
    </w:p>
    <w:p w14:paraId="7DE87732">
      <w:pPr>
        <w:rPr>
          <w:b/>
          <w:bCs/>
          <w:color w:val="000000"/>
          <w:sz w:val="28"/>
          <w:szCs w:val="32"/>
        </w:rPr>
      </w:pPr>
      <w:r>
        <w:rPr>
          <w:rFonts w:hint="eastAsia"/>
          <w:b/>
          <w:bCs/>
          <w:color w:val="000000"/>
          <w:sz w:val="28"/>
          <w:szCs w:val="32"/>
        </w:rPr>
        <w:t>2.2 Typical Failure Case Analysis in the Petroleum and Petrochemical Industry</w:t>
      </w:r>
    </w:p>
    <w:p w14:paraId="5A31A8F5">
      <w:pPr>
        <w:pStyle w:val="21"/>
        <w:numPr>
          <w:ilvl w:val="2"/>
          <w:numId w:val="0"/>
        </w:numPr>
        <w:rPr>
          <w:sz w:val="24"/>
          <w:szCs w:val="24"/>
        </w:rPr>
      </w:pPr>
      <w:r>
        <w:rPr>
          <w:rFonts w:hint="eastAsia" w:eastAsia="宋体"/>
          <w:color w:val="000000"/>
        </w:rPr>
        <w:t>2.2.1 Case Study 2-1: Corrosion Fatigue Fracture of 30CrMo Steel Pumping Rod</w:t>
      </w:r>
    </w:p>
    <w:p w14:paraId="3E2B9925">
      <w:pPr>
        <w:rPr>
          <w:sz w:val="24"/>
        </w:rPr>
      </w:pPr>
      <w:r>
        <w:rPr>
          <w:rFonts w:hint="eastAsia"/>
          <w:sz w:val="24"/>
        </w:rPr>
        <w:t>(1) Case Name</w:t>
      </w:r>
    </w:p>
    <w:p w14:paraId="299EE7A0">
      <w:pPr>
        <w:ind w:firstLine="420"/>
        <w:rPr>
          <w:sz w:val="24"/>
        </w:rPr>
      </w:pPr>
      <w:r>
        <w:rPr>
          <w:rFonts w:hint="eastAsia"/>
          <w:sz w:val="24"/>
        </w:rPr>
        <w:t>Corrosion fatigue fracture of pumping rod[10].</w:t>
      </w:r>
    </w:p>
    <w:p w14:paraId="5028AE08">
      <w:pPr>
        <w:ind w:firstLine="420"/>
        <w:rPr>
          <w:sz w:val="24"/>
        </w:rPr>
      </w:pPr>
    </w:p>
    <w:p w14:paraId="43A938A1">
      <w:pPr>
        <w:rPr>
          <w:sz w:val="24"/>
        </w:rPr>
      </w:pPr>
      <w:r>
        <w:rPr>
          <w:rFonts w:hint="eastAsia"/>
          <w:sz w:val="24"/>
        </w:rPr>
        <w:t>(2) Description of Failure Process</w:t>
      </w:r>
    </w:p>
    <w:p w14:paraId="4DEE5C84">
      <w:pPr>
        <w:ind w:firstLine="420"/>
        <w:rPr>
          <w:sz w:val="24"/>
        </w:rPr>
      </w:pPr>
      <w:r>
        <w:rPr>
          <w:rFonts w:hint="eastAsia"/>
          <w:sz w:val="24"/>
        </w:rPr>
        <w:t>A pumping rod used in an oilfield experienced a sudden fracture after only one month of use. The surface morphology of the failed rod is shown in Figure 2-1.1. Investigation and research revealed noticeable corrosion spots and pits on the surface of the pumping rod after only 5 days of use, as depicted in Figure 2-1.2.</w:t>
      </w:r>
    </w:p>
    <w:p w14:paraId="1ECF75F6">
      <w:pPr>
        <w:pStyle w:val="22"/>
        <w:spacing w:before="156" w:after="468"/>
        <w:rPr>
          <w:color w:val="000000"/>
          <w:kern w:val="0"/>
        </w:rPr>
      </w:pPr>
      <w:r>
        <w:rPr>
          <w:rFonts w:hint="eastAsia"/>
          <w:color w:val="000000"/>
          <w:kern w:val="0"/>
        </w:rPr>
        <w:t>Figure 2-1.1 Surface Morphology of the Fractured Rod</w:t>
      </w:r>
    </w:p>
    <w:p w14:paraId="7CF7BB75">
      <w:pPr>
        <w:pStyle w:val="22"/>
        <w:spacing w:before="156" w:after="468"/>
        <w:rPr>
          <w:color w:val="000000"/>
          <w:kern w:val="0"/>
        </w:rPr>
      </w:pPr>
      <w:r>
        <w:rPr>
          <w:rFonts w:hint="eastAsia"/>
          <w:color w:val="000000"/>
          <w:kern w:val="0"/>
        </w:rPr>
        <w:t>Figure 2-1.2 Pumping Rod after Replacement for Five Days</w:t>
      </w:r>
    </w:p>
    <w:p w14:paraId="46DF680C">
      <w:pPr>
        <w:pStyle w:val="16"/>
        <w:spacing w:before="31" w:after="31"/>
        <w:ind w:firstLine="0" w:firstLineChars="0"/>
        <w:rPr>
          <w:szCs w:val="24"/>
        </w:rPr>
      </w:pPr>
      <w:r>
        <w:rPr>
          <w:rFonts w:hint="eastAsia"/>
          <w:szCs w:val="24"/>
        </w:rPr>
        <w:t>(3) Service Environment</w:t>
      </w:r>
    </w:p>
    <w:p w14:paraId="03A7679C">
      <w:pPr>
        <w:pStyle w:val="16"/>
        <w:spacing w:before="31" w:after="31"/>
        <w:ind w:firstLine="480"/>
        <w:rPr>
          <w:szCs w:val="24"/>
        </w:rPr>
      </w:pPr>
      <w:r>
        <w:rPr>
          <w:rFonts w:hint="eastAsia"/>
          <w:szCs w:val="24"/>
        </w:rPr>
        <w:t>The crude oil contains a high concentration of HCO3- and Cl- ions, along with other metal ions (Mg2+, Na+, and Ca2+), etc.</w:t>
      </w:r>
    </w:p>
    <w:p w14:paraId="483E7794">
      <w:pPr>
        <w:pStyle w:val="16"/>
        <w:spacing w:before="31" w:after="31"/>
        <w:ind w:firstLine="480"/>
        <w:rPr>
          <w:szCs w:val="24"/>
        </w:rPr>
      </w:pPr>
    </w:p>
    <w:p w14:paraId="1F7E538A">
      <w:pPr>
        <w:pStyle w:val="16"/>
        <w:spacing w:before="31" w:after="31"/>
        <w:ind w:firstLine="0" w:firstLineChars="0"/>
        <w:rPr>
          <w:szCs w:val="24"/>
        </w:rPr>
      </w:pPr>
      <w:r>
        <w:rPr>
          <w:rFonts w:hint="eastAsia"/>
          <w:szCs w:val="24"/>
        </w:rPr>
        <w:t>(4) Failed Component and Material</w:t>
      </w:r>
    </w:p>
    <w:p w14:paraId="4C57A8C1">
      <w:pPr>
        <w:pStyle w:val="16"/>
        <w:spacing w:before="31" w:after="31"/>
        <w:ind w:firstLine="480"/>
        <w:rPr>
          <w:szCs w:val="24"/>
        </w:rPr>
      </w:pPr>
      <w:r>
        <w:rPr>
          <w:rFonts w:hint="eastAsia"/>
          <w:szCs w:val="24"/>
        </w:rPr>
        <w:t>The failed component is the pumping rod, made of 30CrMo steel.</w:t>
      </w:r>
    </w:p>
    <w:p w14:paraId="59F1C2DD">
      <w:pPr>
        <w:pStyle w:val="16"/>
        <w:spacing w:before="31" w:after="31"/>
        <w:ind w:firstLine="480"/>
        <w:rPr>
          <w:szCs w:val="24"/>
        </w:rPr>
      </w:pPr>
    </w:p>
    <w:p w14:paraId="2ACD6E74">
      <w:pPr>
        <w:pStyle w:val="16"/>
        <w:spacing w:before="31" w:after="31"/>
        <w:ind w:firstLine="0" w:firstLineChars="0"/>
        <w:rPr>
          <w:szCs w:val="24"/>
        </w:rPr>
      </w:pPr>
      <w:r>
        <w:rPr>
          <w:rFonts w:hint="eastAsia"/>
          <w:szCs w:val="24"/>
        </w:rPr>
        <w:t>(5) Failure Morphology of the Component</w:t>
      </w:r>
    </w:p>
    <w:p w14:paraId="26132DA3">
      <w:pPr>
        <w:pStyle w:val="16"/>
        <w:spacing w:before="31" w:after="31"/>
        <w:ind w:firstLine="480"/>
        <w:rPr>
          <w:szCs w:val="24"/>
        </w:rPr>
      </w:pPr>
      <w:r>
        <w:rPr>
          <w:rFonts w:hint="eastAsia"/>
          <w:szCs w:val="24"/>
        </w:rPr>
        <w:t>Analysis of the failed pumping rod revealed severe corrosion on the fractured surface, exhibiting large corroded patches and pits. The fracture surface of the pumping rod displays a conchoidal shape and instantaneous fracture zone, as shown in Figure 2-1.3. The analysis indicates that the fracture originated from the corrosion pits on the surface of the pumping rod.</w:t>
      </w:r>
    </w:p>
    <w:p w14:paraId="1C1E1C4B">
      <w:pPr>
        <w:pStyle w:val="22"/>
        <w:spacing w:before="156" w:after="468"/>
        <w:rPr>
          <w:sz w:val="24"/>
        </w:rPr>
      </w:pPr>
      <w:r>
        <w:rPr>
          <w:rFonts w:hint="eastAsia" w:eastAsia="宋体"/>
          <w:color w:val="000000"/>
        </w:rPr>
        <w:t>Figure 2-1.3 Macroscopic Fracture Surface Morphology</w:t>
      </w:r>
    </w:p>
    <w:p w14:paraId="4A3021BE">
      <w:pPr>
        <w:pStyle w:val="16"/>
        <w:spacing w:before="31" w:after="31"/>
        <w:ind w:firstLine="0" w:firstLineChars="0"/>
        <w:rPr>
          <w:szCs w:val="24"/>
        </w:rPr>
      </w:pPr>
      <w:r>
        <w:rPr>
          <w:rFonts w:hint="eastAsia"/>
          <w:szCs w:val="24"/>
        </w:rPr>
        <w:t>(6) Failure Cause Analysis</w:t>
      </w:r>
    </w:p>
    <w:p w14:paraId="338B4E37">
      <w:pPr>
        <w:pStyle w:val="16"/>
        <w:spacing w:before="31" w:after="31"/>
        <w:ind w:firstLine="480"/>
        <w:rPr>
          <w:szCs w:val="24"/>
        </w:rPr>
      </w:pPr>
      <w:r>
        <w:rPr>
          <w:rFonts w:hint="eastAsia"/>
          <w:szCs w:val="24"/>
        </w:rPr>
        <w:t>The pumping rod has serious banded structures and is prone to corrosion in the environmental medium. When the surface with banded structures and defects comes into contact with the environmental medium, a galvanic cell is formed due to the potential difference between pearlite and ferrite, resulting in electrochemical corrosion and the formation of corrosion pits on the component's surface. Under the action of working stress, these corrosion pits become crack initiation points, and the cracks gradually propagate inward under cyclic working conditions. Due to the presence of banded structures and different properties between the bands, stress concentration occurs between the bands, accelerating the crack propagation rate. Once the load borne by the gradually decreasing cross-section of the pumping rod exceeds its carrying capacity, fatigue fracture occurs. Therefore, the pumping rod fractured within only one month.</w:t>
      </w:r>
    </w:p>
    <w:p w14:paraId="024465CE">
      <w:pPr>
        <w:pStyle w:val="16"/>
        <w:spacing w:before="31" w:after="31"/>
        <w:ind w:firstLine="480"/>
        <w:rPr>
          <w:szCs w:val="24"/>
        </w:rPr>
      </w:pPr>
    </w:p>
    <w:p w14:paraId="150250CD">
      <w:pPr>
        <w:pStyle w:val="16"/>
        <w:spacing w:before="31" w:after="31"/>
        <w:ind w:firstLine="0" w:firstLineChars="0"/>
        <w:rPr>
          <w:szCs w:val="24"/>
        </w:rPr>
      </w:pPr>
      <w:r>
        <w:rPr>
          <w:rFonts w:hint="eastAsia"/>
          <w:szCs w:val="24"/>
        </w:rPr>
        <w:t>(7) Impact and Harm Caused</w:t>
      </w:r>
    </w:p>
    <w:p w14:paraId="14E28E76">
      <w:pPr>
        <w:pStyle w:val="16"/>
        <w:spacing w:before="31" w:after="31"/>
        <w:ind w:firstLine="480"/>
        <w:rPr>
          <w:szCs w:val="24"/>
        </w:rPr>
      </w:pPr>
      <w:r>
        <w:rPr>
          <w:rFonts w:hint="eastAsia"/>
          <w:szCs w:val="24"/>
        </w:rPr>
        <w:t>Reduced service life of the pumping rod, decreased production efficiency, and potential safety hazards.</w:t>
      </w:r>
    </w:p>
    <w:p w14:paraId="52800202">
      <w:pPr>
        <w:pStyle w:val="16"/>
        <w:spacing w:before="31" w:after="31"/>
        <w:ind w:firstLine="480"/>
        <w:rPr>
          <w:szCs w:val="24"/>
        </w:rPr>
      </w:pPr>
    </w:p>
    <w:p w14:paraId="13D9E8F6">
      <w:pPr>
        <w:pStyle w:val="16"/>
        <w:spacing w:before="31" w:after="31"/>
        <w:ind w:firstLine="0" w:firstLineChars="0"/>
        <w:rPr>
          <w:szCs w:val="24"/>
        </w:rPr>
      </w:pPr>
      <w:r>
        <w:rPr>
          <w:rFonts w:hint="eastAsia"/>
          <w:szCs w:val="24"/>
        </w:rPr>
        <w:t>(8) Conclusion and Improvement Measures</w:t>
      </w:r>
    </w:p>
    <w:p w14:paraId="29CADDDD">
      <w:pPr>
        <w:pStyle w:val="16"/>
        <w:spacing w:before="31" w:after="31"/>
        <w:ind w:firstLine="480"/>
        <w:rPr>
          <w:szCs w:val="24"/>
        </w:rPr>
      </w:pPr>
      <w:r>
        <w:rPr>
          <w:rFonts w:hint="eastAsia"/>
          <w:szCs w:val="24"/>
        </w:rPr>
        <w:t>Improvements in the processing method of the pumping rod are recommended to reduce the unevenness of the structural composition, thereby mitigating the corrosion rate and extending the service life of the pumping rod.</w:t>
      </w:r>
    </w:p>
    <w:p w14:paraId="66AE3F79">
      <w:pPr>
        <w:pStyle w:val="16"/>
        <w:spacing w:before="31" w:after="31"/>
        <w:ind w:firstLine="480"/>
        <w:rPr>
          <w:szCs w:val="24"/>
        </w:rPr>
      </w:pPr>
    </w:p>
    <w:p w14:paraId="45C5FD24">
      <w:pPr>
        <w:pStyle w:val="16"/>
        <w:spacing w:before="31" w:after="31"/>
        <w:ind w:firstLine="0" w:firstLineChars="0"/>
        <w:rPr>
          <w:rFonts w:cs="Times New Roman"/>
          <w:b/>
          <w:bCs/>
          <w:color w:val="000000"/>
          <w:sz w:val="28"/>
          <w:szCs w:val="32"/>
        </w:rPr>
      </w:pPr>
      <w:r>
        <w:rPr>
          <w:rFonts w:hint="eastAsia" w:cs="Times New Roman"/>
          <w:b/>
          <w:bCs/>
          <w:color w:val="000000"/>
          <w:sz w:val="28"/>
          <w:szCs w:val="32"/>
        </w:rPr>
        <w:t>2.2.2 Case Study 2-2: Corrosion Fatigue to Fracture of 20CrMo Pumping Rod</w:t>
      </w:r>
    </w:p>
    <w:p w14:paraId="578D3567">
      <w:pPr>
        <w:pStyle w:val="16"/>
        <w:spacing w:before="31" w:after="31"/>
        <w:ind w:firstLine="480"/>
        <w:rPr>
          <w:szCs w:val="24"/>
        </w:rPr>
      </w:pPr>
    </w:p>
    <w:p w14:paraId="5F469CC3">
      <w:pPr>
        <w:pStyle w:val="16"/>
        <w:spacing w:before="31" w:after="31"/>
        <w:ind w:firstLine="0" w:firstLineChars="0"/>
        <w:rPr>
          <w:szCs w:val="24"/>
        </w:rPr>
      </w:pPr>
      <w:r>
        <w:rPr>
          <w:rFonts w:hint="eastAsia"/>
          <w:szCs w:val="24"/>
        </w:rPr>
        <w:t>(1) Case Name</w:t>
      </w:r>
    </w:p>
    <w:p w14:paraId="32F8D7B5">
      <w:pPr>
        <w:pStyle w:val="16"/>
        <w:spacing w:before="31" w:after="31"/>
        <w:ind w:firstLine="480"/>
        <w:rPr>
          <w:szCs w:val="24"/>
        </w:rPr>
      </w:pPr>
      <w:r>
        <w:rPr>
          <w:rFonts w:hint="eastAsia"/>
          <w:szCs w:val="24"/>
        </w:rPr>
        <w:t>Corrosion fatigue to fracture of 20CrMo pumping rod [11].</w:t>
      </w:r>
    </w:p>
    <w:p w14:paraId="0F77FFB1">
      <w:pPr>
        <w:pStyle w:val="16"/>
        <w:spacing w:before="31" w:after="31"/>
        <w:ind w:firstLine="480"/>
        <w:rPr>
          <w:szCs w:val="24"/>
        </w:rPr>
      </w:pPr>
    </w:p>
    <w:p w14:paraId="0998E0FA">
      <w:pPr>
        <w:pStyle w:val="16"/>
        <w:spacing w:before="31" w:after="31"/>
        <w:ind w:firstLine="0" w:firstLineChars="0"/>
        <w:rPr>
          <w:szCs w:val="24"/>
        </w:rPr>
      </w:pPr>
      <w:r>
        <w:rPr>
          <w:rFonts w:hint="eastAsia"/>
          <w:szCs w:val="24"/>
        </w:rPr>
        <w:t>(2) Failure Process Description</w:t>
      </w:r>
    </w:p>
    <w:p w14:paraId="48FB88B9">
      <w:pPr>
        <w:pStyle w:val="16"/>
        <w:spacing w:before="31" w:after="31"/>
        <w:ind w:firstLine="480"/>
        <w:rPr>
          <w:szCs w:val="24"/>
        </w:rPr>
      </w:pPr>
      <w:r>
        <w:rPr>
          <w:rFonts w:hint="eastAsia"/>
          <w:szCs w:val="24"/>
        </w:rPr>
        <w:t>A pumping rod produced by a petroleum machinery plant experienced sudden fracture after 2 months of service, resulting in the interruption of oil extraction operations and causing certain economic losses.</w:t>
      </w:r>
    </w:p>
    <w:p w14:paraId="74B8F9FF">
      <w:pPr>
        <w:pStyle w:val="16"/>
        <w:spacing w:before="31" w:after="31"/>
        <w:ind w:firstLine="480"/>
        <w:rPr>
          <w:szCs w:val="24"/>
        </w:rPr>
      </w:pPr>
    </w:p>
    <w:p w14:paraId="775B8ED7">
      <w:pPr>
        <w:pStyle w:val="16"/>
        <w:spacing w:before="31" w:after="31"/>
        <w:ind w:firstLine="0" w:firstLineChars="0"/>
        <w:rPr>
          <w:szCs w:val="24"/>
        </w:rPr>
      </w:pPr>
      <w:r>
        <w:rPr>
          <w:rFonts w:hint="eastAsia"/>
          <w:szCs w:val="24"/>
        </w:rPr>
        <w:t>(3) Service Environment</w:t>
      </w:r>
    </w:p>
    <w:p w14:paraId="0E83BAD4">
      <w:pPr>
        <w:pStyle w:val="16"/>
        <w:spacing w:before="31" w:after="31"/>
        <w:ind w:firstLine="480"/>
        <w:rPr>
          <w:szCs w:val="24"/>
        </w:rPr>
      </w:pPr>
      <w:r>
        <w:rPr>
          <w:rFonts w:hint="eastAsia"/>
          <w:szCs w:val="24"/>
        </w:rPr>
        <w:t>According to on-site investigations, the well fluid in the oil well where the pumping rod was located contained a large amount of chloride ions and hydrogen sulfide gas.</w:t>
      </w:r>
    </w:p>
    <w:p w14:paraId="6EA32011">
      <w:pPr>
        <w:pStyle w:val="16"/>
        <w:spacing w:before="31" w:after="31"/>
        <w:ind w:firstLine="480"/>
        <w:rPr>
          <w:szCs w:val="24"/>
        </w:rPr>
      </w:pPr>
    </w:p>
    <w:p w14:paraId="03123034">
      <w:pPr>
        <w:pStyle w:val="16"/>
        <w:spacing w:before="31" w:after="31"/>
        <w:ind w:firstLine="0" w:firstLineChars="0"/>
        <w:rPr>
          <w:szCs w:val="24"/>
        </w:rPr>
      </w:pPr>
      <w:r>
        <w:rPr>
          <w:rFonts w:hint="eastAsia"/>
          <w:szCs w:val="24"/>
        </w:rPr>
        <w:t>(4) Failed Component and Material</w:t>
      </w:r>
    </w:p>
    <w:p w14:paraId="6BCFF076">
      <w:pPr>
        <w:pStyle w:val="16"/>
        <w:spacing w:before="31" w:after="31"/>
        <w:ind w:firstLine="480"/>
        <w:rPr>
          <w:szCs w:val="24"/>
        </w:rPr>
      </w:pPr>
      <w:r>
        <w:rPr>
          <w:rFonts w:hint="eastAsia"/>
          <w:szCs w:val="24"/>
        </w:rPr>
        <w:t>The pumping rod has a diameter of 22mm, made of 20CrMo steel. The rod undergoes quenching and shot blasting treatment. To enhance corrosion fatigue strength and wear resistance, the rod's surface is treated with shot blasting and electroplated with a corrosion-resistant and wear-resistant coating made of W-Ni alloy.</w:t>
      </w:r>
    </w:p>
    <w:p w14:paraId="2348DA34">
      <w:pPr>
        <w:pStyle w:val="16"/>
        <w:spacing w:before="31" w:after="31"/>
        <w:ind w:firstLine="480"/>
        <w:rPr>
          <w:szCs w:val="24"/>
        </w:rPr>
      </w:pPr>
    </w:p>
    <w:p w14:paraId="3CE7C6B2">
      <w:pPr>
        <w:pStyle w:val="16"/>
        <w:spacing w:before="31" w:after="31"/>
        <w:ind w:firstLine="0" w:firstLineChars="0"/>
        <w:rPr>
          <w:szCs w:val="24"/>
        </w:rPr>
      </w:pPr>
      <w:r>
        <w:rPr>
          <w:rFonts w:hint="eastAsia"/>
          <w:szCs w:val="24"/>
        </w:rPr>
        <w:t>(5) Component Failure Morphology</w:t>
      </w:r>
    </w:p>
    <w:p w14:paraId="22BE7149">
      <w:pPr>
        <w:pStyle w:val="16"/>
        <w:spacing w:before="31" w:after="31"/>
        <w:ind w:firstLine="480"/>
        <w:rPr>
          <w:szCs w:val="24"/>
        </w:rPr>
      </w:pPr>
      <w:r>
        <w:rPr>
          <w:rFonts w:hint="eastAsia"/>
          <w:szCs w:val="24"/>
        </w:rPr>
        <w:t>Figure 2-2.1 shows the macroscopic morphology of the fractured pumping rod. Observing the outer surface of the pumping rod, a continuous corrosion groove along the axial direction of the rod, measuring 30mm in length, 12mm in maximum width, and 3mm in depth, is evident near the fracture site. The shape of the groove is long-tongue-like, as shown in Figure 2-2.1 (a). Near the fracture, the corrosion pit is deepest and widest, becoming narrower and shallower as it moves away from the fracture. At the end of the continuous corrosion groove, there are several small conical corrosion pits with diameters of 1-2mm and depths of 0.5-1mm, displaying a discrete axial distribution. These small corrosion pits result from hydrogen sulfide corrosion. As seen in Figure 2-2.1 (b), the cross-section appears reddish-brown, relatively flat overall, with several 5mm pits in local areas. There is no apparent plastic deformation at the fracture site, and a sharp, rough shear lip (pulling edge) with a small area is present on the fracture surface. The macroscopic fracture morphology of the pumping rod exhibits typical corrosion fatigue characteristics: fatigue cracks originate from the deepest part of the corrosion groove on the outer surface of the pumping rod, experiencing axial tension-tension alternating stress during the usage, causing stress concentration at the pit; a smooth crack propagation zone; and a small-sized shear lip in the final fracture area.</w:t>
      </w:r>
    </w:p>
    <w:p w14:paraId="24CC79DD">
      <w:pPr>
        <w:pStyle w:val="16"/>
        <w:numPr>
          <w:ilvl w:val="0"/>
          <w:numId w:val="2"/>
        </w:numPr>
        <w:spacing w:before="31" w:after="31"/>
        <w:ind w:firstLine="480"/>
        <w:rPr>
          <w:szCs w:val="24"/>
        </w:rPr>
      </w:pPr>
      <w:r>
        <w:rPr>
          <w:rFonts w:hint="eastAsia"/>
          <w:szCs w:val="24"/>
        </w:rPr>
        <w:t>Side View of the Cross-Section   (b) Transverse Cross-Section Morphology</w:t>
      </w:r>
    </w:p>
    <w:p w14:paraId="536BD18D">
      <w:pPr>
        <w:pStyle w:val="22"/>
        <w:spacing w:before="156" w:after="468"/>
        <w:rPr>
          <w:sz w:val="24"/>
        </w:rPr>
      </w:pPr>
      <w:r>
        <w:rPr>
          <w:rFonts w:hint="eastAsia" w:eastAsia="宋体"/>
          <w:color w:val="000000"/>
        </w:rPr>
        <w:t>Figure 2-2.1 Macroscopic Morphology of Fractured Pumping Rod</w:t>
      </w:r>
    </w:p>
    <w:p w14:paraId="6A52E5E3">
      <w:pPr>
        <w:pStyle w:val="16"/>
        <w:spacing w:before="31" w:after="31"/>
        <w:ind w:firstLine="0" w:firstLineChars="0"/>
        <w:rPr>
          <w:szCs w:val="24"/>
        </w:rPr>
      </w:pPr>
      <w:r>
        <w:rPr>
          <w:rFonts w:hint="eastAsia"/>
          <w:szCs w:val="24"/>
        </w:rPr>
        <w:t>(6) Failure Cause Analysis</w:t>
      </w:r>
    </w:p>
    <w:p w14:paraId="094A233D">
      <w:pPr>
        <w:pStyle w:val="16"/>
        <w:spacing w:before="31" w:after="31"/>
        <w:ind w:firstLine="480"/>
        <w:rPr>
          <w:szCs w:val="24"/>
        </w:rPr>
      </w:pPr>
      <w:r>
        <w:rPr>
          <w:rFonts w:hint="eastAsia"/>
          <w:szCs w:val="24"/>
        </w:rPr>
        <w:t>Through physical and chemical experimental analysis, the following conclusions were drawn: The fracture of the pumping rod occurred in the form of corrosion fatigue. The cause of corrosion was the uneven and discontinuous corrosion-resistant layer on the surface of the pumping rod, which not only failed to provide protection but also induced electrochemical reactions, resulting in pitting corrosion, forming fatigue crack sources. Under the combined action of alternating stress and corrosion, this eventually led to the fracture of the pumping rod.</w:t>
      </w:r>
    </w:p>
    <w:p w14:paraId="7C36929B">
      <w:pPr>
        <w:pStyle w:val="16"/>
        <w:spacing w:before="31" w:after="31"/>
        <w:ind w:firstLine="480"/>
        <w:rPr>
          <w:szCs w:val="24"/>
        </w:rPr>
      </w:pPr>
    </w:p>
    <w:p w14:paraId="54A32E08">
      <w:pPr>
        <w:pStyle w:val="16"/>
        <w:spacing w:before="31" w:after="31"/>
        <w:ind w:firstLine="0" w:firstLineChars="0"/>
        <w:rPr>
          <w:szCs w:val="24"/>
        </w:rPr>
      </w:pPr>
      <w:r>
        <w:rPr>
          <w:rFonts w:hint="eastAsia"/>
          <w:szCs w:val="24"/>
        </w:rPr>
        <w:t>(7) Impact and Harm Caused</w:t>
      </w:r>
    </w:p>
    <w:p w14:paraId="1329CE23">
      <w:pPr>
        <w:pStyle w:val="16"/>
        <w:spacing w:before="31" w:after="31"/>
        <w:ind w:firstLine="480"/>
        <w:rPr>
          <w:szCs w:val="24"/>
        </w:rPr>
      </w:pPr>
      <w:r>
        <w:rPr>
          <w:rFonts w:hint="eastAsia"/>
          <w:szCs w:val="24"/>
        </w:rPr>
        <w:t>The sudden fracture of the pumping rod led to the interruption of oil extraction operations, causing certain economic losses.</w:t>
      </w:r>
    </w:p>
    <w:p w14:paraId="45D5D767">
      <w:pPr>
        <w:pStyle w:val="16"/>
        <w:spacing w:before="31" w:after="31"/>
        <w:ind w:firstLine="480"/>
        <w:rPr>
          <w:szCs w:val="24"/>
        </w:rPr>
      </w:pPr>
    </w:p>
    <w:p w14:paraId="37B55738">
      <w:pPr>
        <w:pStyle w:val="16"/>
        <w:spacing w:before="31" w:after="31"/>
        <w:ind w:firstLine="0" w:firstLineChars="0"/>
        <w:rPr>
          <w:szCs w:val="24"/>
        </w:rPr>
      </w:pPr>
      <w:r>
        <w:rPr>
          <w:rFonts w:hint="eastAsia"/>
          <w:szCs w:val="24"/>
        </w:rPr>
        <w:t>(8) Conclusion and Improvement Measures</w:t>
      </w:r>
    </w:p>
    <w:p w14:paraId="42DFE027">
      <w:pPr>
        <w:pStyle w:val="16"/>
        <w:spacing w:before="31" w:after="31"/>
        <w:ind w:firstLine="480"/>
        <w:rPr>
          <w:szCs w:val="24"/>
        </w:rPr>
      </w:pPr>
      <w:r>
        <w:rPr>
          <w:rFonts w:hint="eastAsia"/>
          <w:szCs w:val="24"/>
        </w:rPr>
        <w:t>Appropriate corrosion prevention measures should be applied to the pumping rod to reduce corrosion loss. For example, using coatings on the pumping rod's surface that effectively prevent electrochemical reactions.</w:t>
      </w:r>
    </w:p>
    <w:p w14:paraId="21A705B9">
      <w:pPr>
        <w:pStyle w:val="16"/>
        <w:spacing w:before="31" w:after="31"/>
        <w:ind w:firstLine="480"/>
        <w:rPr>
          <w:szCs w:val="24"/>
        </w:rPr>
      </w:pPr>
    </w:p>
    <w:p w14:paraId="1F933D9C">
      <w:pPr>
        <w:pStyle w:val="21"/>
        <w:numPr>
          <w:ilvl w:val="2"/>
          <w:numId w:val="0"/>
        </w:numPr>
        <w:rPr>
          <w:rFonts w:eastAsia="宋体"/>
          <w:color w:val="000000"/>
        </w:rPr>
      </w:pPr>
      <w:r>
        <w:rPr>
          <w:rFonts w:hint="eastAsia" w:eastAsia="宋体"/>
          <w:color w:val="000000"/>
        </w:rPr>
        <w:t>2.2.3 Case Study 2-3: Erosion-Corrosion Leading to Fracture of Oil Pipe</w:t>
      </w:r>
    </w:p>
    <w:p w14:paraId="6EAF545F">
      <w:pPr>
        <w:pStyle w:val="16"/>
        <w:spacing w:before="31" w:after="31"/>
        <w:ind w:firstLine="0" w:firstLineChars="0"/>
        <w:rPr>
          <w:szCs w:val="24"/>
        </w:rPr>
      </w:pPr>
      <w:r>
        <w:rPr>
          <w:rFonts w:hint="eastAsia"/>
          <w:szCs w:val="24"/>
        </w:rPr>
        <w:t>(1) Case Name</w:t>
      </w:r>
    </w:p>
    <w:p w14:paraId="5744C462">
      <w:pPr>
        <w:pStyle w:val="16"/>
        <w:spacing w:before="31" w:after="31"/>
        <w:ind w:firstLine="480"/>
        <w:rPr>
          <w:szCs w:val="24"/>
        </w:rPr>
      </w:pPr>
      <w:r>
        <w:rPr>
          <w:rFonts w:hint="eastAsia"/>
          <w:szCs w:val="24"/>
        </w:rPr>
        <w:t>Erosion-corrosion leading to fracture of oil pipe [12].</w:t>
      </w:r>
    </w:p>
    <w:p w14:paraId="042ED7D2">
      <w:pPr>
        <w:pStyle w:val="16"/>
        <w:spacing w:before="31" w:after="31"/>
        <w:ind w:firstLine="480"/>
        <w:rPr>
          <w:szCs w:val="24"/>
        </w:rPr>
      </w:pPr>
    </w:p>
    <w:p w14:paraId="141A3C34">
      <w:pPr>
        <w:pStyle w:val="16"/>
        <w:spacing w:before="31" w:after="31"/>
        <w:ind w:firstLine="0" w:firstLineChars="0"/>
        <w:rPr>
          <w:szCs w:val="24"/>
        </w:rPr>
      </w:pPr>
      <w:r>
        <w:rPr>
          <w:rFonts w:hint="eastAsia"/>
          <w:szCs w:val="24"/>
        </w:rPr>
        <w:t>(2) Failure Process Description</w:t>
      </w:r>
    </w:p>
    <w:p w14:paraId="4D84511C">
      <w:pPr>
        <w:pStyle w:val="16"/>
        <w:spacing w:before="31" w:after="31"/>
        <w:ind w:firstLine="480"/>
        <w:rPr>
          <w:szCs w:val="24"/>
        </w:rPr>
      </w:pPr>
      <w:r>
        <w:rPr>
          <w:rFonts w:hint="eastAsia"/>
          <w:szCs w:val="24"/>
        </w:rPr>
        <w:t>During an oil well test in a certain oilfield, the downhole operation team of the well testing company discovered anomalies and suspected leakage in the pipe column. Upon retrieving the oil pipe, a hole approximately 1 cm in diameter was found 6.75 m away from the 180th externally thickened oil pipe.</w:t>
      </w:r>
    </w:p>
    <w:p w14:paraId="68287E2E">
      <w:pPr>
        <w:pStyle w:val="16"/>
        <w:spacing w:before="31" w:after="31"/>
        <w:ind w:firstLine="480"/>
        <w:rPr>
          <w:szCs w:val="24"/>
        </w:rPr>
      </w:pPr>
    </w:p>
    <w:p w14:paraId="747D90D6">
      <w:pPr>
        <w:pStyle w:val="16"/>
        <w:spacing w:before="31" w:after="31"/>
        <w:ind w:firstLine="0" w:firstLineChars="0"/>
        <w:rPr>
          <w:szCs w:val="24"/>
        </w:rPr>
      </w:pPr>
      <w:r>
        <w:rPr>
          <w:rFonts w:hint="eastAsia"/>
          <w:szCs w:val="24"/>
        </w:rPr>
        <w:t>(3) Service Environment</w:t>
      </w:r>
    </w:p>
    <w:p w14:paraId="102A51B0">
      <w:pPr>
        <w:pStyle w:val="16"/>
        <w:spacing w:before="31" w:after="31"/>
        <w:ind w:firstLine="480"/>
        <w:rPr>
          <w:szCs w:val="24"/>
        </w:rPr>
      </w:pPr>
      <w:r>
        <w:rPr>
          <w:rFonts w:hint="eastAsia"/>
          <w:szCs w:val="24"/>
        </w:rPr>
        <w:t>The liquid level range of the oil pipe before pumping is 600-1500 m, and the depth of the pump-in is 800-1600 m. The well has a depth of 1781.88 m, a liquid density of 1.15 g/cm3, and during the well testing operation, the internal pressure borne by the oil pipe column ranges from 3 to 18 MPa. The liquid column pressure at the packer position is 20.5 MPa.</w:t>
      </w:r>
    </w:p>
    <w:p w14:paraId="428C8ECD">
      <w:pPr>
        <w:pStyle w:val="16"/>
        <w:spacing w:before="31" w:after="31"/>
        <w:ind w:firstLine="480"/>
        <w:rPr>
          <w:szCs w:val="24"/>
        </w:rPr>
      </w:pPr>
    </w:p>
    <w:p w14:paraId="254F1B5A">
      <w:pPr>
        <w:pStyle w:val="16"/>
        <w:spacing w:before="31" w:after="31"/>
        <w:ind w:firstLine="0" w:firstLineChars="0"/>
        <w:rPr>
          <w:szCs w:val="24"/>
        </w:rPr>
      </w:pPr>
      <w:r>
        <w:rPr>
          <w:rFonts w:hint="eastAsia"/>
          <w:szCs w:val="24"/>
        </w:rPr>
        <w:t>(4) Failed Component and Material</w:t>
      </w:r>
    </w:p>
    <w:p w14:paraId="66D90D1B">
      <w:pPr>
        <w:pStyle w:val="16"/>
        <w:spacing w:before="31" w:after="31"/>
        <w:ind w:firstLine="480"/>
        <w:rPr>
          <w:szCs w:val="24"/>
        </w:rPr>
      </w:pPr>
      <w:r>
        <w:rPr>
          <w:rFonts w:hint="eastAsia"/>
          <w:szCs w:val="24"/>
        </w:rPr>
        <w:t>The oil pipe's crush resistance is 76.9 MPa (11,160 psi). The perforated oil pipe, which had a hole detected from January 29th to May 4th, was lifted and lowered 18 times during this period, and the pump was operated 276 times.</w:t>
      </w:r>
    </w:p>
    <w:p w14:paraId="2FD8B49A">
      <w:pPr>
        <w:pStyle w:val="16"/>
        <w:spacing w:before="31" w:after="31"/>
        <w:ind w:firstLine="480"/>
        <w:rPr>
          <w:szCs w:val="24"/>
        </w:rPr>
      </w:pPr>
    </w:p>
    <w:p w14:paraId="27955216">
      <w:pPr>
        <w:pStyle w:val="16"/>
        <w:spacing w:before="31" w:after="31"/>
        <w:ind w:firstLine="0" w:firstLineChars="0"/>
        <w:rPr>
          <w:szCs w:val="24"/>
        </w:rPr>
      </w:pPr>
      <w:r>
        <w:rPr>
          <w:rFonts w:hint="eastAsia"/>
          <w:szCs w:val="24"/>
        </w:rPr>
        <w:t>(5) Component Failure Morphology</w:t>
      </w:r>
    </w:p>
    <w:p w14:paraId="267ADD2D">
      <w:pPr>
        <w:pStyle w:val="16"/>
        <w:spacing w:before="31" w:after="31"/>
        <w:ind w:firstLine="480"/>
        <w:rPr>
          <w:szCs w:val="24"/>
        </w:rPr>
      </w:pPr>
      <w:r>
        <w:rPr>
          <w:rFonts w:hint="eastAsia"/>
          <w:szCs w:val="24"/>
        </w:rPr>
        <w:t>The morphology of the failed component is shown in Figures 2-3.1 and 2-3.2.</w:t>
      </w:r>
    </w:p>
    <w:p w14:paraId="25D91D57">
      <w:pPr>
        <w:pStyle w:val="22"/>
        <w:spacing w:before="156" w:after="468"/>
        <w:rPr>
          <w:rFonts w:eastAsia="宋体"/>
          <w:color w:val="000000"/>
        </w:rPr>
      </w:pPr>
      <w:r>
        <w:rPr>
          <w:rFonts w:hint="eastAsia" w:eastAsia="宋体"/>
          <w:color w:val="000000"/>
        </w:rPr>
        <w:t>Figure 2-3.1 Morphology of erosion hole starting from the outer wall</w:t>
      </w:r>
    </w:p>
    <w:p w14:paraId="15475046">
      <w:pPr>
        <w:pStyle w:val="16"/>
        <w:spacing w:before="31" w:after="31"/>
        <w:ind w:firstLine="480"/>
        <w:jc w:val="center"/>
        <w:rPr>
          <w:szCs w:val="24"/>
        </w:rPr>
      </w:pPr>
    </w:p>
    <w:p w14:paraId="6BDF53B6">
      <w:pPr>
        <w:pStyle w:val="22"/>
        <w:spacing w:before="156" w:after="468"/>
        <w:rPr>
          <w:sz w:val="24"/>
        </w:rPr>
      </w:pPr>
      <w:r>
        <w:rPr>
          <w:rFonts w:hint="eastAsia" w:eastAsia="宋体"/>
          <w:color w:val="000000"/>
        </w:rPr>
        <w:t>Figure 2-3.2 Erosion hole formed by erosion from the outer wall to the inner wall</w:t>
      </w:r>
    </w:p>
    <w:p w14:paraId="719B557D">
      <w:pPr>
        <w:pStyle w:val="16"/>
        <w:spacing w:before="31" w:after="31"/>
        <w:ind w:firstLine="0" w:firstLineChars="0"/>
        <w:rPr>
          <w:szCs w:val="24"/>
        </w:rPr>
      </w:pPr>
      <w:r>
        <w:rPr>
          <w:rFonts w:hint="eastAsia"/>
          <w:szCs w:val="24"/>
        </w:rPr>
        <w:t>(6) Failure Cause Analysis</w:t>
      </w:r>
    </w:p>
    <w:p w14:paraId="6F2B9DA9">
      <w:pPr>
        <w:pStyle w:val="16"/>
        <w:spacing w:before="31" w:after="31"/>
        <w:ind w:firstLine="480"/>
        <w:rPr>
          <w:szCs w:val="24"/>
        </w:rPr>
      </w:pPr>
      <w:r>
        <w:rPr>
          <w:rFonts w:hint="eastAsia"/>
          <w:szCs w:val="24"/>
        </w:rPr>
        <w:t>Under external pressure, the process of liquid flowing from the outer wall to the inner wall erodes holes in the pipe wall. Meanwhile, during the oil well testing, the oil pipe and the annulus between the pipe and the casing were filled with liquid. Before the suction operation, the liquid level in the oil pipe column changed from 600 to 1500 m. During the suction process, the liquid level in the oil pipe column would decrease, causing the liquid column pressure in the annulus between the oil pipe and the casing to remain higher than the pressure in the oil pipe. The upper section of the oil pipe column in the packer would always bear negative pressure (with a maximum value being the liquid column pressure at the packer position). In the service environment, corrosion occurred at the original defect of the oil pipe, combined with the pressure of the liquid in the annulus between the oil pipe and the casing, resulting in rapid corrosion development that penetrated the original defect and eventually formed a larger hole in the pipe wall.</w:t>
      </w:r>
    </w:p>
    <w:p w14:paraId="774C42F8">
      <w:pPr>
        <w:pStyle w:val="16"/>
        <w:spacing w:before="31" w:after="31"/>
        <w:ind w:firstLine="480"/>
        <w:rPr>
          <w:szCs w:val="24"/>
        </w:rPr>
      </w:pPr>
    </w:p>
    <w:p w14:paraId="43B2178F">
      <w:pPr>
        <w:pStyle w:val="16"/>
        <w:spacing w:before="31" w:after="31"/>
        <w:ind w:firstLine="0" w:firstLineChars="0"/>
        <w:rPr>
          <w:szCs w:val="24"/>
        </w:rPr>
      </w:pPr>
      <w:r>
        <w:rPr>
          <w:rFonts w:hint="eastAsia"/>
          <w:szCs w:val="24"/>
        </w:rPr>
        <w:t>(7) Impact and Harm Caused</w:t>
      </w:r>
    </w:p>
    <w:p w14:paraId="223E9F58">
      <w:pPr>
        <w:pStyle w:val="16"/>
        <w:spacing w:before="31" w:after="31"/>
        <w:ind w:firstLine="480"/>
        <w:rPr>
          <w:szCs w:val="24"/>
        </w:rPr>
      </w:pPr>
      <w:r>
        <w:rPr>
          <w:rFonts w:hint="eastAsia"/>
          <w:szCs w:val="24"/>
        </w:rPr>
        <w:t>The corrosion perforation of the oil pipe led to the failure of the construction process, causing rework.</w:t>
      </w:r>
    </w:p>
    <w:p w14:paraId="5773B701">
      <w:pPr>
        <w:pStyle w:val="16"/>
        <w:spacing w:before="31" w:after="31"/>
        <w:ind w:firstLine="480"/>
        <w:rPr>
          <w:szCs w:val="24"/>
        </w:rPr>
      </w:pPr>
    </w:p>
    <w:p w14:paraId="0D407882">
      <w:pPr>
        <w:pStyle w:val="16"/>
        <w:spacing w:before="31" w:after="31"/>
        <w:ind w:firstLine="0" w:firstLineChars="0"/>
        <w:rPr>
          <w:szCs w:val="24"/>
        </w:rPr>
      </w:pPr>
      <w:r>
        <w:rPr>
          <w:rFonts w:hint="eastAsia"/>
          <w:szCs w:val="24"/>
        </w:rPr>
        <w:t>(8) Conclusion and Improvement Measures</w:t>
      </w:r>
    </w:p>
    <w:p w14:paraId="7D5BD037">
      <w:pPr>
        <w:pStyle w:val="16"/>
        <w:spacing w:before="31" w:after="31"/>
        <w:ind w:firstLine="480"/>
        <w:rPr>
          <w:szCs w:val="24"/>
        </w:rPr>
      </w:pPr>
      <w:r>
        <w:rPr>
          <w:rFonts w:hint="eastAsia"/>
          <w:szCs w:val="24"/>
        </w:rPr>
        <w:t>Enhance detection methods and promptly replace the oil pipe based on monitoring results.</w:t>
      </w:r>
    </w:p>
    <w:p w14:paraId="464FC8A3">
      <w:pPr>
        <w:pStyle w:val="16"/>
        <w:spacing w:before="31" w:after="31"/>
        <w:ind w:firstLine="480"/>
        <w:rPr>
          <w:szCs w:val="24"/>
        </w:rPr>
      </w:pPr>
    </w:p>
    <w:p w14:paraId="7DD0FC63">
      <w:pPr>
        <w:pStyle w:val="21"/>
        <w:numPr>
          <w:ilvl w:val="2"/>
          <w:numId w:val="0"/>
        </w:numPr>
        <w:rPr>
          <w:rFonts w:eastAsia="宋体"/>
          <w:color w:val="000000"/>
        </w:rPr>
      </w:pPr>
      <w:r>
        <w:rPr>
          <w:rFonts w:hint="eastAsia" w:eastAsia="宋体"/>
          <w:color w:val="000000"/>
        </w:rPr>
        <w:t>2.2.4 Case Study 2-4: Weld Cracking in Underground Liquefied Petroleum Gas Storage Tank</w:t>
      </w:r>
    </w:p>
    <w:p w14:paraId="556F66BD">
      <w:pPr>
        <w:pStyle w:val="16"/>
        <w:spacing w:before="31" w:after="31"/>
        <w:ind w:firstLine="0" w:firstLineChars="0"/>
        <w:rPr>
          <w:szCs w:val="24"/>
        </w:rPr>
      </w:pPr>
      <w:r>
        <w:rPr>
          <w:rFonts w:hint="eastAsia"/>
          <w:szCs w:val="24"/>
        </w:rPr>
        <w:t>(1) Case Name</w:t>
      </w:r>
    </w:p>
    <w:p w14:paraId="2DC53568">
      <w:pPr>
        <w:pStyle w:val="16"/>
        <w:spacing w:before="31" w:after="31"/>
        <w:ind w:firstLine="480"/>
        <w:rPr>
          <w:szCs w:val="24"/>
        </w:rPr>
      </w:pPr>
      <w:r>
        <w:rPr>
          <w:rFonts w:hint="eastAsia"/>
          <w:szCs w:val="24"/>
        </w:rPr>
        <w:t>Weld cracking in underground liquefied petroleum gas storage tank [13].</w:t>
      </w:r>
    </w:p>
    <w:p w14:paraId="019E9AF8">
      <w:pPr>
        <w:pStyle w:val="16"/>
        <w:spacing w:before="31" w:after="31"/>
        <w:ind w:firstLine="480"/>
        <w:rPr>
          <w:szCs w:val="24"/>
        </w:rPr>
      </w:pPr>
    </w:p>
    <w:p w14:paraId="3CABDACF">
      <w:pPr>
        <w:pStyle w:val="16"/>
        <w:spacing w:before="31" w:after="31"/>
        <w:ind w:firstLine="0" w:firstLineChars="0"/>
        <w:rPr>
          <w:szCs w:val="24"/>
        </w:rPr>
      </w:pPr>
      <w:r>
        <w:rPr>
          <w:rFonts w:hint="eastAsia"/>
          <w:szCs w:val="24"/>
        </w:rPr>
        <w:t>(2) Failure Process Description</w:t>
      </w:r>
    </w:p>
    <w:p w14:paraId="27F61251">
      <w:pPr>
        <w:pStyle w:val="16"/>
        <w:spacing w:before="31" w:after="31"/>
        <w:ind w:firstLine="480"/>
        <w:rPr>
          <w:szCs w:val="24"/>
        </w:rPr>
      </w:pPr>
      <w:r>
        <w:rPr>
          <w:rFonts w:hint="eastAsia"/>
          <w:szCs w:val="24"/>
        </w:rPr>
        <w:t>A certain underground storage tank storing mixed liquefied petroleum gas, put into operation in 1984, was found to have multiple cracks on the circumferential and longitudinal welds of the inner and outer walls during inspection in 2007.</w:t>
      </w:r>
    </w:p>
    <w:p w14:paraId="26296792">
      <w:pPr>
        <w:pStyle w:val="16"/>
        <w:spacing w:before="31" w:after="31"/>
        <w:ind w:firstLine="480"/>
        <w:rPr>
          <w:szCs w:val="24"/>
        </w:rPr>
      </w:pPr>
    </w:p>
    <w:p w14:paraId="1D772415">
      <w:pPr>
        <w:pStyle w:val="16"/>
        <w:spacing w:before="31" w:after="31"/>
        <w:ind w:firstLine="0" w:firstLineChars="0"/>
        <w:rPr>
          <w:szCs w:val="24"/>
        </w:rPr>
      </w:pPr>
      <w:r>
        <w:rPr>
          <w:rFonts w:hint="eastAsia"/>
          <w:szCs w:val="24"/>
        </w:rPr>
        <w:t>(3) Service Environment</w:t>
      </w:r>
    </w:p>
    <w:p w14:paraId="7EAFFD83">
      <w:pPr>
        <w:pStyle w:val="16"/>
        <w:spacing w:before="31" w:after="31"/>
        <w:ind w:firstLine="480"/>
        <w:rPr>
          <w:szCs w:val="24"/>
        </w:rPr>
      </w:pPr>
      <w:r>
        <w:rPr>
          <w:rFonts w:hint="eastAsia"/>
          <w:szCs w:val="24"/>
        </w:rPr>
        <w:t>The component operates at room temperature, with an operating pressure of 1.44 MPa, and stores a medium of mixed liquefied petroleum gas.</w:t>
      </w:r>
    </w:p>
    <w:p w14:paraId="409D7A29">
      <w:pPr>
        <w:pStyle w:val="16"/>
        <w:spacing w:before="31" w:after="31"/>
        <w:ind w:firstLine="480"/>
        <w:rPr>
          <w:szCs w:val="24"/>
        </w:rPr>
      </w:pPr>
    </w:p>
    <w:p w14:paraId="74643C33">
      <w:pPr>
        <w:pStyle w:val="16"/>
        <w:spacing w:before="31" w:after="31"/>
        <w:ind w:firstLine="0" w:firstLineChars="0"/>
        <w:rPr>
          <w:szCs w:val="24"/>
        </w:rPr>
      </w:pPr>
      <w:r>
        <w:rPr>
          <w:rFonts w:hint="eastAsia"/>
          <w:szCs w:val="24"/>
        </w:rPr>
        <w:t>(4) Failed Component and Material</w:t>
      </w:r>
    </w:p>
    <w:p w14:paraId="44667167">
      <w:pPr>
        <w:pStyle w:val="16"/>
        <w:spacing w:before="31" w:after="31"/>
        <w:ind w:firstLine="480"/>
        <w:rPr>
          <w:szCs w:val="24"/>
        </w:rPr>
      </w:pPr>
      <w:r>
        <w:rPr>
          <w:rFonts w:hint="eastAsia"/>
          <w:szCs w:val="24"/>
        </w:rPr>
        <w:t>(a) Material and Dimensions</w:t>
      </w:r>
    </w:p>
    <w:p w14:paraId="29196671">
      <w:pPr>
        <w:pStyle w:val="16"/>
        <w:spacing w:before="31" w:after="31"/>
        <w:ind w:firstLine="480"/>
        <w:rPr>
          <w:szCs w:val="24"/>
        </w:rPr>
      </w:pPr>
      <w:r>
        <w:rPr>
          <w:rFonts w:hint="eastAsia"/>
          <w:szCs w:val="24"/>
        </w:rPr>
        <w:t>The tank has dimensions of 1600×14×6412 mm, and the cylinder body and heads are made of 16MnR steel. Submerged arc automatic welding was used, with H10MnSi as the submerged arc welding wire. The entire tank body underwent stress-relief heat treatment before leaving the factory.</w:t>
      </w:r>
    </w:p>
    <w:p w14:paraId="4E7BD7B7">
      <w:pPr>
        <w:pStyle w:val="16"/>
        <w:spacing w:before="31" w:after="31"/>
        <w:ind w:firstLine="480"/>
        <w:rPr>
          <w:szCs w:val="24"/>
        </w:rPr>
      </w:pPr>
      <w:r>
        <w:rPr>
          <w:rFonts w:hint="eastAsia"/>
          <w:szCs w:val="24"/>
        </w:rPr>
        <w:t>(b) Chemical Composition</w:t>
      </w:r>
    </w:p>
    <w:p w14:paraId="000F5915">
      <w:pPr>
        <w:pStyle w:val="16"/>
        <w:spacing w:before="31" w:after="31"/>
        <w:ind w:firstLine="480"/>
        <w:rPr>
          <w:szCs w:val="24"/>
        </w:rPr>
      </w:pPr>
      <w:r>
        <w:rPr>
          <w:rFonts w:hint="eastAsia"/>
          <w:szCs w:val="24"/>
        </w:rPr>
        <w:t>The chemical composition of the tank material is shown in Table 2-2.</w:t>
      </w:r>
    </w:p>
    <w:p w14:paraId="67D926AF">
      <w:pPr>
        <w:pStyle w:val="16"/>
        <w:spacing w:before="468" w:beforeLines="150" w:after="156" w:afterLines="50"/>
        <w:ind w:firstLine="0" w:firstLineChars="0"/>
        <w:jc w:val="center"/>
        <w:rPr>
          <w:rFonts w:cs="Times New Roman"/>
          <w:b/>
          <w:sz w:val="21"/>
          <w:szCs w:val="21"/>
        </w:rPr>
      </w:pPr>
      <w:r>
        <w:rPr>
          <w:rFonts w:hint="eastAsia" w:cs="Times New Roman"/>
          <w:b/>
          <w:sz w:val="21"/>
          <w:szCs w:val="21"/>
        </w:rPr>
        <w:t>Table 2-2 Chemical Composition of Tank Material (wt%)</w:t>
      </w:r>
    </w:p>
    <w:tbl>
      <w:tblPr>
        <w:tblStyle w:val="9"/>
        <w:tblW w:w="0" w:type="auto"/>
        <w:tblInd w:w="25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02"/>
        <w:gridCol w:w="1120"/>
        <w:gridCol w:w="1120"/>
        <w:gridCol w:w="1121"/>
        <w:gridCol w:w="1120"/>
        <w:gridCol w:w="1121"/>
        <w:gridCol w:w="1313"/>
      </w:tblGrid>
      <w:tr w14:paraId="40EBF4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2" w:type="dxa"/>
            <w:tcBorders>
              <w:top w:val="single" w:color="auto" w:sz="12" w:space="0"/>
              <w:bottom w:val="single" w:color="auto" w:sz="12" w:space="0"/>
            </w:tcBorders>
            <w:vAlign w:val="center"/>
          </w:tcPr>
          <w:p w14:paraId="10AE004A">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Material</w:t>
            </w:r>
          </w:p>
        </w:tc>
        <w:tc>
          <w:tcPr>
            <w:tcW w:w="1120" w:type="dxa"/>
            <w:tcBorders>
              <w:top w:val="single" w:color="auto" w:sz="12" w:space="0"/>
              <w:bottom w:val="single" w:color="auto" w:sz="12" w:space="0"/>
            </w:tcBorders>
            <w:vAlign w:val="center"/>
          </w:tcPr>
          <w:p w14:paraId="7E4DC988">
            <w:pPr>
              <w:pStyle w:val="16"/>
              <w:spacing w:before="31" w:after="31"/>
              <w:ind w:firstLine="0" w:firstLineChars="0"/>
              <w:jc w:val="center"/>
              <w:rPr>
                <w:rFonts w:cs="Times New Roman"/>
                <w:color w:val="000000"/>
                <w:sz w:val="21"/>
                <w:szCs w:val="21"/>
              </w:rPr>
            </w:pPr>
            <w:r>
              <w:rPr>
                <w:rFonts w:cs="Times New Roman"/>
                <w:color w:val="000000"/>
                <w:sz w:val="21"/>
                <w:szCs w:val="21"/>
              </w:rPr>
              <w:t>C</w:t>
            </w:r>
          </w:p>
        </w:tc>
        <w:tc>
          <w:tcPr>
            <w:tcW w:w="1120" w:type="dxa"/>
            <w:tcBorders>
              <w:top w:val="single" w:color="auto" w:sz="12" w:space="0"/>
              <w:bottom w:val="single" w:color="auto" w:sz="12" w:space="0"/>
            </w:tcBorders>
            <w:vAlign w:val="center"/>
          </w:tcPr>
          <w:p w14:paraId="09395E85">
            <w:pPr>
              <w:pStyle w:val="16"/>
              <w:spacing w:before="31" w:after="31"/>
              <w:ind w:firstLine="0" w:firstLineChars="0"/>
              <w:jc w:val="center"/>
              <w:rPr>
                <w:rFonts w:cs="Times New Roman"/>
                <w:color w:val="000000"/>
                <w:sz w:val="21"/>
                <w:szCs w:val="21"/>
              </w:rPr>
            </w:pPr>
            <w:r>
              <w:rPr>
                <w:rFonts w:cs="Times New Roman"/>
                <w:color w:val="000000"/>
                <w:sz w:val="21"/>
                <w:szCs w:val="21"/>
              </w:rPr>
              <w:t>Mn</w:t>
            </w:r>
          </w:p>
        </w:tc>
        <w:tc>
          <w:tcPr>
            <w:tcW w:w="1121" w:type="dxa"/>
            <w:tcBorders>
              <w:top w:val="single" w:color="auto" w:sz="12" w:space="0"/>
              <w:bottom w:val="single" w:color="auto" w:sz="12" w:space="0"/>
            </w:tcBorders>
            <w:vAlign w:val="center"/>
          </w:tcPr>
          <w:p w14:paraId="78EBCE62">
            <w:pPr>
              <w:pStyle w:val="16"/>
              <w:spacing w:before="31" w:after="31"/>
              <w:ind w:firstLine="0" w:firstLineChars="0"/>
              <w:jc w:val="center"/>
              <w:rPr>
                <w:rFonts w:cs="Times New Roman"/>
                <w:color w:val="000000"/>
                <w:sz w:val="21"/>
                <w:szCs w:val="21"/>
              </w:rPr>
            </w:pPr>
            <w:r>
              <w:rPr>
                <w:rFonts w:cs="Times New Roman"/>
                <w:color w:val="000000"/>
                <w:sz w:val="21"/>
                <w:szCs w:val="21"/>
              </w:rPr>
              <w:t>Si</w:t>
            </w:r>
          </w:p>
        </w:tc>
        <w:tc>
          <w:tcPr>
            <w:tcW w:w="1120" w:type="dxa"/>
            <w:tcBorders>
              <w:top w:val="single" w:color="auto" w:sz="12" w:space="0"/>
              <w:bottom w:val="single" w:color="auto" w:sz="12" w:space="0"/>
            </w:tcBorders>
            <w:vAlign w:val="center"/>
          </w:tcPr>
          <w:p w14:paraId="09597D0A">
            <w:pPr>
              <w:pStyle w:val="16"/>
              <w:spacing w:before="31" w:after="31"/>
              <w:ind w:firstLine="0" w:firstLineChars="0"/>
              <w:jc w:val="center"/>
              <w:rPr>
                <w:rFonts w:cs="Times New Roman"/>
                <w:color w:val="000000"/>
                <w:sz w:val="21"/>
                <w:szCs w:val="21"/>
              </w:rPr>
            </w:pPr>
            <w:r>
              <w:rPr>
                <w:rFonts w:cs="Times New Roman"/>
                <w:color w:val="000000"/>
                <w:sz w:val="21"/>
                <w:szCs w:val="21"/>
              </w:rPr>
              <w:t>S</w:t>
            </w:r>
          </w:p>
        </w:tc>
        <w:tc>
          <w:tcPr>
            <w:tcW w:w="1121" w:type="dxa"/>
            <w:tcBorders>
              <w:top w:val="single" w:color="auto" w:sz="12" w:space="0"/>
              <w:bottom w:val="single" w:color="auto" w:sz="12" w:space="0"/>
            </w:tcBorders>
            <w:vAlign w:val="center"/>
          </w:tcPr>
          <w:p w14:paraId="491EB0CA">
            <w:pPr>
              <w:pStyle w:val="16"/>
              <w:spacing w:before="31" w:after="31"/>
              <w:ind w:firstLine="0" w:firstLineChars="0"/>
              <w:jc w:val="center"/>
              <w:rPr>
                <w:rFonts w:cs="Times New Roman"/>
                <w:color w:val="000000"/>
                <w:sz w:val="21"/>
                <w:szCs w:val="21"/>
              </w:rPr>
            </w:pPr>
            <w:r>
              <w:rPr>
                <w:rFonts w:cs="Times New Roman"/>
                <w:color w:val="000000"/>
                <w:sz w:val="21"/>
                <w:szCs w:val="21"/>
              </w:rPr>
              <w:t>P</w:t>
            </w:r>
          </w:p>
        </w:tc>
        <w:tc>
          <w:tcPr>
            <w:tcW w:w="851" w:type="dxa"/>
            <w:tcBorders>
              <w:top w:val="single" w:color="auto" w:sz="12" w:space="0"/>
              <w:bottom w:val="single" w:color="auto" w:sz="12" w:space="0"/>
            </w:tcBorders>
          </w:tcPr>
          <w:p w14:paraId="39710C27">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Location</w:t>
            </w:r>
          </w:p>
        </w:tc>
      </w:tr>
      <w:tr w14:paraId="6D9D8A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2" w:type="dxa"/>
            <w:tcBorders>
              <w:top w:val="single" w:color="auto" w:sz="12" w:space="0"/>
              <w:bottom w:val="nil"/>
            </w:tcBorders>
            <w:vAlign w:val="center"/>
          </w:tcPr>
          <w:p w14:paraId="3716A01D">
            <w:pPr>
              <w:pStyle w:val="16"/>
              <w:spacing w:before="31" w:after="31"/>
              <w:ind w:firstLine="0" w:firstLineChars="0"/>
              <w:jc w:val="center"/>
              <w:rPr>
                <w:rFonts w:cs="Times New Roman"/>
                <w:color w:val="000000"/>
                <w:sz w:val="21"/>
                <w:szCs w:val="21"/>
              </w:rPr>
            </w:pPr>
            <w:r>
              <w:rPr>
                <w:rFonts w:cs="Times New Roman"/>
                <w:color w:val="000000"/>
                <w:sz w:val="21"/>
                <w:szCs w:val="21"/>
              </w:rPr>
              <w:t>16MnR</w:t>
            </w:r>
          </w:p>
        </w:tc>
        <w:tc>
          <w:tcPr>
            <w:tcW w:w="1120" w:type="dxa"/>
            <w:tcBorders>
              <w:top w:val="single" w:color="auto" w:sz="12" w:space="0"/>
              <w:bottom w:val="nil"/>
            </w:tcBorders>
            <w:vAlign w:val="center"/>
          </w:tcPr>
          <w:p w14:paraId="7A093766">
            <w:pPr>
              <w:pStyle w:val="16"/>
              <w:spacing w:before="31" w:after="31"/>
              <w:ind w:firstLine="0" w:firstLineChars="0"/>
              <w:jc w:val="center"/>
              <w:rPr>
                <w:rFonts w:cs="Times New Roman"/>
                <w:color w:val="000000"/>
                <w:sz w:val="21"/>
                <w:szCs w:val="21"/>
              </w:rPr>
            </w:pPr>
            <w:r>
              <w:rPr>
                <w:rFonts w:cs="Times New Roman"/>
                <w:color w:val="000000"/>
                <w:sz w:val="21"/>
                <w:szCs w:val="21"/>
              </w:rPr>
              <w:t>0.130</w:t>
            </w:r>
          </w:p>
        </w:tc>
        <w:tc>
          <w:tcPr>
            <w:tcW w:w="1120" w:type="dxa"/>
            <w:tcBorders>
              <w:top w:val="single" w:color="auto" w:sz="12" w:space="0"/>
              <w:bottom w:val="nil"/>
            </w:tcBorders>
            <w:vAlign w:val="center"/>
          </w:tcPr>
          <w:p w14:paraId="4E9F2D1B">
            <w:pPr>
              <w:pStyle w:val="16"/>
              <w:spacing w:before="31" w:after="31"/>
              <w:ind w:firstLine="0" w:firstLineChars="0"/>
              <w:jc w:val="center"/>
              <w:rPr>
                <w:rFonts w:cs="Times New Roman"/>
                <w:color w:val="000000"/>
                <w:sz w:val="21"/>
                <w:szCs w:val="21"/>
              </w:rPr>
            </w:pPr>
            <w:r>
              <w:rPr>
                <w:rFonts w:cs="Times New Roman"/>
                <w:color w:val="000000"/>
                <w:sz w:val="21"/>
                <w:szCs w:val="21"/>
              </w:rPr>
              <w:t>1.430</w:t>
            </w:r>
          </w:p>
        </w:tc>
        <w:tc>
          <w:tcPr>
            <w:tcW w:w="1121" w:type="dxa"/>
            <w:tcBorders>
              <w:top w:val="single" w:color="auto" w:sz="12" w:space="0"/>
              <w:bottom w:val="nil"/>
            </w:tcBorders>
            <w:vAlign w:val="center"/>
          </w:tcPr>
          <w:p w14:paraId="4B9231C2">
            <w:pPr>
              <w:pStyle w:val="16"/>
              <w:spacing w:before="31" w:after="31"/>
              <w:ind w:firstLine="0" w:firstLineChars="0"/>
              <w:jc w:val="center"/>
              <w:rPr>
                <w:rFonts w:cs="Times New Roman"/>
                <w:color w:val="000000"/>
                <w:sz w:val="21"/>
                <w:szCs w:val="21"/>
              </w:rPr>
            </w:pPr>
            <w:r>
              <w:rPr>
                <w:rFonts w:cs="Times New Roman"/>
                <w:color w:val="000000"/>
                <w:sz w:val="21"/>
                <w:szCs w:val="21"/>
              </w:rPr>
              <w:t>0.416</w:t>
            </w:r>
          </w:p>
        </w:tc>
        <w:tc>
          <w:tcPr>
            <w:tcW w:w="1120" w:type="dxa"/>
            <w:tcBorders>
              <w:top w:val="single" w:color="auto" w:sz="12" w:space="0"/>
              <w:bottom w:val="nil"/>
            </w:tcBorders>
            <w:vAlign w:val="center"/>
          </w:tcPr>
          <w:p w14:paraId="428BCE39">
            <w:pPr>
              <w:pStyle w:val="16"/>
              <w:spacing w:before="31" w:after="31"/>
              <w:ind w:firstLine="0" w:firstLineChars="0"/>
              <w:jc w:val="center"/>
              <w:rPr>
                <w:rFonts w:cs="Times New Roman"/>
                <w:color w:val="000000"/>
                <w:sz w:val="21"/>
                <w:szCs w:val="21"/>
              </w:rPr>
            </w:pPr>
            <w:r>
              <w:rPr>
                <w:rFonts w:cs="Times New Roman"/>
                <w:color w:val="000000"/>
                <w:sz w:val="21"/>
                <w:szCs w:val="21"/>
              </w:rPr>
              <w:t>0.02</w:t>
            </w:r>
          </w:p>
        </w:tc>
        <w:tc>
          <w:tcPr>
            <w:tcW w:w="1121" w:type="dxa"/>
            <w:tcBorders>
              <w:top w:val="single" w:color="auto" w:sz="12" w:space="0"/>
              <w:bottom w:val="nil"/>
            </w:tcBorders>
            <w:vAlign w:val="center"/>
          </w:tcPr>
          <w:p w14:paraId="08732605">
            <w:pPr>
              <w:pStyle w:val="16"/>
              <w:spacing w:before="31" w:after="31"/>
              <w:ind w:firstLine="0" w:firstLineChars="0"/>
              <w:jc w:val="center"/>
              <w:rPr>
                <w:rFonts w:cs="Times New Roman"/>
                <w:color w:val="000000"/>
                <w:sz w:val="21"/>
                <w:szCs w:val="21"/>
              </w:rPr>
            </w:pPr>
            <w:r>
              <w:rPr>
                <w:rFonts w:cs="Times New Roman"/>
                <w:color w:val="000000"/>
                <w:sz w:val="21"/>
                <w:szCs w:val="21"/>
              </w:rPr>
              <w:t>0.024</w:t>
            </w:r>
          </w:p>
        </w:tc>
        <w:tc>
          <w:tcPr>
            <w:tcW w:w="851" w:type="dxa"/>
            <w:tcBorders>
              <w:top w:val="single" w:color="auto" w:sz="12" w:space="0"/>
              <w:bottom w:val="nil"/>
            </w:tcBorders>
          </w:tcPr>
          <w:p w14:paraId="448641F7">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Head base metal</w:t>
            </w:r>
          </w:p>
        </w:tc>
      </w:tr>
      <w:tr w14:paraId="01575C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2" w:type="dxa"/>
            <w:tcBorders>
              <w:top w:val="nil"/>
            </w:tcBorders>
            <w:vAlign w:val="center"/>
          </w:tcPr>
          <w:p w14:paraId="4FE0E8C7">
            <w:pPr>
              <w:pStyle w:val="16"/>
              <w:spacing w:before="31" w:after="31"/>
              <w:ind w:firstLine="0" w:firstLineChars="0"/>
              <w:jc w:val="center"/>
              <w:rPr>
                <w:rFonts w:cs="Times New Roman"/>
                <w:color w:val="000000"/>
                <w:sz w:val="21"/>
                <w:szCs w:val="21"/>
              </w:rPr>
            </w:pPr>
            <w:r>
              <w:rPr>
                <w:rFonts w:cs="Times New Roman"/>
                <w:color w:val="000000"/>
                <w:sz w:val="21"/>
                <w:szCs w:val="21"/>
              </w:rPr>
              <w:t>16MnR</w:t>
            </w:r>
          </w:p>
        </w:tc>
        <w:tc>
          <w:tcPr>
            <w:tcW w:w="1120" w:type="dxa"/>
            <w:tcBorders>
              <w:top w:val="nil"/>
            </w:tcBorders>
            <w:vAlign w:val="center"/>
          </w:tcPr>
          <w:p w14:paraId="024EEC0B">
            <w:pPr>
              <w:pStyle w:val="16"/>
              <w:spacing w:before="31" w:after="31"/>
              <w:ind w:firstLine="0" w:firstLineChars="0"/>
              <w:jc w:val="center"/>
              <w:rPr>
                <w:rFonts w:cs="Times New Roman"/>
                <w:color w:val="000000"/>
                <w:sz w:val="21"/>
                <w:szCs w:val="21"/>
              </w:rPr>
            </w:pPr>
            <w:r>
              <w:rPr>
                <w:rFonts w:cs="Times New Roman"/>
                <w:color w:val="000000"/>
                <w:sz w:val="21"/>
                <w:szCs w:val="21"/>
              </w:rPr>
              <w:t>0.120</w:t>
            </w:r>
          </w:p>
        </w:tc>
        <w:tc>
          <w:tcPr>
            <w:tcW w:w="1120" w:type="dxa"/>
            <w:tcBorders>
              <w:top w:val="nil"/>
            </w:tcBorders>
            <w:vAlign w:val="center"/>
          </w:tcPr>
          <w:p w14:paraId="28C21BFE">
            <w:pPr>
              <w:pStyle w:val="16"/>
              <w:spacing w:before="31" w:after="31"/>
              <w:ind w:firstLine="0" w:firstLineChars="0"/>
              <w:jc w:val="center"/>
              <w:rPr>
                <w:rFonts w:cs="Times New Roman"/>
                <w:color w:val="000000"/>
                <w:sz w:val="21"/>
                <w:szCs w:val="21"/>
              </w:rPr>
            </w:pPr>
            <w:r>
              <w:rPr>
                <w:rFonts w:cs="Times New Roman"/>
                <w:color w:val="000000"/>
                <w:sz w:val="21"/>
                <w:szCs w:val="21"/>
              </w:rPr>
              <w:t>1.370</w:t>
            </w:r>
          </w:p>
        </w:tc>
        <w:tc>
          <w:tcPr>
            <w:tcW w:w="1121" w:type="dxa"/>
            <w:tcBorders>
              <w:top w:val="nil"/>
            </w:tcBorders>
            <w:vAlign w:val="center"/>
          </w:tcPr>
          <w:p w14:paraId="39B8A961">
            <w:pPr>
              <w:pStyle w:val="16"/>
              <w:spacing w:before="31" w:after="31"/>
              <w:ind w:firstLine="0" w:firstLineChars="0"/>
              <w:jc w:val="center"/>
              <w:rPr>
                <w:rFonts w:cs="Times New Roman"/>
                <w:color w:val="000000"/>
                <w:sz w:val="21"/>
                <w:szCs w:val="21"/>
              </w:rPr>
            </w:pPr>
            <w:r>
              <w:rPr>
                <w:rFonts w:cs="Times New Roman"/>
                <w:color w:val="000000"/>
                <w:sz w:val="21"/>
                <w:szCs w:val="21"/>
              </w:rPr>
              <w:t>0.379</w:t>
            </w:r>
          </w:p>
        </w:tc>
        <w:tc>
          <w:tcPr>
            <w:tcW w:w="1120" w:type="dxa"/>
            <w:tcBorders>
              <w:top w:val="nil"/>
            </w:tcBorders>
            <w:vAlign w:val="center"/>
          </w:tcPr>
          <w:p w14:paraId="7C46D15D">
            <w:pPr>
              <w:pStyle w:val="16"/>
              <w:spacing w:before="31" w:after="31"/>
              <w:ind w:firstLine="0" w:firstLineChars="0"/>
              <w:jc w:val="center"/>
              <w:rPr>
                <w:rFonts w:cs="Times New Roman"/>
                <w:color w:val="000000"/>
                <w:sz w:val="21"/>
                <w:szCs w:val="21"/>
              </w:rPr>
            </w:pPr>
            <w:r>
              <w:rPr>
                <w:rFonts w:cs="Times New Roman"/>
                <w:color w:val="000000"/>
                <w:sz w:val="21"/>
                <w:szCs w:val="21"/>
              </w:rPr>
              <w:t>0.024</w:t>
            </w:r>
          </w:p>
        </w:tc>
        <w:tc>
          <w:tcPr>
            <w:tcW w:w="1121" w:type="dxa"/>
            <w:tcBorders>
              <w:top w:val="nil"/>
            </w:tcBorders>
            <w:vAlign w:val="center"/>
          </w:tcPr>
          <w:p w14:paraId="43DAE8E7">
            <w:pPr>
              <w:pStyle w:val="16"/>
              <w:spacing w:before="31" w:after="31"/>
              <w:ind w:firstLine="0" w:firstLineChars="0"/>
              <w:jc w:val="center"/>
              <w:rPr>
                <w:rFonts w:cs="Times New Roman"/>
                <w:color w:val="000000"/>
                <w:sz w:val="21"/>
                <w:szCs w:val="21"/>
              </w:rPr>
            </w:pPr>
            <w:r>
              <w:rPr>
                <w:rFonts w:cs="Times New Roman"/>
                <w:color w:val="000000"/>
                <w:sz w:val="21"/>
                <w:szCs w:val="21"/>
              </w:rPr>
              <w:t>0.020</w:t>
            </w:r>
          </w:p>
        </w:tc>
        <w:tc>
          <w:tcPr>
            <w:tcW w:w="851" w:type="dxa"/>
            <w:tcBorders>
              <w:top w:val="nil"/>
            </w:tcBorders>
          </w:tcPr>
          <w:p w14:paraId="4025B32B">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Cylinder base metal</w:t>
            </w:r>
          </w:p>
        </w:tc>
      </w:tr>
      <w:tr w14:paraId="4AAAEC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2" w:type="dxa"/>
            <w:vAlign w:val="center"/>
          </w:tcPr>
          <w:p w14:paraId="0F92D891">
            <w:pPr>
              <w:pStyle w:val="16"/>
              <w:spacing w:before="31" w:after="31"/>
              <w:ind w:firstLine="0" w:firstLineChars="0"/>
              <w:jc w:val="center"/>
              <w:rPr>
                <w:rFonts w:cs="Times New Roman"/>
                <w:color w:val="000000"/>
                <w:sz w:val="21"/>
                <w:szCs w:val="21"/>
              </w:rPr>
            </w:pPr>
            <w:r>
              <w:rPr>
                <w:rFonts w:cs="Times New Roman"/>
                <w:color w:val="000000"/>
                <w:sz w:val="21"/>
                <w:szCs w:val="21"/>
              </w:rPr>
              <w:t>16MnR</w:t>
            </w:r>
          </w:p>
        </w:tc>
        <w:tc>
          <w:tcPr>
            <w:tcW w:w="1120" w:type="dxa"/>
            <w:vAlign w:val="center"/>
          </w:tcPr>
          <w:p w14:paraId="0F8AE854">
            <w:pPr>
              <w:pStyle w:val="16"/>
              <w:spacing w:before="31" w:after="31"/>
              <w:ind w:firstLine="0" w:firstLineChars="0"/>
              <w:jc w:val="center"/>
              <w:rPr>
                <w:rFonts w:cs="Times New Roman"/>
                <w:color w:val="000000"/>
                <w:sz w:val="21"/>
                <w:szCs w:val="21"/>
              </w:rPr>
            </w:pPr>
            <w:r>
              <w:rPr>
                <w:rFonts w:cs="Times New Roman"/>
                <w:color w:val="000000"/>
                <w:sz w:val="21"/>
                <w:szCs w:val="21"/>
              </w:rPr>
              <w:t>1.113</w:t>
            </w:r>
          </w:p>
        </w:tc>
        <w:tc>
          <w:tcPr>
            <w:tcW w:w="1120" w:type="dxa"/>
            <w:vAlign w:val="center"/>
          </w:tcPr>
          <w:p w14:paraId="5EFF9F97">
            <w:pPr>
              <w:pStyle w:val="16"/>
              <w:spacing w:before="31" w:after="31"/>
              <w:ind w:firstLine="0" w:firstLineChars="0"/>
              <w:jc w:val="center"/>
              <w:rPr>
                <w:rFonts w:cs="Times New Roman"/>
                <w:color w:val="000000"/>
                <w:sz w:val="21"/>
                <w:szCs w:val="21"/>
              </w:rPr>
            </w:pPr>
            <w:r>
              <w:rPr>
                <w:rFonts w:cs="Times New Roman"/>
                <w:color w:val="000000"/>
                <w:sz w:val="21"/>
                <w:szCs w:val="21"/>
              </w:rPr>
              <w:t>1.390</w:t>
            </w:r>
          </w:p>
        </w:tc>
        <w:tc>
          <w:tcPr>
            <w:tcW w:w="1121" w:type="dxa"/>
            <w:vAlign w:val="center"/>
          </w:tcPr>
          <w:p w14:paraId="0F9A477A">
            <w:pPr>
              <w:pStyle w:val="16"/>
              <w:spacing w:before="31" w:after="31"/>
              <w:ind w:firstLine="0" w:firstLineChars="0"/>
              <w:jc w:val="center"/>
              <w:rPr>
                <w:rFonts w:cs="Times New Roman"/>
                <w:color w:val="000000"/>
                <w:sz w:val="21"/>
                <w:szCs w:val="21"/>
              </w:rPr>
            </w:pPr>
            <w:r>
              <w:rPr>
                <w:rFonts w:cs="Times New Roman"/>
                <w:color w:val="000000"/>
                <w:sz w:val="21"/>
                <w:szCs w:val="21"/>
              </w:rPr>
              <w:t>0.366</w:t>
            </w:r>
          </w:p>
        </w:tc>
        <w:tc>
          <w:tcPr>
            <w:tcW w:w="1120" w:type="dxa"/>
            <w:vAlign w:val="center"/>
          </w:tcPr>
          <w:p w14:paraId="2CB4C66C">
            <w:pPr>
              <w:pStyle w:val="16"/>
              <w:spacing w:before="31" w:after="31"/>
              <w:ind w:firstLine="0" w:firstLineChars="0"/>
              <w:jc w:val="center"/>
              <w:rPr>
                <w:rFonts w:cs="Times New Roman"/>
                <w:color w:val="000000"/>
                <w:sz w:val="21"/>
                <w:szCs w:val="21"/>
              </w:rPr>
            </w:pPr>
            <w:r>
              <w:rPr>
                <w:rFonts w:cs="Times New Roman"/>
                <w:color w:val="000000"/>
                <w:sz w:val="21"/>
                <w:szCs w:val="21"/>
              </w:rPr>
              <w:t>0.024</w:t>
            </w:r>
          </w:p>
        </w:tc>
        <w:tc>
          <w:tcPr>
            <w:tcW w:w="1121" w:type="dxa"/>
            <w:vAlign w:val="center"/>
          </w:tcPr>
          <w:p w14:paraId="2E2CF26E">
            <w:pPr>
              <w:pStyle w:val="16"/>
              <w:spacing w:before="31" w:after="31"/>
              <w:ind w:firstLine="0" w:firstLineChars="0"/>
              <w:jc w:val="center"/>
              <w:rPr>
                <w:rFonts w:cs="Times New Roman"/>
                <w:color w:val="000000"/>
                <w:sz w:val="21"/>
                <w:szCs w:val="21"/>
              </w:rPr>
            </w:pPr>
            <w:r>
              <w:rPr>
                <w:rFonts w:cs="Times New Roman"/>
                <w:color w:val="000000"/>
                <w:sz w:val="21"/>
                <w:szCs w:val="21"/>
              </w:rPr>
              <w:t>0.019</w:t>
            </w:r>
          </w:p>
        </w:tc>
        <w:tc>
          <w:tcPr>
            <w:tcW w:w="851" w:type="dxa"/>
          </w:tcPr>
          <w:p w14:paraId="0D5D2D99">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Cylinder base metal</w:t>
            </w:r>
          </w:p>
        </w:tc>
      </w:tr>
      <w:tr w14:paraId="45741C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2" w:type="dxa"/>
            <w:vAlign w:val="center"/>
          </w:tcPr>
          <w:p w14:paraId="1A427A67">
            <w:pPr>
              <w:pStyle w:val="16"/>
              <w:spacing w:before="31" w:after="31"/>
              <w:ind w:firstLine="0" w:firstLineChars="0"/>
              <w:jc w:val="center"/>
              <w:rPr>
                <w:rFonts w:cs="Times New Roman"/>
                <w:color w:val="000000"/>
                <w:sz w:val="21"/>
                <w:szCs w:val="21"/>
              </w:rPr>
            </w:pPr>
            <w:r>
              <w:rPr>
                <w:rFonts w:cs="Times New Roman"/>
                <w:color w:val="000000"/>
                <w:sz w:val="21"/>
                <w:szCs w:val="21"/>
              </w:rPr>
              <w:t>H10MnSi</w:t>
            </w:r>
          </w:p>
        </w:tc>
        <w:tc>
          <w:tcPr>
            <w:tcW w:w="1120" w:type="dxa"/>
            <w:vAlign w:val="center"/>
          </w:tcPr>
          <w:p w14:paraId="035E8156">
            <w:pPr>
              <w:pStyle w:val="16"/>
              <w:spacing w:before="31" w:after="31"/>
              <w:ind w:firstLine="0" w:firstLineChars="0"/>
              <w:jc w:val="center"/>
              <w:rPr>
                <w:rFonts w:cs="Times New Roman"/>
                <w:color w:val="000000"/>
                <w:sz w:val="21"/>
                <w:szCs w:val="21"/>
              </w:rPr>
            </w:pPr>
            <w:r>
              <w:rPr>
                <w:rFonts w:cs="Times New Roman"/>
                <w:color w:val="000000"/>
                <w:sz w:val="21"/>
                <w:szCs w:val="21"/>
              </w:rPr>
              <w:t>0.086</w:t>
            </w:r>
          </w:p>
        </w:tc>
        <w:tc>
          <w:tcPr>
            <w:tcW w:w="1120" w:type="dxa"/>
            <w:vAlign w:val="center"/>
          </w:tcPr>
          <w:p w14:paraId="5B947165">
            <w:pPr>
              <w:pStyle w:val="16"/>
              <w:spacing w:before="31" w:after="31"/>
              <w:ind w:firstLine="0" w:firstLineChars="0"/>
              <w:jc w:val="center"/>
              <w:rPr>
                <w:rFonts w:cs="Times New Roman"/>
                <w:color w:val="000000"/>
                <w:sz w:val="21"/>
                <w:szCs w:val="21"/>
              </w:rPr>
            </w:pPr>
            <w:r>
              <w:rPr>
                <w:rFonts w:cs="Times New Roman"/>
                <w:color w:val="000000"/>
                <w:sz w:val="21"/>
                <w:szCs w:val="21"/>
              </w:rPr>
              <w:t>1.610</w:t>
            </w:r>
          </w:p>
        </w:tc>
        <w:tc>
          <w:tcPr>
            <w:tcW w:w="1121" w:type="dxa"/>
            <w:vAlign w:val="center"/>
          </w:tcPr>
          <w:p w14:paraId="68CF0F86">
            <w:pPr>
              <w:pStyle w:val="16"/>
              <w:spacing w:before="31" w:after="31"/>
              <w:ind w:firstLine="0" w:firstLineChars="0"/>
              <w:jc w:val="center"/>
              <w:rPr>
                <w:rFonts w:cs="Times New Roman"/>
                <w:color w:val="000000"/>
                <w:sz w:val="21"/>
                <w:szCs w:val="21"/>
              </w:rPr>
            </w:pPr>
            <w:r>
              <w:rPr>
                <w:rFonts w:cs="Times New Roman"/>
                <w:color w:val="000000"/>
                <w:sz w:val="21"/>
                <w:szCs w:val="21"/>
              </w:rPr>
              <w:t>0.413</w:t>
            </w:r>
          </w:p>
        </w:tc>
        <w:tc>
          <w:tcPr>
            <w:tcW w:w="1120" w:type="dxa"/>
            <w:vAlign w:val="center"/>
          </w:tcPr>
          <w:p w14:paraId="6A936DBB">
            <w:pPr>
              <w:pStyle w:val="16"/>
              <w:spacing w:before="31" w:after="31"/>
              <w:ind w:firstLine="0" w:firstLineChars="0"/>
              <w:jc w:val="center"/>
              <w:rPr>
                <w:rFonts w:cs="Times New Roman"/>
                <w:color w:val="000000"/>
                <w:sz w:val="21"/>
                <w:szCs w:val="21"/>
              </w:rPr>
            </w:pPr>
            <w:r>
              <w:rPr>
                <w:rFonts w:cs="Times New Roman"/>
                <w:color w:val="000000"/>
                <w:sz w:val="21"/>
                <w:szCs w:val="21"/>
              </w:rPr>
              <w:t>0.021</w:t>
            </w:r>
          </w:p>
        </w:tc>
        <w:tc>
          <w:tcPr>
            <w:tcW w:w="1121" w:type="dxa"/>
            <w:vAlign w:val="center"/>
          </w:tcPr>
          <w:p w14:paraId="34E587E9">
            <w:pPr>
              <w:pStyle w:val="16"/>
              <w:spacing w:before="31" w:after="31"/>
              <w:ind w:firstLine="0" w:firstLineChars="0"/>
              <w:jc w:val="center"/>
              <w:rPr>
                <w:rFonts w:cs="Times New Roman"/>
                <w:color w:val="000000"/>
                <w:sz w:val="21"/>
                <w:szCs w:val="21"/>
              </w:rPr>
            </w:pPr>
            <w:r>
              <w:rPr>
                <w:rFonts w:cs="Times New Roman"/>
                <w:color w:val="000000"/>
                <w:sz w:val="21"/>
                <w:szCs w:val="21"/>
              </w:rPr>
              <w:t>0.028</w:t>
            </w:r>
          </w:p>
        </w:tc>
        <w:tc>
          <w:tcPr>
            <w:tcW w:w="851" w:type="dxa"/>
          </w:tcPr>
          <w:p w14:paraId="649BBB7A">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Cylinder weld seam</w:t>
            </w:r>
          </w:p>
        </w:tc>
      </w:tr>
      <w:tr w14:paraId="6B06D5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2" w:type="dxa"/>
            <w:vAlign w:val="center"/>
          </w:tcPr>
          <w:p w14:paraId="126C906E">
            <w:pPr>
              <w:pStyle w:val="16"/>
              <w:spacing w:before="31" w:after="31"/>
              <w:ind w:firstLine="0" w:firstLineChars="0"/>
              <w:jc w:val="center"/>
              <w:rPr>
                <w:rFonts w:cs="Times New Roman"/>
                <w:color w:val="000000"/>
                <w:sz w:val="21"/>
                <w:szCs w:val="21"/>
              </w:rPr>
            </w:pPr>
            <w:r>
              <w:rPr>
                <w:rFonts w:cs="Times New Roman"/>
                <w:color w:val="000000"/>
                <w:sz w:val="21"/>
                <w:szCs w:val="21"/>
              </w:rPr>
              <w:t>16MnR</w:t>
            </w:r>
          </w:p>
        </w:tc>
        <w:tc>
          <w:tcPr>
            <w:tcW w:w="1120" w:type="dxa"/>
            <w:vAlign w:val="center"/>
          </w:tcPr>
          <w:p w14:paraId="69ED82E2">
            <w:pPr>
              <w:pStyle w:val="16"/>
              <w:spacing w:before="31" w:after="31"/>
              <w:ind w:firstLine="0" w:firstLineChars="0"/>
              <w:jc w:val="center"/>
              <w:rPr>
                <w:rFonts w:cs="Times New Roman"/>
                <w:color w:val="000000"/>
                <w:sz w:val="21"/>
                <w:szCs w:val="21"/>
              </w:rPr>
            </w:pPr>
            <w:r>
              <w:rPr>
                <w:rFonts w:cs="Times New Roman"/>
                <w:color w:val="000000"/>
                <w:sz w:val="21"/>
                <w:szCs w:val="21"/>
              </w:rPr>
              <w:t>≤0.20</w:t>
            </w:r>
          </w:p>
        </w:tc>
        <w:tc>
          <w:tcPr>
            <w:tcW w:w="1120" w:type="dxa"/>
            <w:vAlign w:val="center"/>
          </w:tcPr>
          <w:p w14:paraId="57C2F769">
            <w:pPr>
              <w:pStyle w:val="16"/>
              <w:spacing w:before="31" w:after="31"/>
              <w:ind w:firstLine="0" w:firstLineChars="0"/>
              <w:jc w:val="center"/>
              <w:rPr>
                <w:rFonts w:cs="Times New Roman"/>
                <w:color w:val="000000"/>
                <w:sz w:val="21"/>
                <w:szCs w:val="21"/>
              </w:rPr>
            </w:pPr>
            <w:r>
              <w:rPr>
                <w:rFonts w:cs="Times New Roman"/>
                <w:color w:val="000000"/>
                <w:sz w:val="21"/>
                <w:szCs w:val="21"/>
              </w:rPr>
              <w:t>1.20-1.60</w:t>
            </w:r>
          </w:p>
        </w:tc>
        <w:tc>
          <w:tcPr>
            <w:tcW w:w="1121" w:type="dxa"/>
            <w:vAlign w:val="center"/>
          </w:tcPr>
          <w:p w14:paraId="6D9A52C8">
            <w:pPr>
              <w:pStyle w:val="16"/>
              <w:spacing w:before="31" w:after="31"/>
              <w:ind w:firstLine="0" w:firstLineChars="0"/>
              <w:jc w:val="center"/>
              <w:rPr>
                <w:rFonts w:cs="Times New Roman"/>
                <w:color w:val="000000"/>
                <w:sz w:val="21"/>
                <w:szCs w:val="21"/>
              </w:rPr>
            </w:pPr>
            <w:r>
              <w:rPr>
                <w:rFonts w:cs="Times New Roman"/>
                <w:color w:val="000000"/>
                <w:sz w:val="21"/>
                <w:szCs w:val="21"/>
              </w:rPr>
              <w:t>0.20-0.55</w:t>
            </w:r>
          </w:p>
        </w:tc>
        <w:tc>
          <w:tcPr>
            <w:tcW w:w="1120" w:type="dxa"/>
            <w:vAlign w:val="center"/>
          </w:tcPr>
          <w:p w14:paraId="5466A21D">
            <w:pPr>
              <w:pStyle w:val="16"/>
              <w:spacing w:before="31" w:after="31"/>
              <w:ind w:firstLine="0" w:firstLineChars="0"/>
              <w:jc w:val="center"/>
              <w:rPr>
                <w:rFonts w:cs="Times New Roman"/>
                <w:color w:val="000000"/>
                <w:sz w:val="21"/>
                <w:szCs w:val="21"/>
              </w:rPr>
            </w:pPr>
            <w:r>
              <w:rPr>
                <w:rFonts w:cs="Times New Roman"/>
                <w:color w:val="000000"/>
                <w:sz w:val="21"/>
                <w:szCs w:val="21"/>
              </w:rPr>
              <w:t>≤0.030</w:t>
            </w:r>
          </w:p>
        </w:tc>
        <w:tc>
          <w:tcPr>
            <w:tcW w:w="1121" w:type="dxa"/>
            <w:vAlign w:val="center"/>
          </w:tcPr>
          <w:p w14:paraId="00661C43">
            <w:pPr>
              <w:pStyle w:val="16"/>
              <w:spacing w:before="31" w:after="31"/>
              <w:ind w:firstLine="0" w:firstLineChars="0"/>
              <w:jc w:val="center"/>
              <w:rPr>
                <w:rFonts w:cs="Times New Roman"/>
                <w:color w:val="000000"/>
                <w:sz w:val="21"/>
                <w:szCs w:val="21"/>
              </w:rPr>
            </w:pPr>
            <w:r>
              <w:rPr>
                <w:rFonts w:cs="Times New Roman"/>
                <w:color w:val="000000"/>
                <w:sz w:val="21"/>
                <w:szCs w:val="21"/>
              </w:rPr>
              <w:t>≤0.020</w:t>
            </w:r>
          </w:p>
        </w:tc>
        <w:tc>
          <w:tcPr>
            <w:tcW w:w="851" w:type="dxa"/>
          </w:tcPr>
          <w:p w14:paraId="6856F521">
            <w:pPr>
              <w:pStyle w:val="16"/>
              <w:spacing w:before="31" w:after="31"/>
              <w:ind w:firstLine="0" w:firstLineChars="0"/>
              <w:jc w:val="center"/>
              <w:rPr>
                <w:rFonts w:cs="Times New Roman"/>
                <w:color w:val="000000"/>
                <w:sz w:val="21"/>
                <w:szCs w:val="21"/>
              </w:rPr>
            </w:pPr>
            <w:r>
              <w:rPr>
                <w:rFonts w:cs="Times New Roman"/>
                <w:color w:val="000000"/>
                <w:sz w:val="21"/>
                <w:szCs w:val="21"/>
              </w:rPr>
              <w:t>GB6654-196</w:t>
            </w:r>
          </w:p>
        </w:tc>
      </w:tr>
    </w:tbl>
    <w:p w14:paraId="0028F2DA">
      <w:pPr>
        <w:pStyle w:val="16"/>
        <w:spacing w:before="31" w:after="31"/>
        <w:ind w:firstLine="480"/>
        <w:rPr>
          <w:szCs w:val="24"/>
        </w:rPr>
      </w:pPr>
    </w:p>
    <w:p w14:paraId="3DF94A78">
      <w:pPr>
        <w:pStyle w:val="16"/>
        <w:spacing w:before="31" w:after="31"/>
        <w:ind w:firstLine="480"/>
        <w:rPr>
          <w:szCs w:val="24"/>
        </w:rPr>
      </w:pPr>
      <w:r>
        <w:rPr>
          <w:rFonts w:hint="eastAsia"/>
          <w:szCs w:val="24"/>
        </w:rPr>
        <w:t>(c) Mechanical Properties</w:t>
      </w:r>
    </w:p>
    <w:p w14:paraId="1FAABD0E">
      <w:pPr>
        <w:pStyle w:val="16"/>
        <w:spacing w:before="31" w:after="31"/>
        <w:ind w:firstLine="480"/>
        <w:rPr>
          <w:szCs w:val="24"/>
        </w:rPr>
      </w:pPr>
      <w:r>
        <w:rPr>
          <w:rFonts w:hint="eastAsia"/>
          <w:szCs w:val="24"/>
        </w:rPr>
        <w:t>The mechanical performance parameters of the tank material are shown in Table 2-3.</w:t>
      </w:r>
    </w:p>
    <w:p w14:paraId="742393AE">
      <w:pPr>
        <w:pStyle w:val="16"/>
        <w:spacing w:before="468" w:beforeLines="150" w:after="156" w:afterLines="50"/>
        <w:ind w:firstLine="0" w:firstLineChars="0"/>
        <w:jc w:val="center"/>
        <w:rPr>
          <w:rFonts w:cs="Times New Roman"/>
          <w:b/>
          <w:sz w:val="21"/>
          <w:szCs w:val="21"/>
        </w:rPr>
      </w:pPr>
      <w:r>
        <w:rPr>
          <w:rFonts w:hint="eastAsia" w:cs="Times New Roman"/>
          <w:b/>
          <w:sz w:val="21"/>
          <w:szCs w:val="21"/>
        </w:rPr>
        <w:t>Table 2-3 Mechanical Properties of Tank Material</w:t>
      </w:r>
    </w:p>
    <w:tbl>
      <w:tblPr>
        <w:tblStyle w:val="9"/>
        <w:tblW w:w="0" w:type="auto"/>
        <w:tblInd w:w="25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4"/>
        <w:gridCol w:w="1488"/>
        <w:gridCol w:w="1488"/>
        <w:gridCol w:w="1488"/>
        <w:gridCol w:w="1489"/>
      </w:tblGrid>
      <w:tr w14:paraId="223CF8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Merge w:val="restart"/>
            <w:tcBorders>
              <w:top w:val="single" w:color="auto" w:sz="12" w:space="0"/>
              <w:bottom w:val="single" w:color="auto" w:sz="12" w:space="0"/>
            </w:tcBorders>
            <w:vAlign w:val="center"/>
          </w:tcPr>
          <w:p w14:paraId="13E57300">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Measurement Point</w:t>
            </w:r>
          </w:p>
        </w:tc>
        <w:tc>
          <w:tcPr>
            <w:tcW w:w="5953" w:type="dxa"/>
            <w:gridSpan w:val="4"/>
            <w:tcBorders>
              <w:top w:val="single" w:color="auto" w:sz="12" w:space="0"/>
              <w:bottom w:val="single" w:color="auto" w:sz="12" w:space="0"/>
            </w:tcBorders>
            <w:vAlign w:val="center"/>
          </w:tcPr>
          <w:p w14:paraId="647972FB">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Hardness Value</w:t>
            </w:r>
          </w:p>
        </w:tc>
      </w:tr>
      <w:tr w14:paraId="099912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Merge w:val="continue"/>
            <w:tcBorders>
              <w:top w:val="single" w:color="auto" w:sz="12" w:space="0"/>
              <w:bottom w:val="single" w:color="auto" w:sz="12" w:space="0"/>
            </w:tcBorders>
            <w:vAlign w:val="center"/>
          </w:tcPr>
          <w:p w14:paraId="18266B99">
            <w:pPr>
              <w:pStyle w:val="16"/>
              <w:spacing w:before="31" w:after="31"/>
              <w:ind w:firstLine="0" w:firstLineChars="0"/>
              <w:jc w:val="center"/>
              <w:rPr>
                <w:rFonts w:cs="Times New Roman"/>
                <w:color w:val="000000"/>
                <w:sz w:val="21"/>
                <w:szCs w:val="21"/>
              </w:rPr>
            </w:pPr>
          </w:p>
        </w:tc>
        <w:tc>
          <w:tcPr>
            <w:tcW w:w="1488" w:type="dxa"/>
            <w:tcBorders>
              <w:top w:val="single" w:color="auto" w:sz="12" w:space="0"/>
              <w:bottom w:val="single" w:color="auto" w:sz="12" w:space="0"/>
            </w:tcBorders>
            <w:vAlign w:val="center"/>
          </w:tcPr>
          <w:p w14:paraId="14FA9BB6">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Test Point 1</w:t>
            </w:r>
          </w:p>
        </w:tc>
        <w:tc>
          <w:tcPr>
            <w:tcW w:w="1488" w:type="dxa"/>
            <w:tcBorders>
              <w:top w:val="single" w:color="auto" w:sz="12" w:space="0"/>
              <w:bottom w:val="single" w:color="auto" w:sz="12" w:space="0"/>
            </w:tcBorders>
            <w:vAlign w:val="center"/>
          </w:tcPr>
          <w:p w14:paraId="6D344166">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Test Point 2</w:t>
            </w:r>
          </w:p>
        </w:tc>
        <w:tc>
          <w:tcPr>
            <w:tcW w:w="1488" w:type="dxa"/>
            <w:tcBorders>
              <w:top w:val="single" w:color="auto" w:sz="12" w:space="0"/>
              <w:bottom w:val="single" w:color="auto" w:sz="12" w:space="0"/>
            </w:tcBorders>
            <w:vAlign w:val="center"/>
          </w:tcPr>
          <w:p w14:paraId="08BDCD4F">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Test Point 3</w:t>
            </w:r>
          </w:p>
        </w:tc>
        <w:tc>
          <w:tcPr>
            <w:tcW w:w="1489" w:type="dxa"/>
            <w:tcBorders>
              <w:top w:val="single" w:color="auto" w:sz="12" w:space="0"/>
              <w:bottom w:val="single" w:color="auto" w:sz="12" w:space="0"/>
            </w:tcBorders>
            <w:vAlign w:val="center"/>
          </w:tcPr>
          <w:p w14:paraId="747A0EDC">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Test Point 4</w:t>
            </w:r>
          </w:p>
        </w:tc>
      </w:tr>
      <w:tr w14:paraId="28C738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Borders>
              <w:top w:val="single" w:color="auto" w:sz="12" w:space="0"/>
            </w:tcBorders>
            <w:vAlign w:val="center"/>
          </w:tcPr>
          <w:p w14:paraId="5074CB4C">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Weld Seam</w:t>
            </w:r>
          </w:p>
        </w:tc>
        <w:tc>
          <w:tcPr>
            <w:tcW w:w="1488" w:type="dxa"/>
            <w:tcBorders>
              <w:top w:val="single" w:color="auto" w:sz="12" w:space="0"/>
            </w:tcBorders>
            <w:vAlign w:val="center"/>
          </w:tcPr>
          <w:p w14:paraId="2BA812DB">
            <w:pPr>
              <w:pStyle w:val="16"/>
              <w:spacing w:before="31" w:after="31"/>
              <w:ind w:firstLine="0" w:firstLineChars="0"/>
              <w:jc w:val="center"/>
              <w:rPr>
                <w:rFonts w:cs="Times New Roman"/>
                <w:color w:val="000000"/>
                <w:sz w:val="21"/>
                <w:szCs w:val="21"/>
              </w:rPr>
            </w:pPr>
            <w:r>
              <w:rPr>
                <w:rFonts w:cs="Times New Roman"/>
                <w:color w:val="000000"/>
                <w:sz w:val="21"/>
                <w:szCs w:val="21"/>
              </w:rPr>
              <w:t>118</w:t>
            </w:r>
          </w:p>
        </w:tc>
        <w:tc>
          <w:tcPr>
            <w:tcW w:w="1488" w:type="dxa"/>
            <w:tcBorders>
              <w:top w:val="single" w:color="auto" w:sz="12" w:space="0"/>
            </w:tcBorders>
            <w:vAlign w:val="center"/>
          </w:tcPr>
          <w:p w14:paraId="69E812C7">
            <w:pPr>
              <w:pStyle w:val="16"/>
              <w:spacing w:before="31" w:after="31"/>
              <w:ind w:firstLine="0" w:firstLineChars="0"/>
              <w:jc w:val="center"/>
              <w:rPr>
                <w:rFonts w:cs="Times New Roman"/>
                <w:color w:val="000000"/>
                <w:sz w:val="21"/>
                <w:szCs w:val="21"/>
              </w:rPr>
            </w:pPr>
            <w:r>
              <w:rPr>
                <w:rFonts w:cs="Times New Roman"/>
                <w:color w:val="000000"/>
                <w:sz w:val="21"/>
                <w:szCs w:val="21"/>
              </w:rPr>
              <w:t>117</w:t>
            </w:r>
          </w:p>
        </w:tc>
        <w:tc>
          <w:tcPr>
            <w:tcW w:w="1488" w:type="dxa"/>
            <w:tcBorders>
              <w:top w:val="single" w:color="auto" w:sz="12" w:space="0"/>
            </w:tcBorders>
            <w:vAlign w:val="center"/>
          </w:tcPr>
          <w:p w14:paraId="0725577B">
            <w:pPr>
              <w:pStyle w:val="16"/>
              <w:spacing w:before="31" w:after="31"/>
              <w:ind w:firstLine="0" w:firstLineChars="0"/>
              <w:jc w:val="center"/>
              <w:rPr>
                <w:rFonts w:cs="Times New Roman"/>
                <w:color w:val="000000"/>
                <w:sz w:val="21"/>
                <w:szCs w:val="21"/>
              </w:rPr>
            </w:pPr>
            <w:r>
              <w:rPr>
                <w:rFonts w:cs="Times New Roman"/>
                <w:color w:val="000000"/>
                <w:sz w:val="21"/>
                <w:szCs w:val="21"/>
              </w:rPr>
              <w:t>107</w:t>
            </w:r>
          </w:p>
        </w:tc>
        <w:tc>
          <w:tcPr>
            <w:tcW w:w="1489" w:type="dxa"/>
            <w:tcBorders>
              <w:top w:val="single" w:color="auto" w:sz="12" w:space="0"/>
            </w:tcBorders>
            <w:vAlign w:val="center"/>
          </w:tcPr>
          <w:p w14:paraId="3E99AE79">
            <w:pPr>
              <w:pStyle w:val="16"/>
              <w:spacing w:before="31" w:after="31"/>
              <w:ind w:firstLine="0" w:firstLineChars="0"/>
              <w:jc w:val="center"/>
              <w:rPr>
                <w:rFonts w:cs="Times New Roman"/>
                <w:color w:val="000000"/>
                <w:sz w:val="21"/>
                <w:szCs w:val="21"/>
              </w:rPr>
            </w:pPr>
            <w:r>
              <w:rPr>
                <w:rFonts w:cs="Times New Roman"/>
                <w:color w:val="000000"/>
                <w:sz w:val="21"/>
                <w:szCs w:val="21"/>
              </w:rPr>
              <w:t>114</w:t>
            </w:r>
          </w:p>
        </w:tc>
      </w:tr>
      <w:tr w14:paraId="09B25D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Align w:val="center"/>
          </w:tcPr>
          <w:p w14:paraId="7DDF447E">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Heat-Affected Zone</w:t>
            </w:r>
          </w:p>
        </w:tc>
        <w:tc>
          <w:tcPr>
            <w:tcW w:w="1488" w:type="dxa"/>
            <w:vAlign w:val="center"/>
          </w:tcPr>
          <w:p w14:paraId="79538DA8">
            <w:pPr>
              <w:pStyle w:val="16"/>
              <w:spacing w:before="31" w:after="31"/>
              <w:ind w:firstLine="0" w:firstLineChars="0"/>
              <w:jc w:val="center"/>
              <w:rPr>
                <w:rFonts w:cs="Times New Roman"/>
                <w:color w:val="000000"/>
                <w:sz w:val="21"/>
                <w:szCs w:val="21"/>
              </w:rPr>
            </w:pPr>
            <w:r>
              <w:rPr>
                <w:rFonts w:cs="Times New Roman"/>
                <w:color w:val="000000"/>
                <w:sz w:val="21"/>
                <w:szCs w:val="21"/>
              </w:rPr>
              <w:t>167</w:t>
            </w:r>
          </w:p>
        </w:tc>
        <w:tc>
          <w:tcPr>
            <w:tcW w:w="1488" w:type="dxa"/>
            <w:vAlign w:val="center"/>
          </w:tcPr>
          <w:p w14:paraId="156E57DA">
            <w:pPr>
              <w:pStyle w:val="16"/>
              <w:spacing w:before="31" w:after="31"/>
              <w:ind w:firstLine="0" w:firstLineChars="0"/>
              <w:jc w:val="center"/>
              <w:rPr>
                <w:rFonts w:cs="Times New Roman"/>
                <w:color w:val="000000"/>
                <w:sz w:val="21"/>
                <w:szCs w:val="21"/>
              </w:rPr>
            </w:pPr>
            <w:r>
              <w:rPr>
                <w:rFonts w:cs="Times New Roman"/>
                <w:color w:val="000000"/>
                <w:sz w:val="21"/>
                <w:szCs w:val="21"/>
              </w:rPr>
              <w:t>154</w:t>
            </w:r>
          </w:p>
        </w:tc>
        <w:tc>
          <w:tcPr>
            <w:tcW w:w="1488" w:type="dxa"/>
            <w:vAlign w:val="center"/>
          </w:tcPr>
          <w:p w14:paraId="452CF660">
            <w:pPr>
              <w:pStyle w:val="16"/>
              <w:spacing w:before="31" w:after="31"/>
              <w:ind w:firstLine="0" w:firstLineChars="0"/>
              <w:jc w:val="center"/>
              <w:rPr>
                <w:rFonts w:cs="Times New Roman"/>
                <w:color w:val="000000"/>
                <w:sz w:val="21"/>
                <w:szCs w:val="21"/>
              </w:rPr>
            </w:pPr>
            <w:r>
              <w:rPr>
                <w:rFonts w:cs="Times New Roman"/>
                <w:color w:val="000000"/>
                <w:sz w:val="21"/>
                <w:szCs w:val="21"/>
              </w:rPr>
              <w:t>149</w:t>
            </w:r>
          </w:p>
        </w:tc>
        <w:tc>
          <w:tcPr>
            <w:tcW w:w="1489" w:type="dxa"/>
            <w:vAlign w:val="center"/>
          </w:tcPr>
          <w:p w14:paraId="68F492D8">
            <w:pPr>
              <w:pStyle w:val="16"/>
              <w:spacing w:before="31" w:after="31"/>
              <w:ind w:firstLine="0" w:firstLineChars="0"/>
              <w:jc w:val="center"/>
              <w:rPr>
                <w:rFonts w:cs="Times New Roman"/>
                <w:color w:val="000000"/>
                <w:sz w:val="21"/>
                <w:szCs w:val="21"/>
              </w:rPr>
            </w:pPr>
            <w:r>
              <w:rPr>
                <w:rFonts w:cs="Times New Roman"/>
                <w:color w:val="000000"/>
                <w:sz w:val="21"/>
                <w:szCs w:val="21"/>
              </w:rPr>
              <w:t>157</w:t>
            </w:r>
          </w:p>
        </w:tc>
      </w:tr>
      <w:tr w14:paraId="52D16A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Align w:val="center"/>
          </w:tcPr>
          <w:p w14:paraId="1AC2B30A">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Base Metal</w:t>
            </w:r>
          </w:p>
        </w:tc>
        <w:tc>
          <w:tcPr>
            <w:tcW w:w="1488" w:type="dxa"/>
            <w:vAlign w:val="center"/>
          </w:tcPr>
          <w:p w14:paraId="3A5B53E2">
            <w:pPr>
              <w:pStyle w:val="16"/>
              <w:spacing w:before="31" w:after="31"/>
              <w:ind w:firstLine="0" w:firstLineChars="0"/>
              <w:jc w:val="center"/>
              <w:rPr>
                <w:rFonts w:cs="Times New Roman"/>
                <w:color w:val="000000"/>
                <w:sz w:val="21"/>
                <w:szCs w:val="21"/>
              </w:rPr>
            </w:pPr>
            <w:r>
              <w:rPr>
                <w:rFonts w:cs="Times New Roman"/>
                <w:color w:val="000000"/>
                <w:sz w:val="21"/>
                <w:szCs w:val="21"/>
              </w:rPr>
              <w:t>112</w:t>
            </w:r>
          </w:p>
        </w:tc>
        <w:tc>
          <w:tcPr>
            <w:tcW w:w="1488" w:type="dxa"/>
            <w:vAlign w:val="center"/>
          </w:tcPr>
          <w:p w14:paraId="5CADE95B">
            <w:pPr>
              <w:pStyle w:val="16"/>
              <w:spacing w:before="31" w:after="31"/>
              <w:ind w:firstLine="0" w:firstLineChars="0"/>
              <w:jc w:val="center"/>
              <w:rPr>
                <w:rFonts w:cs="Times New Roman"/>
                <w:color w:val="000000"/>
                <w:sz w:val="21"/>
                <w:szCs w:val="21"/>
              </w:rPr>
            </w:pPr>
            <w:r>
              <w:rPr>
                <w:rFonts w:cs="Times New Roman"/>
                <w:color w:val="000000"/>
                <w:sz w:val="21"/>
                <w:szCs w:val="21"/>
              </w:rPr>
              <w:t>111</w:t>
            </w:r>
          </w:p>
        </w:tc>
        <w:tc>
          <w:tcPr>
            <w:tcW w:w="1488" w:type="dxa"/>
            <w:vAlign w:val="center"/>
          </w:tcPr>
          <w:p w14:paraId="16DE2340">
            <w:pPr>
              <w:pStyle w:val="16"/>
              <w:spacing w:before="31" w:after="31"/>
              <w:ind w:firstLine="0" w:firstLineChars="0"/>
              <w:jc w:val="center"/>
              <w:rPr>
                <w:rFonts w:cs="Times New Roman"/>
                <w:color w:val="000000"/>
                <w:sz w:val="21"/>
                <w:szCs w:val="21"/>
              </w:rPr>
            </w:pPr>
            <w:r>
              <w:rPr>
                <w:rFonts w:cs="Times New Roman"/>
                <w:color w:val="000000"/>
                <w:sz w:val="21"/>
                <w:szCs w:val="21"/>
              </w:rPr>
              <w:t>123</w:t>
            </w:r>
          </w:p>
        </w:tc>
        <w:tc>
          <w:tcPr>
            <w:tcW w:w="1489" w:type="dxa"/>
            <w:vAlign w:val="center"/>
          </w:tcPr>
          <w:p w14:paraId="62FB03E6">
            <w:pPr>
              <w:pStyle w:val="16"/>
              <w:spacing w:before="31" w:after="31"/>
              <w:ind w:firstLine="0" w:firstLineChars="0"/>
              <w:jc w:val="center"/>
              <w:rPr>
                <w:rFonts w:cs="Times New Roman"/>
                <w:color w:val="000000"/>
                <w:sz w:val="21"/>
                <w:szCs w:val="21"/>
              </w:rPr>
            </w:pPr>
            <w:r>
              <w:rPr>
                <w:rFonts w:cs="Times New Roman"/>
                <w:color w:val="000000"/>
                <w:sz w:val="21"/>
                <w:szCs w:val="21"/>
              </w:rPr>
              <w:t>115</w:t>
            </w:r>
          </w:p>
        </w:tc>
      </w:tr>
    </w:tbl>
    <w:p w14:paraId="46EF38BE">
      <w:pPr>
        <w:pStyle w:val="16"/>
        <w:spacing w:before="31" w:after="31"/>
        <w:ind w:firstLine="480"/>
        <w:rPr>
          <w:szCs w:val="24"/>
        </w:rPr>
      </w:pPr>
    </w:p>
    <w:p w14:paraId="6260AA1D">
      <w:pPr>
        <w:pStyle w:val="16"/>
        <w:spacing w:before="31" w:after="31"/>
        <w:ind w:firstLine="480"/>
        <w:rPr>
          <w:szCs w:val="24"/>
        </w:rPr>
      </w:pPr>
      <w:r>
        <w:rPr>
          <w:rFonts w:hint="eastAsia"/>
          <w:szCs w:val="24"/>
        </w:rPr>
        <w:t>(d) Metallographic Structure</w:t>
      </w:r>
    </w:p>
    <w:p w14:paraId="316AF340">
      <w:pPr>
        <w:pStyle w:val="16"/>
        <w:spacing w:before="31" w:after="31"/>
        <w:ind w:firstLine="480"/>
        <w:rPr>
          <w:szCs w:val="24"/>
        </w:rPr>
      </w:pPr>
      <w:r>
        <w:rPr>
          <w:rFonts w:hint="eastAsia"/>
          <w:szCs w:val="24"/>
        </w:rPr>
        <w:t>The microscopic structure of the welded area is shown in Figure 2-4.1, where the upper part represents the weld seam, consisting of ferrite and pearlite; the lower part is the heat-affected zone, showing Widmanstätten structure; and the middle part is the crack tip. The base material's microscopic structure is normal.</w:t>
      </w:r>
    </w:p>
    <w:p w14:paraId="59919247">
      <w:pPr>
        <w:pStyle w:val="22"/>
        <w:spacing w:before="156" w:after="468"/>
        <w:rPr>
          <w:sz w:val="24"/>
        </w:rPr>
      </w:pPr>
      <w:r>
        <w:rPr>
          <w:rFonts w:hint="eastAsia" w:eastAsia="宋体"/>
        </w:rPr>
        <w:t>Figure 2-4.1 Microscopic Structure Photos of the specimen</w:t>
      </w:r>
    </w:p>
    <w:p w14:paraId="40A59A11">
      <w:pPr>
        <w:pStyle w:val="16"/>
        <w:spacing w:before="31" w:after="31"/>
        <w:ind w:firstLine="0" w:firstLineChars="0"/>
        <w:rPr>
          <w:szCs w:val="24"/>
        </w:rPr>
      </w:pPr>
      <w:r>
        <w:rPr>
          <w:rFonts w:hint="eastAsia"/>
          <w:szCs w:val="24"/>
        </w:rPr>
        <w:t>(5) Failure Component Morphology</w:t>
      </w:r>
    </w:p>
    <w:p w14:paraId="2C1443B6">
      <w:pPr>
        <w:pStyle w:val="16"/>
        <w:spacing w:before="31" w:after="31"/>
        <w:ind w:firstLine="480"/>
        <w:rPr>
          <w:szCs w:val="24"/>
        </w:rPr>
      </w:pPr>
      <w:r>
        <w:rPr>
          <w:rFonts w:hint="eastAsia"/>
          <w:szCs w:val="24"/>
        </w:rPr>
        <w:t>Cracks were found on the longitudinal welding joints, located near the fusion line, and some in the middle of the weld (post-weld cooling zone) and the heat-affected zone. The macroscopic orientation of the cracks is parallel to the crack direction, as shown in Figure 2-4.2.</w:t>
      </w:r>
    </w:p>
    <w:p w14:paraId="793A83A4">
      <w:pPr>
        <w:pStyle w:val="16"/>
        <w:spacing w:before="31" w:after="31"/>
        <w:ind w:firstLine="0" w:firstLineChars="0"/>
        <w:rPr>
          <w:szCs w:val="24"/>
        </w:rPr>
      </w:pPr>
      <w:r>
        <w:rPr>
          <w:rFonts w:hint="eastAsia"/>
          <w:szCs w:val="24"/>
        </w:rPr>
        <w:t>(a) Crack Area on the Specimen Surface       (b) Magnification of the Crack Area</w:t>
      </w:r>
    </w:p>
    <w:p w14:paraId="54D92CBA">
      <w:pPr>
        <w:pStyle w:val="22"/>
        <w:spacing w:before="156" w:after="468"/>
        <w:rPr>
          <w:sz w:val="24"/>
        </w:rPr>
      </w:pPr>
      <w:r>
        <w:rPr>
          <w:rFonts w:hint="eastAsia" w:eastAsia="宋体"/>
        </w:rPr>
        <w:t>Figure 2-4.2 Macroscopic Morphology of the Cracks</w:t>
      </w:r>
    </w:p>
    <w:p w14:paraId="2A95C90B">
      <w:pPr>
        <w:pStyle w:val="16"/>
        <w:spacing w:before="31" w:after="31"/>
        <w:ind w:firstLine="0" w:firstLineChars="0"/>
        <w:rPr>
          <w:szCs w:val="24"/>
        </w:rPr>
      </w:pPr>
      <w:r>
        <w:rPr>
          <w:rFonts w:hint="eastAsia"/>
          <w:szCs w:val="24"/>
        </w:rPr>
        <w:t>(6) Analysis of Failure Causes</w:t>
      </w:r>
    </w:p>
    <w:p w14:paraId="4F4E6CEF">
      <w:pPr>
        <w:pStyle w:val="16"/>
        <w:spacing w:before="31" w:after="31"/>
        <w:ind w:firstLine="480"/>
        <w:rPr>
          <w:szCs w:val="24"/>
        </w:rPr>
      </w:pPr>
      <w:r>
        <w:rPr>
          <w:rFonts w:hint="eastAsia"/>
          <w:szCs w:val="24"/>
        </w:rPr>
        <w:t>Internal cracks in the component exhibit microscopic characteristics of hydrogen-induced cracking. This could be due to improper drying of the welding rod during welding or harsh welding conditions (humidity, rainy or snowy weather), leading to hydrogen entering the molten weld structure and diffusing and accumulating in the steel. Hydrogen then generates microcracks at material defects, and with the extended service time of the tank, the cracks gradually expand, eventually forming larger cracks.</w:t>
      </w:r>
    </w:p>
    <w:p w14:paraId="0EB5E0AC">
      <w:pPr>
        <w:pStyle w:val="16"/>
        <w:spacing w:before="31" w:after="31"/>
        <w:ind w:firstLine="480"/>
        <w:rPr>
          <w:szCs w:val="24"/>
        </w:rPr>
      </w:pPr>
    </w:p>
    <w:p w14:paraId="7278E3C6">
      <w:pPr>
        <w:pStyle w:val="16"/>
        <w:spacing w:before="31" w:after="31"/>
        <w:ind w:firstLine="0" w:firstLineChars="0"/>
        <w:rPr>
          <w:szCs w:val="24"/>
        </w:rPr>
      </w:pPr>
      <w:r>
        <w:rPr>
          <w:rFonts w:hint="eastAsia"/>
          <w:szCs w:val="24"/>
        </w:rPr>
        <w:t>(7) Impacts and Harms</w:t>
      </w:r>
    </w:p>
    <w:p w14:paraId="22C71319">
      <w:pPr>
        <w:pStyle w:val="16"/>
        <w:spacing w:before="31" w:after="31"/>
        <w:ind w:firstLine="480"/>
        <w:rPr>
          <w:szCs w:val="24"/>
        </w:rPr>
      </w:pPr>
      <w:r>
        <w:rPr>
          <w:rFonts w:hint="eastAsia"/>
          <w:szCs w:val="24"/>
        </w:rPr>
        <w:t>Cracks reduce the service life of the tank, causing safety hazards.</w:t>
      </w:r>
    </w:p>
    <w:p w14:paraId="4A347CC6">
      <w:pPr>
        <w:pStyle w:val="16"/>
        <w:spacing w:before="31" w:after="31"/>
        <w:ind w:firstLine="480"/>
        <w:rPr>
          <w:szCs w:val="24"/>
        </w:rPr>
      </w:pPr>
    </w:p>
    <w:p w14:paraId="5AA397D6">
      <w:pPr>
        <w:pStyle w:val="16"/>
        <w:spacing w:before="31" w:after="31"/>
        <w:ind w:firstLine="0" w:firstLineChars="0"/>
        <w:rPr>
          <w:szCs w:val="24"/>
        </w:rPr>
      </w:pPr>
      <w:r>
        <w:rPr>
          <w:rFonts w:hint="eastAsia"/>
          <w:szCs w:val="24"/>
        </w:rPr>
        <w:t>(8) Conclusion and Improvement Measures</w:t>
      </w:r>
    </w:p>
    <w:p w14:paraId="5104D9C3">
      <w:pPr>
        <w:pStyle w:val="16"/>
        <w:spacing w:before="31" w:after="31"/>
        <w:ind w:firstLine="480"/>
        <w:rPr>
          <w:szCs w:val="24"/>
        </w:rPr>
      </w:pPr>
      <w:r>
        <w:rPr>
          <w:rFonts w:hint="eastAsia"/>
          <w:szCs w:val="24"/>
        </w:rPr>
        <w:t>Hydrogen-induced cracks have a long incubation period, slow formation, and slow expansion. Therefore, it is recommended to shorten the comprehensive inspection cycle of equipment and strictly control the quality of mixed liquefied petroleum gas during use. If conditions permit, conduct a dehydrogenation treatment to completely eliminate the residual hydrogen.</w:t>
      </w:r>
    </w:p>
    <w:p w14:paraId="4222F2B2">
      <w:pPr>
        <w:pStyle w:val="16"/>
        <w:spacing w:before="31" w:after="31"/>
        <w:ind w:firstLine="480"/>
        <w:rPr>
          <w:szCs w:val="24"/>
        </w:rPr>
      </w:pPr>
    </w:p>
    <w:p w14:paraId="51C55CDF">
      <w:pPr>
        <w:pStyle w:val="16"/>
        <w:spacing w:before="31" w:after="31"/>
        <w:ind w:firstLine="480"/>
        <w:rPr>
          <w:szCs w:val="24"/>
        </w:rPr>
      </w:pPr>
    </w:p>
    <w:p w14:paraId="1B88B86C">
      <w:pPr>
        <w:pStyle w:val="21"/>
        <w:numPr>
          <w:ilvl w:val="2"/>
          <w:numId w:val="0"/>
        </w:numPr>
        <w:rPr>
          <w:rFonts w:eastAsia="宋体"/>
        </w:rPr>
      </w:pPr>
      <w:r>
        <w:rPr>
          <w:rFonts w:hint="eastAsia" w:eastAsia="宋体"/>
        </w:rPr>
        <w:t>2.2.5 Case 2-5 Corrosion Perforation of Buried Oil Pipeline</w:t>
      </w:r>
    </w:p>
    <w:p w14:paraId="6717BFCE">
      <w:pPr>
        <w:pStyle w:val="16"/>
        <w:spacing w:before="31" w:after="31"/>
        <w:ind w:firstLine="0" w:firstLineChars="0"/>
        <w:rPr>
          <w:szCs w:val="24"/>
        </w:rPr>
      </w:pPr>
      <w:r>
        <w:rPr>
          <w:rFonts w:hint="eastAsia"/>
          <w:szCs w:val="24"/>
        </w:rPr>
        <w:t>(1) Case Name</w:t>
      </w:r>
    </w:p>
    <w:p w14:paraId="152620FF">
      <w:pPr>
        <w:pStyle w:val="16"/>
        <w:spacing w:before="31" w:after="31"/>
        <w:ind w:firstLine="480"/>
        <w:rPr>
          <w:szCs w:val="24"/>
        </w:rPr>
      </w:pPr>
      <w:r>
        <w:rPr>
          <w:rFonts w:hint="eastAsia"/>
          <w:szCs w:val="24"/>
        </w:rPr>
        <w:t>Corrosion Perforation of Buried Oil Pipeline[14]</w:t>
      </w:r>
    </w:p>
    <w:p w14:paraId="72CCA456">
      <w:pPr>
        <w:pStyle w:val="16"/>
        <w:spacing w:before="31" w:after="31"/>
        <w:ind w:firstLine="480"/>
        <w:rPr>
          <w:szCs w:val="24"/>
        </w:rPr>
      </w:pPr>
    </w:p>
    <w:p w14:paraId="2FC95EF2">
      <w:pPr>
        <w:pStyle w:val="16"/>
        <w:spacing w:before="31" w:after="31"/>
        <w:ind w:firstLine="0" w:firstLineChars="0"/>
        <w:rPr>
          <w:szCs w:val="24"/>
        </w:rPr>
      </w:pPr>
      <w:r>
        <w:rPr>
          <w:rFonts w:hint="eastAsia"/>
          <w:szCs w:val="24"/>
        </w:rPr>
        <w:t>(2) Failure Process Description</w:t>
      </w:r>
    </w:p>
    <w:p w14:paraId="5B4C2C60">
      <w:pPr>
        <w:pStyle w:val="16"/>
        <w:spacing w:before="31" w:after="31"/>
        <w:ind w:firstLine="480"/>
        <w:rPr>
          <w:szCs w:val="24"/>
        </w:rPr>
      </w:pPr>
      <w:r>
        <w:rPr>
          <w:rFonts w:hint="eastAsia"/>
          <w:szCs w:val="24"/>
        </w:rPr>
        <w:t>The pipeline was put into operation in 1994, and a failure occurred in 1997, with noticeable holes appearing in the pipe wall.</w:t>
      </w:r>
    </w:p>
    <w:p w14:paraId="144F3D23">
      <w:pPr>
        <w:pStyle w:val="16"/>
        <w:spacing w:before="31" w:after="31"/>
        <w:ind w:firstLine="480"/>
        <w:rPr>
          <w:szCs w:val="24"/>
        </w:rPr>
      </w:pPr>
    </w:p>
    <w:p w14:paraId="3EE92E86">
      <w:pPr>
        <w:pStyle w:val="16"/>
        <w:spacing w:before="31" w:after="31"/>
        <w:ind w:firstLine="0" w:firstLineChars="0"/>
        <w:rPr>
          <w:szCs w:val="24"/>
        </w:rPr>
      </w:pPr>
      <w:r>
        <w:rPr>
          <w:rFonts w:hint="eastAsia"/>
          <w:szCs w:val="24"/>
        </w:rPr>
        <w:t>(3) Service Environment</w:t>
      </w:r>
    </w:p>
    <w:p w14:paraId="12AA971C">
      <w:pPr>
        <w:pStyle w:val="16"/>
        <w:spacing w:before="31" w:after="31"/>
        <w:ind w:firstLine="480"/>
        <w:rPr>
          <w:szCs w:val="24"/>
        </w:rPr>
      </w:pPr>
      <w:r>
        <w:rPr>
          <w:rFonts w:hint="eastAsia"/>
          <w:szCs w:val="24"/>
        </w:rPr>
        <w:t>The oil pipeline is located at the junction of the Huai River's entry into the Yangtze River and Gaoyou Lake, in the Biantang, Yangjiaba Oilfield between Platform Bian 14 and Platform Yang 10. The working conditions of the pipeline include: large-diameter oil transportation, small-diameter transportation of hot water, known as the "unblocking pipe." The pipeline is buried at a depth of 0.8m to 1.0m below ground, and the maximum temperature difference in ground temperature throughout the year is 18°C.</w:t>
      </w:r>
    </w:p>
    <w:p w14:paraId="3573CB23">
      <w:pPr>
        <w:pStyle w:val="16"/>
        <w:spacing w:before="31" w:after="31"/>
        <w:ind w:firstLine="480"/>
        <w:rPr>
          <w:szCs w:val="24"/>
        </w:rPr>
      </w:pPr>
    </w:p>
    <w:p w14:paraId="3644DFDF">
      <w:pPr>
        <w:pStyle w:val="16"/>
        <w:spacing w:before="31" w:after="31"/>
        <w:ind w:firstLine="0" w:firstLineChars="0"/>
        <w:rPr>
          <w:szCs w:val="24"/>
        </w:rPr>
      </w:pPr>
      <w:r>
        <w:rPr>
          <w:rFonts w:hint="eastAsia"/>
          <w:szCs w:val="24"/>
        </w:rPr>
        <w:t>(4) Failed Component and Material</w:t>
      </w:r>
    </w:p>
    <w:p w14:paraId="0B4D45E8">
      <w:pPr>
        <w:pStyle w:val="16"/>
        <w:spacing w:before="31" w:after="31"/>
        <w:ind w:firstLine="480"/>
        <w:rPr>
          <w:szCs w:val="24"/>
        </w:rPr>
      </w:pPr>
      <w:r>
        <w:rPr>
          <w:rFonts w:hint="eastAsia"/>
          <w:szCs w:val="24"/>
        </w:rPr>
        <w:t>(a) Material and Dimensions</w:t>
      </w:r>
    </w:p>
    <w:p w14:paraId="2E7F8B3B">
      <w:pPr>
        <w:pStyle w:val="16"/>
        <w:spacing w:before="31" w:after="31"/>
        <w:ind w:firstLine="480"/>
        <w:rPr>
          <w:szCs w:val="24"/>
        </w:rPr>
      </w:pPr>
      <w:r>
        <w:rPr>
          <w:rFonts w:hint="eastAsia"/>
          <w:szCs w:val="24"/>
        </w:rPr>
        <w:t>The oil pipeline is a welded steel pipe with dimensions of 133mm×5mm, with an inner 34mm×4.5mm welded steel pipe for unblocking. The outer surface of the oil pipeline is covered with a yellow jacket insulation layer.</w:t>
      </w:r>
    </w:p>
    <w:p w14:paraId="6E0D27E1">
      <w:pPr>
        <w:pStyle w:val="16"/>
        <w:spacing w:before="31" w:after="31"/>
        <w:ind w:firstLine="480"/>
        <w:rPr>
          <w:szCs w:val="24"/>
        </w:rPr>
      </w:pPr>
      <w:r>
        <w:rPr>
          <w:rFonts w:hint="eastAsia"/>
          <w:szCs w:val="24"/>
        </w:rPr>
        <w:t>(b) Microstructure</w:t>
      </w:r>
    </w:p>
    <w:p w14:paraId="09BFCD97">
      <w:pPr>
        <w:pStyle w:val="16"/>
        <w:spacing w:before="31" w:after="31"/>
        <w:ind w:firstLine="480"/>
        <w:rPr>
          <w:szCs w:val="24"/>
        </w:rPr>
      </w:pPr>
      <w:r>
        <w:rPr>
          <w:rFonts w:hint="eastAsia"/>
          <w:szCs w:val="24"/>
        </w:rPr>
        <w:t>The microstructure of the material is ferrite + pearlite. No abnormal phenomena were found in the multiphase structure from inside to outside, and the grain size is at level 6.5, indicating that the material of the pipeline is in good condition.</w:t>
      </w:r>
    </w:p>
    <w:p w14:paraId="6A7A85FF">
      <w:pPr>
        <w:pStyle w:val="22"/>
        <w:spacing w:before="156" w:after="468"/>
        <w:rPr>
          <w:sz w:val="24"/>
        </w:rPr>
      </w:pPr>
      <w:r>
        <w:rPr>
          <w:rFonts w:hint="eastAsia" w:eastAsia="宋体"/>
        </w:rPr>
        <w:t>Figure 2-5.1 Microstructure of the Material</w:t>
      </w:r>
    </w:p>
    <w:p w14:paraId="79737C4C">
      <w:pPr>
        <w:pStyle w:val="16"/>
        <w:spacing w:before="31" w:after="31"/>
        <w:ind w:firstLine="480"/>
        <w:rPr>
          <w:szCs w:val="24"/>
        </w:rPr>
      </w:pPr>
      <w:r>
        <w:rPr>
          <w:rFonts w:hint="eastAsia"/>
          <w:szCs w:val="24"/>
        </w:rPr>
        <w:t>(c) Mechanical Properties</w:t>
      </w:r>
    </w:p>
    <w:p w14:paraId="5E7468B1">
      <w:pPr>
        <w:pStyle w:val="16"/>
        <w:spacing w:before="31" w:after="31"/>
        <w:ind w:firstLine="480"/>
        <w:rPr>
          <w:szCs w:val="24"/>
        </w:rPr>
      </w:pPr>
      <w:r>
        <w:rPr>
          <w:rFonts w:hint="eastAsia"/>
          <w:szCs w:val="24"/>
        </w:rPr>
        <w:t>The test results of the mechanical properties of the material are shown in Table 2-4:</w:t>
      </w:r>
    </w:p>
    <w:p w14:paraId="32E13C85">
      <w:pPr>
        <w:pStyle w:val="16"/>
        <w:spacing w:before="468" w:beforeLines="150" w:after="156" w:afterLines="50"/>
        <w:ind w:firstLine="0" w:firstLineChars="0"/>
        <w:jc w:val="center"/>
        <w:rPr>
          <w:rFonts w:cs="Times New Roman"/>
          <w:b/>
          <w:sz w:val="21"/>
          <w:szCs w:val="21"/>
        </w:rPr>
      </w:pPr>
      <w:r>
        <w:rPr>
          <w:rFonts w:hint="eastAsia" w:cs="Times New Roman"/>
          <w:b/>
          <w:sz w:val="21"/>
          <w:szCs w:val="21"/>
        </w:rPr>
        <w:t>Table 2-4 Mechanical Properties of the Pipeline</w:t>
      </w:r>
    </w:p>
    <w:tbl>
      <w:tblPr>
        <w:tblStyle w:val="9"/>
        <w:tblW w:w="0" w:type="auto"/>
        <w:tblInd w:w="250" w:type="dxa"/>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1134"/>
        <w:gridCol w:w="1701"/>
        <w:gridCol w:w="1701"/>
        <w:gridCol w:w="1701"/>
        <w:gridCol w:w="1843"/>
      </w:tblGrid>
      <w:tr w14:paraId="1C7DBDD1">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134" w:type="dxa"/>
            <w:tcBorders>
              <w:bottom w:val="single" w:color="auto" w:sz="12" w:space="0"/>
            </w:tcBorders>
            <w:vAlign w:val="center"/>
          </w:tcPr>
          <w:p w14:paraId="05DB9B94">
            <w:pPr>
              <w:pStyle w:val="16"/>
              <w:spacing w:before="31" w:after="31"/>
              <w:ind w:firstLine="0" w:firstLineChars="0"/>
              <w:jc w:val="center"/>
              <w:rPr>
                <w:rFonts w:cs="Times New Roman"/>
                <w:sz w:val="21"/>
                <w:szCs w:val="21"/>
              </w:rPr>
            </w:pPr>
            <w:r>
              <w:rPr>
                <w:rFonts w:hint="eastAsia" w:cs="Times New Roman"/>
                <w:sz w:val="21"/>
                <w:szCs w:val="21"/>
              </w:rPr>
              <w:t>Sample Number</w:t>
            </w:r>
          </w:p>
        </w:tc>
        <w:tc>
          <w:tcPr>
            <w:tcW w:w="1701" w:type="dxa"/>
            <w:tcBorders>
              <w:bottom w:val="single" w:color="auto" w:sz="12" w:space="0"/>
            </w:tcBorders>
            <w:vAlign w:val="center"/>
          </w:tcPr>
          <w:p w14:paraId="54EC2766">
            <w:pPr>
              <w:pStyle w:val="16"/>
              <w:spacing w:before="31" w:after="31"/>
              <w:ind w:firstLine="0" w:firstLineChars="0"/>
              <w:jc w:val="center"/>
              <w:rPr>
                <w:rFonts w:cs="Times New Roman"/>
                <w:sz w:val="21"/>
                <w:szCs w:val="21"/>
              </w:rPr>
            </w:pPr>
            <w:r>
              <w:rPr>
                <w:rFonts w:hint="eastAsia" w:cs="Times New Roman"/>
                <w:sz w:val="21"/>
                <w:szCs w:val="21"/>
              </w:rPr>
              <w:t>Yield Strength</w:t>
            </w:r>
          </w:p>
          <w:p w14:paraId="02B05B76">
            <w:pPr>
              <w:pStyle w:val="16"/>
              <w:spacing w:before="31" w:after="31"/>
              <w:ind w:firstLine="0" w:firstLineChars="0"/>
              <w:jc w:val="center"/>
              <w:rPr>
                <w:rFonts w:cs="Times New Roman"/>
                <w:sz w:val="21"/>
                <w:szCs w:val="21"/>
              </w:rPr>
            </w:pPr>
            <w:r>
              <w:rPr>
                <w:rFonts w:cs="Times New Roman"/>
                <w:position w:val="-12"/>
                <w:sz w:val="21"/>
                <w:szCs w:val="21"/>
              </w:rPr>
              <w:object>
                <v:shape id="_x0000_i1025" o:spt="75" type="#_x0000_t75" style="height:18.15pt;width:15.5pt;" o:ole="t" filled="f" o:preferrelative="t" stroked="f" coordsize="21600,21600">
                  <v:path/>
                  <v:fill on="f" focussize="0,0"/>
                  <v:stroke on="f" joinstyle="miter"/>
                  <v:imagedata r:id="rId7" o:title=""/>
                  <o:lock v:ext="edit" aspectratio="t"/>
                  <w10:wrap type="none"/>
                  <w10:anchorlock/>
                </v:shape>
                <o:OLEObject Type="Embed" ProgID="Equation.3" ShapeID="_x0000_i1025" DrawAspect="Content" ObjectID="_1468075725" r:id="rId6">
                  <o:LockedField>false</o:LockedField>
                </o:OLEObject>
              </w:object>
            </w:r>
            <w:r>
              <w:rPr>
                <w:rFonts w:cs="Times New Roman"/>
                <w:sz w:val="21"/>
                <w:szCs w:val="21"/>
              </w:rPr>
              <w:t>/MPa</w:t>
            </w:r>
          </w:p>
        </w:tc>
        <w:tc>
          <w:tcPr>
            <w:tcW w:w="1701" w:type="dxa"/>
            <w:tcBorders>
              <w:bottom w:val="single" w:color="auto" w:sz="12" w:space="0"/>
            </w:tcBorders>
            <w:vAlign w:val="center"/>
          </w:tcPr>
          <w:p w14:paraId="42B16475">
            <w:pPr>
              <w:pStyle w:val="16"/>
              <w:spacing w:before="31" w:after="31"/>
              <w:ind w:firstLine="0" w:firstLineChars="0"/>
              <w:jc w:val="center"/>
              <w:rPr>
                <w:rFonts w:cs="Times New Roman"/>
                <w:sz w:val="21"/>
                <w:szCs w:val="21"/>
              </w:rPr>
            </w:pPr>
            <w:r>
              <w:rPr>
                <w:rFonts w:hint="eastAsia" w:cs="Times New Roman"/>
                <w:sz w:val="21"/>
                <w:szCs w:val="21"/>
              </w:rPr>
              <w:t>Tensile Strength</w:t>
            </w:r>
          </w:p>
          <w:p w14:paraId="2A67A4E3">
            <w:pPr>
              <w:pStyle w:val="16"/>
              <w:spacing w:before="31" w:after="31"/>
              <w:ind w:firstLine="0" w:firstLineChars="0"/>
              <w:jc w:val="center"/>
              <w:rPr>
                <w:rFonts w:cs="Times New Roman"/>
                <w:sz w:val="21"/>
                <w:szCs w:val="21"/>
              </w:rPr>
            </w:pPr>
            <w:r>
              <w:rPr>
                <w:rFonts w:cs="Times New Roman"/>
                <w:position w:val="-12"/>
                <w:sz w:val="21"/>
                <w:szCs w:val="21"/>
              </w:rPr>
              <w:object>
                <v:shape id="_x0000_i1026" o:spt="75" type="#_x0000_t75" style="height:18.15pt;width:15.5pt;" o:ole="t" filled="f" o:preferrelative="t" stroked="f" coordsize="21600,21600">
                  <v:path/>
                  <v:fill on="f" focussize="0,0"/>
                  <v:stroke on="f" joinstyle="miter"/>
                  <v:imagedata r:id="rId9" o:title=""/>
                  <o:lock v:ext="edit" aspectratio="t"/>
                  <w10:wrap type="none"/>
                  <w10:anchorlock/>
                </v:shape>
                <o:OLEObject Type="Embed" ProgID="Equation.3" ShapeID="_x0000_i1026" DrawAspect="Content" ObjectID="_1468075726" r:id="rId8">
                  <o:LockedField>false</o:LockedField>
                </o:OLEObject>
              </w:object>
            </w:r>
            <w:r>
              <w:rPr>
                <w:rFonts w:cs="Times New Roman"/>
                <w:sz w:val="21"/>
                <w:szCs w:val="21"/>
              </w:rPr>
              <w:t>/MPa</w:t>
            </w:r>
          </w:p>
        </w:tc>
        <w:tc>
          <w:tcPr>
            <w:tcW w:w="1701" w:type="dxa"/>
            <w:tcBorders>
              <w:bottom w:val="single" w:color="auto" w:sz="12" w:space="0"/>
            </w:tcBorders>
            <w:vAlign w:val="center"/>
          </w:tcPr>
          <w:p w14:paraId="652D74C6">
            <w:pPr>
              <w:pStyle w:val="16"/>
              <w:spacing w:before="31" w:after="31"/>
              <w:ind w:firstLine="0" w:firstLineChars="0"/>
              <w:jc w:val="center"/>
              <w:rPr>
                <w:rFonts w:cs="Times New Roman"/>
                <w:sz w:val="21"/>
                <w:szCs w:val="21"/>
              </w:rPr>
            </w:pPr>
            <w:r>
              <w:rPr>
                <w:rFonts w:hint="eastAsia" w:cs="Times New Roman"/>
                <w:sz w:val="21"/>
                <w:szCs w:val="21"/>
              </w:rPr>
              <w:t>Elongation</w:t>
            </w:r>
          </w:p>
          <w:p w14:paraId="1BE5C7BE">
            <w:pPr>
              <w:pStyle w:val="16"/>
              <w:spacing w:before="31" w:after="31"/>
              <w:ind w:firstLine="0" w:firstLineChars="0"/>
              <w:jc w:val="center"/>
              <w:rPr>
                <w:rFonts w:cs="Times New Roman"/>
                <w:sz w:val="21"/>
                <w:szCs w:val="21"/>
              </w:rPr>
            </w:pPr>
            <w:r>
              <w:rPr>
                <w:rFonts w:cs="Times New Roman"/>
                <w:position w:val="-6"/>
                <w:sz w:val="21"/>
                <w:szCs w:val="21"/>
              </w:rPr>
              <w:object>
                <v:shape id="_x0000_i1027" o:spt="75" type="#_x0000_t75" style="height:14.15pt;width:11.45pt;" o:ole="t" filled="f" o:preferrelative="t" stroked="f" coordsize="21600,21600">
                  <v:path/>
                  <v:fill on="f" focussize="0,0"/>
                  <v:stroke on="f" joinstyle="miter"/>
                  <v:imagedata r:id="rId11" o:title=""/>
                  <o:lock v:ext="edit" aspectratio="t"/>
                  <w10:wrap type="none"/>
                  <w10:anchorlock/>
                </v:shape>
                <o:OLEObject Type="Embed" ProgID="Equation.3" ShapeID="_x0000_i1027" DrawAspect="Content" ObjectID="_1468075727" r:id="rId10">
                  <o:LockedField>false</o:LockedField>
                </o:OLEObject>
              </w:object>
            </w:r>
            <w:r>
              <w:rPr>
                <w:rFonts w:cs="Times New Roman"/>
                <w:sz w:val="21"/>
                <w:szCs w:val="21"/>
              </w:rPr>
              <w:t>/%</w:t>
            </w:r>
          </w:p>
        </w:tc>
        <w:tc>
          <w:tcPr>
            <w:tcW w:w="1843" w:type="dxa"/>
            <w:tcBorders>
              <w:bottom w:val="single" w:color="auto" w:sz="12" w:space="0"/>
            </w:tcBorders>
            <w:vAlign w:val="center"/>
          </w:tcPr>
          <w:p w14:paraId="592C8882">
            <w:pPr>
              <w:pStyle w:val="16"/>
              <w:spacing w:before="31" w:after="31"/>
              <w:ind w:firstLine="0" w:firstLineChars="0"/>
              <w:jc w:val="center"/>
              <w:rPr>
                <w:rFonts w:cs="Times New Roman"/>
                <w:sz w:val="21"/>
                <w:szCs w:val="21"/>
              </w:rPr>
            </w:pPr>
            <w:r>
              <w:rPr>
                <w:rFonts w:hint="eastAsia" w:cs="Times New Roman"/>
                <w:sz w:val="21"/>
                <w:szCs w:val="21"/>
              </w:rPr>
              <w:t>Remarks</w:t>
            </w:r>
          </w:p>
        </w:tc>
      </w:tr>
      <w:tr w14:paraId="325CD074">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134" w:type="dxa"/>
            <w:tcBorders>
              <w:bottom w:val="nil"/>
            </w:tcBorders>
            <w:vAlign w:val="center"/>
          </w:tcPr>
          <w:p w14:paraId="1EE7C58F">
            <w:pPr>
              <w:pStyle w:val="16"/>
              <w:spacing w:before="31" w:after="31"/>
              <w:ind w:firstLine="0" w:firstLineChars="0"/>
              <w:jc w:val="center"/>
              <w:rPr>
                <w:rFonts w:cs="Times New Roman"/>
                <w:sz w:val="21"/>
                <w:szCs w:val="21"/>
              </w:rPr>
            </w:pPr>
            <w:r>
              <w:rPr>
                <w:rFonts w:cs="Times New Roman"/>
                <w:sz w:val="21"/>
                <w:szCs w:val="21"/>
              </w:rPr>
              <w:t>1#</w:t>
            </w:r>
          </w:p>
        </w:tc>
        <w:tc>
          <w:tcPr>
            <w:tcW w:w="1701" w:type="dxa"/>
            <w:tcBorders>
              <w:bottom w:val="nil"/>
            </w:tcBorders>
            <w:vAlign w:val="center"/>
          </w:tcPr>
          <w:p w14:paraId="3C92AF21">
            <w:pPr>
              <w:pStyle w:val="16"/>
              <w:spacing w:before="31" w:after="31"/>
              <w:ind w:firstLine="0" w:firstLineChars="0"/>
              <w:jc w:val="center"/>
              <w:rPr>
                <w:rFonts w:cs="Times New Roman"/>
                <w:sz w:val="21"/>
                <w:szCs w:val="21"/>
              </w:rPr>
            </w:pPr>
            <w:r>
              <w:rPr>
                <w:rFonts w:cs="Times New Roman"/>
                <w:sz w:val="21"/>
                <w:szCs w:val="21"/>
              </w:rPr>
              <w:t>301.5</w:t>
            </w:r>
          </w:p>
        </w:tc>
        <w:tc>
          <w:tcPr>
            <w:tcW w:w="1701" w:type="dxa"/>
            <w:tcBorders>
              <w:bottom w:val="nil"/>
            </w:tcBorders>
            <w:vAlign w:val="center"/>
          </w:tcPr>
          <w:p w14:paraId="625556F5">
            <w:pPr>
              <w:pStyle w:val="16"/>
              <w:spacing w:before="31" w:after="31"/>
              <w:ind w:firstLine="0" w:firstLineChars="0"/>
              <w:jc w:val="center"/>
              <w:rPr>
                <w:rFonts w:cs="Times New Roman"/>
                <w:sz w:val="21"/>
                <w:szCs w:val="21"/>
              </w:rPr>
            </w:pPr>
            <w:r>
              <w:rPr>
                <w:rFonts w:cs="Times New Roman"/>
                <w:sz w:val="21"/>
                <w:szCs w:val="21"/>
              </w:rPr>
              <w:t>413.3</w:t>
            </w:r>
          </w:p>
        </w:tc>
        <w:tc>
          <w:tcPr>
            <w:tcW w:w="1701" w:type="dxa"/>
            <w:tcBorders>
              <w:bottom w:val="nil"/>
            </w:tcBorders>
            <w:vAlign w:val="center"/>
          </w:tcPr>
          <w:p w14:paraId="7EF5EA43">
            <w:pPr>
              <w:pStyle w:val="16"/>
              <w:spacing w:before="31" w:after="31"/>
              <w:ind w:firstLine="0" w:firstLineChars="0"/>
              <w:jc w:val="center"/>
              <w:rPr>
                <w:rFonts w:cs="Times New Roman"/>
                <w:sz w:val="21"/>
                <w:szCs w:val="21"/>
              </w:rPr>
            </w:pPr>
          </w:p>
        </w:tc>
        <w:tc>
          <w:tcPr>
            <w:tcW w:w="1843" w:type="dxa"/>
            <w:tcBorders>
              <w:bottom w:val="nil"/>
            </w:tcBorders>
            <w:vAlign w:val="center"/>
          </w:tcPr>
          <w:p w14:paraId="3B2916CF">
            <w:pPr>
              <w:pStyle w:val="16"/>
              <w:spacing w:before="31" w:after="31"/>
              <w:ind w:firstLine="0" w:firstLineChars="0"/>
              <w:jc w:val="center"/>
              <w:rPr>
                <w:rFonts w:cs="Times New Roman"/>
                <w:sz w:val="21"/>
                <w:szCs w:val="21"/>
              </w:rPr>
            </w:pPr>
            <w:r>
              <w:rPr>
                <w:rFonts w:hint="eastAsia" w:cs="Times New Roman"/>
                <w:sz w:val="21"/>
                <w:szCs w:val="21"/>
              </w:rPr>
              <w:t>Numerous fractures in the mixed area</w:t>
            </w:r>
          </w:p>
        </w:tc>
      </w:tr>
      <w:tr w14:paraId="1310A447">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134" w:type="dxa"/>
            <w:tcBorders>
              <w:top w:val="nil"/>
              <w:bottom w:val="nil"/>
            </w:tcBorders>
            <w:vAlign w:val="center"/>
          </w:tcPr>
          <w:p w14:paraId="2DB5B008">
            <w:pPr>
              <w:pStyle w:val="16"/>
              <w:spacing w:before="31" w:after="31"/>
              <w:ind w:firstLine="0" w:firstLineChars="0"/>
              <w:jc w:val="center"/>
              <w:rPr>
                <w:rFonts w:cs="Times New Roman"/>
                <w:sz w:val="21"/>
                <w:szCs w:val="21"/>
              </w:rPr>
            </w:pPr>
            <w:r>
              <w:rPr>
                <w:rFonts w:cs="Times New Roman"/>
                <w:sz w:val="21"/>
                <w:szCs w:val="21"/>
              </w:rPr>
              <w:t>2#</w:t>
            </w:r>
          </w:p>
        </w:tc>
        <w:tc>
          <w:tcPr>
            <w:tcW w:w="1701" w:type="dxa"/>
            <w:tcBorders>
              <w:top w:val="nil"/>
              <w:bottom w:val="nil"/>
            </w:tcBorders>
            <w:vAlign w:val="center"/>
          </w:tcPr>
          <w:p w14:paraId="2E2EFE18">
            <w:pPr>
              <w:pStyle w:val="16"/>
              <w:spacing w:before="31" w:after="31"/>
              <w:ind w:firstLine="0" w:firstLineChars="0"/>
              <w:jc w:val="center"/>
              <w:rPr>
                <w:rFonts w:cs="Times New Roman"/>
                <w:sz w:val="21"/>
                <w:szCs w:val="21"/>
              </w:rPr>
            </w:pPr>
            <w:r>
              <w:rPr>
                <w:rFonts w:cs="Times New Roman"/>
                <w:sz w:val="21"/>
                <w:szCs w:val="21"/>
              </w:rPr>
              <w:t>316</w:t>
            </w:r>
          </w:p>
        </w:tc>
        <w:tc>
          <w:tcPr>
            <w:tcW w:w="1701" w:type="dxa"/>
            <w:tcBorders>
              <w:top w:val="nil"/>
              <w:bottom w:val="nil"/>
            </w:tcBorders>
            <w:vAlign w:val="center"/>
          </w:tcPr>
          <w:p w14:paraId="5BD6BABB">
            <w:pPr>
              <w:pStyle w:val="16"/>
              <w:spacing w:before="31" w:after="31"/>
              <w:ind w:firstLine="0" w:firstLineChars="0"/>
              <w:jc w:val="center"/>
              <w:rPr>
                <w:rFonts w:cs="Times New Roman"/>
                <w:sz w:val="21"/>
                <w:szCs w:val="21"/>
              </w:rPr>
            </w:pPr>
            <w:r>
              <w:rPr>
                <w:rFonts w:cs="Times New Roman"/>
                <w:sz w:val="21"/>
                <w:szCs w:val="21"/>
              </w:rPr>
              <w:t>445</w:t>
            </w:r>
          </w:p>
        </w:tc>
        <w:tc>
          <w:tcPr>
            <w:tcW w:w="1701" w:type="dxa"/>
            <w:tcBorders>
              <w:top w:val="nil"/>
              <w:bottom w:val="nil"/>
            </w:tcBorders>
            <w:vAlign w:val="center"/>
          </w:tcPr>
          <w:p w14:paraId="57C673DF">
            <w:pPr>
              <w:pStyle w:val="16"/>
              <w:spacing w:before="31" w:after="31"/>
              <w:ind w:firstLine="0" w:firstLineChars="0"/>
              <w:jc w:val="center"/>
              <w:rPr>
                <w:rFonts w:cs="Times New Roman"/>
                <w:sz w:val="21"/>
                <w:szCs w:val="21"/>
              </w:rPr>
            </w:pPr>
          </w:p>
        </w:tc>
        <w:tc>
          <w:tcPr>
            <w:tcW w:w="1843" w:type="dxa"/>
            <w:tcBorders>
              <w:top w:val="nil"/>
              <w:bottom w:val="nil"/>
            </w:tcBorders>
            <w:vAlign w:val="center"/>
          </w:tcPr>
          <w:p w14:paraId="735806FA">
            <w:pPr>
              <w:pStyle w:val="16"/>
              <w:spacing w:before="31" w:after="31"/>
              <w:ind w:firstLine="0" w:firstLineChars="0"/>
              <w:jc w:val="center"/>
              <w:rPr>
                <w:rFonts w:cs="Times New Roman"/>
                <w:sz w:val="21"/>
                <w:szCs w:val="21"/>
              </w:rPr>
            </w:pPr>
            <w:r>
              <w:rPr>
                <w:rFonts w:hint="eastAsia" w:cs="Times New Roman"/>
                <w:sz w:val="21"/>
                <w:szCs w:val="21"/>
              </w:rPr>
              <w:t>Numerous fractures in the mixed area</w:t>
            </w:r>
          </w:p>
        </w:tc>
      </w:tr>
      <w:tr w14:paraId="2491C4C1">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134" w:type="dxa"/>
            <w:tcBorders>
              <w:top w:val="nil"/>
              <w:bottom w:val="nil"/>
            </w:tcBorders>
            <w:vAlign w:val="center"/>
          </w:tcPr>
          <w:p w14:paraId="007AEA39">
            <w:pPr>
              <w:pStyle w:val="16"/>
              <w:spacing w:before="31" w:after="31"/>
              <w:ind w:firstLine="0" w:firstLineChars="0"/>
              <w:jc w:val="center"/>
              <w:rPr>
                <w:rFonts w:cs="Times New Roman"/>
                <w:sz w:val="21"/>
                <w:szCs w:val="21"/>
              </w:rPr>
            </w:pPr>
            <w:r>
              <w:rPr>
                <w:rFonts w:cs="Times New Roman"/>
                <w:sz w:val="21"/>
                <w:szCs w:val="21"/>
              </w:rPr>
              <w:t>3#</w:t>
            </w:r>
          </w:p>
        </w:tc>
        <w:tc>
          <w:tcPr>
            <w:tcW w:w="1701" w:type="dxa"/>
            <w:tcBorders>
              <w:top w:val="nil"/>
              <w:bottom w:val="nil"/>
            </w:tcBorders>
            <w:vAlign w:val="center"/>
          </w:tcPr>
          <w:p w14:paraId="0678498D">
            <w:pPr>
              <w:pStyle w:val="16"/>
              <w:spacing w:before="31" w:after="31"/>
              <w:ind w:firstLine="0" w:firstLineChars="0"/>
              <w:jc w:val="center"/>
              <w:rPr>
                <w:rFonts w:cs="Times New Roman"/>
                <w:sz w:val="21"/>
                <w:szCs w:val="21"/>
              </w:rPr>
            </w:pPr>
            <w:r>
              <w:rPr>
                <w:rFonts w:cs="Times New Roman"/>
                <w:sz w:val="21"/>
                <w:szCs w:val="21"/>
              </w:rPr>
              <w:t>325</w:t>
            </w:r>
          </w:p>
        </w:tc>
        <w:tc>
          <w:tcPr>
            <w:tcW w:w="1701" w:type="dxa"/>
            <w:tcBorders>
              <w:top w:val="nil"/>
              <w:bottom w:val="nil"/>
            </w:tcBorders>
            <w:vAlign w:val="center"/>
          </w:tcPr>
          <w:p w14:paraId="4FAA6C95">
            <w:pPr>
              <w:pStyle w:val="16"/>
              <w:spacing w:before="31" w:after="31"/>
              <w:ind w:firstLine="0" w:firstLineChars="0"/>
              <w:jc w:val="center"/>
              <w:rPr>
                <w:rFonts w:cs="Times New Roman"/>
                <w:sz w:val="21"/>
                <w:szCs w:val="21"/>
              </w:rPr>
            </w:pPr>
            <w:r>
              <w:rPr>
                <w:rFonts w:cs="Times New Roman"/>
                <w:sz w:val="21"/>
                <w:szCs w:val="21"/>
              </w:rPr>
              <w:t>449</w:t>
            </w:r>
          </w:p>
        </w:tc>
        <w:tc>
          <w:tcPr>
            <w:tcW w:w="1701" w:type="dxa"/>
            <w:tcBorders>
              <w:top w:val="nil"/>
              <w:bottom w:val="nil"/>
            </w:tcBorders>
            <w:vAlign w:val="center"/>
          </w:tcPr>
          <w:p w14:paraId="5814649B">
            <w:pPr>
              <w:pStyle w:val="16"/>
              <w:spacing w:before="31" w:after="31"/>
              <w:ind w:firstLine="0" w:firstLineChars="0"/>
              <w:jc w:val="center"/>
              <w:rPr>
                <w:rFonts w:cs="Times New Roman"/>
                <w:sz w:val="21"/>
                <w:szCs w:val="21"/>
              </w:rPr>
            </w:pPr>
          </w:p>
        </w:tc>
        <w:tc>
          <w:tcPr>
            <w:tcW w:w="1843" w:type="dxa"/>
            <w:tcBorders>
              <w:top w:val="nil"/>
              <w:bottom w:val="nil"/>
            </w:tcBorders>
            <w:vAlign w:val="center"/>
          </w:tcPr>
          <w:p w14:paraId="21646C0C">
            <w:pPr>
              <w:pStyle w:val="16"/>
              <w:spacing w:before="31" w:after="31"/>
              <w:ind w:firstLine="0" w:firstLineChars="0"/>
              <w:jc w:val="center"/>
              <w:rPr>
                <w:rFonts w:cs="Times New Roman"/>
                <w:sz w:val="21"/>
                <w:szCs w:val="21"/>
              </w:rPr>
            </w:pPr>
            <w:r>
              <w:rPr>
                <w:rFonts w:hint="eastAsia" w:cs="Times New Roman"/>
                <w:sz w:val="21"/>
                <w:szCs w:val="21"/>
              </w:rPr>
              <w:t>Numerous fractures in the mixed area</w:t>
            </w:r>
          </w:p>
        </w:tc>
      </w:tr>
      <w:tr w14:paraId="7B7F9285">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134" w:type="dxa"/>
            <w:tcBorders>
              <w:top w:val="nil"/>
              <w:bottom w:val="nil"/>
            </w:tcBorders>
            <w:vAlign w:val="center"/>
          </w:tcPr>
          <w:p w14:paraId="0735E307">
            <w:pPr>
              <w:pStyle w:val="16"/>
              <w:spacing w:before="31" w:after="31"/>
              <w:ind w:firstLine="0" w:firstLineChars="0"/>
              <w:jc w:val="center"/>
              <w:rPr>
                <w:rFonts w:cs="Times New Roman"/>
                <w:sz w:val="21"/>
                <w:szCs w:val="21"/>
              </w:rPr>
            </w:pPr>
            <w:r>
              <w:rPr>
                <w:rFonts w:cs="Times New Roman"/>
                <w:sz w:val="21"/>
                <w:szCs w:val="21"/>
              </w:rPr>
              <w:t>4#</w:t>
            </w:r>
          </w:p>
        </w:tc>
        <w:tc>
          <w:tcPr>
            <w:tcW w:w="1701" w:type="dxa"/>
            <w:tcBorders>
              <w:top w:val="nil"/>
              <w:bottom w:val="nil"/>
            </w:tcBorders>
            <w:vAlign w:val="center"/>
          </w:tcPr>
          <w:p w14:paraId="39533EE3">
            <w:pPr>
              <w:pStyle w:val="16"/>
              <w:spacing w:before="31" w:after="31"/>
              <w:ind w:firstLine="0" w:firstLineChars="0"/>
              <w:jc w:val="center"/>
              <w:rPr>
                <w:rFonts w:cs="Times New Roman"/>
                <w:sz w:val="21"/>
                <w:szCs w:val="21"/>
              </w:rPr>
            </w:pPr>
            <w:r>
              <w:rPr>
                <w:rFonts w:cs="Times New Roman"/>
                <w:sz w:val="21"/>
                <w:szCs w:val="21"/>
              </w:rPr>
              <w:t>307</w:t>
            </w:r>
          </w:p>
        </w:tc>
        <w:tc>
          <w:tcPr>
            <w:tcW w:w="1701" w:type="dxa"/>
            <w:tcBorders>
              <w:top w:val="nil"/>
              <w:bottom w:val="nil"/>
            </w:tcBorders>
            <w:vAlign w:val="center"/>
          </w:tcPr>
          <w:p w14:paraId="49A05EE9">
            <w:pPr>
              <w:pStyle w:val="16"/>
              <w:spacing w:before="31" w:after="31"/>
              <w:ind w:firstLine="0" w:firstLineChars="0"/>
              <w:jc w:val="center"/>
              <w:rPr>
                <w:rFonts w:cs="Times New Roman"/>
                <w:sz w:val="21"/>
                <w:szCs w:val="21"/>
              </w:rPr>
            </w:pPr>
            <w:r>
              <w:rPr>
                <w:rFonts w:cs="Times New Roman"/>
                <w:sz w:val="21"/>
                <w:szCs w:val="21"/>
              </w:rPr>
              <w:t>437</w:t>
            </w:r>
          </w:p>
        </w:tc>
        <w:tc>
          <w:tcPr>
            <w:tcW w:w="1701" w:type="dxa"/>
            <w:tcBorders>
              <w:top w:val="nil"/>
              <w:bottom w:val="nil"/>
            </w:tcBorders>
            <w:vAlign w:val="center"/>
          </w:tcPr>
          <w:p w14:paraId="2865DF52">
            <w:pPr>
              <w:pStyle w:val="16"/>
              <w:spacing w:before="31" w:after="31"/>
              <w:ind w:firstLine="0" w:firstLineChars="0"/>
              <w:jc w:val="center"/>
              <w:rPr>
                <w:rFonts w:cs="Times New Roman"/>
                <w:sz w:val="21"/>
                <w:szCs w:val="21"/>
              </w:rPr>
            </w:pPr>
            <w:r>
              <w:rPr>
                <w:rFonts w:cs="Times New Roman"/>
                <w:sz w:val="21"/>
                <w:szCs w:val="21"/>
              </w:rPr>
              <w:t>18.6</w:t>
            </w:r>
          </w:p>
        </w:tc>
        <w:tc>
          <w:tcPr>
            <w:tcW w:w="1843" w:type="dxa"/>
            <w:tcBorders>
              <w:top w:val="nil"/>
              <w:bottom w:val="nil"/>
            </w:tcBorders>
            <w:vAlign w:val="center"/>
          </w:tcPr>
          <w:p w14:paraId="67351BFC">
            <w:pPr>
              <w:pStyle w:val="16"/>
              <w:spacing w:before="31" w:after="31"/>
              <w:ind w:firstLine="0" w:firstLineChars="0"/>
              <w:jc w:val="center"/>
              <w:rPr>
                <w:rFonts w:cs="Times New Roman"/>
                <w:sz w:val="21"/>
                <w:szCs w:val="21"/>
              </w:rPr>
            </w:pPr>
          </w:p>
        </w:tc>
      </w:tr>
      <w:tr w14:paraId="1233C7B0">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134" w:type="dxa"/>
            <w:tcBorders>
              <w:top w:val="nil"/>
              <w:bottom w:val="nil"/>
            </w:tcBorders>
            <w:vAlign w:val="center"/>
          </w:tcPr>
          <w:p w14:paraId="682501CF">
            <w:pPr>
              <w:pStyle w:val="16"/>
              <w:spacing w:before="31" w:after="31"/>
              <w:ind w:firstLine="0" w:firstLineChars="0"/>
              <w:jc w:val="center"/>
              <w:rPr>
                <w:rFonts w:cs="Times New Roman"/>
                <w:sz w:val="21"/>
                <w:szCs w:val="21"/>
              </w:rPr>
            </w:pPr>
            <w:r>
              <w:rPr>
                <w:rFonts w:cs="Times New Roman"/>
                <w:sz w:val="21"/>
                <w:szCs w:val="21"/>
              </w:rPr>
              <w:t>5#</w:t>
            </w:r>
          </w:p>
        </w:tc>
        <w:tc>
          <w:tcPr>
            <w:tcW w:w="1701" w:type="dxa"/>
            <w:tcBorders>
              <w:top w:val="nil"/>
              <w:bottom w:val="nil"/>
            </w:tcBorders>
            <w:vAlign w:val="center"/>
          </w:tcPr>
          <w:p w14:paraId="6EC34806">
            <w:pPr>
              <w:pStyle w:val="16"/>
              <w:spacing w:before="31" w:after="31"/>
              <w:ind w:firstLine="0" w:firstLineChars="0"/>
              <w:jc w:val="center"/>
              <w:rPr>
                <w:rFonts w:cs="Times New Roman"/>
                <w:sz w:val="21"/>
                <w:szCs w:val="21"/>
              </w:rPr>
            </w:pPr>
            <w:r>
              <w:rPr>
                <w:rFonts w:cs="Times New Roman"/>
                <w:sz w:val="21"/>
                <w:szCs w:val="21"/>
              </w:rPr>
              <w:t>337</w:t>
            </w:r>
          </w:p>
        </w:tc>
        <w:tc>
          <w:tcPr>
            <w:tcW w:w="1701" w:type="dxa"/>
            <w:tcBorders>
              <w:top w:val="nil"/>
              <w:bottom w:val="nil"/>
            </w:tcBorders>
            <w:vAlign w:val="center"/>
          </w:tcPr>
          <w:p w14:paraId="54AF089D">
            <w:pPr>
              <w:pStyle w:val="16"/>
              <w:spacing w:before="31" w:after="31"/>
              <w:ind w:firstLine="0" w:firstLineChars="0"/>
              <w:jc w:val="center"/>
              <w:rPr>
                <w:rFonts w:cs="Times New Roman"/>
                <w:sz w:val="21"/>
                <w:szCs w:val="21"/>
              </w:rPr>
            </w:pPr>
            <w:r>
              <w:rPr>
                <w:rFonts w:cs="Times New Roman"/>
                <w:sz w:val="21"/>
                <w:szCs w:val="21"/>
              </w:rPr>
              <w:t>470.1</w:t>
            </w:r>
          </w:p>
        </w:tc>
        <w:tc>
          <w:tcPr>
            <w:tcW w:w="1701" w:type="dxa"/>
            <w:tcBorders>
              <w:top w:val="nil"/>
              <w:bottom w:val="nil"/>
            </w:tcBorders>
            <w:vAlign w:val="center"/>
          </w:tcPr>
          <w:p w14:paraId="59EA4161">
            <w:pPr>
              <w:pStyle w:val="16"/>
              <w:spacing w:before="31" w:after="31"/>
              <w:ind w:firstLine="0" w:firstLineChars="0"/>
              <w:jc w:val="center"/>
              <w:rPr>
                <w:rFonts w:cs="Times New Roman"/>
                <w:sz w:val="21"/>
                <w:szCs w:val="21"/>
              </w:rPr>
            </w:pPr>
            <w:r>
              <w:rPr>
                <w:rFonts w:cs="Times New Roman"/>
                <w:sz w:val="21"/>
                <w:szCs w:val="21"/>
              </w:rPr>
              <w:t>21.6</w:t>
            </w:r>
          </w:p>
        </w:tc>
        <w:tc>
          <w:tcPr>
            <w:tcW w:w="1843" w:type="dxa"/>
            <w:tcBorders>
              <w:top w:val="nil"/>
              <w:bottom w:val="nil"/>
            </w:tcBorders>
            <w:vAlign w:val="center"/>
          </w:tcPr>
          <w:p w14:paraId="0ADB17FC">
            <w:pPr>
              <w:pStyle w:val="16"/>
              <w:spacing w:before="31" w:after="31"/>
              <w:ind w:firstLine="0" w:firstLineChars="0"/>
              <w:jc w:val="center"/>
              <w:rPr>
                <w:rFonts w:cs="Times New Roman"/>
                <w:sz w:val="21"/>
                <w:szCs w:val="21"/>
              </w:rPr>
            </w:pPr>
          </w:p>
        </w:tc>
      </w:tr>
      <w:tr w14:paraId="1975D585">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134" w:type="dxa"/>
            <w:tcBorders>
              <w:top w:val="nil"/>
              <w:bottom w:val="nil"/>
            </w:tcBorders>
            <w:vAlign w:val="center"/>
          </w:tcPr>
          <w:p w14:paraId="678053B2">
            <w:pPr>
              <w:pStyle w:val="16"/>
              <w:spacing w:before="31" w:after="31"/>
              <w:ind w:firstLine="0" w:firstLineChars="0"/>
              <w:jc w:val="center"/>
              <w:rPr>
                <w:rFonts w:cs="Times New Roman"/>
                <w:sz w:val="21"/>
                <w:szCs w:val="21"/>
              </w:rPr>
            </w:pPr>
            <w:r>
              <w:rPr>
                <w:rFonts w:cs="Times New Roman"/>
                <w:sz w:val="21"/>
                <w:szCs w:val="21"/>
              </w:rPr>
              <w:t>6#</w:t>
            </w:r>
          </w:p>
        </w:tc>
        <w:tc>
          <w:tcPr>
            <w:tcW w:w="1701" w:type="dxa"/>
            <w:tcBorders>
              <w:top w:val="nil"/>
              <w:bottom w:val="nil"/>
            </w:tcBorders>
            <w:vAlign w:val="center"/>
          </w:tcPr>
          <w:p w14:paraId="4117CCAC">
            <w:pPr>
              <w:pStyle w:val="16"/>
              <w:spacing w:before="31" w:after="31"/>
              <w:ind w:firstLine="0" w:firstLineChars="0"/>
              <w:jc w:val="center"/>
              <w:rPr>
                <w:rFonts w:cs="Times New Roman"/>
                <w:sz w:val="21"/>
                <w:szCs w:val="21"/>
              </w:rPr>
            </w:pPr>
            <w:r>
              <w:rPr>
                <w:rFonts w:cs="Times New Roman"/>
                <w:sz w:val="21"/>
                <w:szCs w:val="21"/>
              </w:rPr>
              <w:t>310</w:t>
            </w:r>
          </w:p>
        </w:tc>
        <w:tc>
          <w:tcPr>
            <w:tcW w:w="1701" w:type="dxa"/>
            <w:tcBorders>
              <w:top w:val="nil"/>
              <w:bottom w:val="nil"/>
            </w:tcBorders>
            <w:vAlign w:val="center"/>
          </w:tcPr>
          <w:p w14:paraId="4913C9BC">
            <w:pPr>
              <w:pStyle w:val="16"/>
              <w:spacing w:before="31" w:after="31"/>
              <w:ind w:firstLine="0" w:firstLineChars="0"/>
              <w:jc w:val="center"/>
              <w:rPr>
                <w:rFonts w:cs="Times New Roman"/>
                <w:sz w:val="21"/>
                <w:szCs w:val="21"/>
              </w:rPr>
            </w:pPr>
            <w:r>
              <w:rPr>
                <w:rFonts w:cs="Times New Roman"/>
                <w:sz w:val="21"/>
                <w:szCs w:val="21"/>
              </w:rPr>
              <w:t>460</w:t>
            </w:r>
          </w:p>
        </w:tc>
        <w:tc>
          <w:tcPr>
            <w:tcW w:w="1701" w:type="dxa"/>
            <w:tcBorders>
              <w:top w:val="nil"/>
              <w:bottom w:val="nil"/>
            </w:tcBorders>
            <w:vAlign w:val="center"/>
          </w:tcPr>
          <w:p w14:paraId="172F16AD">
            <w:pPr>
              <w:pStyle w:val="16"/>
              <w:spacing w:before="31" w:after="31"/>
              <w:ind w:firstLine="0" w:firstLineChars="0"/>
              <w:jc w:val="center"/>
              <w:rPr>
                <w:rFonts w:cs="Times New Roman"/>
                <w:sz w:val="21"/>
                <w:szCs w:val="21"/>
              </w:rPr>
            </w:pPr>
            <w:r>
              <w:rPr>
                <w:rFonts w:cs="Times New Roman"/>
                <w:sz w:val="21"/>
                <w:szCs w:val="21"/>
              </w:rPr>
              <w:t>35.8</w:t>
            </w:r>
          </w:p>
        </w:tc>
        <w:tc>
          <w:tcPr>
            <w:tcW w:w="1843" w:type="dxa"/>
            <w:tcBorders>
              <w:top w:val="nil"/>
              <w:bottom w:val="nil"/>
            </w:tcBorders>
            <w:vAlign w:val="center"/>
          </w:tcPr>
          <w:p w14:paraId="0485BB79">
            <w:pPr>
              <w:pStyle w:val="16"/>
              <w:spacing w:before="31" w:after="31"/>
              <w:ind w:firstLine="0" w:firstLineChars="0"/>
              <w:jc w:val="center"/>
              <w:rPr>
                <w:rFonts w:cs="Times New Roman"/>
                <w:sz w:val="21"/>
                <w:szCs w:val="21"/>
              </w:rPr>
            </w:pPr>
          </w:p>
        </w:tc>
      </w:tr>
      <w:tr w14:paraId="78138A4C">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134" w:type="dxa"/>
            <w:tcBorders>
              <w:top w:val="nil"/>
              <w:bottom w:val="nil"/>
            </w:tcBorders>
            <w:vAlign w:val="center"/>
          </w:tcPr>
          <w:p w14:paraId="588D0A82">
            <w:pPr>
              <w:pStyle w:val="16"/>
              <w:spacing w:before="31" w:after="31"/>
              <w:ind w:firstLine="0" w:firstLineChars="0"/>
              <w:jc w:val="center"/>
              <w:rPr>
                <w:rFonts w:cs="Times New Roman"/>
                <w:sz w:val="21"/>
                <w:szCs w:val="21"/>
              </w:rPr>
            </w:pPr>
            <w:r>
              <w:rPr>
                <w:rFonts w:cs="Times New Roman"/>
                <w:sz w:val="21"/>
                <w:szCs w:val="21"/>
              </w:rPr>
              <w:t>7#</w:t>
            </w:r>
          </w:p>
        </w:tc>
        <w:tc>
          <w:tcPr>
            <w:tcW w:w="1701" w:type="dxa"/>
            <w:tcBorders>
              <w:top w:val="nil"/>
              <w:bottom w:val="nil"/>
            </w:tcBorders>
            <w:vAlign w:val="center"/>
          </w:tcPr>
          <w:p w14:paraId="35D90A19">
            <w:pPr>
              <w:pStyle w:val="16"/>
              <w:spacing w:before="31" w:after="31"/>
              <w:ind w:firstLine="0" w:firstLineChars="0"/>
              <w:jc w:val="center"/>
              <w:rPr>
                <w:rFonts w:cs="Times New Roman"/>
                <w:sz w:val="21"/>
                <w:szCs w:val="21"/>
              </w:rPr>
            </w:pPr>
            <w:r>
              <w:rPr>
                <w:rFonts w:cs="Times New Roman"/>
                <w:sz w:val="21"/>
                <w:szCs w:val="21"/>
              </w:rPr>
              <w:t>324</w:t>
            </w:r>
          </w:p>
        </w:tc>
        <w:tc>
          <w:tcPr>
            <w:tcW w:w="1701" w:type="dxa"/>
            <w:tcBorders>
              <w:top w:val="nil"/>
              <w:bottom w:val="nil"/>
            </w:tcBorders>
            <w:vAlign w:val="center"/>
          </w:tcPr>
          <w:p w14:paraId="626537FF">
            <w:pPr>
              <w:pStyle w:val="16"/>
              <w:spacing w:before="31" w:after="31"/>
              <w:ind w:firstLine="0" w:firstLineChars="0"/>
              <w:jc w:val="center"/>
              <w:rPr>
                <w:rFonts w:cs="Times New Roman"/>
                <w:sz w:val="21"/>
                <w:szCs w:val="21"/>
              </w:rPr>
            </w:pPr>
            <w:r>
              <w:rPr>
                <w:rFonts w:cs="Times New Roman"/>
                <w:sz w:val="21"/>
                <w:szCs w:val="21"/>
              </w:rPr>
              <w:t>474.3</w:t>
            </w:r>
          </w:p>
        </w:tc>
        <w:tc>
          <w:tcPr>
            <w:tcW w:w="1701" w:type="dxa"/>
            <w:tcBorders>
              <w:top w:val="nil"/>
              <w:bottom w:val="nil"/>
            </w:tcBorders>
            <w:vAlign w:val="center"/>
          </w:tcPr>
          <w:p w14:paraId="60222673">
            <w:pPr>
              <w:pStyle w:val="16"/>
              <w:spacing w:before="31" w:after="31"/>
              <w:ind w:firstLine="0" w:firstLineChars="0"/>
              <w:jc w:val="center"/>
              <w:rPr>
                <w:rFonts w:cs="Times New Roman"/>
                <w:sz w:val="21"/>
                <w:szCs w:val="21"/>
              </w:rPr>
            </w:pPr>
            <w:r>
              <w:rPr>
                <w:rFonts w:cs="Times New Roman"/>
                <w:sz w:val="21"/>
                <w:szCs w:val="21"/>
              </w:rPr>
              <w:t>34.5</w:t>
            </w:r>
          </w:p>
        </w:tc>
        <w:tc>
          <w:tcPr>
            <w:tcW w:w="1843" w:type="dxa"/>
            <w:tcBorders>
              <w:top w:val="nil"/>
              <w:bottom w:val="nil"/>
            </w:tcBorders>
            <w:vAlign w:val="center"/>
          </w:tcPr>
          <w:p w14:paraId="1929EA70">
            <w:pPr>
              <w:pStyle w:val="16"/>
              <w:spacing w:before="31" w:after="31"/>
              <w:ind w:firstLine="0" w:firstLineChars="0"/>
              <w:jc w:val="center"/>
              <w:rPr>
                <w:rFonts w:cs="Times New Roman"/>
                <w:sz w:val="21"/>
                <w:szCs w:val="21"/>
              </w:rPr>
            </w:pPr>
          </w:p>
        </w:tc>
      </w:tr>
      <w:tr w14:paraId="2332F351">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134" w:type="dxa"/>
            <w:tcBorders>
              <w:top w:val="nil"/>
            </w:tcBorders>
            <w:vAlign w:val="center"/>
          </w:tcPr>
          <w:p w14:paraId="20AD8DFB">
            <w:pPr>
              <w:pStyle w:val="16"/>
              <w:spacing w:before="31" w:after="31"/>
              <w:ind w:firstLine="0" w:firstLineChars="0"/>
              <w:jc w:val="center"/>
              <w:rPr>
                <w:rFonts w:cs="Times New Roman"/>
                <w:sz w:val="21"/>
                <w:szCs w:val="21"/>
              </w:rPr>
            </w:pPr>
            <w:r>
              <w:rPr>
                <w:rFonts w:cs="Times New Roman"/>
                <w:sz w:val="21"/>
                <w:szCs w:val="21"/>
              </w:rPr>
              <w:t>8#</w:t>
            </w:r>
          </w:p>
        </w:tc>
        <w:tc>
          <w:tcPr>
            <w:tcW w:w="1701" w:type="dxa"/>
            <w:tcBorders>
              <w:top w:val="nil"/>
            </w:tcBorders>
            <w:vAlign w:val="center"/>
          </w:tcPr>
          <w:p w14:paraId="3D2CA023">
            <w:pPr>
              <w:pStyle w:val="16"/>
              <w:spacing w:before="31" w:after="31"/>
              <w:ind w:firstLine="0" w:firstLineChars="0"/>
              <w:jc w:val="center"/>
              <w:rPr>
                <w:rFonts w:cs="Times New Roman"/>
                <w:sz w:val="21"/>
                <w:szCs w:val="21"/>
              </w:rPr>
            </w:pPr>
            <w:r>
              <w:rPr>
                <w:rFonts w:cs="Times New Roman"/>
                <w:sz w:val="21"/>
                <w:szCs w:val="21"/>
              </w:rPr>
              <w:t>344</w:t>
            </w:r>
          </w:p>
        </w:tc>
        <w:tc>
          <w:tcPr>
            <w:tcW w:w="1701" w:type="dxa"/>
            <w:tcBorders>
              <w:top w:val="nil"/>
            </w:tcBorders>
            <w:vAlign w:val="center"/>
          </w:tcPr>
          <w:p w14:paraId="74084344">
            <w:pPr>
              <w:pStyle w:val="16"/>
              <w:spacing w:before="31" w:after="31"/>
              <w:ind w:firstLine="0" w:firstLineChars="0"/>
              <w:jc w:val="center"/>
              <w:rPr>
                <w:rFonts w:cs="Times New Roman"/>
                <w:sz w:val="21"/>
                <w:szCs w:val="21"/>
              </w:rPr>
            </w:pPr>
            <w:r>
              <w:rPr>
                <w:rFonts w:cs="Times New Roman"/>
                <w:sz w:val="21"/>
                <w:szCs w:val="21"/>
              </w:rPr>
              <w:t>474</w:t>
            </w:r>
          </w:p>
        </w:tc>
        <w:tc>
          <w:tcPr>
            <w:tcW w:w="1701" w:type="dxa"/>
            <w:tcBorders>
              <w:top w:val="nil"/>
            </w:tcBorders>
            <w:vAlign w:val="center"/>
          </w:tcPr>
          <w:p w14:paraId="7C097EC3">
            <w:pPr>
              <w:pStyle w:val="16"/>
              <w:spacing w:before="31" w:after="31"/>
              <w:ind w:firstLine="0" w:firstLineChars="0"/>
              <w:jc w:val="center"/>
              <w:rPr>
                <w:rFonts w:cs="Times New Roman"/>
                <w:sz w:val="21"/>
                <w:szCs w:val="21"/>
              </w:rPr>
            </w:pPr>
            <w:r>
              <w:rPr>
                <w:rFonts w:cs="Times New Roman"/>
                <w:sz w:val="21"/>
                <w:szCs w:val="21"/>
              </w:rPr>
              <w:t>32</w:t>
            </w:r>
          </w:p>
        </w:tc>
        <w:tc>
          <w:tcPr>
            <w:tcW w:w="1843" w:type="dxa"/>
            <w:tcBorders>
              <w:top w:val="nil"/>
            </w:tcBorders>
            <w:vAlign w:val="center"/>
          </w:tcPr>
          <w:p w14:paraId="1350F0CF">
            <w:pPr>
              <w:pStyle w:val="16"/>
              <w:spacing w:before="31" w:after="31"/>
              <w:ind w:firstLine="0" w:firstLineChars="0"/>
              <w:jc w:val="center"/>
              <w:rPr>
                <w:rFonts w:cs="Times New Roman"/>
                <w:sz w:val="21"/>
                <w:szCs w:val="21"/>
              </w:rPr>
            </w:pPr>
          </w:p>
        </w:tc>
      </w:tr>
    </w:tbl>
    <w:p w14:paraId="74AD3427">
      <w:pPr>
        <w:pStyle w:val="16"/>
        <w:spacing w:before="31" w:after="31"/>
        <w:ind w:firstLine="0" w:firstLineChars="0"/>
        <w:rPr>
          <w:szCs w:val="24"/>
        </w:rPr>
      </w:pPr>
    </w:p>
    <w:p w14:paraId="33B6B22E">
      <w:pPr>
        <w:pStyle w:val="16"/>
        <w:spacing w:before="31" w:after="31"/>
        <w:ind w:firstLine="0" w:firstLineChars="0"/>
        <w:rPr>
          <w:szCs w:val="24"/>
        </w:rPr>
      </w:pPr>
      <w:r>
        <w:rPr>
          <w:rFonts w:hint="eastAsia"/>
          <w:szCs w:val="24"/>
        </w:rPr>
        <w:t>(5) Failed Component Morphology</w:t>
      </w:r>
    </w:p>
    <w:p w14:paraId="02DE6BDA">
      <w:pPr>
        <w:pStyle w:val="16"/>
        <w:spacing w:before="31" w:after="31"/>
        <w:ind w:firstLine="480"/>
        <w:rPr>
          <w:szCs w:val="24"/>
        </w:rPr>
      </w:pPr>
      <w:r>
        <w:rPr>
          <w:rFonts w:hint="eastAsia"/>
          <w:szCs w:val="24"/>
        </w:rPr>
        <w:t>(a) Macro Morphology</w:t>
      </w:r>
    </w:p>
    <w:p w14:paraId="29DC3535">
      <w:pPr>
        <w:pStyle w:val="16"/>
        <w:spacing w:before="31" w:after="31"/>
        <w:ind w:firstLine="480"/>
        <w:rPr>
          <w:szCs w:val="24"/>
        </w:rPr>
      </w:pPr>
      <w:r>
        <w:rPr>
          <w:rFonts w:hint="eastAsia"/>
          <w:szCs w:val="24"/>
        </w:rPr>
        <w:t xml:space="preserve">There are distributed holes of varying sizes on the outer wall of the unblocking welded steel pipe, spaced at intervals of 3 to 9 cm, with an average interval of 7 cm. The centers of the holes are almost on the same straight line. The holes have a minimum diameter of 3mm and a maximum diameter of 7mm, with an expansion diameter of up to 8mm. According to the analysis of the appearance of the unblocking welded steel pipe, it can be determined that the holes on the pipe wall are formed from the outer wall, gradually deepening inward until penetration, causing perforation with an expanding surface. The shape of the holes on the outer wall of the oil transportation welded steel pipe is elongated, with a width of about 8mm and a length of 14mm. The long axis of the holes is consistent with the axial direction of the pipeline. No expansion surface is seen around the holes on the outer wall. Along the axial milling of the pipe wall, it is found that there are expanding surfaces around the holes on the inner wall. According to the analysis of the appearance of the buried oil pipeline, it can be determined that the holes on the pipe wall are formed from the inner wall, gradually deepening outward until perforation. </w:t>
      </w:r>
    </w:p>
    <w:p w14:paraId="7FF1EFC5">
      <w:pPr>
        <w:pStyle w:val="16"/>
        <w:spacing w:before="31" w:after="31"/>
        <w:ind w:firstLine="480"/>
        <w:rPr>
          <w:szCs w:val="24"/>
        </w:rPr>
      </w:pPr>
      <w:r>
        <w:rPr>
          <w:rFonts w:hint="eastAsia"/>
          <w:szCs w:val="24"/>
        </w:rPr>
        <w:t>At the same time, a section of the pipe wall with no corroded holes has undergone corrosion, with an average thickness of 4.7mm and severe corrosion at a thickness of only 4.4mm.</w:t>
      </w:r>
    </w:p>
    <w:p w14:paraId="7F884E46">
      <w:pPr>
        <w:pStyle w:val="16"/>
        <w:spacing w:before="31" w:after="31"/>
        <w:ind w:firstLine="480"/>
        <w:rPr>
          <w:szCs w:val="24"/>
        </w:rPr>
      </w:pPr>
      <w:r>
        <w:rPr>
          <w:rFonts w:hint="eastAsia"/>
          <w:szCs w:val="24"/>
        </w:rPr>
        <w:t>(b) Micro Morphology</w:t>
      </w:r>
    </w:p>
    <w:p w14:paraId="2B2FE16C">
      <w:pPr>
        <w:pStyle w:val="16"/>
        <w:spacing w:before="31" w:after="31"/>
        <w:ind w:firstLine="480"/>
        <w:rPr>
          <w:szCs w:val="24"/>
        </w:rPr>
      </w:pPr>
      <w:r>
        <w:rPr>
          <w:rFonts w:hint="eastAsia"/>
          <w:szCs w:val="24"/>
        </w:rPr>
        <w:t>Severe corrosion is observed at the grain boundaries of the specimen, and corrosion pits are present within the grains, as indicated by arrows in Figure 2-5.2 and Figure 2-5.3. The microstructure of the material belongs to low-carbon steel, and the pipeline material is in good condition. The failure mode is corrosion failure, and the corrosion process initially progresses from intergranular corrosion to intragranular corrosion.</w:t>
      </w:r>
    </w:p>
    <w:p w14:paraId="601D4CD2">
      <w:pPr>
        <w:pStyle w:val="22"/>
        <w:spacing w:before="156" w:after="468"/>
        <w:rPr>
          <w:sz w:val="24"/>
        </w:rPr>
      </w:pPr>
      <w:r>
        <w:rPr>
          <w:rFonts w:hint="eastAsia" w:eastAsia="宋体"/>
        </w:rPr>
        <w:t>Figure 2-5.2 Microstructure (1000×)    Figure 2-5.3 Microstructure (2000×)</w:t>
      </w:r>
    </w:p>
    <w:p w14:paraId="5F18FCF6">
      <w:pPr>
        <w:pStyle w:val="16"/>
        <w:spacing w:before="31" w:after="31"/>
        <w:ind w:firstLine="0" w:firstLineChars="0"/>
        <w:rPr>
          <w:szCs w:val="24"/>
        </w:rPr>
      </w:pPr>
      <w:r>
        <w:rPr>
          <w:rFonts w:hint="eastAsia"/>
          <w:szCs w:val="24"/>
        </w:rPr>
        <w:t>(6) Failure Cause Analysis</w:t>
      </w:r>
    </w:p>
    <w:p w14:paraId="5CAD600D">
      <w:pPr>
        <w:pStyle w:val="16"/>
        <w:spacing w:before="31" w:after="31"/>
        <w:ind w:firstLine="480"/>
        <w:rPr>
          <w:szCs w:val="24"/>
        </w:rPr>
      </w:pPr>
      <w:r>
        <w:rPr>
          <w:rFonts w:hint="eastAsia"/>
          <w:szCs w:val="24"/>
        </w:rPr>
        <w:t>Although the pipe has experienced slight corrosion, its mechanical strength and plastic properties have not been significantly affected. Therefore, the main cause of pipeline failure is the weakening of the pipe wall thickness due to corrosion, reducing the structural load-bearing capacity of the pipeline.</w:t>
      </w:r>
    </w:p>
    <w:p w14:paraId="024AC824">
      <w:pPr>
        <w:pStyle w:val="16"/>
        <w:spacing w:before="31" w:after="31"/>
        <w:ind w:firstLine="480"/>
        <w:rPr>
          <w:szCs w:val="24"/>
        </w:rPr>
      </w:pPr>
    </w:p>
    <w:p w14:paraId="09ECB265">
      <w:pPr>
        <w:pStyle w:val="16"/>
        <w:spacing w:before="31" w:after="31"/>
        <w:ind w:firstLine="0" w:firstLineChars="0"/>
        <w:rPr>
          <w:szCs w:val="24"/>
        </w:rPr>
      </w:pPr>
      <w:r>
        <w:rPr>
          <w:rFonts w:hint="eastAsia"/>
          <w:szCs w:val="24"/>
        </w:rPr>
        <w:t>(7) Impact and Harm</w:t>
      </w:r>
    </w:p>
    <w:p w14:paraId="588491B4">
      <w:pPr>
        <w:pStyle w:val="16"/>
        <w:spacing w:before="31" w:after="31"/>
        <w:ind w:firstLine="480"/>
        <w:rPr>
          <w:szCs w:val="24"/>
        </w:rPr>
      </w:pPr>
      <w:r>
        <w:rPr>
          <w:rFonts w:hint="eastAsia"/>
          <w:szCs w:val="24"/>
        </w:rPr>
        <w:t>Pipeline perforation leads to crude oil leakage.</w:t>
      </w:r>
    </w:p>
    <w:p w14:paraId="70D67C06">
      <w:pPr>
        <w:pStyle w:val="16"/>
        <w:spacing w:before="31" w:after="31"/>
        <w:ind w:firstLine="480"/>
        <w:rPr>
          <w:szCs w:val="24"/>
        </w:rPr>
      </w:pPr>
    </w:p>
    <w:p w14:paraId="6F60D455">
      <w:pPr>
        <w:pStyle w:val="16"/>
        <w:spacing w:before="31" w:after="31"/>
        <w:ind w:firstLine="0" w:firstLineChars="0"/>
        <w:rPr>
          <w:szCs w:val="24"/>
        </w:rPr>
      </w:pPr>
      <w:r>
        <w:rPr>
          <w:rFonts w:hint="eastAsia"/>
          <w:szCs w:val="24"/>
        </w:rPr>
        <w:t>(8) Conclusion and Improvement Measures</w:t>
      </w:r>
    </w:p>
    <w:p w14:paraId="70BEBF48">
      <w:pPr>
        <w:pStyle w:val="16"/>
        <w:spacing w:before="31" w:after="31"/>
        <w:ind w:firstLine="480"/>
        <w:rPr>
          <w:szCs w:val="24"/>
        </w:rPr>
      </w:pPr>
      <w:r>
        <w:rPr>
          <w:rFonts w:hint="eastAsia"/>
          <w:szCs w:val="24"/>
        </w:rPr>
        <w:t>It is recommended to use cathodic protection measures for the oil pipeline. During the operation of the oil pipeline, the temperature can reach 80°C. The thermal expansion coefficient of the coating on the pipe wall is inconsistent with that of the pipeline itself. This causes damage to the coating layer and the appearance of pinholes under normal temperature operation, forming a corrosion cell, resulting in more concentrated corrosion compared to when there is no anti-corrosion coating, and accelerating local corrosion. The adoption of cathodic protection technology can effectively compensate for these deficiencies.</w:t>
      </w:r>
    </w:p>
    <w:p w14:paraId="60BD177A">
      <w:pPr>
        <w:pStyle w:val="16"/>
        <w:spacing w:before="31" w:after="31"/>
        <w:ind w:firstLine="480"/>
        <w:rPr>
          <w:szCs w:val="24"/>
        </w:rPr>
      </w:pPr>
    </w:p>
    <w:p w14:paraId="513A99EE">
      <w:pPr>
        <w:pStyle w:val="16"/>
        <w:spacing w:before="31" w:after="31"/>
        <w:ind w:firstLine="480"/>
        <w:rPr>
          <w:szCs w:val="24"/>
        </w:rPr>
      </w:pPr>
    </w:p>
    <w:p w14:paraId="50302DE8">
      <w:pPr>
        <w:pStyle w:val="21"/>
        <w:numPr>
          <w:ilvl w:val="2"/>
          <w:numId w:val="0"/>
        </w:numPr>
        <w:rPr>
          <w:rFonts w:eastAsia="宋体"/>
          <w:color w:val="000000"/>
        </w:rPr>
      </w:pPr>
      <w:r>
        <w:rPr>
          <w:rFonts w:hint="eastAsia" w:eastAsia="宋体"/>
          <w:color w:val="000000"/>
        </w:rPr>
        <w:t>2.2.6 Case 2-6 Corrosion of Oil and Gas Pipelines in Clay and Sandy Soil</w:t>
      </w:r>
    </w:p>
    <w:p w14:paraId="635DED14">
      <w:pPr>
        <w:pStyle w:val="16"/>
        <w:spacing w:before="31" w:after="31"/>
        <w:ind w:firstLine="0" w:firstLineChars="0"/>
        <w:rPr>
          <w:szCs w:val="24"/>
        </w:rPr>
      </w:pPr>
      <w:r>
        <w:rPr>
          <w:rFonts w:hint="eastAsia"/>
          <w:szCs w:val="24"/>
        </w:rPr>
        <w:t>(1) Case Name</w:t>
      </w:r>
    </w:p>
    <w:p w14:paraId="255D0344">
      <w:pPr>
        <w:pStyle w:val="16"/>
        <w:spacing w:before="31" w:after="31"/>
        <w:ind w:firstLine="480"/>
        <w:rPr>
          <w:szCs w:val="24"/>
        </w:rPr>
      </w:pPr>
      <w:r>
        <w:rPr>
          <w:rFonts w:hint="eastAsia"/>
          <w:szCs w:val="24"/>
        </w:rPr>
        <w:t>Corrosion of Oil and Gas Pipelines in Clay and Sandy Soil[15]</w:t>
      </w:r>
    </w:p>
    <w:p w14:paraId="7C5309DD">
      <w:pPr>
        <w:pStyle w:val="16"/>
        <w:spacing w:before="31" w:after="31"/>
        <w:ind w:firstLine="480"/>
        <w:rPr>
          <w:szCs w:val="24"/>
        </w:rPr>
      </w:pPr>
    </w:p>
    <w:p w14:paraId="18AE4C0A">
      <w:pPr>
        <w:pStyle w:val="16"/>
        <w:spacing w:before="31" w:after="31"/>
        <w:ind w:firstLine="0" w:firstLineChars="0"/>
        <w:rPr>
          <w:szCs w:val="24"/>
        </w:rPr>
      </w:pPr>
      <w:r>
        <w:rPr>
          <w:rFonts w:hint="eastAsia"/>
          <w:szCs w:val="24"/>
        </w:rPr>
        <w:t>(2) Failure Process Description</w:t>
      </w:r>
    </w:p>
    <w:p w14:paraId="71A7CCB5">
      <w:pPr>
        <w:pStyle w:val="16"/>
        <w:spacing w:before="31" w:after="31"/>
        <w:ind w:firstLine="480"/>
        <w:rPr>
          <w:szCs w:val="24"/>
        </w:rPr>
      </w:pPr>
      <w:r>
        <w:rPr>
          <w:rFonts w:hint="eastAsia"/>
          <w:szCs w:val="24"/>
        </w:rPr>
        <w:t>X70 pipeline steel used for underground oil and gas transportation in Daqing oil base experiences different corrosion rates in sandy and clay soils in the Daqing region, leading to significant differences in the service life of the pipeline.</w:t>
      </w:r>
    </w:p>
    <w:p w14:paraId="4D653AFB">
      <w:pPr>
        <w:pStyle w:val="16"/>
        <w:spacing w:before="31" w:after="31"/>
        <w:ind w:firstLine="480"/>
        <w:rPr>
          <w:szCs w:val="24"/>
        </w:rPr>
      </w:pPr>
    </w:p>
    <w:p w14:paraId="3F949982">
      <w:pPr>
        <w:pStyle w:val="16"/>
        <w:spacing w:before="31" w:after="31"/>
        <w:ind w:firstLine="0" w:firstLineChars="0"/>
        <w:rPr>
          <w:szCs w:val="24"/>
        </w:rPr>
      </w:pPr>
      <w:r>
        <w:rPr>
          <w:rFonts w:hint="eastAsia"/>
          <w:szCs w:val="24"/>
        </w:rPr>
        <w:t>(3) Service Environment</w:t>
      </w:r>
    </w:p>
    <w:p w14:paraId="42D1E066">
      <w:pPr>
        <w:pStyle w:val="16"/>
        <w:spacing w:before="31" w:after="31"/>
        <w:ind w:firstLine="480"/>
        <w:rPr>
          <w:szCs w:val="24"/>
        </w:rPr>
      </w:pPr>
      <w:r>
        <w:rPr>
          <w:rFonts w:hint="eastAsia"/>
          <w:szCs w:val="24"/>
        </w:rPr>
        <w:t>Room temperature conditions with 20% moisture content, in both clay and sandy soils.</w:t>
      </w:r>
    </w:p>
    <w:p w14:paraId="089A9089">
      <w:pPr>
        <w:pStyle w:val="16"/>
        <w:spacing w:before="31" w:after="31"/>
        <w:ind w:firstLine="480"/>
        <w:rPr>
          <w:szCs w:val="24"/>
        </w:rPr>
      </w:pPr>
    </w:p>
    <w:p w14:paraId="2CA78554">
      <w:pPr>
        <w:pStyle w:val="16"/>
        <w:spacing w:before="31" w:after="31"/>
        <w:ind w:firstLine="0" w:firstLineChars="0"/>
        <w:rPr>
          <w:szCs w:val="24"/>
        </w:rPr>
      </w:pPr>
      <w:r>
        <w:rPr>
          <w:rFonts w:hint="eastAsia"/>
          <w:szCs w:val="24"/>
        </w:rPr>
        <w:t>(4) Failed Component and Material</w:t>
      </w:r>
    </w:p>
    <w:p w14:paraId="31B2ABC7">
      <w:pPr>
        <w:pStyle w:val="16"/>
        <w:spacing w:before="31" w:after="31"/>
        <w:ind w:firstLine="480"/>
        <w:rPr>
          <w:szCs w:val="24"/>
        </w:rPr>
      </w:pPr>
      <w:r>
        <w:rPr>
          <w:rFonts w:hint="eastAsia"/>
          <w:szCs w:val="24"/>
        </w:rPr>
        <w:t>X70 steel.</w:t>
      </w:r>
    </w:p>
    <w:p w14:paraId="2E74B6FA">
      <w:pPr>
        <w:pStyle w:val="16"/>
        <w:spacing w:before="31" w:after="31"/>
        <w:ind w:firstLine="480"/>
        <w:rPr>
          <w:szCs w:val="24"/>
        </w:rPr>
      </w:pPr>
    </w:p>
    <w:p w14:paraId="4E9C6BD0">
      <w:pPr>
        <w:pStyle w:val="16"/>
        <w:spacing w:before="31" w:after="31"/>
        <w:ind w:firstLine="0" w:firstLineChars="0"/>
        <w:rPr>
          <w:szCs w:val="24"/>
        </w:rPr>
      </w:pPr>
      <w:r>
        <w:rPr>
          <w:rFonts w:hint="eastAsia"/>
          <w:szCs w:val="24"/>
        </w:rPr>
        <w:t>(5) Component Failure Morphology</w:t>
      </w:r>
    </w:p>
    <w:p w14:paraId="61E0DFFB">
      <w:pPr>
        <w:pStyle w:val="16"/>
        <w:spacing w:before="31" w:after="31"/>
        <w:ind w:firstLine="480"/>
        <w:rPr>
          <w:szCs w:val="24"/>
        </w:rPr>
      </w:pPr>
      <w:r>
        <w:rPr>
          <w:rFonts w:hint="eastAsia"/>
          <w:szCs w:val="24"/>
        </w:rPr>
        <w:t>The corrosion morphology of the component in both soil environments is shown in Figures 2-6.1 and 2-6.2 below. Under room temperature conditions with 20% moisture content, X70 steel experiences extensive corrosion in Daqing fine sand, while localized corrosion is more severe in clay. Corrosion initiation occurs locally in both environments.</w:t>
      </w:r>
    </w:p>
    <w:p w14:paraId="39A68532">
      <w:pPr>
        <w:pStyle w:val="22"/>
        <w:spacing w:before="156" w:after="468"/>
        <w:rPr>
          <w:rFonts w:eastAsia="宋体"/>
          <w:color w:val="000000"/>
        </w:rPr>
      </w:pPr>
      <w:r>
        <w:rPr>
          <w:rFonts w:hint="eastAsia" w:eastAsia="宋体"/>
          <w:color w:val="000000"/>
        </w:rPr>
        <w:t>Figure 2-6.1 Corrosion of X70 Steel in Two Soils After 15 Days of Rust Removal</w:t>
      </w:r>
    </w:p>
    <w:p w14:paraId="66229504">
      <w:pPr>
        <w:pStyle w:val="22"/>
        <w:spacing w:before="156" w:after="468"/>
        <w:rPr>
          <w:rFonts w:eastAsia="宋体"/>
          <w:color w:val="000000"/>
        </w:rPr>
      </w:pPr>
      <w:r>
        <w:rPr>
          <w:rFonts w:hint="eastAsia" w:eastAsia="宋体"/>
          <w:color w:val="000000"/>
        </w:rPr>
        <w:t>Figure 2-6.2 SEM Images of X70 Steel Before Rust Removal at Different Durations in Two Soil Environments</w:t>
      </w:r>
    </w:p>
    <w:p w14:paraId="57BBA0E1">
      <w:pPr>
        <w:pStyle w:val="16"/>
        <w:spacing w:before="31" w:after="31"/>
        <w:ind w:firstLine="0" w:firstLineChars="0"/>
        <w:rPr>
          <w:szCs w:val="24"/>
        </w:rPr>
      </w:pPr>
      <w:r>
        <w:rPr>
          <w:rFonts w:hint="eastAsia"/>
          <w:szCs w:val="24"/>
        </w:rPr>
        <w:t>(6) Failure Cause Analysis</w:t>
      </w:r>
    </w:p>
    <w:p w14:paraId="5417BD31">
      <w:pPr>
        <w:pStyle w:val="16"/>
        <w:spacing w:before="31" w:after="31"/>
        <w:ind w:firstLine="480"/>
        <w:rPr>
          <w:szCs w:val="24"/>
        </w:rPr>
      </w:pPr>
      <w:r>
        <w:rPr>
          <w:rFonts w:hint="eastAsia"/>
          <w:szCs w:val="24"/>
        </w:rPr>
        <w:t>The corrosion rate of the pipeline in clay is significantly higher than that in sandy soil. This is because, with an increase in burial time, the resistance of the electrode corrosion reaction increases, resulting in a decrease in self-corrosion current density, leading to a declining trend in corrosion rates. This causes the corrosion rate of the same steel pipe in clay to be much higher than that in fine sand.</w:t>
      </w:r>
    </w:p>
    <w:p w14:paraId="2DC1D865">
      <w:pPr>
        <w:pStyle w:val="16"/>
        <w:spacing w:before="31" w:after="31"/>
        <w:ind w:firstLine="480"/>
        <w:rPr>
          <w:szCs w:val="24"/>
        </w:rPr>
      </w:pPr>
    </w:p>
    <w:p w14:paraId="00975B22">
      <w:pPr>
        <w:pStyle w:val="16"/>
        <w:spacing w:before="31" w:after="31"/>
        <w:ind w:firstLine="0" w:firstLineChars="0"/>
        <w:rPr>
          <w:szCs w:val="24"/>
        </w:rPr>
      </w:pPr>
      <w:r>
        <w:rPr>
          <w:rFonts w:hint="eastAsia"/>
          <w:szCs w:val="24"/>
        </w:rPr>
        <w:t>(7) Impact and Harm</w:t>
      </w:r>
    </w:p>
    <w:p w14:paraId="498FE2EB">
      <w:pPr>
        <w:pStyle w:val="16"/>
        <w:spacing w:before="31" w:after="31"/>
        <w:ind w:firstLine="480"/>
        <w:rPr>
          <w:szCs w:val="24"/>
        </w:rPr>
      </w:pPr>
      <w:r>
        <w:rPr>
          <w:rFonts w:hint="eastAsia"/>
          <w:szCs w:val="24"/>
        </w:rPr>
        <w:t>There is a significant difference in the service life of the pipeline in different environments, resulting in economic losses and potential hazards.</w:t>
      </w:r>
    </w:p>
    <w:p w14:paraId="30013AB9">
      <w:pPr>
        <w:pStyle w:val="16"/>
        <w:spacing w:before="31" w:after="31"/>
        <w:ind w:firstLine="480"/>
        <w:rPr>
          <w:szCs w:val="24"/>
        </w:rPr>
      </w:pPr>
    </w:p>
    <w:p w14:paraId="3A3698FC">
      <w:pPr>
        <w:pStyle w:val="16"/>
        <w:spacing w:before="31" w:after="31"/>
        <w:ind w:firstLine="0" w:firstLineChars="0"/>
        <w:rPr>
          <w:szCs w:val="24"/>
        </w:rPr>
      </w:pPr>
      <w:r>
        <w:rPr>
          <w:rFonts w:hint="eastAsia"/>
          <w:szCs w:val="24"/>
        </w:rPr>
        <w:t>(8) Conclusion and Improvement Measures</w:t>
      </w:r>
    </w:p>
    <w:p w14:paraId="5B97C3DA">
      <w:pPr>
        <w:pStyle w:val="16"/>
        <w:spacing w:before="31" w:after="31"/>
        <w:ind w:firstLine="480"/>
        <w:rPr>
          <w:szCs w:val="24"/>
        </w:rPr>
      </w:pPr>
      <w:r>
        <w:rPr>
          <w:rFonts w:hint="eastAsia"/>
          <w:szCs w:val="24"/>
        </w:rPr>
        <w:t>Depending on the specific service environment, select pipelines made from different materials or implement specific protective measures for pipelines accordingly.</w:t>
      </w:r>
    </w:p>
    <w:p w14:paraId="684166E6">
      <w:pPr>
        <w:pStyle w:val="16"/>
        <w:spacing w:before="31" w:after="31"/>
        <w:ind w:firstLine="480"/>
        <w:rPr>
          <w:szCs w:val="24"/>
        </w:rPr>
      </w:pPr>
    </w:p>
    <w:p w14:paraId="30156431">
      <w:pPr>
        <w:pStyle w:val="16"/>
        <w:spacing w:before="31" w:after="31"/>
        <w:ind w:firstLine="480"/>
        <w:rPr>
          <w:szCs w:val="24"/>
        </w:rPr>
      </w:pPr>
    </w:p>
    <w:p w14:paraId="3FB16F16">
      <w:pPr>
        <w:pStyle w:val="21"/>
        <w:numPr>
          <w:ilvl w:val="2"/>
          <w:numId w:val="0"/>
        </w:numPr>
        <w:rPr>
          <w:rFonts w:eastAsia="宋体"/>
          <w:color w:val="000000"/>
        </w:rPr>
      </w:pPr>
      <w:r>
        <w:rPr>
          <w:rFonts w:hint="eastAsia" w:eastAsia="宋体"/>
          <w:color w:val="000000"/>
        </w:rPr>
        <w:t>2.2.7 Case 2-7 Cracking of X65 Pipeline Steel</w:t>
      </w:r>
    </w:p>
    <w:p w14:paraId="14FF7D2E">
      <w:pPr>
        <w:pStyle w:val="16"/>
        <w:spacing w:before="31" w:after="31"/>
        <w:ind w:firstLine="0" w:firstLineChars="0"/>
        <w:rPr>
          <w:szCs w:val="24"/>
        </w:rPr>
      </w:pPr>
      <w:r>
        <w:rPr>
          <w:rFonts w:hint="eastAsia"/>
          <w:szCs w:val="24"/>
        </w:rPr>
        <w:t>(1) Case Name</w:t>
      </w:r>
    </w:p>
    <w:p w14:paraId="28720D8D">
      <w:pPr>
        <w:pStyle w:val="16"/>
        <w:spacing w:before="31" w:after="31"/>
        <w:ind w:firstLine="480"/>
        <w:rPr>
          <w:szCs w:val="24"/>
        </w:rPr>
      </w:pPr>
      <w:r>
        <w:rPr>
          <w:rFonts w:hint="eastAsia"/>
          <w:szCs w:val="24"/>
        </w:rPr>
        <w:t>Cracking of X65 Pipeline Steel [16]</w:t>
      </w:r>
    </w:p>
    <w:p w14:paraId="3A7EAAC5">
      <w:pPr>
        <w:pStyle w:val="16"/>
        <w:spacing w:before="31" w:after="31"/>
        <w:ind w:firstLine="0" w:firstLineChars="0"/>
        <w:rPr>
          <w:szCs w:val="24"/>
        </w:rPr>
      </w:pPr>
    </w:p>
    <w:p w14:paraId="286A2B86">
      <w:pPr>
        <w:pStyle w:val="16"/>
        <w:spacing w:before="31" w:after="31"/>
        <w:ind w:firstLine="0" w:firstLineChars="0"/>
        <w:rPr>
          <w:szCs w:val="24"/>
        </w:rPr>
      </w:pPr>
      <w:r>
        <w:rPr>
          <w:rFonts w:hint="eastAsia"/>
          <w:szCs w:val="24"/>
        </w:rPr>
        <w:t>(2) Failure Process Description</w:t>
      </w:r>
    </w:p>
    <w:p w14:paraId="0C1472FF">
      <w:pPr>
        <w:pStyle w:val="16"/>
        <w:spacing w:before="31" w:after="31"/>
        <w:ind w:firstLine="480"/>
        <w:rPr>
          <w:szCs w:val="24"/>
        </w:rPr>
      </w:pPr>
      <w:r>
        <w:rPr>
          <w:rFonts w:hint="eastAsia"/>
          <w:szCs w:val="24"/>
        </w:rPr>
        <w:t>Serious transverse cracks occurred in X65 pipeline steel produced in a hot rolling plant during the helical welding and rotary pressing forming process. The cracks were mainly distributed on both sides at an angle of approximately 45° to the rolling direction. Inspection revealed elliptical pits on the surface of some continuous cast slabs.</w:t>
      </w:r>
    </w:p>
    <w:p w14:paraId="078C66C6">
      <w:pPr>
        <w:pStyle w:val="16"/>
        <w:spacing w:before="31" w:after="31"/>
        <w:ind w:firstLine="0" w:firstLineChars="0"/>
        <w:rPr>
          <w:szCs w:val="24"/>
        </w:rPr>
      </w:pPr>
    </w:p>
    <w:p w14:paraId="304F6E02">
      <w:pPr>
        <w:pStyle w:val="16"/>
        <w:numPr>
          <w:ilvl w:val="0"/>
          <w:numId w:val="3"/>
        </w:numPr>
        <w:spacing w:before="31" w:after="31"/>
        <w:ind w:firstLine="0" w:firstLineChars="0"/>
        <w:rPr>
          <w:szCs w:val="24"/>
        </w:rPr>
      </w:pPr>
      <w:r>
        <w:rPr>
          <w:rFonts w:hint="eastAsia"/>
          <w:szCs w:val="24"/>
        </w:rPr>
        <w:t>Failed Component and Material</w:t>
      </w:r>
    </w:p>
    <w:p w14:paraId="723BFF6A">
      <w:pPr>
        <w:pStyle w:val="16"/>
        <w:spacing w:before="31" w:after="31"/>
        <w:ind w:firstLine="480"/>
        <w:rPr>
          <w:szCs w:val="24"/>
        </w:rPr>
      </w:pPr>
      <w:r>
        <w:rPr>
          <w:rFonts w:hint="eastAsia"/>
          <w:szCs w:val="24"/>
        </w:rPr>
        <w:t>(a) Production Process</w:t>
      </w:r>
    </w:p>
    <w:p w14:paraId="02C28AA9">
      <w:pPr>
        <w:pStyle w:val="16"/>
        <w:spacing w:before="31" w:after="31"/>
        <w:ind w:firstLine="480"/>
        <w:rPr>
          <w:szCs w:val="24"/>
        </w:rPr>
      </w:pPr>
      <w:r>
        <w:rPr>
          <w:rFonts w:hint="eastAsia"/>
          <w:szCs w:val="24"/>
        </w:rPr>
        <w:t>The failed component is X65 pipeline steel, and the production process involves using a 3/4 continuous rolling method for continuous cast slabs. The heating temperature is 1200°C, rough rolling start temperature is 1150°C, finish rolling start temperature is 1050°C, final rolling temperature is 850°C, and laminar flow cooling is applied after rolling with a coiling temperature of 650°C. Product specifications: 10.6mm×1460mm.</w:t>
      </w:r>
    </w:p>
    <w:p w14:paraId="7C4E2053">
      <w:pPr>
        <w:pStyle w:val="16"/>
        <w:spacing w:before="31" w:after="31"/>
        <w:ind w:firstLine="480"/>
        <w:rPr>
          <w:szCs w:val="24"/>
        </w:rPr>
      </w:pPr>
      <w:r>
        <w:rPr>
          <w:rFonts w:hint="eastAsia"/>
          <w:szCs w:val="24"/>
        </w:rPr>
        <w:t>(b) Chemical Composition</w:t>
      </w:r>
    </w:p>
    <w:p w14:paraId="5C3B136D">
      <w:pPr>
        <w:pStyle w:val="16"/>
        <w:spacing w:before="31" w:after="31"/>
        <w:ind w:firstLine="480"/>
        <w:rPr>
          <w:szCs w:val="24"/>
        </w:rPr>
      </w:pPr>
      <w:r>
        <w:rPr>
          <w:rFonts w:hint="eastAsia"/>
          <w:szCs w:val="24"/>
        </w:rPr>
        <w:t>The chemical composition of X65 pipeline steel is shown in Table 2-5:</w:t>
      </w:r>
    </w:p>
    <w:p w14:paraId="61653681">
      <w:pPr>
        <w:pStyle w:val="16"/>
        <w:spacing w:before="468" w:beforeLines="150" w:after="156" w:afterLines="50"/>
        <w:ind w:firstLine="0" w:firstLineChars="0"/>
        <w:jc w:val="center"/>
        <w:rPr>
          <w:rFonts w:cs="Times New Roman"/>
          <w:b/>
          <w:color w:val="000000"/>
          <w:sz w:val="21"/>
          <w:szCs w:val="21"/>
        </w:rPr>
      </w:pPr>
      <w:r>
        <w:rPr>
          <w:rFonts w:hint="eastAsia" w:cs="Times New Roman"/>
          <w:b/>
          <w:color w:val="000000"/>
          <w:sz w:val="21"/>
          <w:szCs w:val="21"/>
        </w:rPr>
        <w:t>Table 2-5 Chemical Composition of X65 Steel</w:t>
      </w:r>
    </w:p>
    <w:tbl>
      <w:tblPr>
        <w:tblStyle w:val="9"/>
        <w:tblW w:w="0" w:type="auto"/>
        <w:tblInd w:w="108" w:type="dxa"/>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584"/>
        <w:gridCol w:w="654"/>
        <w:gridCol w:w="654"/>
        <w:gridCol w:w="756"/>
        <w:gridCol w:w="756"/>
        <w:gridCol w:w="654"/>
        <w:gridCol w:w="654"/>
        <w:gridCol w:w="654"/>
        <w:gridCol w:w="756"/>
        <w:gridCol w:w="654"/>
        <w:gridCol w:w="654"/>
        <w:gridCol w:w="654"/>
      </w:tblGrid>
      <w:tr w14:paraId="2B3C4C77">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545" w:type="dxa"/>
            <w:vAlign w:val="center"/>
          </w:tcPr>
          <w:p w14:paraId="02E8E103">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C</w:t>
            </w:r>
          </w:p>
        </w:tc>
        <w:tc>
          <w:tcPr>
            <w:tcW w:w="654" w:type="dxa"/>
            <w:vAlign w:val="center"/>
          </w:tcPr>
          <w:p w14:paraId="3B0CE404">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Si</w:t>
            </w:r>
          </w:p>
        </w:tc>
        <w:tc>
          <w:tcPr>
            <w:tcW w:w="654" w:type="dxa"/>
            <w:vAlign w:val="center"/>
          </w:tcPr>
          <w:p w14:paraId="78944292">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Mn</w:t>
            </w:r>
          </w:p>
        </w:tc>
        <w:tc>
          <w:tcPr>
            <w:tcW w:w="756" w:type="dxa"/>
            <w:vAlign w:val="center"/>
          </w:tcPr>
          <w:p w14:paraId="6ACAD911">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P</w:t>
            </w:r>
          </w:p>
        </w:tc>
        <w:tc>
          <w:tcPr>
            <w:tcW w:w="756" w:type="dxa"/>
            <w:vAlign w:val="center"/>
          </w:tcPr>
          <w:p w14:paraId="02F64F1A">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S</w:t>
            </w:r>
          </w:p>
        </w:tc>
        <w:tc>
          <w:tcPr>
            <w:tcW w:w="654" w:type="dxa"/>
            <w:vAlign w:val="center"/>
          </w:tcPr>
          <w:p w14:paraId="3E45378A">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Ni</w:t>
            </w:r>
          </w:p>
        </w:tc>
        <w:tc>
          <w:tcPr>
            <w:tcW w:w="654" w:type="dxa"/>
            <w:vAlign w:val="center"/>
          </w:tcPr>
          <w:p w14:paraId="00709197">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Cu</w:t>
            </w:r>
          </w:p>
        </w:tc>
        <w:tc>
          <w:tcPr>
            <w:tcW w:w="654" w:type="dxa"/>
            <w:vAlign w:val="center"/>
          </w:tcPr>
          <w:p w14:paraId="798DF9E9">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Mo</w:t>
            </w:r>
          </w:p>
        </w:tc>
        <w:tc>
          <w:tcPr>
            <w:tcW w:w="756" w:type="dxa"/>
            <w:vAlign w:val="center"/>
          </w:tcPr>
          <w:p w14:paraId="56B9585B">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N</w:t>
            </w:r>
          </w:p>
        </w:tc>
        <w:tc>
          <w:tcPr>
            <w:tcW w:w="654" w:type="dxa"/>
            <w:vAlign w:val="center"/>
          </w:tcPr>
          <w:p w14:paraId="1F7F720D">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Nb</w:t>
            </w:r>
          </w:p>
        </w:tc>
        <w:tc>
          <w:tcPr>
            <w:tcW w:w="654" w:type="dxa"/>
            <w:vAlign w:val="center"/>
          </w:tcPr>
          <w:p w14:paraId="77473223">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Al</w:t>
            </w:r>
          </w:p>
        </w:tc>
        <w:tc>
          <w:tcPr>
            <w:tcW w:w="654" w:type="dxa"/>
            <w:vAlign w:val="center"/>
          </w:tcPr>
          <w:p w14:paraId="015B6B9E">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Ti</w:t>
            </w:r>
          </w:p>
        </w:tc>
      </w:tr>
      <w:tr w14:paraId="587B2B2C">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545" w:type="dxa"/>
            <w:vAlign w:val="center"/>
          </w:tcPr>
          <w:p w14:paraId="434E3052">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0.03</w:t>
            </w:r>
          </w:p>
        </w:tc>
        <w:tc>
          <w:tcPr>
            <w:tcW w:w="654" w:type="dxa"/>
            <w:vAlign w:val="center"/>
          </w:tcPr>
          <w:p w14:paraId="29A09CE2">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0.17</w:t>
            </w:r>
          </w:p>
        </w:tc>
        <w:tc>
          <w:tcPr>
            <w:tcW w:w="654" w:type="dxa"/>
            <w:vAlign w:val="center"/>
          </w:tcPr>
          <w:p w14:paraId="11AF593B">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1.51</w:t>
            </w:r>
          </w:p>
        </w:tc>
        <w:tc>
          <w:tcPr>
            <w:tcW w:w="756" w:type="dxa"/>
            <w:vAlign w:val="center"/>
          </w:tcPr>
          <w:p w14:paraId="0EFED8B8">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0.024</w:t>
            </w:r>
          </w:p>
        </w:tc>
        <w:tc>
          <w:tcPr>
            <w:tcW w:w="756" w:type="dxa"/>
            <w:vAlign w:val="center"/>
          </w:tcPr>
          <w:p w14:paraId="61CCCBBB">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0.005</w:t>
            </w:r>
          </w:p>
        </w:tc>
        <w:tc>
          <w:tcPr>
            <w:tcW w:w="654" w:type="dxa"/>
            <w:vAlign w:val="center"/>
          </w:tcPr>
          <w:p w14:paraId="08B0AA51">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0.17</w:t>
            </w:r>
          </w:p>
        </w:tc>
        <w:tc>
          <w:tcPr>
            <w:tcW w:w="654" w:type="dxa"/>
            <w:vAlign w:val="center"/>
          </w:tcPr>
          <w:p w14:paraId="7C828FAF">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0.04</w:t>
            </w:r>
          </w:p>
        </w:tc>
        <w:tc>
          <w:tcPr>
            <w:tcW w:w="654" w:type="dxa"/>
            <w:vAlign w:val="center"/>
          </w:tcPr>
          <w:p w14:paraId="37CF177F">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0.16</w:t>
            </w:r>
          </w:p>
        </w:tc>
        <w:tc>
          <w:tcPr>
            <w:tcW w:w="756" w:type="dxa"/>
            <w:vAlign w:val="center"/>
          </w:tcPr>
          <w:p w14:paraId="1EC544C5">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0.006</w:t>
            </w:r>
          </w:p>
        </w:tc>
        <w:tc>
          <w:tcPr>
            <w:tcW w:w="654" w:type="dxa"/>
            <w:vAlign w:val="center"/>
          </w:tcPr>
          <w:p w14:paraId="10EC070C">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0.06</w:t>
            </w:r>
          </w:p>
        </w:tc>
        <w:tc>
          <w:tcPr>
            <w:tcW w:w="654" w:type="dxa"/>
            <w:vAlign w:val="center"/>
          </w:tcPr>
          <w:p w14:paraId="49D703CB">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0.02</w:t>
            </w:r>
          </w:p>
        </w:tc>
        <w:tc>
          <w:tcPr>
            <w:tcW w:w="654" w:type="dxa"/>
            <w:vAlign w:val="center"/>
          </w:tcPr>
          <w:p w14:paraId="58B95192">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0.01</w:t>
            </w:r>
          </w:p>
        </w:tc>
      </w:tr>
    </w:tbl>
    <w:p w14:paraId="08342EB9">
      <w:pPr>
        <w:pStyle w:val="16"/>
        <w:spacing w:before="31" w:after="31"/>
        <w:ind w:firstLine="480"/>
        <w:rPr>
          <w:szCs w:val="24"/>
        </w:rPr>
      </w:pPr>
    </w:p>
    <w:p w14:paraId="54F12CB9">
      <w:pPr>
        <w:pStyle w:val="16"/>
        <w:spacing w:before="31" w:after="31"/>
        <w:ind w:firstLine="480"/>
        <w:rPr>
          <w:szCs w:val="24"/>
        </w:rPr>
      </w:pPr>
      <w:r>
        <w:rPr>
          <w:rFonts w:hint="eastAsia"/>
          <w:szCs w:val="24"/>
        </w:rPr>
        <w:t>(c) Mechanical Properties</w:t>
      </w:r>
    </w:p>
    <w:p w14:paraId="434D93EB">
      <w:pPr>
        <w:pStyle w:val="16"/>
        <w:spacing w:before="31" w:after="31"/>
        <w:ind w:firstLine="480"/>
        <w:rPr>
          <w:szCs w:val="24"/>
        </w:rPr>
      </w:pPr>
      <w:r>
        <w:rPr>
          <w:rFonts w:hint="eastAsia"/>
          <w:szCs w:val="24"/>
        </w:rPr>
        <w:t>Mechanical properties parameters at different positions near and away from the cracks are presented in Table 2-6.</w:t>
      </w:r>
    </w:p>
    <w:p w14:paraId="123068A1">
      <w:pPr>
        <w:pStyle w:val="16"/>
        <w:spacing w:before="468" w:beforeLines="150" w:after="156" w:afterLines="50"/>
        <w:ind w:firstLine="0" w:firstLineChars="0"/>
        <w:jc w:val="center"/>
        <w:rPr>
          <w:rFonts w:cs="Times New Roman"/>
          <w:b/>
          <w:color w:val="000000"/>
          <w:sz w:val="21"/>
          <w:szCs w:val="21"/>
        </w:rPr>
      </w:pPr>
      <w:r>
        <w:rPr>
          <w:rFonts w:hint="eastAsia" w:cs="Times New Roman"/>
          <w:b/>
          <w:color w:val="000000"/>
          <w:sz w:val="21"/>
          <w:szCs w:val="21"/>
        </w:rPr>
        <w:t>Table 2-6 Mechanical Properties at Different Positions of X65 Steel</w:t>
      </w:r>
    </w:p>
    <w:tbl>
      <w:tblPr>
        <w:tblStyle w:val="9"/>
        <w:tblW w:w="0" w:type="auto"/>
        <w:tblInd w:w="108" w:type="dxa"/>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1497"/>
        <w:gridCol w:w="1645"/>
        <w:gridCol w:w="1647"/>
        <w:gridCol w:w="1630"/>
        <w:gridCol w:w="1626"/>
      </w:tblGrid>
      <w:tr w14:paraId="4F6F6543">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497" w:type="dxa"/>
            <w:tcBorders>
              <w:bottom w:val="single" w:color="auto" w:sz="12" w:space="0"/>
            </w:tcBorders>
            <w:vAlign w:val="center"/>
          </w:tcPr>
          <w:p w14:paraId="662A9C30">
            <w:pPr>
              <w:pStyle w:val="16"/>
              <w:spacing w:before="31" w:after="31"/>
              <w:ind w:firstLine="0" w:firstLineChars="0"/>
              <w:jc w:val="center"/>
              <w:rPr>
                <w:rFonts w:cs="Times New Roman"/>
                <w:color w:val="000000"/>
                <w:kern w:val="0"/>
                <w:sz w:val="21"/>
                <w:szCs w:val="21"/>
              </w:rPr>
            </w:pPr>
            <w:r>
              <w:rPr>
                <w:rFonts w:hint="eastAsia" w:cs="Times New Roman"/>
                <w:color w:val="000000"/>
                <w:kern w:val="0"/>
                <w:sz w:val="21"/>
                <w:szCs w:val="21"/>
              </w:rPr>
              <w:t>Sampling Position</w:t>
            </w:r>
          </w:p>
        </w:tc>
        <w:tc>
          <w:tcPr>
            <w:tcW w:w="1645" w:type="dxa"/>
            <w:tcBorders>
              <w:bottom w:val="single" w:color="auto" w:sz="12" w:space="0"/>
            </w:tcBorders>
            <w:vAlign w:val="center"/>
          </w:tcPr>
          <w:p w14:paraId="0BB6C405">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σ</w:t>
            </w:r>
            <w:r>
              <w:rPr>
                <w:rFonts w:cs="Times New Roman"/>
                <w:color w:val="000000"/>
                <w:kern w:val="0"/>
                <w:sz w:val="21"/>
                <w:szCs w:val="21"/>
                <w:vertAlign w:val="subscript"/>
              </w:rPr>
              <w:t>s</w:t>
            </w:r>
            <w:r>
              <w:rPr>
                <w:rFonts w:cs="Times New Roman"/>
                <w:color w:val="000000"/>
                <w:kern w:val="0"/>
                <w:sz w:val="21"/>
                <w:szCs w:val="21"/>
              </w:rPr>
              <w:t>/MPa</w:t>
            </w:r>
          </w:p>
        </w:tc>
        <w:tc>
          <w:tcPr>
            <w:tcW w:w="1647" w:type="dxa"/>
            <w:tcBorders>
              <w:bottom w:val="single" w:color="auto" w:sz="12" w:space="0"/>
            </w:tcBorders>
            <w:vAlign w:val="center"/>
          </w:tcPr>
          <w:p w14:paraId="7D8A9A7A">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σ</w:t>
            </w:r>
            <w:r>
              <w:rPr>
                <w:rFonts w:cs="Times New Roman"/>
                <w:color w:val="000000"/>
                <w:kern w:val="0"/>
                <w:sz w:val="21"/>
                <w:szCs w:val="21"/>
                <w:vertAlign w:val="subscript"/>
              </w:rPr>
              <w:t>b</w:t>
            </w:r>
            <w:r>
              <w:rPr>
                <w:rFonts w:cs="Times New Roman"/>
                <w:color w:val="000000"/>
                <w:kern w:val="0"/>
                <w:sz w:val="21"/>
                <w:szCs w:val="21"/>
              </w:rPr>
              <w:t>/MPa</w:t>
            </w:r>
          </w:p>
        </w:tc>
        <w:tc>
          <w:tcPr>
            <w:tcW w:w="1630" w:type="dxa"/>
            <w:tcBorders>
              <w:bottom w:val="single" w:color="auto" w:sz="12" w:space="0"/>
            </w:tcBorders>
            <w:vAlign w:val="center"/>
          </w:tcPr>
          <w:p w14:paraId="49553008">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σ</w:t>
            </w:r>
            <w:r>
              <w:rPr>
                <w:rFonts w:cs="Times New Roman"/>
                <w:color w:val="000000"/>
                <w:kern w:val="0"/>
                <w:sz w:val="21"/>
                <w:szCs w:val="21"/>
                <w:vertAlign w:val="subscript"/>
              </w:rPr>
              <w:t>s</w:t>
            </w:r>
            <w:r>
              <w:rPr>
                <w:rFonts w:cs="Times New Roman"/>
                <w:color w:val="000000"/>
                <w:kern w:val="0"/>
                <w:sz w:val="21"/>
                <w:szCs w:val="21"/>
              </w:rPr>
              <w:t>/σ</w:t>
            </w:r>
            <w:r>
              <w:rPr>
                <w:rFonts w:cs="Times New Roman"/>
                <w:color w:val="000000"/>
                <w:kern w:val="0"/>
                <w:sz w:val="21"/>
                <w:szCs w:val="21"/>
                <w:vertAlign w:val="subscript"/>
              </w:rPr>
              <w:t>b</w:t>
            </w:r>
          </w:p>
        </w:tc>
        <w:tc>
          <w:tcPr>
            <w:tcW w:w="1626" w:type="dxa"/>
            <w:tcBorders>
              <w:bottom w:val="single" w:color="auto" w:sz="12" w:space="0"/>
            </w:tcBorders>
            <w:vAlign w:val="center"/>
          </w:tcPr>
          <w:p w14:paraId="64208A88">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σ</w:t>
            </w:r>
            <w:r>
              <w:rPr>
                <w:rFonts w:cs="Times New Roman"/>
                <w:color w:val="000000"/>
                <w:kern w:val="0"/>
                <w:sz w:val="21"/>
                <w:szCs w:val="21"/>
                <w:vertAlign w:val="subscript"/>
              </w:rPr>
              <w:t>s</w:t>
            </w:r>
            <w:r>
              <w:rPr>
                <w:rFonts w:cs="Times New Roman"/>
                <w:color w:val="000000"/>
                <w:kern w:val="0"/>
                <w:sz w:val="21"/>
                <w:szCs w:val="21"/>
              </w:rPr>
              <w:t>/%</w:t>
            </w:r>
          </w:p>
        </w:tc>
      </w:tr>
      <w:tr w14:paraId="00DDA3EE">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497" w:type="dxa"/>
            <w:tcBorders>
              <w:bottom w:val="nil"/>
            </w:tcBorders>
            <w:vAlign w:val="center"/>
          </w:tcPr>
          <w:p w14:paraId="7F8C9DB8">
            <w:pPr>
              <w:pStyle w:val="16"/>
              <w:spacing w:before="31" w:after="31"/>
              <w:ind w:firstLine="0" w:firstLineChars="0"/>
              <w:jc w:val="center"/>
              <w:rPr>
                <w:rFonts w:cs="Times New Roman"/>
                <w:color w:val="000000"/>
                <w:kern w:val="0"/>
                <w:sz w:val="21"/>
                <w:szCs w:val="21"/>
              </w:rPr>
            </w:pPr>
            <w:r>
              <w:rPr>
                <w:rFonts w:hint="eastAsia" w:cs="Times New Roman"/>
                <w:color w:val="000000"/>
                <w:kern w:val="0"/>
                <w:sz w:val="21"/>
                <w:szCs w:val="21"/>
              </w:rPr>
              <w:t>Near the Crack</w:t>
            </w:r>
          </w:p>
        </w:tc>
        <w:tc>
          <w:tcPr>
            <w:tcW w:w="1645" w:type="dxa"/>
            <w:tcBorders>
              <w:bottom w:val="nil"/>
            </w:tcBorders>
            <w:vAlign w:val="center"/>
          </w:tcPr>
          <w:p w14:paraId="508B88A4">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511.22</w:t>
            </w:r>
          </w:p>
        </w:tc>
        <w:tc>
          <w:tcPr>
            <w:tcW w:w="1647" w:type="dxa"/>
            <w:tcBorders>
              <w:bottom w:val="nil"/>
            </w:tcBorders>
            <w:vAlign w:val="center"/>
          </w:tcPr>
          <w:p w14:paraId="1405CB88">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620.78</w:t>
            </w:r>
          </w:p>
        </w:tc>
        <w:tc>
          <w:tcPr>
            <w:tcW w:w="1630" w:type="dxa"/>
            <w:tcBorders>
              <w:bottom w:val="nil"/>
            </w:tcBorders>
            <w:vAlign w:val="center"/>
          </w:tcPr>
          <w:p w14:paraId="3D5DCC9D">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0.83</w:t>
            </w:r>
          </w:p>
        </w:tc>
        <w:tc>
          <w:tcPr>
            <w:tcW w:w="1626" w:type="dxa"/>
            <w:tcBorders>
              <w:bottom w:val="nil"/>
            </w:tcBorders>
            <w:vAlign w:val="center"/>
          </w:tcPr>
          <w:p w14:paraId="527F8351">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37</w:t>
            </w:r>
          </w:p>
        </w:tc>
      </w:tr>
      <w:tr w14:paraId="75CE9230">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497" w:type="dxa"/>
            <w:tcBorders>
              <w:top w:val="nil"/>
              <w:bottom w:val="nil"/>
            </w:tcBorders>
            <w:vAlign w:val="center"/>
          </w:tcPr>
          <w:p w14:paraId="51E68B58">
            <w:pPr>
              <w:pStyle w:val="16"/>
              <w:spacing w:before="31" w:after="31"/>
              <w:ind w:firstLine="0" w:firstLineChars="0"/>
              <w:jc w:val="center"/>
              <w:rPr>
                <w:rFonts w:cs="Times New Roman"/>
                <w:color w:val="000000"/>
                <w:kern w:val="0"/>
                <w:sz w:val="21"/>
                <w:szCs w:val="21"/>
              </w:rPr>
            </w:pPr>
            <w:r>
              <w:rPr>
                <w:rFonts w:hint="eastAsia" w:cs="Times New Roman"/>
                <w:color w:val="000000"/>
                <w:kern w:val="0"/>
                <w:sz w:val="21"/>
                <w:szCs w:val="21"/>
              </w:rPr>
              <w:t>Near the Crack</w:t>
            </w:r>
          </w:p>
        </w:tc>
        <w:tc>
          <w:tcPr>
            <w:tcW w:w="1645" w:type="dxa"/>
            <w:tcBorders>
              <w:top w:val="nil"/>
              <w:bottom w:val="nil"/>
            </w:tcBorders>
            <w:vAlign w:val="center"/>
          </w:tcPr>
          <w:p w14:paraId="147C9D6B">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516.98</w:t>
            </w:r>
          </w:p>
        </w:tc>
        <w:tc>
          <w:tcPr>
            <w:tcW w:w="1647" w:type="dxa"/>
            <w:tcBorders>
              <w:top w:val="nil"/>
              <w:bottom w:val="nil"/>
            </w:tcBorders>
            <w:vAlign w:val="center"/>
          </w:tcPr>
          <w:p w14:paraId="0BAFC6C6">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629.18</w:t>
            </w:r>
          </w:p>
        </w:tc>
        <w:tc>
          <w:tcPr>
            <w:tcW w:w="1630" w:type="dxa"/>
            <w:tcBorders>
              <w:top w:val="nil"/>
              <w:bottom w:val="nil"/>
            </w:tcBorders>
            <w:vAlign w:val="center"/>
          </w:tcPr>
          <w:p w14:paraId="7169568B">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0.82</w:t>
            </w:r>
          </w:p>
        </w:tc>
        <w:tc>
          <w:tcPr>
            <w:tcW w:w="1626" w:type="dxa"/>
            <w:tcBorders>
              <w:top w:val="nil"/>
              <w:bottom w:val="nil"/>
            </w:tcBorders>
            <w:vAlign w:val="center"/>
          </w:tcPr>
          <w:p w14:paraId="712A10AC">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36</w:t>
            </w:r>
          </w:p>
        </w:tc>
      </w:tr>
      <w:tr w14:paraId="0708D072">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497" w:type="dxa"/>
            <w:tcBorders>
              <w:top w:val="nil"/>
              <w:bottom w:val="nil"/>
            </w:tcBorders>
            <w:vAlign w:val="center"/>
          </w:tcPr>
          <w:p w14:paraId="10CB3772">
            <w:pPr>
              <w:pStyle w:val="16"/>
              <w:spacing w:before="31" w:after="31"/>
              <w:ind w:firstLine="0" w:firstLineChars="0"/>
              <w:jc w:val="center"/>
              <w:rPr>
                <w:rFonts w:cs="Times New Roman"/>
                <w:color w:val="000000"/>
                <w:kern w:val="0"/>
                <w:sz w:val="21"/>
                <w:szCs w:val="21"/>
              </w:rPr>
            </w:pPr>
            <w:r>
              <w:rPr>
                <w:rFonts w:hint="eastAsia" w:cs="Times New Roman"/>
                <w:color w:val="000000"/>
                <w:kern w:val="0"/>
                <w:sz w:val="21"/>
                <w:szCs w:val="21"/>
              </w:rPr>
              <w:t>Away from the Crack</w:t>
            </w:r>
          </w:p>
        </w:tc>
        <w:tc>
          <w:tcPr>
            <w:tcW w:w="1645" w:type="dxa"/>
            <w:tcBorders>
              <w:top w:val="nil"/>
              <w:bottom w:val="nil"/>
            </w:tcBorders>
            <w:vAlign w:val="center"/>
          </w:tcPr>
          <w:p w14:paraId="5F1ADB91">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527.92</w:t>
            </w:r>
          </w:p>
        </w:tc>
        <w:tc>
          <w:tcPr>
            <w:tcW w:w="1647" w:type="dxa"/>
            <w:tcBorders>
              <w:top w:val="nil"/>
              <w:bottom w:val="nil"/>
            </w:tcBorders>
            <w:vAlign w:val="center"/>
          </w:tcPr>
          <w:p w14:paraId="24662AA3">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628.29</w:t>
            </w:r>
          </w:p>
        </w:tc>
        <w:tc>
          <w:tcPr>
            <w:tcW w:w="1630" w:type="dxa"/>
            <w:tcBorders>
              <w:top w:val="nil"/>
              <w:bottom w:val="nil"/>
            </w:tcBorders>
            <w:vAlign w:val="center"/>
          </w:tcPr>
          <w:p w14:paraId="7E7E6456">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0.83</w:t>
            </w:r>
          </w:p>
        </w:tc>
        <w:tc>
          <w:tcPr>
            <w:tcW w:w="1626" w:type="dxa"/>
            <w:tcBorders>
              <w:top w:val="nil"/>
              <w:bottom w:val="nil"/>
            </w:tcBorders>
            <w:vAlign w:val="center"/>
          </w:tcPr>
          <w:p w14:paraId="51DC2F20">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42</w:t>
            </w:r>
          </w:p>
        </w:tc>
      </w:tr>
      <w:tr w14:paraId="789D3D7E">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497" w:type="dxa"/>
            <w:tcBorders>
              <w:top w:val="nil"/>
            </w:tcBorders>
            <w:vAlign w:val="center"/>
          </w:tcPr>
          <w:p w14:paraId="78315584">
            <w:pPr>
              <w:pStyle w:val="16"/>
              <w:spacing w:before="31" w:after="31"/>
              <w:ind w:firstLine="0" w:firstLineChars="0"/>
              <w:jc w:val="center"/>
              <w:rPr>
                <w:rFonts w:cs="Times New Roman"/>
                <w:color w:val="000000"/>
                <w:kern w:val="0"/>
                <w:sz w:val="21"/>
                <w:szCs w:val="21"/>
              </w:rPr>
            </w:pPr>
            <w:r>
              <w:rPr>
                <w:rFonts w:hint="eastAsia" w:cs="Times New Roman"/>
                <w:color w:val="000000"/>
                <w:kern w:val="0"/>
                <w:sz w:val="21"/>
                <w:szCs w:val="21"/>
              </w:rPr>
              <w:t>Away from the Crack</w:t>
            </w:r>
          </w:p>
        </w:tc>
        <w:tc>
          <w:tcPr>
            <w:tcW w:w="1645" w:type="dxa"/>
            <w:tcBorders>
              <w:top w:val="nil"/>
            </w:tcBorders>
            <w:vAlign w:val="center"/>
          </w:tcPr>
          <w:p w14:paraId="17AA9A53">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522.37</w:t>
            </w:r>
          </w:p>
        </w:tc>
        <w:tc>
          <w:tcPr>
            <w:tcW w:w="1647" w:type="dxa"/>
            <w:tcBorders>
              <w:top w:val="nil"/>
            </w:tcBorders>
            <w:vAlign w:val="center"/>
          </w:tcPr>
          <w:p w14:paraId="06EF0EE3">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631.33</w:t>
            </w:r>
          </w:p>
        </w:tc>
        <w:tc>
          <w:tcPr>
            <w:tcW w:w="1630" w:type="dxa"/>
            <w:tcBorders>
              <w:top w:val="nil"/>
            </w:tcBorders>
            <w:vAlign w:val="center"/>
          </w:tcPr>
          <w:p w14:paraId="1C1ADECD">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0.82</w:t>
            </w:r>
          </w:p>
        </w:tc>
        <w:tc>
          <w:tcPr>
            <w:tcW w:w="1626" w:type="dxa"/>
            <w:tcBorders>
              <w:top w:val="nil"/>
            </w:tcBorders>
            <w:vAlign w:val="center"/>
          </w:tcPr>
          <w:p w14:paraId="4DE22B20">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37</w:t>
            </w:r>
          </w:p>
        </w:tc>
      </w:tr>
    </w:tbl>
    <w:p w14:paraId="434D06EE">
      <w:pPr>
        <w:pStyle w:val="16"/>
        <w:spacing w:before="31" w:after="31"/>
        <w:ind w:firstLine="0" w:firstLineChars="0"/>
        <w:rPr>
          <w:szCs w:val="24"/>
        </w:rPr>
      </w:pPr>
    </w:p>
    <w:p w14:paraId="7D0FB18C">
      <w:pPr>
        <w:pStyle w:val="16"/>
        <w:spacing w:before="31" w:after="31"/>
        <w:ind w:firstLine="480"/>
        <w:rPr>
          <w:szCs w:val="24"/>
        </w:rPr>
      </w:pPr>
      <w:r>
        <w:rPr>
          <w:rFonts w:hint="eastAsia"/>
          <w:szCs w:val="24"/>
        </w:rPr>
        <w:t>The mechanical performance indicators near the crack are slightly lower than those away from the crack. All elongation indicators are within the standard allowable range for X65 steel. This indicates that the steel has good plasticity and toughness. The impact values near and away from the crack are: near the crack - 270.3 kJ/m2 and 262.6 kJ/m2, with an average of 266.4 kJ/m2; away from the crack - 336.2 kJ/m2 and 287.2 kJ/m2, with an average of 311.7 kJ/m2. It can be seen that the material has relatively high impact toughness, with slightly lower test values near the crack.</w:t>
      </w:r>
    </w:p>
    <w:p w14:paraId="5E1B46F0">
      <w:pPr>
        <w:pStyle w:val="16"/>
        <w:spacing w:before="31" w:after="31"/>
        <w:ind w:firstLine="0" w:firstLineChars="0"/>
        <w:rPr>
          <w:szCs w:val="24"/>
        </w:rPr>
      </w:pPr>
    </w:p>
    <w:p w14:paraId="577D416C">
      <w:pPr>
        <w:pStyle w:val="16"/>
        <w:spacing w:before="31" w:after="31"/>
        <w:ind w:firstLine="0" w:firstLineChars="0"/>
        <w:rPr>
          <w:szCs w:val="24"/>
        </w:rPr>
      </w:pPr>
      <w:r>
        <w:rPr>
          <w:rFonts w:hint="eastAsia"/>
          <w:szCs w:val="24"/>
        </w:rPr>
        <w:t>(4) Failed Component and Material</w:t>
      </w:r>
    </w:p>
    <w:p w14:paraId="7B43BD13">
      <w:pPr>
        <w:pStyle w:val="16"/>
        <w:spacing w:before="31" w:after="31"/>
        <w:ind w:firstLine="420" w:firstLineChars="0"/>
        <w:rPr>
          <w:szCs w:val="24"/>
        </w:rPr>
      </w:pPr>
      <w:r>
        <w:rPr>
          <w:rFonts w:hint="eastAsia"/>
          <w:szCs w:val="24"/>
        </w:rPr>
        <w:t>Null</w:t>
      </w:r>
    </w:p>
    <w:p w14:paraId="70B970DE">
      <w:pPr>
        <w:pStyle w:val="16"/>
        <w:spacing w:before="31" w:after="31"/>
        <w:ind w:firstLine="0" w:firstLineChars="0"/>
        <w:rPr>
          <w:szCs w:val="24"/>
        </w:rPr>
      </w:pPr>
    </w:p>
    <w:p w14:paraId="152BF54E">
      <w:pPr>
        <w:pStyle w:val="16"/>
        <w:spacing w:before="31" w:after="31"/>
        <w:ind w:firstLine="0" w:firstLineChars="0"/>
        <w:rPr>
          <w:szCs w:val="24"/>
        </w:rPr>
      </w:pPr>
      <w:r>
        <w:rPr>
          <w:rFonts w:hint="eastAsia"/>
          <w:szCs w:val="24"/>
        </w:rPr>
        <w:t>(5) Failed Component Morphology</w:t>
      </w:r>
    </w:p>
    <w:p w14:paraId="526E602A">
      <w:pPr>
        <w:pStyle w:val="16"/>
        <w:spacing w:before="31" w:after="31"/>
        <w:ind w:firstLine="480"/>
        <w:rPr>
          <w:szCs w:val="24"/>
        </w:rPr>
      </w:pPr>
      <w:r>
        <w:rPr>
          <w:rFonts w:hint="eastAsia"/>
          <w:szCs w:val="24"/>
        </w:rPr>
        <w:t>The metallographic structure of X65 steel is shown in Figure 2-7.1. The structure consists of lamellar bainite (or acicular ferrite) and ferrite. This structure is a conventional structure of X65 pipeline steel, with a relatively uniform grain size and no abnormal phenomena. The structure does not exhibit brittle phases, but the metallographic structure shows slight banded characteristics.</w:t>
      </w:r>
    </w:p>
    <w:p w14:paraId="21119EF8">
      <w:pPr>
        <w:pStyle w:val="16"/>
        <w:spacing w:before="31" w:after="31"/>
        <w:ind w:firstLine="480"/>
        <w:jc w:val="center"/>
        <w:rPr>
          <w:szCs w:val="24"/>
        </w:rPr>
      </w:pPr>
      <w:r>
        <w:rPr>
          <w:rFonts w:hint="eastAsia"/>
          <w:szCs w:val="24"/>
        </w:rPr>
        <w:t>(a) Cross-Section       (b) Longitudinal Section</w:t>
      </w:r>
    </w:p>
    <w:p w14:paraId="3C0C472B">
      <w:pPr>
        <w:pStyle w:val="22"/>
        <w:spacing w:before="156" w:after="468"/>
        <w:rPr>
          <w:sz w:val="24"/>
        </w:rPr>
      </w:pPr>
      <w:r>
        <w:rPr>
          <w:rFonts w:hint="eastAsia" w:eastAsia="宋体"/>
          <w:color w:val="000000"/>
        </w:rPr>
        <w:t>Figure 2-7.1 Metallographic Microstructure of X65 Steel</w:t>
      </w:r>
    </w:p>
    <w:p w14:paraId="3E130381">
      <w:pPr>
        <w:pStyle w:val="16"/>
        <w:spacing w:before="31" w:after="31"/>
        <w:ind w:firstLine="0" w:firstLineChars="0"/>
        <w:rPr>
          <w:szCs w:val="24"/>
        </w:rPr>
      </w:pPr>
      <w:r>
        <w:rPr>
          <w:rFonts w:hint="eastAsia"/>
          <w:szCs w:val="24"/>
        </w:rPr>
        <w:t>(6) Failure Cause Analysis</w:t>
      </w:r>
    </w:p>
    <w:p w14:paraId="7A7A3F41">
      <w:pPr>
        <w:pStyle w:val="16"/>
        <w:spacing w:before="31" w:after="31"/>
        <w:ind w:firstLine="480"/>
        <w:rPr>
          <w:szCs w:val="24"/>
        </w:rPr>
      </w:pPr>
      <w:r>
        <w:rPr>
          <w:rFonts w:hint="eastAsia"/>
          <w:szCs w:val="24"/>
        </w:rPr>
        <w:t>The main cause of cracking is improper continuous casting speed or inadequate heat dissipation in the crystallizer, resulting in surface depressions and cracks on the surface of the cast slab. Improper continuous casting is the fundamental cause of crack formation.</w:t>
      </w:r>
    </w:p>
    <w:p w14:paraId="3ED9A72F">
      <w:pPr>
        <w:pStyle w:val="16"/>
        <w:spacing w:before="31" w:after="31"/>
        <w:ind w:firstLine="0" w:firstLineChars="0"/>
        <w:rPr>
          <w:szCs w:val="24"/>
        </w:rPr>
      </w:pPr>
    </w:p>
    <w:p w14:paraId="3EEF989B">
      <w:pPr>
        <w:pStyle w:val="16"/>
        <w:spacing w:before="31" w:after="31"/>
        <w:ind w:firstLine="0" w:firstLineChars="0"/>
        <w:rPr>
          <w:szCs w:val="24"/>
        </w:rPr>
      </w:pPr>
      <w:r>
        <w:rPr>
          <w:rFonts w:hint="eastAsia"/>
          <w:szCs w:val="24"/>
        </w:rPr>
        <w:t>(7) Consequences and Hazards</w:t>
      </w:r>
    </w:p>
    <w:p w14:paraId="08BE46AE">
      <w:pPr>
        <w:pStyle w:val="16"/>
        <w:spacing w:before="31" w:after="31"/>
        <w:ind w:firstLine="480"/>
        <w:rPr>
          <w:szCs w:val="24"/>
        </w:rPr>
      </w:pPr>
      <w:r>
        <w:rPr>
          <w:rFonts w:hint="eastAsia"/>
          <w:szCs w:val="24"/>
        </w:rPr>
        <w:t>The occurrence of cracks affects user production and has consequences for the equipment manufacturer.</w:t>
      </w:r>
    </w:p>
    <w:p w14:paraId="06AA48EC">
      <w:pPr>
        <w:pStyle w:val="16"/>
        <w:spacing w:before="31" w:after="31"/>
        <w:ind w:firstLine="0" w:firstLineChars="0"/>
        <w:rPr>
          <w:szCs w:val="24"/>
        </w:rPr>
      </w:pPr>
    </w:p>
    <w:p w14:paraId="4DBC32B1">
      <w:pPr>
        <w:pStyle w:val="16"/>
        <w:spacing w:before="31" w:after="31"/>
        <w:ind w:firstLine="0" w:firstLineChars="0"/>
        <w:rPr>
          <w:szCs w:val="24"/>
        </w:rPr>
      </w:pPr>
      <w:r>
        <w:rPr>
          <w:rFonts w:hint="eastAsia"/>
          <w:szCs w:val="24"/>
        </w:rPr>
        <w:t>(8) Conclusion and Improvement Measures</w:t>
      </w:r>
    </w:p>
    <w:p w14:paraId="47F1898A">
      <w:pPr>
        <w:pStyle w:val="16"/>
        <w:spacing w:before="31" w:after="31"/>
        <w:ind w:firstLine="480"/>
        <w:rPr>
          <w:szCs w:val="24"/>
        </w:rPr>
      </w:pPr>
      <w:r>
        <w:rPr>
          <w:rFonts w:hint="eastAsia"/>
          <w:szCs w:val="24"/>
        </w:rPr>
        <w:t>Improving the continuous casting process to reduce crack formation.</w:t>
      </w:r>
    </w:p>
    <w:p w14:paraId="183659CA">
      <w:pPr>
        <w:pStyle w:val="16"/>
        <w:spacing w:before="31" w:after="31"/>
        <w:ind w:firstLine="480"/>
        <w:rPr>
          <w:szCs w:val="24"/>
        </w:rPr>
      </w:pPr>
    </w:p>
    <w:p w14:paraId="781F4803">
      <w:pPr>
        <w:pStyle w:val="16"/>
        <w:spacing w:before="31" w:after="31"/>
        <w:ind w:firstLine="480"/>
        <w:rPr>
          <w:szCs w:val="24"/>
        </w:rPr>
      </w:pPr>
    </w:p>
    <w:p w14:paraId="631A8CAE">
      <w:pPr>
        <w:pStyle w:val="21"/>
        <w:numPr>
          <w:ilvl w:val="2"/>
          <w:numId w:val="0"/>
        </w:numPr>
        <w:rPr>
          <w:rFonts w:eastAsia="宋体"/>
          <w:color w:val="000000"/>
        </w:rPr>
      </w:pPr>
      <w:r>
        <w:rPr>
          <w:rFonts w:hint="eastAsia" w:eastAsia="宋体"/>
          <w:color w:val="000000"/>
        </w:rPr>
        <w:t>2.2.8 Case 2-8 Fracture of Fastening Bolts on Gas Storage Tank Valve</w:t>
      </w:r>
    </w:p>
    <w:p w14:paraId="0C93D724">
      <w:pPr>
        <w:pStyle w:val="16"/>
        <w:spacing w:before="31" w:after="31"/>
        <w:ind w:firstLine="0" w:firstLineChars="0"/>
        <w:rPr>
          <w:szCs w:val="24"/>
        </w:rPr>
      </w:pPr>
      <w:r>
        <w:rPr>
          <w:rFonts w:hint="eastAsia"/>
          <w:szCs w:val="24"/>
        </w:rPr>
        <w:t>(1) Case Name</w:t>
      </w:r>
    </w:p>
    <w:p w14:paraId="1EB13115">
      <w:pPr>
        <w:pStyle w:val="16"/>
        <w:spacing w:before="31" w:after="31"/>
        <w:ind w:firstLine="480"/>
        <w:rPr>
          <w:szCs w:val="24"/>
        </w:rPr>
      </w:pPr>
      <w:r>
        <w:rPr>
          <w:rFonts w:hint="eastAsia"/>
          <w:szCs w:val="24"/>
        </w:rPr>
        <w:t>Fracture of Fastening Bolts on Gas Storage Tank Valve [17]</w:t>
      </w:r>
    </w:p>
    <w:p w14:paraId="0EB4C487">
      <w:pPr>
        <w:pStyle w:val="16"/>
        <w:spacing w:before="31" w:after="31"/>
        <w:ind w:firstLine="0" w:firstLineChars="0"/>
        <w:rPr>
          <w:szCs w:val="24"/>
        </w:rPr>
      </w:pPr>
    </w:p>
    <w:p w14:paraId="47E436F9">
      <w:pPr>
        <w:pStyle w:val="16"/>
        <w:spacing w:before="31" w:after="31"/>
        <w:ind w:firstLine="0" w:firstLineChars="0"/>
        <w:rPr>
          <w:szCs w:val="24"/>
        </w:rPr>
      </w:pPr>
      <w:r>
        <w:rPr>
          <w:rFonts w:hint="eastAsia"/>
          <w:szCs w:val="24"/>
        </w:rPr>
        <w:t>(2) Failure Process Description</w:t>
      </w:r>
    </w:p>
    <w:p w14:paraId="191DD6AF">
      <w:pPr>
        <w:pStyle w:val="16"/>
        <w:spacing w:before="31" w:after="31"/>
        <w:ind w:firstLine="480"/>
        <w:rPr>
          <w:szCs w:val="24"/>
        </w:rPr>
      </w:pPr>
      <w:r>
        <w:rPr>
          <w:rFonts w:hint="eastAsia"/>
          <w:szCs w:val="24"/>
        </w:rPr>
        <w:t>During a safety inspection at a petrochemical company's refinery, a significant piece of equipment, a gas storage tank, was found to have radial fracture in one of the fastening bolts of the top valve. A large amount of liquid medium leaked from the affected area, causing a temporary shutdown. The fractured bolt had been in service for six months. According to on-site data, the gas storage tank frequently experienced minor liquid seepage along the bolt holes, leading to corrosion of the bolts during normal operation.</w:t>
      </w:r>
    </w:p>
    <w:p w14:paraId="28C1C474">
      <w:pPr>
        <w:pStyle w:val="16"/>
        <w:spacing w:before="31" w:after="31"/>
        <w:ind w:firstLine="480"/>
        <w:rPr>
          <w:szCs w:val="24"/>
        </w:rPr>
      </w:pPr>
    </w:p>
    <w:p w14:paraId="2C9A578E">
      <w:pPr>
        <w:pStyle w:val="16"/>
        <w:spacing w:before="31" w:after="31"/>
        <w:ind w:firstLine="0" w:firstLineChars="0"/>
        <w:rPr>
          <w:szCs w:val="24"/>
        </w:rPr>
      </w:pPr>
      <w:r>
        <w:rPr>
          <w:rFonts w:hint="eastAsia"/>
          <w:szCs w:val="24"/>
        </w:rPr>
        <w:t>(3) Service Environment</w:t>
      </w:r>
    </w:p>
    <w:p w14:paraId="381DAC04">
      <w:pPr>
        <w:pStyle w:val="16"/>
        <w:spacing w:before="31" w:after="31"/>
        <w:ind w:firstLine="480"/>
        <w:rPr>
          <w:szCs w:val="24"/>
        </w:rPr>
      </w:pPr>
      <w:r>
        <w:rPr>
          <w:rFonts w:hint="eastAsia"/>
          <w:szCs w:val="24"/>
        </w:rPr>
        <w:t>The gas storage tank contains liquefied petroleum gas, and the liquid medium contains a considerable amount of sulfides. The working temperature inside the tank is around 200°C, and the maximum pressure can reach 24N/mm2. Additionally, the pressure inside the gas storage tank and the pre-tension force of the bolts create tensile stress at the fastening bolt locations.</w:t>
      </w:r>
    </w:p>
    <w:p w14:paraId="655CEF97">
      <w:pPr>
        <w:pStyle w:val="16"/>
        <w:spacing w:before="31" w:after="31"/>
        <w:ind w:firstLine="480"/>
        <w:rPr>
          <w:szCs w:val="24"/>
        </w:rPr>
      </w:pPr>
    </w:p>
    <w:p w14:paraId="39606167">
      <w:pPr>
        <w:pStyle w:val="16"/>
        <w:spacing w:before="31" w:after="31"/>
        <w:ind w:firstLine="0" w:firstLineChars="0"/>
        <w:rPr>
          <w:szCs w:val="24"/>
        </w:rPr>
      </w:pPr>
      <w:r>
        <w:rPr>
          <w:rFonts w:hint="eastAsia"/>
          <w:szCs w:val="24"/>
        </w:rPr>
        <w:t>(4) Failed Component and Material</w:t>
      </w:r>
    </w:p>
    <w:p w14:paraId="41857553">
      <w:pPr>
        <w:pStyle w:val="16"/>
        <w:spacing w:before="31" w:after="31"/>
        <w:ind w:firstLine="480"/>
        <w:rPr>
          <w:szCs w:val="24"/>
        </w:rPr>
      </w:pPr>
      <w:r>
        <w:rPr>
          <w:rFonts w:hint="eastAsia"/>
          <w:szCs w:val="24"/>
        </w:rPr>
        <w:t>The failed component is the fastening bolt of the valve, with the following main information:</w:t>
      </w:r>
    </w:p>
    <w:p w14:paraId="37F2C0E0">
      <w:pPr>
        <w:pStyle w:val="16"/>
        <w:spacing w:before="31" w:after="31"/>
        <w:ind w:firstLine="480"/>
        <w:rPr>
          <w:szCs w:val="24"/>
        </w:rPr>
      </w:pPr>
      <w:r>
        <w:rPr>
          <w:rFonts w:hint="eastAsia"/>
          <w:szCs w:val="24"/>
        </w:rPr>
        <w:t>(a) Material and Dimensions</w:t>
      </w:r>
    </w:p>
    <w:p w14:paraId="76DE3567">
      <w:pPr>
        <w:pStyle w:val="16"/>
        <w:spacing w:before="31" w:after="31"/>
        <w:ind w:firstLine="480"/>
        <w:rPr>
          <w:szCs w:val="24"/>
        </w:rPr>
      </w:pPr>
      <w:r>
        <w:rPr>
          <w:rFonts w:hint="eastAsia"/>
          <w:szCs w:val="24"/>
        </w:rPr>
        <w:t>The failed valve is made of ordinary carbon steel with dimensions of φ30mm×200mm.</w:t>
      </w:r>
    </w:p>
    <w:p w14:paraId="45B39D10">
      <w:pPr>
        <w:pStyle w:val="16"/>
        <w:spacing w:before="31" w:after="31"/>
        <w:ind w:firstLine="480"/>
        <w:rPr>
          <w:szCs w:val="24"/>
        </w:rPr>
      </w:pPr>
      <w:r>
        <w:rPr>
          <w:rFonts w:hint="eastAsia"/>
          <w:szCs w:val="24"/>
        </w:rPr>
        <w:t>(b) Chemical Composition</w:t>
      </w:r>
    </w:p>
    <w:p w14:paraId="169D5757">
      <w:pPr>
        <w:pStyle w:val="16"/>
        <w:spacing w:before="31" w:after="31"/>
        <w:ind w:firstLine="480"/>
        <w:rPr>
          <w:szCs w:val="24"/>
        </w:rPr>
      </w:pPr>
      <w:r>
        <w:rPr>
          <w:rFonts w:hint="eastAsia"/>
          <w:szCs w:val="24"/>
        </w:rPr>
        <w:t>The chemical composition (mass fraction) of the fractured bolt is shown in Table 2-7. The material's composition is equivalent to the chemical composition of Grade 10 steel, meeting the requirements of GB/T700-1999 for the specified steel.</w:t>
      </w:r>
    </w:p>
    <w:p w14:paraId="2D2C66FE">
      <w:pPr>
        <w:pStyle w:val="16"/>
        <w:spacing w:before="468" w:beforeLines="150" w:after="156" w:afterLines="50"/>
        <w:ind w:firstLine="0" w:firstLineChars="0"/>
        <w:jc w:val="center"/>
        <w:rPr>
          <w:rFonts w:cs="Times New Roman"/>
          <w:b/>
          <w:color w:val="000000"/>
          <w:kern w:val="0"/>
          <w:sz w:val="21"/>
          <w:szCs w:val="21"/>
        </w:rPr>
      </w:pPr>
      <w:r>
        <w:rPr>
          <w:rFonts w:hint="eastAsia" w:cs="Times New Roman"/>
          <w:b/>
          <w:color w:val="000000"/>
          <w:kern w:val="0"/>
          <w:sz w:val="21"/>
          <w:szCs w:val="21"/>
        </w:rPr>
        <w:t>Table 2-7 Chemical Composition of the Bolt</w:t>
      </w:r>
    </w:p>
    <w:tbl>
      <w:tblPr>
        <w:tblStyle w:val="9"/>
        <w:tblW w:w="0" w:type="auto"/>
        <w:tblInd w:w="0" w:type="dxa"/>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1358"/>
        <w:gridCol w:w="1359"/>
        <w:gridCol w:w="1359"/>
        <w:gridCol w:w="1359"/>
        <w:gridCol w:w="1359"/>
        <w:gridCol w:w="1359"/>
      </w:tblGrid>
      <w:tr w14:paraId="01E36A1D">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358" w:type="dxa"/>
            <w:vAlign w:val="center"/>
          </w:tcPr>
          <w:p w14:paraId="1B77F591">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C</w:t>
            </w:r>
          </w:p>
        </w:tc>
        <w:tc>
          <w:tcPr>
            <w:tcW w:w="1359" w:type="dxa"/>
            <w:vAlign w:val="center"/>
          </w:tcPr>
          <w:p w14:paraId="6414869A">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Si</w:t>
            </w:r>
          </w:p>
        </w:tc>
        <w:tc>
          <w:tcPr>
            <w:tcW w:w="1359" w:type="dxa"/>
            <w:vAlign w:val="center"/>
          </w:tcPr>
          <w:p w14:paraId="027CB45D">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Mn</w:t>
            </w:r>
          </w:p>
        </w:tc>
        <w:tc>
          <w:tcPr>
            <w:tcW w:w="1359" w:type="dxa"/>
            <w:vAlign w:val="center"/>
          </w:tcPr>
          <w:p w14:paraId="05201547">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S</w:t>
            </w:r>
          </w:p>
        </w:tc>
        <w:tc>
          <w:tcPr>
            <w:tcW w:w="1359" w:type="dxa"/>
            <w:vAlign w:val="center"/>
          </w:tcPr>
          <w:p w14:paraId="3ADCEED5">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P</w:t>
            </w:r>
          </w:p>
        </w:tc>
        <w:tc>
          <w:tcPr>
            <w:tcW w:w="1359" w:type="dxa"/>
            <w:vAlign w:val="center"/>
          </w:tcPr>
          <w:p w14:paraId="48C32807">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Cr</w:t>
            </w:r>
          </w:p>
        </w:tc>
      </w:tr>
      <w:tr w14:paraId="04952686">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358" w:type="dxa"/>
            <w:vAlign w:val="center"/>
          </w:tcPr>
          <w:p w14:paraId="0C6A9EA6">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0.12</w:t>
            </w:r>
          </w:p>
        </w:tc>
        <w:tc>
          <w:tcPr>
            <w:tcW w:w="1359" w:type="dxa"/>
            <w:vAlign w:val="center"/>
          </w:tcPr>
          <w:p w14:paraId="7154FE0D">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0.35</w:t>
            </w:r>
          </w:p>
        </w:tc>
        <w:tc>
          <w:tcPr>
            <w:tcW w:w="1359" w:type="dxa"/>
            <w:vAlign w:val="center"/>
          </w:tcPr>
          <w:p w14:paraId="64A32EF3">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0.55</w:t>
            </w:r>
          </w:p>
        </w:tc>
        <w:tc>
          <w:tcPr>
            <w:tcW w:w="1359" w:type="dxa"/>
            <w:vAlign w:val="center"/>
          </w:tcPr>
          <w:p w14:paraId="634D031B">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0.012</w:t>
            </w:r>
          </w:p>
        </w:tc>
        <w:tc>
          <w:tcPr>
            <w:tcW w:w="1359" w:type="dxa"/>
            <w:vAlign w:val="center"/>
          </w:tcPr>
          <w:p w14:paraId="1C7D130E">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0.021</w:t>
            </w:r>
          </w:p>
        </w:tc>
        <w:tc>
          <w:tcPr>
            <w:tcW w:w="1359" w:type="dxa"/>
            <w:vAlign w:val="center"/>
          </w:tcPr>
          <w:p w14:paraId="0550B750">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0.04</w:t>
            </w:r>
          </w:p>
        </w:tc>
      </w:tr>
    </w:tbl>
    <w:p w14:paraId="68F38778">
      <w:pPr>
        <w:pStyle w:val="16"/>
        <w:spacing w:before="31" w:after="31"/>
        <w:ind w:firstLine="0" w:firstLineChars="0"/>
        <w:rPr>
          <w:szCs w:val="24"/>
        </w:rPr>
      </w:pPr>
    </w:p>
    <w:p w14:paraId="61A0E78D">
      <w:pPr>
        <w:pStyle w:val="16"/>
        <w:spacing w:before="31" w:after="31"/>
        <w:ind w:firstLine="480"/>
        <w:rPr>
          <w:szCs w:val="24"/>
        </w:rPr>
      </w:pPr>
      <w:r>
        <w:rPr>
          <w:rFonts w:hint="eastAsia"/>
          <w:szCs w:val="24"/>
        </w:rPr>
        <w:t>(c) Hardness and Strength</w:t>
      </w:r>
    </w:p>
    <w:p w14:paraId="74DFE7B5">
      <w:pPr>
        <w:pStyle w:val="16"/>
        <w:spacing w:before="31" w:after="31"/>
        <w:ind w:firstLine="480"/>
        <w:rPr>
          <w:szCs w:val="24"/>
        </w:rPr>
      </w:pPr>
      <w:r>
        <w:rPr>
          <w:rFonts w:hint="eastAsia"/>
          <w:szCs w:val="24"/>
        </w:rPr>
        <w:t>The average hardness of the bolt is 148HBW. After conversion according to the standard GB/T 1172-1999 "Conversion Method of Hardness and Strength of Black Metal," its tensile strength is approximately 506 N/mm2, meeting the strength requirements of the relevant standards and technical specifications for the bolt steel.</w:t>
      </w:r>
    </w:p>
    <w:p w14:paraId="4CC902A4">
      <w:pPr>
        <w:pStyle w:val="16"/>
        <w:spacing w:before="31" w:after="31"/>
        <w:ind w:firstLine="480"/>
        <w:rPr>
          <w:szCs w:val="24"/>
        </w:rPr>
      </w:pPr>
      <w:r>
        <w:rPr>
          <w:rFonts w:hint="eastAsia"/>
          <w:szCs w:val="24"/>
        </w:rPr>
        <w:t>(d) Microstructure</w:t>
      </w:r>
    </w:p>
    <w:p w14:paraId="56771908">
      <w:pPr>
        <w:pStyle w:val="16"/>
        <w:spacing w:before="31" w:after="31"/>
        <w:ind w:firstLine="480"/>
        <w:rPr>
          <w:szCs w:val="24"/>
        </w:rPr>
      </w:pPr>
      <w:r>
        <w:rPr>
          <w:rFonts w:hint="eastAsia"/>
          <w:szCs w:val="24"/>
        </w:rPr>
        <w:t>The transverse and longitudinal microstructures at the fracture surface of the bolt are shown in Figure 2-8.1. The results indicate that various non-metallic inclusions are classified as A1, B1, and C1, with low inclusion content. The longitudinal banded structure and Widmanstätten structure of the bolt are both rated as 0, and the ferrite grain size is 7-8. The microstructure consists of uniform equiaxed ferrite and lamellar pearlite.</w:t>
      </w:r>
    </w:p>
    <w:p w14:paraId="7C8213E0">
      <w:pPr>
        <w:pStyle w:val="22"/>
        <w:spacing w:before="156" w:after="468"/>
        <w:rPr>
          <w:rFonts w:eastAsia="宋体"/>
          <w:color w:val="000000"/>
        </w:rPr>
      </w:pPr>
      <w:r>
        <w:rPr>
          <w:rFonts w:hint="eastAsia" w:eastAsia="宋体"/>
          <w:color w:val="000000"/>
        </w:rPr>
        <w:t>Figure 2-8.1 Radial Microstructure and Crack Morphology at the Fracture Surface</w:t>
      </w:r>
    </w:p>
    <w:p w14:paraId="254171C3">
      <w:pPr>
        <w:pStyle w:val="16"/>
        <w:spacing w:before="31" w:after="31"/>
        <w:ind w:firstLine="0" w:firstLineChars="0"/>
        <w:rPr>
          <w:szCs w:val="24"/>
        </w:rPr>
      </w:pPr>
      <w:r>
        <w:rPr>
          <w:rFonts w:hint="eastAsia"/>
          <w:szCs w:val="24"/>
        </w:rPr>
        <w:t>(5) Component Failure Morphology</w:t>
      </w:r>
    </w:p>
    <w:p w14:paraId="5AB60334">
      <w:pPr>
        <w:pStyle w:val="16"/>
        <w:spacing w:before="31" w:after="31"/>
        <w:ind w:firstLine="480"/>
        <w:rPr>
          <w:szCs w:val="24"/>
        </w:rPr>
      </w:pPr>
      <w:r>
        <w:rPr>
          <w:rFonts w:hint="eastAsia"/>
          <w:szCs w:val="24"/>
        </w:rPr>
        <w:t>(a) Macroscopic Morphology</w:t>
      </w:r>
    </w:p>
    <w:p w14:paraId="13A5D908">
      <w:pPr>
        <w:pStyle w:val="16"/>
        <w:spacing w:before="31" w:after="31"/>
        <w:ind w:firstLine="480"/>
        <w:rPr>
          <w:szCs w:val="24"/>
        </w:rPr>
      </w:pPr>
      <w:r>
        <w:rPr>
          <w:rFonts w:hint="eastAsia"/>
          <w:szCs w:val="24"/>
        </w:rPr>
        <w:t>The macroscopic morphology of the fractured bolt is shown in Figure 2-8.2. The fracture surface exhibits uneven crystalline features covered with numerous crystals, dust, and rust. There is no apparent necking around the fracture, and several obvious cracks are present on the section. After removing the crystalline deposits from the surface, a thick layer of oxide skin is visible on the fracture surface. Additionally, the fracture surface shows distinct crystalline features, and there are many pits on the cylindrical surface around the fracture source, as indicated by arrows in Figure 2-8.3. Several clearly visible radial cracks have formed around the crack source area. These pits and cracks were generated during service. The macrostructure of the bolt's transverse section is dense, without common defects such as looseness or segregation.</w:t>
      </w:r>
    </w:p>
    <w:p w14:paraId="5C83B40A">
      <w:pPr>
        <w:pStyle w:val="16"/>
        <w:spacing w:before="31" w:after="31"/>
        <w:ind w:firstLine="480"/>
        <w:rPr>
          <w:szCs w:val="24"/>
        </w:rPr>
      </w:pPr>
      <w:r>
        <w:rPr>
          <w:rFonts w:hint="eastAsia"/>
          <w:szCs w:val="24"/>
        </w:rPr>
        <w:t>(b) Microscopic Morphology</w:t>
      </w:r>
    </w:p>
    <w:p w14:paraId="439EBCF3">
      <w:pPr>
        <w:pStyle w:val="16"/>
        <w:spacing w:before="31" w:after="31"/>
        <w:ind w:firstLine="480"/>
        <w:rPr>
          <w:szCs w:val="24"/>
        </w:rPr>
      </w:pPr>
      <w:r>
        <w:rPr>
          <w:rFonts w:hint="eastAsia"/>
          <w:szCs w:val="24"/>
        </w:rPr>
        <w:t>There are several radial cracks extending along the bolt's surface at the fracture site, all originating from pitting at the surface of the bolt's column. The cracks have wide openings, and their main branches extend meanderingly towards the center of the bolt with forked root-like and straight-line features along ferrite grain boundaries or through ferrite grains. The narrow forked crack segments have distinct edges. Figure 2-8.4 illustrates the morphology of crack extension from the surface towards the center of the bolt (bottom right corner is the bolt edge). Many short and narrow secondary cracks, completely distributed along the grain boundaries, are present on both sides of the main crack. The cracks are filled with corrosion products.</w:t>
      </w:r>
    </w:p>
    <w:p w14:paraId="55B3C0A4">
      <w:pPr>
        <w:pStyle w:val="22"/>
        <w:spacing w:before="156" w:after="468"/>
        <w:rPr>
          <w:rFonts w:eastAsia="宋体"/>
          <w:color w:val="000000"/>
        </w:rPr>
      </w:pPr>
      <w:r>
        <w:rPr>
          <w:rFonts w:hint="eastAsia" w:eastAsia="宋体"/>
          <w:color w:val="000000"/>
        </w:rPr>
        <w:t xml:space="preserve"> Figure 2-8.2 Macroscopic Morphology of the Fractured Bolt</w:t>
      </w:r>
    </w:p>
    <w:p w14:paraId="4862C9E6">
      <w:pPr>
        <w:pStyle w:val="22"/>
        <w:spacing w:before="156" w:after="468"/>
        <w:rPr>
          <w:rFonts w:eastAsia="宋体"/>
          <w:color w:val="000000"/>
        </w:rPr>
      </w:pPr>
      <w:r>
        <w:rPr>
          <w:rFonts w:hint="eastAsia" w:eastAsia="宋体"/>
          <w:color w:val="000000"/>
        </w:rPr>
        <w:t>Figure 2-8.3 Side Morphology of the Bolt Fracture after Acid Pickling</w:t>
      </w:r>
    </w:p>
    <w:p w14:paraId="3E9197FB">
      <w:pPr>
        <w:pStyle w:val="22"/>
        <w:spacing w:before="156" w:after="468"/>
        <w:rPr>
          <w:rFonts w:eastAsia="宋体"/>
          <w:color w:val="000000"/>
        </w:rPr>
      </w:pPr>
      <w:r>
        <w:rPr>
          <w:rFonts w:hint="eastAsia" w:eastAsia="宋体"/>
          <w:color w:val="000000"/>
        </w:rPr>
        <w:t>Figure 2-8.4 Microscopic Morphology of Crack Extension</w:t>
      </w:r>
    </w:p>
    <w:p w14:paraId="728054DE">
      <w:pPr>
        <w:pStyle w:val="16"/>
        <w:spacing w:before="31" w:after="31"/>
        <w:ind w:firstLine="480"/>
        <w:rPr>
          <w:szCs w:val="24"/>
        </w:rPr>
      </w:pPr>
      <w:r>
        <w:rPr>
          <w:rFonts w:hint="eastAsia"/>
          <w:szCs w:val="24"/>
        </w:rPr>
        <w:t>The microscopic morphology of the bolt fracture surface resembles typical dimple-like features, with clearly visible intergranular cracks, indicating a brittle fracture along the grain boundaries, as shown in Figure 2-8.5. On the metallographic sample, intergranular cracks filled with a large amount of corrosion products are clearly visible, as shown in Figure 2-8.6.</w:t>
      </w:r>
    </w:p>
    <w:p w14:paraId="2811196F">
      <w:pPr>
        <w:pStyle w:val="22"/>
        <w:spacing w:before="156" w:after="468"/>
        <w:rPr>
          <w:rFonts w:eastAsia="宋体"/>
          <w:color w:val="000000"/>
        </w:rPr>
      </w:pPr>
      <w:r>
        <w:rPr>
          <w:rFonts w:hint="eastAsia" w:eastAsia="宋体"/>
          <w:color w:val="000000"/>
        </w:rPr>
        <w:t>Figure 2-8.5 SEM Image of the Fracture Surface of the Bolt</w:t>
      </w:r>
    </w:p>
    <w:p w14:paraId="0BB7A79F">
      <w:pPr>
        <w:pStyle w:val="22"/>
        <w:spacing w:before="156" w:after="468"/>
        <w:rPr>
          <w:rFonts w:eastAsia="宋体"/>
          <w:color w:val="000000"/>
        </w:rPr>
      </w:pPr>
      <w:r>
        <w:rPr>
          <w:rFonts w:hint="eastAsia" w:eastAsia="宋体"/>
          <w:color w:val="000000"/>
        </w:rPr>
        <w:t>Figure 2-8.6 SEM Image of Crack in the Fracture Zone</w:t>
      </w:r>
    </w:p>
    <w:p w14:paraId="1FA63B02">
      <w:pPr>
        <w:pStyle w:val="16"/>
        <w:spacing w:before="31" w:after="31"/>
        <w:ind w:firstLine="0" w:firstLineChars="0"/>
        <w:rPr>
          <w:szCs w:val="24"/>
        </w:rPr>
      </w:pPr>
      <w:r>
        <w:rPr>
          <w:rFonts w:hint="eastAsia"/>
          <w:szCs w:val="24"/>
        </w:rPr>
        <w:t>(6) Failure Cause Analysis</w:t>
      </w:r>
    </w:p>
    <w:p w14:paraId="473270B3">
      <w:pPr>
        <w:pStyle w:val="16"/>
        <w:spacing w:before="31" w:after="31"/>
        <w:ind w:firstLine="480"/>
        <w:rPr>
          <w:szCs w:val="24"/>
        </w:rPr>
      </w:pPr>
      <w:r>
        <w:rPr>
          <w:rFonts w:hint="eastAsia"/>
          <w:szCs w:val="24"/>
        </w:rPr>
        <w:t>The failure of the bolt is a typical brittle fracture. Based on the operational conditions of the fractured bolt, as well as the analysis of the fracture and crack morphology, there is no evidence or conditions for fatigue failure. Therefore, the bolt's fracture is attributed to stress corrosion cracking occurring locally. The service environment of the fastening bolt possesses all the conditions for stress corrosion, including the tensile stress formed by the pressure inside the tower and the pre-tension force of the bolt, the presence of a significant amount of sulfides in the liquid medium within the gas storage tank, and an unreasonable material composition. The process of stress corrosion cracking in the bolt is as follows: after the bolt is fastened on the valve's pressure cover, due to insufficient pre-tension force or rough flange surface processing, a small amount of liquefied gas medium still seeps out from the gap between the pressure cover and the flange, entering one end of the sealed flange bolt hole and accumulating there, coming into close contact with the fastening bolt. The sulfur in the trapped medium gets concentrated due to continuous evaporation of the solution. Under certain conditions, these sulfur-containing media will corrode the surface passivation film of the bolt, directly reacting with the steel and forming corrosion pits on the bolt. These pits, under the long-term tensile stress within the tower, become sources of cracks on the bolt surface. As the carbon content in the material increases the sensitivity of the cracks, under the combined action of tensile stress and sulfur-containing medium, the crack tips experience severe stress concentration, accelerating crack propagation. The cracks extend inward along weak areas of the steel—grain boundaries through electrochemical reactions. When the crack extends deep enough towards the center, the effective area of the bolt cannot withstand the tensile stress formed by the internal pressure on the fastening bolt in the tower, leading to the instantaneous brittle fracture of the fastening bolt.</w:t>
      </w:r>
    </w:p>
    <w:p w14:paraId="751A6CF9">
      <w:pPr>
        <w:pStyle w:val="16"/>
        <w:spacing w:before="31" w:after="31"/>
        <w:ind w:firstLine="0" w:firstLineChars="0"/>
        <w:rPr>
          <w:szCs w:val="24"/>
        </w:rPr>
      </w:pPr>
    </w:p>
    <w:p w14:paraId="11D38685">
      <w:pPr>
        <w:pStyle w:val="16"/>
        <w:spacing w:before="31" w:after="31"/>
        <w:ind w:firstLine="0" w:firstLineChars="0"/>
        <w:rPr>
          <w:szCs w:val="24"/>
        </w:rPr>
      </w:pPr>
      <w:r>
        <w:rPr>
          <w:rFonts w:hint="eastAsia"/>
          <w:szCs w:val="24"/>
        </w:rPr>
        <w:t>(7) Consequences and Hazards</w:t>
      </w:r>
    </w:p>
    <w:p w14:paraId="7ADC4BBE">
      <w:pPr>
        <w:pStyle w:val="16"/>
        <w:spacing w:before="31" w:after="31"/>
        <w:ind w:firstLine="480"/>
        <w:rPr>
          <w:szCs w:val="24"/>
        </w:rPr>
      </w:pPr>
      <w:r>
        <w:rPr>
          <w:rFonts w:hint="eastAsia"/>
          <w:szCs w:val="24"/>
        </w:rPr>
        <w:t>The radial fracture of the fastening bolt on the gas storage tank's top valve resulted in a significant spill of liquid medium inside the tank, causing a temporary shutdown and posing a safety hazard.</w:t>
      </w:r>
    </w:p>
    <w:p w14:paraId="7052B766">
      <w:pPr>
        <w:pStyle w:val="16"/>
        <w:spacing w:before="31" w:after="31"/>
        <w:ind w:firstLine="0" w:firstLineChars="0"/>
        <w:rPr>
          <w:szCs w:val="24"/>
        </w:rPr>
      </w:pPr>
    </w:p>
    <w:p w14:paraId="3052BC2B">
      <w:pPr>
        <w:pStyle w:val="16"/>
        <w:spacing w:before="31" w:after="31"/>
        <w:ind w:firstLine="0" w:firstLineChars="0"/>
        <w:rPr>
          <w:szCs w:val="24"/>
        </w:rPr>
      </w:pPr>
      <w:r>
        <w:rPr>
          <w:rFonts w:hint="eastAsia"/>
          <w:szCs w:val="24"/>
        </w:rPr>
        <w:t>(8) Conclusion and Improvement Measures</w:t>
      </w:r>
    </w:p>
    <w:p w14:paraId="710977B0">
      <w:pPr>
        <w:pStyle w:val="16"/>
        <w:spacing w:before="31" w:after="31"/>
        <w:ind w:firstLine="480"/>
        <w:rPr>
          <w:szCs w:val="24"/>
        </w:rPr>
      </w:pPr>
      <w:r>
        <w:rPr>
          <w:rFonts w:hint="eastAsia"/>
          <w:szCs w:val="24"/>
        </w:rPr>
        <w:t>To prevent a recurrence of similar incidents, the following recommendations are proposed:</w:t>
      </w:r>
    </w:p>
    <w:p w14:paraId="13419260">
      <w:pPr>
        <w:pStyle w:val="16"/>
        <w:spacing w:before="31" w:after="31"/>
        <w:ind w:firstLine="480"/>
        <w:rPr>
          <w:szCs w:val="24"/>
        </w:rPr>
      </w:pPr>
      <w:r>
        <w:rPr>
          <w:rFonts w:hint="eastAsia"/>
          <w:szCs w:val="24"/>
        </w:rPr>
        <w:t>(a) During equipment installation, take preventive measures to avoid medium seepage along fastening gaps inside the tower.</w:t>
      </w:r>
    </w:p>
    <w:p w14:paraId="55993508">
      <w:pPr>
        <w:pStyle w:val="16"/>
        <w:spacing w:before="31" w:after="31"/>
        <w:ind w:firstLine="480"/>
        <w:rPr>
          <w:szCs w:val="24"/>
        </w:rPr>
      </w:pPr>
      <w:r>
        <w:rPr>
          <w:rFonts w:hint="eastAsia"/>
          <w:szCs w:val="24"/>
        </w:rPr>
        <w:t>(b) Increase the carbon content and surface finish of the steel used for bolts.</w:t>
      </w:r>
    </w:p>
    <w:p w14:paraId="71944AAC">
      <w:pPr>
        <w:pStyle w:val="16"/>
        <w:spacing w:before="31" w:after="31"/>
        <w:ind w:firstLine="480"/>
        <w:rPr>
          <w:szCs w:val="24"/>
        </w:rPr>
      </w:pPr>
      <w:r>
        <w:rPr>
          <w:rFonts w:hint="eastAsia"/>
          <w:szCs w:val="24"/>
        </w:rPr>
        <w:t>(c) Conduct quenching heat treatment on the bolts to enhance the overall strength and corrosion resistance of the material.</w:t>
      </w:r>
    </w:p>
    <w:p w14:paraId="61018F5C">
      <w:pPr>
        <w:pStyle w:val="16"/>
        <w:spacing w:before="31" w:after="31"/>
        <w:ind w:firstLine="480"/>
        <w:rPr>
          <w:szCs w:val="24"/>
        </w:rPr>
      </w:pPr>
    </w:p>
    <w:p w14:paraId="13E5A566">
      <w:pPr>
        <w:pStyle w:val="16"/>
        <w:spacing w:before="31" w:after="31"/>
        <w:ind w:firstLine="480"/>
        <w:rPr>
          <w:szCs w:val="24"/>
        </w:rPr>
      </w:pPr>
    </w:p>
    <w:p w14:paraId="6C06FFE3">
      <w:pPr>
        <w:pStyle w:val="21"/>
        <w:numPr>
          <w:ilvl w:val="2"/>
          <w:numId w:val="0"/>
        </w:numPr>
        <w:rPr>
          <w:rFonts w:eastAsia="宋体"/>
          <w:color w:val="000000"/>
        </w:rPr>
      </w:pPr>
      <w:r>
        <w:rPr>
          <w:rFonts w:hint="eastAsia" w:eastAsia="宋体"/>
          <w:color w:val="000000"/>
        </w:rPr>
        <w:t>2.2.9 Case 2-9 Steam Leakage in Steam Pipeline Tee Joints</w:t>
      </w:r>
    </w:p>
    <w:p w14:paraId="63938C64">
      <w:pPr>
        <w:pStyle w:val="16"/>
        <w:spacing w:before="31" w:after="31"/>
        <w:ind w:firstLine="0" w:firstLineChars="0"/>
        <w:rPr>
          <w:szCs w:val="24"/>
        </w:rPr>
      </w:pPr>
      <w:r>
        <w:rPr>
          <w:rFonts w:hint="eastAsia"/>
          <w:szCs w:val="24"/>
        </w:rPr>
        <w:t>(1) Case Name</w:t>
      </w:r>
    </w:p>
    <w:p w14:paraId="2E7DCBF2">
      <w:pPr>
        <w:pStyle w:val="16"/>
        <w:spacing w:before="31" w:after="31"/>
        <w:ind w:firstLine="480"/>
        <w:rPr>
          <w:szCs w:val="24"/>
        </w:rPr>
      </w:pPr>
      <w:r>
        <w:rPr>
          <w:rFonts w:hint="eastAsia"/>
          <w:szCs w:val="24"/>
        </w:rPr>
        <w:t>Multiple tee joints in the steam pipeline of a catalytic unit experiencing steam leakage [18].</w:t>
      </w:r>
    </w:p>
    <w:p w14:paraId="2B05C0CE">
      <w:pPr>
        <w:pStyle w:val="16"/>
        <w:spacing w:before="31" w:after="31"/>
        <w:ind w:firstLine="0" w:firstLineChars="0"/>
        <w:rPr>
          <w:szCs w:val="24"/>
        </w:rPr>
      </w:pPr>
    </w:p>
    <w:p w14:paraId="16C27A07">
      <w:pPr>
        <w:pStyle w:val="16"/>
        <w:spacing w:before="31" w:after="31"/>
        <w:ind w:firstLine="0" w:firstLineChars="0"/>
        <w:rPr>
          <w:szCs w:val="24"/>
        </w:rPr>
      </w:pPr>
      <w:r>
        <w:rPr>
          <w:rFonts w:hint="eastAsia"/>
          <w:szCs w:val="24"/>
        </w:rPr>
        <w:t>(2) Failure Process Description</w:t>
      </w:r>
    </w:p>
    <w:p w14:paraId="3DD01431">
      <w:pPr>
        <w:pStyle w:val="16"/>
        <w:spacing w:before="31" w:after="31"/>
        <w:ind w:firstLine="480"/>
        <w:rPr>
          <w:szCs w:val="24"/>
        </w:rPr>
      </w:pPr>
      <w:r>
        <w:rPr>
          <w:rFonts w:hint="eastAsia"/>
          <w:szCs w:val="24"/>
        </w:rPr>
        <w:t>After 8 years of operation, a catalytic unit in a petrochemical company's refinery experienced steam leakage at the welds of multiple tee joints in its steam pipeline. Despite several attempts at re-welding, the leakage could not be effectively stopped, ultimately leading to a production shutdown for maintenance.</w:t>
      </w:r>
    </w:p>
    <w:p w14:paraId="72A377BC">
      <w:pPr>
        <w:pStyle w:val="16"/>
        <w:spacing w:before="31" w:after="31"/>
        <w:ind w:firstLine="480"/>
        <w:rPr>
          <w:szCs w:val="24"/>
        </w:rPr>
      </w:pPr>
    </w:p>
    <w:p w14:paraId="043562A2">
      <w:pPr>
        <w:pStyle w:val="16"/>
        <w:spacing w:before="31" w:after="31"/>
        <w:ind w:firstLine="0" w:firstLineChars="0"/>
        <w:rPr>
          <w:szCs w:val="24"/>
        </w:rPr>
      </w:pPr>
      <w:r>
        <w:rPr>
          <w:rFonts w:hint="eastAsia"/>
          <w:szCs w:val="24"/>
        </w:rPr>
        <w:t>(3) Service Environment</w:t>
      </w:r>
    </w:p>
    <w:p w14:paraId="0F1593BB">
      <w:pPr>
        <w:pStyle w:val="16"/>
        <w:spacing w:before="31" w:after="31"/>
        <w:ind w:firstLine="480"/>
        <w:rPr>
          <w:szCs w:val="24"/>
        </w:rPr>
      </w:pPr>
      <w:r>
        <w:rPr>
          <w:rFonts w:hint="eastAsia"/>
          <w:szCs w:val="24"/>
        </w:rPr>
        <w:t>During normal production operation, the steam pipeline transports high-pressure steam with a temperature of 200°C and an internal pressure of 130 N/cm2.</w:t>
      </w:r>
    </w:p>
    <w:p w14:paraId="49D12D39">
      <w:pPr>
        <w:pStyle w:val="16"/>
        <w:spacing w:before="31" w:after="31"/>
        <w:ind w:firstLine="480"/>
        <w:rPr>
          <w:szCs w:val="24"/>
        </w:rPr>
      </w:pPr>
    </w:p>
    <w:p w14:paraId="78C0B7B3">
      <w:pPr>
        <w:pStyle w:val="16"/>
        <w:spacing w:before="31" w:after="31"/>
        <w:ind w:firstLine="0" w:firstLineChars="0"/>
        <w:rPr>
          <w:szCs w:val="24"/>
        </w:rPr>
      </w:pPr>
      <w:r>
        <w:rPr>
          <w:rFonts w:hint="eastAsia"/>
          <w:szCs w:val="24"/>
        </w:rPr>
        <w:t>(4) Failed Component and Material</w:t>
      </w:r>
    </w:p>
    <w:p w14:paraId="14543F9F">
      <w:pPr>
        <w:pStyle w:val="16"/>
        <w:spacing w:before="31" w:after="31"/>
        <w:ind w:firstLine="480"/>
        <w:rPr>
          <w:szCs w:val="24"/>
        </w:rPr>
      </w:pPr>
      <w:r>
        <w:rPr>
          <w:rFonts w:hint="eastAsia"/>
          <w:szCs w:val="24"/>
        </w:rPr>
        <w:t>The failed component is the tee joint of the steam pipeline, with the following main information:</w:t>
      </w:r>
    </w:p>
    <w:p w14:paraId="7F197852">
      <w:pPr>
        <w:pStyle w:val="16"/>
        <w:spacing w:before="31" w:after="31"/>
        <w:ind w:firstLine="480"/>
        <w:rPr>
          <w:szCs w:val="24"/>
        </w:rPr>
      </w:pPr>
      <w:r>
        <w:rPr>
          <w:rFonts w:hint="eastAsia"/>
          <w:szCs w:val="24"/>
        </w:rPr>
        <w:t>(a) Material and Dimensions</w:t>
      </w:r>
    </w:p>
    <w:p w14:paraId="0F29DF86">
      <w:pPr>
        <w:pStyle w:val="16"/>
        <w:spacing w:before="31" w:after="31"/>
        <w:ind w:firstLine="480"/>
        <w:rPr>
          <w:szCs w:val="24"/>
        </w:rPr>
      </w:pPr>
      <w:r>
        <w:rPr>
          <w:rFonts w:hint="eastAsia"/>
          <w:szCs w:val="24"/>
        </w:rPr>
        <w:t>The material selected for the flange and connecting pipe is 20 steel. The inner diameter of the connecting pipe is φ40mm, with a wall thickness of 4mm, and the outer diameter of the flange is 150mm.</w:t>
      </w:r>
    </w:p>
    <w:p w14:paraId="5470C35D">
      <w:pPr>
        <w:pStyle w:val="16"/>
        <w:spacing w:before="31" w:after="31"/>
        <w:ind w:firstLine="480"/>
        <w:rPr>
          <w:szCs w:val="24"/>
        </w:rPr>
      </w:pPr>
      <w:r>
        <w:rPr>
          <w:rFonts w:hint="eastAsia"/>
          <w:szCs w:val="24"/>
        </w:rPr>
        <w:t>(b) Chemical Composition</w:t>
      </w:r>
    </w:p>
    <w:p w14:paraId="05039CA8">
      <w:pPr>
        <w:pStyle w:val="16"/>
        <w:spacing w:before="31" w:after="31"/>
        <w:ind w:firstLine="480"/>
        <w:rPr>
          <w:szCs w:val="24"/>
        </w:rPr>
      </w:pPr>
      <w:r>
        <w:rPr>
          <w:rFonts w:hint="eastAsia"/>
          <w:szCs w:val="24"/>
        </w:rPr>
        <w:t>The chemical composition of the connecting pipe and flange on both sides of the weld is shown in Table 2-8. Both the connecting pipe and flange are made of 20 steel, and their chemical compositions meet the relevant standard requirements.</w:t>
      </w:r>
    </w:p>
    <w:p w14:paraId="769D92A6">
      <w:pPr>
        <w:pStyle w:val="20"/>
        <w:spacing w:before="468" w:after="156"/>
        <w:rPr>
          <w:rFonts w:eastAsia="宋体"/>
          <w:color w:val="000000"/>
          <w:szCs w:val="21"/>
        </w:rPr>
      </w:pPr>
      <w:r>
        <w:rPr>
          <w:rFonts w:hint="eastAsia" w:eastAsia="宋体"/>
          <w:color w:val="000000"/>
          <w:szCs w:val="21"/>
        </w:rPr>
        <w:t>Table 2-8 Chemical Composition of Tee Joint</w:t>
      </w:r>
    </w:p>
    <w:tbl>
      <w:tblPr>
        <w:tblStyle w:val="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5"/>
        <w:gridCol w:w="992"/>
        <w:gridCol w:w="992"/>
        <w:gridCol w:w="992"/>
        <w:gridCol w:w="993"/>
        <w:gridCol w:w="995"/>
        <w:gridCol w:w="1041"/>
        <w:gridCol w:w="941"/>
      </w:tblGrid>
      <w:tr w14:paraId="155BC5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Borders>
              <w:top w:val="single" w:color="auto" w:sz="12" w:space="0"/>
              <w:bottom w:val="single" w:color="auto" w:sz="12" w:space="0"/>
            </w:tcBorders>
            <w:vAlign w:val="center"/>
          </w:tcPr>
          <w:p w14:paraId="160FDE4C">
            <w:pPr>
              <w:pStyle w:val="16"/>
              <w:spacing w:before="31" w:after="31"/>
              <w:ind w:firstLine="0" w:firstLineChars="0"/>
              <w:jc w:val="center"/>
              <w:rPr>
                <w:rFonts w:cs="Times New Roman"/>
                <w:color w:val="000000"/>
                <w:kern w:val="0"/>
                <w:sz w:val="21"/>
                <w:szCs w:val="21"/>
              </w:rPr>
            </w:pPr>
            <w:r>
              <w:rPr>
                <w:rFonts w:hint="eastAsia" w:cs="Times New Roman"/>
                <w:color w:val="000000"/>
                <w:kern w:val="0"/>
                <w:sz w:val="21"/>
                <w:szCs w:val="21"/>
              </w:rPr>
              <w:t xml:space="preserve">Condition  </w:t>
            </w:r>
          </w:p>
        </w:tc>
        <w:tc>
          <w:tcPr>
            <w:tcW w:w="992" w:type="dxa"/>
            <w:tcBorders>
              <w:top w:val="single" w:color="auto" w:sz="12" w:space="0"/>
              <w:bottom w:val="single" w:color="auto" w:sz="12" w:space="0"/>
            </w:tcBorders>
            <w:vAlign w:val="center"/>
          </w:tcPr>
          <w:p w14:paraId="79CFC3FA">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C</w:t>
            </w:r>
          </w:p>
        </w:tc>
        <w:tc>
          <w:tcPr>
            <w:tcW w:w="992" w:type="dxa"/>
            <w:tcBorders>
              <w:top w:val="single" w:color="auto" w:sz="12" w:space="0"/>
              <w:bottom w:val="single" w:color="auto" w:sz="12" w:space="0"/>
            </w:tcBorders>
            <w:vAlign w:val="center"/>
          </w:tcPr>
          <w:p w14:paraId="329E3AC4">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Si</w:t>
            </w:r>
          </w:p>
        </w:tc>
        <w:tc>
          <w:tcPr>
            <w:tcW w:w="992" w:type="dxa"/>
            <w:tcBorders>
              <w:top w:val="single" w:color="auto" w:sz="12" w:space="0"/>
              <w:bottom w:val="single" w:color="auto" w:sz="12" w:space="0"/>
            </w:tcBorders>
            <w:vAlign w:val="center"/>
          </w:tcPr>
          <w:p w14:paraId="7B414F3C">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Mn</w:t>
            </w:r>
          </w:p>
        </w:tc>
        <w:tc>
          <w:tcPr>
            <w:tcW w:w="993" w:type="dxa"/>
            <w:tcBorders>
              <w:top w:val="single" w:color="auto" w:sz="12" w:space="0"/>
              <w:bottom w:val="single" w:color="auto" w:sz="12" w:space="0"/>
            </w:tcBorders>
            <w:vAlign w:val="center"/>
          </w:tcPr>
          <w:p w14:paraId="1389AF6E">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S</w:t>
            </w:r>
          </w:p>
        </w:tc>
        <w:tc>
          <w:tcPr>
            <w:tcW w:w="995" w:type="dxa"/>
            <w:tcBorders>
              <w:top w:val="single" w:color="auto" w:sz="12" w:space="0"/>
              <w:bottom w:val="single" w:color="auto" w:sz="12" w:space="0"/>
            </w:tcBorders>
            <w:vAlign w:val="center"/>
          </w:tcPr>
          <w:p w14:paraId="241BC18A">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P</w:t>
            </w:r>
          </w:p>
        </w:tc>
        <w:tc>
          <w:tcPr>
            <w:tcW w:w="1041" w:type="dxa"/>
            <w:tcBorders>
              <w:top w:val="single" w:color="auto" w:sz="12" w:space="0"/>
              <w:bottom w:val="single" w:color="auto" w:sz="12" w:space="0"/>
            </w:tcBorders>
            <w:vAlign w:val="center"/>
          </w:tcPr>
          <w:p w14:paraId="57DC95E9">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Cr</w:t>
            </w:r>
          </w:p>
        </w:tc>
        <w:tc>
          <w:tcPr>
            <w:tcW w:w="941" w:type="dxa"/>
            <w:tcBorders>
              <w:top w:val="single" w:color="auto" w:sz="12" w:space="0"/>
              <w:bottom w:val="single" w:color="auto" w:sz="12" w:space="0"/>
            </w:tcBorders>
            <w:vAlign w:val="center"/>
          </w:tcPr>
          <w:p w14:paraId="446FF020">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Mo</w:t>
            </w:r>
          </w:p>
        </w:tc>
      </w:tr>
      <w:tr w14:paraId="3FA1FD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Borders>
              <w:top w:val="single" w:color="auto" w:sz="12" w:space="0"/>
            </w:tcBorders>
            <w:vAlign w:val="center"/>
          </w:tcPr>
          <w:p w14:paraId="7CAF03B4">
            <w:pPr>
              <w:pStyle w:val="16"/>
              <w:spacing w:before="31" w:after="31"/>
              <w:ind w:firstLine="0" w:firstLineChars="0"/>
              <w:jc w:val="center"/>
              <w:rPr>
                <w:rFonts w:cs="Times New Roman"/>
                <w:color w:val="000000"/>
                <w:kern w:val="0"/>
                <w:sz w:val="21"/>
                <w:szCs w:val="21"/>
              </w:rPr>
            </w:pPr>
            <w:r>
              <w:rPr>
                <w:rFonts w:hint="eastAsia" w:cs="Times New Roman"/>
                <w:color w:val="000000"/>
                <w:kern w:val="0"/>
                <w:sz w:val="21"/>
                <w:szCs w:val="21"/>
              </w:rPr>
              <w:t>Connecting Pipe</w:t>
            </w:r>
          </w:p>
        </w:tc>
        <w:tc>
          <w:tcPr>
            <w:tcW w:w="992" w:type="dxa"/>
            <w:tcBorders>
              <w:top w:val="single" w:color="auto" w:sz="12" w:space="0"/>
            </w:tcBorders>
            <w:vAlign w:val="center"/>
          </w:tcPr>
          <w:p w14:paraId="612E13D0">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0.20</w:t>
            </w:r>
          </w:p>
        </w:tc>
        <w:tc>
          <w:tcPr>
            <w:tcW w:w="992" w:type="dxa"/>
            <w:tcBorders>
              <w:top w:val="single" w:color="auto" w:sz="12" w:space="0"/>
            </w:tcBorders>
            <w:vAlign w:val="center"/>
          </w:tcPr>
          <w:p w14:paraId="3FBB037B">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0.27</w:t>
            </w:r>
          </w:p>
        </w:tc>
        <w:tc>
          <w:tcPr>
            <w:tcW w:w="992" w:type="dxa"/>
            <w:tcBorders>
              <w:top w:val="single" w:color="auto" w:sz="12" w:space="0"/>
            </w:tcBorders>
            <w:vAlign w:val="center"/>
          </w:tcPr>
          <w:p w14:paraId="04815543">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0.57</w:t>
            </w:r>
          </w:p>
        </w:tc>
        <w:tc>
          <w:tcPr>
            <w:tcW w:w="993" w:type="dxa"/>
            <w:tcBorders>
              <w:top w:val="single" w:color="auto" w:sz="12" w:space="0"/>
            </w:tcBorders>
            <w:vAlign w:val="center"/>
          </w:tcPr>
          <w:p w14:paraId="70B09B11">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0.033</w:t>
            </w:r>
          </w:p>
        </w:tc>
        <w:tc>
          <w:tcPr>
            <w:tcW w:w="995" w:type="dxa"/>
            <w:tcBorders>
              <w:top w:val="single" w:color="auto" w:sz="12" w:space="0"/>
            </w:tcBorders>
            <w:vAlign w:val="center"/>
          </w:tcPr>
          <w:p w14:paraId="4239D010">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0.021</w:t>
            </w:r>
          </w:p>
        </w:tc>
        <w:tc>
          <w:tcPr>
            <w:tcW w:w="1041" w:type="dxa"/>
            <w:tcBorders>
              <w:top w:val="single" w:color="auto" w:sz="12" w:space="0"/>
            </w:tcBorders>
            <w:vAlign w:val="center"/>
          </w:tcPr>
          <w:p w14:paraId="3EEFDD70">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0.030</w:t>
            </w:r>
          </w:p>
        </w:tc>
        <w:tc>
          <w:tcPr>
            <w:tcW w:w="941" w:type="dxa"/>
            <w:tcBorders>
              <w:top w:val="single" w:color="auto" w:sz="12" w:space="0"/>
            </w:tcBorders>
            <w:vAlign w:val="center"/>
          </w:tcPr>
          <w:p w14:paraId="130EF38C">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0.012</w:t>
            </w:r>
          </w:p>
        </w:tc>
      </w:tr>
      <w:tr w14:paraId="12F13D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vAlign w:val="center"/>
          </w:tcPr>
          <w:p w14:paraId="4495672C">
            <w:pPr>
              <w:pStyle w:val="16"/>
              <w:spacing w:before="31" w:after="31"/>
              <w:ind w:firstLine="0" w:firstLineChars="0"/>
              <w:jc w:val="center"/>
              <w:rPr>
                <w:rFonts w:cs="Times New Roman"/>
                <w:color w:val="000000"/>
                <w:kern w:val="0"/>
                <w:sz w:val="21"/>
                <w:szCs w:val="21"/>
              </w:rPr>
            </w:pPr>
            <w:r>
              <w:rPr>
                <w:rFonts w:hint="eastAsia" w:cs="Times New Roman"/>
                <w:color w:val="000000"/>
                <w:kern w:val="0"/>
                <w:sz w:val="21"/>
                <w:szCs w:val="21"/>
              </w:rPr>
              <w:t>Flange</w:t>
            </w:r>
          </w:p>
        </w:tc>
        <w:tc>
          <w:tcPr>
            <w:tcW w:w="992" w:type="dxa"/>
            <w:vAlign w:val="center"/>
          </w:tcPr>
          <w:p w14:paraId="32A3D2EF">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0.23</w:t>
            </w:r>
          </w:p>
        </w:tc>
        <w:tc>
          <w:tcPr>
            <w:tcW w:w="992" w:type="dxa"/>
            <w:vAlign w:val="center"/>
          </w:tcPr>
          <w:p w14:paraId="51DFED65">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0.26</w:t>
            </w:r>
          </w:p>
        </w:tc>
        <w:tc>
          <w:tcPr>
            <w:tcW w:w="992" w:type="dxa"/>
            <w:vAlign w:val="center"/>
          </w:tcPr>
          <w:p w14:paraId="16A31BFA">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0.50</w:t>
            </w:r>
          </w:p>
        </w:tc>
        <w:tc>
          <w:tcPr>
            <w:tcW w:w="993" w:type="dxa"/>
            <w:vAlign w:val="center"/>
          </w:tcPr>
          <w:p w14:paraId="0A7508F6">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0.010</w:t>
            </w:r>
          </w:p>
        </w:tc>
        <w:tc>
          <w:tcPr>
            <w:tcW w:w="995" w:type="dxa"/>
            <w:vAlign w:val="center"/>
          </w:tcPr>
          <w:p w14:paraId="46E56F41">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0.016</w:t>
            </w:r>
          </w:p>
        </w:tc>
        <w:tc>
          <w:tcPr>
            <w:tcW w:w="1041" w:type="dxa"/>
            <w:vAlign w:val="center"/>
          </w:tcPr>
          <w:p w14:paraId="6AE9D8B1">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0.020</w:t>
            </w:r>
          </w:p>
        </w:tc>
        <w:tc>
          <w:tcPr>
            <w:tcW w:w="941" w:type="dxa"/>
            <w:vAlign w:val="center"/>
          </w:tcPr>
          <w:p w14:paraId="282AF477">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0.017</w:t>
            </w:r>
          </w:p>
        </w:tc>
      </w:tr>
      <w:tr w14:paraId="225A7D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vAlign w:val="center"/>
          </w:tcPr>
          <w:p w14:paraId="4BE20FAE">
            <w:pPr>
              <w:pStyle w:val="16"/>
              <w:spacing w:before="31" w:after="31"/>
              <w:ind w:firstLine="0" w:firstLineChars="0"/>
              <w:jc w:val="center"/>
              <w:rPr>
                <w:rFonts w:cs="Times New Roman"/>
                <w:color w:val="000000"/>
                <w:kern w:val="0"/>
                <w:sz w:val="21"/>
                <w:szCs w:val="21"/>
              </w:rPr>
            </w:pPr>
            <w:r>
              <w:rPr>
                <w:rFonts w:hint="eastAsia" w:cs="Times New Roman"/>
                <w:color w:val="000000"/>
                <w:kern w:val="0"/>
                <w:sz w:val="21"/>
                <w:szCs w:val="21"/>
              </w:rPr>
              <w:t>20 Steel</w:t>
            </w:r>
          </w:p>
        </w:tc>
        <w:tc>
          <w:tcPr>
            <w:tcW w:w="992" w:type="dxa"/>
            <w:vAlign w:val="center"/>
          </w:tcPr>
          <w:p w14:paraId="3A806AD7">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0.17</w:t>
            </w:r>
          </w:p>
        </w:tc>
        <w:tc>
          <w:tcPr>
            <w:tcW w:w="992" w:type="dxa"/>
            <w:vAlign w:val="center"/>
          </w:tcPr>
          <w:p w14:paraId="6B8F91C5">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0.17</w:t>
            </w:r>
          </w:p>
        </w:tc>
        <w:tc>
          <w:tcPr>
            <w:tcW w:w="992" w:type="dxa"/>
            <w:vAlign w:val="center"/>
          </w:tcPr>
          <w:p w14:paraId="7DD82055">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0.35</w:t>
            </w:r>
          </w:p>
        </w:tc>
        <w:tc>
          <w:tcPr>
            <w:tcW w:w="993" w:type="dxa"/>
            <w:vMerge w:val="restart"/>
            <w:vAlign w:val="center"/>
          </w:tcPr>
          <w:p w14:paraId="675D6120">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≤0.035</w:t>
            </w:r>
          </w:p>
        </w:tc>
        <w:tc>
          <w:tcPr>
            <w:tcW w:w="995" w:type="dxa"/>
            <w:vMerge w:val="restart"/>
            <w:vAlign w:val="center"/>
          </w:tcPr>
          <w:p w14:paraId="0463F965">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≤0.035</w:t>
            </w:r>
          </w:p>
        </w:tc>
        <w:tc>
          <w:tcPr>
            <w:tcW w:w="1041" w:type="dxa"/>
            <w:vMerge w:val="restart"/>
            <w:vAlign w:val="center"/>
          </w:tcPr>
          <w:p w14:paraId="0A635955">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≤0.25</w:t>
            </w:r>
          </w:p>
        </w:tc>
        <w:tc>
          <w:tcPr>
            <w:tcW w:w="941" w:type="dxa"/>
            <w:vMerge w:val="restart"/>
            <w:vAlign w:val="center"/>
          </w:tcPr>
          <w:p w14:paraId="2066C9DA">
            <w:pPr>
              <w:pStyle w:val="16"/>
              <w:spacing w:before="31" w:after="31"/>
              <w:ind w:firstLine="0" w:firstLineChars="0"/>
              <w:jc w:val="center"/>
              <w:rPr>
                <w:rFonts w:cs="Times New Roman"/>
                <w:color w:val="000000"/>
                <w:kern w:val="0"/>
                <w:sz w:val="21"/>
                <w:szCs w:val="21"/>
              </w:rPr>
            </w:pPr>
          </w:p>
        </w:tc>
      </w:tr>
      <w:tr w14:paraId="6796BD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vAlign w:val="center"/>
          </w:tcPr>
          <w:p w14:paraId="049F81C4">
            <w:pPr>
              <w:pStyle w:val="16"/>
              <w:spacing w:before="31" w:after="31"/>
              <w:ind w:firstLine="0" w:firstLineChars="0"/>
              <w:jc w:val="center"/>
              <w:rPr>
                <w:rFonts w:cs="Times New Roman"/>
                <w:color w:val="000000"/>
                <w:kern w:val="0"/>
                <w:sz w:val="21"/>
                <w:szCs w:val="21"/>
              </w:rPr>
            </w:pPr>
            <w:r>
              <w:rPr>
                <w:rFonts w:hint="eastAsia" w:cs="Times New Roman"/>
                <w:color w:val="000000"/>
                <w:kern w:val="0"/>
                <w:sz w:val="21"/>
                <w:szCs w:val="21"/>
              </w:rPr>
              <w:t>Standard Value</w:t>
            </w:r>
          </w:p>
        </w:tc>
        <w:tc>
          <w:tcPr>
            <w:tcW w:w="992" w:type="dxa"/>
            <w:vAlign w:val="center"/>
          </w:tcPr>
          <w:p w14:paraId="7641FA8A">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~0.23</w:t>
            </w:r>
          </w:p>
        </w:tc>
        <w:tc>
          <w:tcPr>
            <w:tcW w:w="992" w:type="dxa"/>
            <w:vAlign w:val="center"/>
          </w:tcPr>
          <w:p w14:paraId="5C358521">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~0.37</w:t>
            </w:r>
          </w:p>
        </w:tc>
        <w:tc>
          <w:tcPr>
            <w:tcW w:w="992" w:type="dxa"/>
            <w:vAlign w:val="center"/>
          </w:tcPr>
          <w:p w14:paraId="0C412CB7">
            <w:pPr>
              <w:pStyle w:val="16"/>
              <w:spacing w:before="31" w:after="31"/>
              <w:ind w:firstLine="0" w:firstLineChars="0"/>
              <w:jc w:val="center"/>
              <w:rPr>
                <w:rFonts w:cs="Times New Roman"/>
                <w:color w:val="000000"/>
                <w:kern w:val="0"/>
                <w:sz w:val="21"/>
                <w:szCs w:val="21"/>
              </w:rPr>
            </w:pPr>
            <w:r>
              <w:rPr>
                <w:rFonts w:cs="Times New Roman"/>
                <w:color w:val="000000"/>
                <w:kern w:val="0"/>
                <w:sz w:val="21"/>
                <w:szCs w:val="21"/>
              </w:rPr>
              <w:t>~0.65</w:t>
            </w:r>
          </w:p>
        </w:tc>
        <w:tc>
          <w:tcPr>
            <w:tcW w:w="993" w:type="dxa"/>
            <w:vMerge w:val="continue"/>
            <w:vAlign w:val="center"/>
          </w:tcPr>
          <w:p w14:paraId="3B5D2745">
            <w:pPr>
              <w:pStyle w:val="16"/>
              <w:spacing w:before="31" w:after="31"/>
              <w:ind w:firstLine="0" w:firstLineChars="0"/>
              <w:jc w:val="center"/>
              <w:rPr>
                <w:rFonts w:cs="Times New Roman"/>
                <w:color w:val="000000"/>
                <w:kern w:val="0"/>
                <w:sz w:val="21"/>
                <w:szCs w:val="21"/>
              </w:rPr>
            </w:pPr>
          </w:p>
        </w:tc>
        <w:tc>
          <w:tcPr>
            <w:tcW w:w="995" w:type="dxa"/>
            <w:vMerge w:val="continue"/>
            <w:vAlign w:val="center"/>
          </w:tcPr>
          <w:p w14:paraId="7FB86425">
            <w:pPr>
              <w:pStyle w:val="16"/>
              <w:spacing w:before="31" w:after="31"/>
              <w:ind w:firstLine="0" w:firstLineChars="0"/>
              <w:jc w:val="center"/>
              <w:rPr>
                <w:rFonts w:cs="Times New Roman"/>
                <w:color w:val="000000"/>
                <w:kern w:val="0"/>
                <w:sz w:val="21"/>
                <w:szCs w:val="21"/>
              </w:rPr>
            </w:pPr>
          </w:p>
        </w:tc>
        <w:tc>
          <w:tcPr>
            <w:tcW w:w="1041" w:type="dxa"/>
            <w:vMerge w:val="continue"/>
            <w:vAlign w:val="center"/>
          </w:tcPr>
          <w:p w14:paraId="5FE6D6BA">
            <w:pPr>
              <w:pStyle w:val="16"/>
              <w:spacing w:before="31" w:after="31"/>
              <w:ind w:firstLine="0" w:firstLineChars="0"/>
              <w:jc w:val="center"/>
              <w:rPr>
                <w:rFonts w:cs="Times New Roman"/>
                <w:color w:val="000000"/>
                <w:kern w:val="0"/>
                <w:sz w:val="21"/>
                <w:szCs w:val="21"/>
              </w:rPr>
            </w:pPr>
          </w:p>
        </w:tc>
        <w:tc>
          <w:tcPr>
            <w:tcW w:w="941" w:type="dxa"/>
            <w:vMerge w:val="continue"/>
            <w:vAlign w:val="center"/>
          </w:tcPr>
          <w:p w14:paraId="35C87E01">
            <w:pPr>
              <w:pStyle w:val="16"/>
              <w:spacing w:before="31" w:after="31"/>
              <w:ind w:firstLine="0" w:firstLineChars="0"/>
              <w:jc w:val="center"/>
              <w:rPr>
                <w:rFonts w:cs="Times New Roman"/>
                <w:color w:val="000000"/>
                <w:kern w:val="0"/>
                <w:sz w:val="21"/>
                <w:szCs w:val="21"/>
              </w:rPr>
            </w:pPr>
          </w:p>
        </w:tc>
      </w:tr>
    </w:tbl>
    <w:p w14:paraId="1CEE39B2">
      <w:pPr>
        <w:pStyle w:val="16"/>
        <w:spacing w:before="31" w:after="31"/>
        <w:ind w:firstLine="480"/>
        <w:rPr>
          <w:szCs w:val="24"/>
        </w:rPr>
      </w:pPr>
      <w:r>
        <w:rPr>
          <w:rFonts w:hint="eastAsia"/>
          <w:szCs w:val="24"/>
        </w:rPr>
        <w:t>(c) Mechanical Properties</w:t>
      </w:r>
    </w:p>
    <w:p w14:paraId="7A282A7E">
      <w:pPr>
        <w:pStyle w:val="16"/>
        <w:spacing w:before="31" w:after="31"/>
        <w:ind w:firstLine="480"/>
        <w:rPr>
          <w:szCs w:val="24"/>
        </w:rPr>
      </w:pPr>
      <w:r>
        <w:rPr>
          <w:rFonts w:hint="eastAsia"/>
          <w:szCs w:val="24"/>
        </w:rPr>
        <w:t>The hardness values of the base metal on both sides of the crack in the weld are 170HV1.0, the hardness value of the flange base metal is 184HV1.0, and the hardness value in the weld zone is 220-250 HV1.0. The hardness on both sides of the gap is uniformly consistent.</w:t>
      </w:r>
    </w:p>
    <w:p w14:paraId="71F312E4">
      <w:pPr>
        <w:pStyle w:val="16"/>
        <w:spacing w:before="31" w:after="31"/>
        <w:ind w:firstLine="480"/>
        <w:rPr>
          <w:szCs w:val="24"/>
        </w:rPr>
      </w:pPr>
      <w:r>
        <w:rPr>
          <w:rFonts w:hint="eastAsia"/>
          <w:szCs w:val="24"/>
        </w:rPr>
        <w:t>(d) Microstructure</w:t>
      </w:r>
    </w:p>
    <w:p w14:paraId="15289D0E">
      <w:pPr>
        <w:pStyle w:val="16"/>
        <w:spacing w:before="31" w:after="31"/>
        <w:ind w:firstLine="480"/>
        <w:rPr>
          <w:szCs w:val="24"/>
        </w:rPr>
      </w:pPr>
      <w:r>
        <w:rPr>
          <w:rFonts w:hint="eastAsia"/>
          <w:szCs w:val="24"/>
        </w:rPr>
        <w:t>The base metal of the flange and connecting pipe has low inclusion content, with sulfides, oxides, and silicate inclusions classified as A1, B1, and C1. Both base metal structures are pearlite and ferrite, with grain sizes of 6 and 8, respectively, representing the balanced structure of low-carbon steel. The fusion zone exhibits acicular Widmanstätten ferrite and martensite. Figures 2-9.1 (a), (b), and (c) show the microstructures of the base metal of the connecting pipe, base metal of the flange, and the weld zone, respectively.</w:t>
      </w:r>
    </w:p>
    <w:p w14:paraId="61681B03">
      <w:pPr>
        <w:pStyle w:val="16"/>
        <w:spacing w:before="31" w:after="31"/>
        <w:ind w:firstLine="480"/>
        <w:rPr>
          <w:szCs w:val="24"/>
        </w:rPr>
      </w:pPr>
      <w:r>
        <w:rPr>
          <w:rFonts w:hint="eastAsia"/>
          <w:szCs w:val="24"/>
        </w:rPr>
        <w:t>(a) Connecting Pipe Base Metal   (b) Flange Base Metal   (c) Weld Zone</w:t>
      </w:r>
    </w:p>
    <w:p w14:paraId="71E12DC2">
      <w:pPr>
        <w:pStyle w:val="22"/>
        <w:spacing w:before="156" w:after="468"/>
        <w:rPr>
          <w:sz w:val="24"/>
        </w:rPr>
      </w:pPr>
      <w:r>
        <w:rPr>
          <w:rFonts w:hint="eastAsia" w:eastAsia="宋体"/>
          <w:color w:val="000000"/>
        </w:rPr>
        <w:t>Figure 2-9.1 Microstructures at Different Positions of the Specimen 500×</w:t>
      </w:r>
    </w:p>
    <w:p w14:paraId="66A56C5A">
      <w:pPr>
        <w:pStyle w:val="16"/>
        <w:spacing w:before="31" w:after="31"/>
        <w:ind w:firstLine="0" w:firstLineChars="0"/>
        <w:rPr>
          <w:szCs w:val="24"/>
        </w:rPr>
      </w:pPr>
      <w:r>
        <w:rPr>
          <w:rFonts w:hint="eastAsia"/>
          <w:szCs w:val="24"/>
        </w:rPr>
        <w:t>(5) Component Failure Morphology</w:t>
      </w:r>
    </w:p>
    <w:p w14:paraId="733AA2B7">
      <w:pPr>
        <w:pStyle w:val="16"/>
        <w:spacing w:before="31" w:after="31"/>
        <w:ind w:firstLine="480"/>
        <w:rPr>
          <w:szCs w:val="24"/>
        </w:rPr>
      </w:pPr>
      <w:r>
        <w:rPr>
          <w:rFonts w:hint="eastAsia"/>
          <w:szCs w:val="24"/>
        </w:rPr>
        <w:t>(a) Macroscopic Morphology</w:t>
      </w:r>
    </w:p>
    <w:p w14:paraId="2B814782">
      <w:pPr>
        <w:pStyle w:val="16"/>
        <w:spacing w:before="31" w:after="31"/>
        <w:ind w:firstLine="480"/>
        <w:rPr>
          <w:szCs w:val="24"/>
        </w:rPr>
      </w:pPr>
      <w:r>
        <w:rPr>
          <w:rFonts w:hint="eastAsia"/>
          <w:szCs w:val="24"/>
        </w:rPr>
        <w:t>The most severely leaking joint on the catalytic unit's steam pipeline, which led to the production shutdown, is shown in Figure 2-9.2. Due to prolonged exposure to leaking steam, the external surface of the failed joint has severe rusting, with a thick layer of oxide, making it difficult to directly observe external defects at the leak site.</w:t>
      </w:r>
    </w:p>
    <w:p w14:paraId="54218BD0">
      <w:pPr>
        <w:pStyle w:val="22"/>
        <w:spacing w:before="156" w:after="468"/>
        <w:rPr>
          <w:rFonts w:eastAsia="宋体"/>
          <w:color w:val="000000"/>
        </w:rPr>
      </w:pPr>
      <w:r>
        <w:rPr>
          <w:rFonts w:hint="eastAsia" w:eastAsia="宋体"/>
          <w:color w:val="000000"/>
        </w:rPr>
        <w:t>Figure 2-9.2 Tee Joint Morphology and Inspection Sites</w:t>
      </w:r>
    </w:p>
    <w:p w14:paraId="25FD9B08">
      <w:pPr>
        <w:pStyle w:val="16"/>
        <w:spacing w:before="31" w:after="31"/>
        <w:ind w:firstLine="480"/>
        <w:rPr>
          <w:szCs w:val="24"/>
        </w:rPr>
      </w:pPr>
      <w:r>
        <w:rPr>
          <w:rFonts w:hint="eastAsia"/>
          <w:szCs w:val="24"/>
        </w:rPr>
        <w:t>Steam leakage at the welds 1 and 2 (Figure 2-9.2): In the cross-section of the weld on specimen 1, there is a severe lack of penetration defect on the inner wall of the weld, as seen in Figure 2-9.3. Specimen 2's outer surface is smooth, but there is a significant crack and hole on the right side, as shown in Figure 2-9.4(a), with the arrow indicating the steam leakage outlet. There are linear cracks along the circumferential direction on the inner wall, as seen in Figure 2-9.4(b), with a crack width of 0.2-0.5 mm and a length reaching one-third of the entire interface circumference. This indicates that the circumferential cracks on the inner surface of the tee joint weld, causing steam leakage, are not cracks formed later but are lack-of-penetration defects formed during the connection of the connecting pipe and flange.</w:t>
      </w:r>
    </w:p>
    <w:p w14:paraId="378B77BA">
      <w:pPr>
        <w:pStyle w:val="22"/>
        <w:spacing w:before="156" w:after="468"/>
        <w:rPr>
          <w:rFonts w:eastAsia="宋体"/>
          <w:color w:val="000000"/>
        </w:rPr>
      </w:pPr>
      <w:r>
        <w:rPr>
          <w:rFonts w:hint="eastAsia" w:eastAsia="宋体"/>
          <w:color w:val="000000"/>
        </w:rPr>
        <w:t>Figure 2-9.3 1Cross-sectional Morphology of Weld on Specimen</w:t>
      </w:r>
    </w:p>
    <w:p w14:paraId="5EB0E939">
      <w:pPr>
        <w:pStyle w:val="16"/>
        <w:spacing w:before="31" w:after="31"/>
        <w:ind w:firstLine="0" w:firstLineChars="0"/>
        <w:jc w:val="center"/>
        <w:rPr>
          <w:rFonts w:cs="Times New Roman"/>
          <w:b/>
          <w:color w:val="000000"/>
          <w:sz w:val="21"/>
          <w:szCs w:val="24"/>
        </w:rPr>
      </w:pPr>
      <w:r>
        <w:rPr>
          <w:rFonts w:hint="eastAsia" w:cs="Times New Roman"/>
          <w:b/>
          <w:color w:val="000000"/>
          <w:sz w:val="21"/>
          <w:szCs w:val="24"/>
        </w:rPr>
        <w:t>(a) Outer Surface</w:t>
      </w:r>
    </w:p>
    <w:p w14:paraId="6D2934D2">
      <w:pPr>
        <w:pStyle w:val="16"/>
        <w:spacing w:before="31" w:after="31"/>
        <w:ind w:firstLine="0" w:firstLineChars="0"/>
        <w:jc w:val="center"/>
        <w:rPr>
          <w:szCs w:val="24"/>
        </w:rPr>
      </w:pPr>
      <w:r>
        <w:rPr>
          <w:rFonts w:hint="eastAsia" w:cs="Times New Roman"/>
          <w:b/>
          <w:color w:val="000000"/>
          <w:sz w:val="21"/>
          <w:szCs w:val="24"/>
        </w:rPr>
        <w:t>(b) Inner Surface</w:t>
      </w:r>
    </w:p>
    <w:p w14:paraId="60DC3B85">
      <w:pPr>
        <w:pStyle w:val="22"/>
        <w:spacing w:before="156" w:after="468"/>
        <w:rPr>
          <w:rFonts w:eastAsia="宋体"/>
          <w:color w:val="000000"/>
        </w:rPr>
      </w:pPr>
      <w:r>
        <w:rPr>
          <w:rFonts w:hint="eastAsia" w:eastAsia="宋体"/>
          <w:color w:val="000000"/>
        </w:rPr>
        <w:t>Figure 2-9.4 2Acid-Etched Morphology of Weld Surface on Specimen</w:t>
      </w:r>
    </w:p>
    <w:p w14:paraId="7BE4586C">
      <w:pPr>
        <w:pStyle w:val="16"/>
        <w:spacing w:before="31" w:after="31"/>
        <w:ind w:firstLine="480"/>
        <w:rPr>
          <w:szCs w:val="24"/>
        </w:rPr>
      </w:pPr>
      <w:r>
        <w:rPr>
          <w:rFonts w:hint="eastAsia"/>
          <w:szCs w:val="24"/>
        </w:rPr>
        <w:t>(b) Microscopic Morphology</w:t>
      </w:r>
    </w:p>
    <w:p w14:paraId="022111C9">
      <w:pPr>
        <w:pStyle w:val="16"/>
        <w:spacing w:before="31" w:after="31"/>
        <w:ind w:firstLine="480"/>
        <w:rPr>
          <w:szCs w:val="24"/>
        </w:rPr>
      </w:pPr>
      <w:r>
        <w:rPr>
          <w:rFonts w:hint="eastAsia"/>
          <w:szCs w:val="24"/>
        </w:rPr>
        <w:t>The micro-morphology of the broken flange side along the weld after bending the specimen 1 along the weld is shown in Figure 2-9.5. The machining marks on the flange interface (labeled A in Figure 2-9.5) are clearly visible, indicating that there was incomplete fusion, leading to a lack-of-penetration gap between the weld metal and the flange base metal. The fusion zone of the weld (labeled B in Figure 2-9.5) shows severe corrosion pits (labeled C in Figure 2-9.5), extending towards the outer wall, forming a corrosion pathway leading to the outer wall.</w:t>
      </w:r>
    </w:p>
    <w:p w14:paraId="49B40AE2">
      <w:pPr>
        <w:pStyle w:val="16"/>
        <w:spacing w:before="31" w:after="31"/>
        <w:ind w:firstLine="480"/>
        <w:rPr>
          <w:szCs w:val="24"/>
        </w:rPr>
      </w:pPr>
      <w:r>
        <w:rPr>
          <w:rFonts w:hint="eastAsia"/>
          <w:szCs w:val="24"/>
        </w:rPr>
        <w:t>The microscopic morphology of the bolt fracture surface, as shown in Figure 2-9.6, exhibits a typical granular appearance with clearly visible intergranular cracks, indicating a brittle fracture along the grain boundaries. In Figure 2-9.7, intergranular cracks filled with a large amount of corrosion products are clearly visible.</w:t>
      </w:r>
    </w:p>
    <w:p w14:paraId="2C58E0F9">
      <w:pPr>
        <w:pStyle w:val="22"/>
        <w:spacing w:before="156" w:after="468"/>
        <w:rPr>
          <w:rFonts w:eastAsia="宋体"/>
          <w:color w:val="000000"/>
        </w:rPr>
      </w:pPr>
      <w:r>
        <w:rPr>
          <w:rFonts w:hint="eastAsia" w:eastAsia="宋体"/>
          <w:color w:val="000000"/>
        </w:rPr>
        <w:t>Figure 2-9.5 Low-Magnification SEM Morphology of the Fractured Surface</w:t>
      </w:r>
    </w:p>
    <w:p w14:paraId="7D64DAE6">
      <w:pPr>
        <w:pStyle w:val="22"/>
        <w:spacing w:before="156" w:after="468"/>
        <w:rPr>
          <w:sz w:val="24"/>
        </w:rPr>
      </w:pPr>
      <w:r>
        <w:rPr>
          <w:rFonts w:hint="eastAsia"/>
          <w:sz w:val="24"/>
        </w:rPr>
        <w:t>Figure 2-9.6 SEM Image of the Bolt Fracture Surface</w:t>
      </w:r>
    </w:p>
    <w:p w14:paraId="162D897C">
      <w:pPr>
        <w:pStyle w:val="22"/>
        <w:spacing w:before="156" w:after="468"/>
        <w:rPr>
          <w:sz w:val="24"/>
        </w:rPr>
      </w:pPr>
      <w:r>
        <w:rPr>
          <w:rFonts w:hint="eastAsia"/>
          <w:sz w:val="24"/>
        </w:rPr>
        <w:t>Figure 2-9.7 SEM Image of Crack in the Fracture Zone</w:t>
      </w:r>
    </w:p>
    <w:p w14:paraId="6C001C48">
      <w:pPr>
        <w:pStyle w:val="16"/>
        <w:spacing w:before="31" w:after="31"/>
        <w:ind w:firstLine="480"/>
        <w:rPr>
          <w:szCs w:val="24"/>
        </w:rPr>
      </w:pPr>
      <w:r>
        <w:rPr>
          <w:rFonts w:hint="eastAsia"/>
          <w:szCs w:val="24"/>
        </w:rPr>
        <w:t>Within the weld, at the front end of the lack-of-penetration gap, there are severe corrosion cavities, corrosion grooves, and small branched corrosion cracks. Figure 2-9.8 shows a corrosion pit formed at the front end of the lack-of-penetration gap in specimen 1, with the pit filled with corrosion products. The pit bottom also has small stress corrosion cracks extending vertically towards the outer wall (indicated by arrows), with an enlarged view shown in Figure 2-9.9. Figure 2-9.10 displays the front end of the lack-of-penetration gap in specimen 2, where large corrosion cracks and corrosion grooves are formed at the two sharp corners and sides. These later-formed cracks also exhibit characteristics of gap corrosion.</w:t>
      </w:r>
    </w:p>
    <w:p w14:paraId="3D04959F">
      <w:pPr>
        <w:pStyle w:val="22"/>
        <w:spacing w:before="156" w:after="468"/>
        <w:rPr>
          <w:rFonts w:eastAsia="宋体"/>
          <w:color w:val="000000"/>
        </w:rPr>
      </w:pPr>
      <w:r>
        <w:rPr>
          <w:rFonts w:hint="eastAsia" w:eastAsia="宋体"/>
          <w:color w:val="000000"/>
        </w:rPr>
        <w:t>Figure 2-9.8 1Morphology at the Front End of the Lack-of-Penetration Gap on Specimen  50×</w:t>
      </w:r>
    </w:p>
    <w:p w14:paraId="5D9C68AD">
      <w:pPr>
        <w:pStyle w:val="22"/>
        <w:spacing w:before="156" w:after="468"/>
        <w:rPr>
          <w:rFonts w:eastAsia="宋体"/>
          <w:color w:val="000000"/>
        </w:rPr>
      </w:pPr>
      <w:r>
        <w:rPr>
          <w:rFonts w:hint="eastAsia" w:eastAsia="宋体"/>
          <w:color w:val="000000"/>
        </w:rPr>
        <w:t>Figure 2-9.9 Enlarged Morphology of Stress Corrosion Cracks 480×</w:t>
      </w:r>
    </w:p>
    <w:p w14:paraId="4F0AD000">
      <w:pPr>
        <w:pStyle w:val="22"/>
        <w:spacing w:before="156" w:after="468"/>
        <w:rPr>
          <w:sz w:val="24"/>
        </w:rPr>
      </w:pPr>
      <w:r>
        <w:rPr>
          <w:rFonts w:hint="eastAsia" w:eastAsia="宋体"/>
          <w:color w:val="000000"/>
        </w:rPr>
        <w:t>Figure 2-9.10 Slit front morphology of sample No. 2 is 44×</w:t>
      </w:r>
    </w:p>
    <w:p w14:paraId="6CDA620B">
      <w:pPr>
        <w:pStyle w:val="16"/>
        <w:spacing w:before="31" w:after="31"/>
        <w:ind w:firstLine="0" w:firstLineChars="0"/>
        <w:rPr>
          <w:szCs w:val="24"/>
        </w:rPr>
      </w:pPr>
      <w:r>
        <w:rPr>
          <w:rFonts w:hint="eastAsia"/>
          <w:szCs w:val="24"/>
        </w:rPr>
        <w:t>(6) Analysis of Failure Causes</w:t>
      </w:r>
    </w:p>
    <w:p w14:paraId="10F03C3B">
      <w:pPr>
        <w:pStyle w:val="16"/>
        <w:spacing w:before="31" w:after="31"/>
        <w:ind w:firstLine="480"/>
        <w:rPr>
          <w:szCs w:val="24"/>
        </w:rPr>
      </w:pPr>
      <w:r>
        <w:rPr>
          <w:rFonts w:hint="eastAsia"/>
          <w:szCs w:val="24"/>
        </w:rPr>
        <w:t>The gaps, corrosion, and stress corrosion cracks and fractures formed at the front end of the lack-of-penetration gap are the only channels causing steam leakage inside the tee joint. During the installation of the catalytic unit's steam pipeline, due to improper welding procedures, incomplete penetration annular gaps were left on the inner wall of the tee joint, where the flange and connecting pipe were joined. After the equipment was put into operation, these incomplete penetration gaps were exposed to a high-temperature and high-pressure steam environment for a long time. When steam penetrated the top corner of the incomplete penetration gap, the temperature of the steam dropped below the dew point due to the heat exchange between the inner and outer walls of the pipe, resulting in the condensation of a liquid medium containing trace amounts of oxygen, hydrogen atoms, and trace corrosion elements. This liquid medium soaked the entire original gap. Due to the small size of the gap, the oxygen in the liquid within the gap was quickly depleted, and external replenishment was difficult. This led to the formation of an oxygen concentration cell with the metal outside the gap, creating a concentration cell potential difference, causing corrosion at the front end of the gap. Simultaneously, due to welding, large welding stresses were generated in the weld zone, and these stresses, along with corrosive condensate containing water, existed together in the incomplete penetration gap and the corrosion cavity in the weld zone. Stress corrosion cracks were easily formed at the sharp corners and corrosion groove bottoms at higher temperatures. The gap corrosion and stress corrosion cracks continuously expanded under the long-term effects of the corrosive medium and stress until penetrating the entire pipe wall, creating a pathway for steam leakage.</w:t>
      </w:r>
    </w:p>
    <w:p w14:paraId="6B435D33">
      <w:pPr>
        <w:pStyle w:val="16"/>
        <w:spacing w:before="31" w:after="31"/>
        <w:ind w:firstLine="480"/>
        <w:rPr>
          <w:szCs w:val="24"/>
        </w:rPr>
      </w:pPr>
    </w:p>
    <w:p w14:paraId="125B6F75">
      <w:pPr>
        <w:pStyle w:val="16"/>
        <w:spacing w:before="31" w:after="31"/>
        <w:ind w:firstLine="0" w:firstLineChars="0"/>
        <w:rPr>
          <w:szCs w:val="24"/>
        </w:rPr>
      </w:pPr>
      <w:r>
        <w:rPr>
          <w:rFonts w:hint="eastAsia"/>
          <w:szCs w:val="24"/>
        </w:rPr>
        <w:t>(7) Impact and Harm Caused</w:t>
      </w:r>
    </w:p>
    <w:p w14:paraId="58CF8DC8">
      <w:pPr>
        <w:pStyle w:val="16"/>
        <w:spacing w:before="31" w:after="31"/>
        <w:ind w:firstLine="480"/>
        <w:rPr>
          <w:szCs w:val="24"/>
        </w:rPr>
      </w:pPr>
      <w:r>
        <w:rPr>
          <w:rFonts w:hint="eastAsia"/>
          <w:szCs w:val="24"/>
        </w:rPr>
        <w:t>The leakage of the tee joints caused a production shutdown, posing a safety hazard to the equipment.</w:t>
      </w:r>
    </w:p>
    <w:p w14:paraId="2D7F06ED">
      <w:pPr>
        <w:pStyle w:val="16"/>
        <w:spacing w:before="31" w:after="31"/>
        <w:ind w:firstLine="480"/>
        <w:rPr>
          <w:szCs w:val="24"/>
        </w:rPr>
      </w:pPr>
    </w:p>
    <w:p w14:paraId="7D3980B2">
      <w:pPr>
        <w:pStyle w:val="16"/>
        <w:spacing w:before="31" w:after="31"/>
        <w:ind w:firstLine="0" w:firstLineChars="0"/>
        <w:rPr>
          <w:szCs w:val="24"/>
        </w:rPr>
      </w:pPr>
      <w:r>
        <w:rPr>
          <w:rFonts w:hint="eastAsia"/>
          <w:szCs w:val="24"/>
        </w:rPr>
        <w:t>(8) Conclusion and Improvement Measures</w:t>
      </w:r>
    </w:p>
    <w:p w14:paraId="220B1B43">
      <w:pPr>
        <w:pStyle w:val="16"/>
        <w:spacing w:before="31" w:after="31"/>
        <w:ind w:firstLine="480"/>
        <w:rPr>
          <w:szCs w:val="24"/>
        </w:rPr>
      </w:pPr>
      <w:r>
        <w:rPr>
          <w:rFonts w:hint="eastAsia"/>
          <w:szCs w:val="24"/>
        </w:rPr>
        <w:t>(a) Conclusion</w:t>
      </w:r>
    </w:p>
    <w:p w14:paraId="1F2190B7">
      <w:pPr>
        <w:pStyle w:val="16"/>
        <w:spacing w:before="31" w:after="31"/>
        <w:ind w:firstLine="480"/>
        <w:rPr>
          <w:szCs w:val="24"/>
        </w:rPr>
      </w:pPr>
      <w:r>
        <w:rPr>
          <w:rFonts w:hint="eastAsia"/>
          <w:szCs w:val="24"/>
        </w:rPr>
        <w:t>The steam leakage in the catalytic unit's steam pipeline occurred due to improper welding operations on the tee joints, leaving incomplete penetration gaps. Under the long-term influence of water vapor inside the pipe and welding stress, corrosion occurred at the front end of the gap, leading to perforation in the weld zone and causing high-pressure steam leakage. Re-welding the already leaked welds did not help prevent the continued expansion of existing cracks.</w:t>
      </w:r>
    </w:p>
    <w:p w14:paraId="65B978DF">
      <w:pPr>
        <w:pStyle w:val="16"/>
        <w:spacing w:before="31" w:after="31"/>
        <w:ind w:firstLine="480"/>
        <w:rPr>
          <w:szCs w:val="24"/>
        </w:rPr>
      </w:pPr>
      <w:r>
        <w:rPr>
          <w:rFonts w:hint="eastAsia"/>
          <w:szCs w:val="24"/>
        </w:rPr>
        <w:t>(b) Improvement Measures</w:t>
      </w:r>
    </w:p>
    <w:p w14:paraId="175EEC4A">
      <w:pPr>
        <w:pStyle w:val="16"/>
        <w:spacing w:before="31" w:after="31"/>
        <w:ind w:firstLine="480"/>
        <w:rPr>
          <w:szCs w:val="24"/>
        </w:rPr>
      </w:pPr>
      <w:r>
        <w:rPr>
          <w:rFonts w:hint="eastAsia"/>
          <w:szCs w:val="24"/>
        </w:rPr>
        <w:t>Ensure complete penetration of the welds in tee joints during welding to guarantee welding quality. After welding, use a micro-grinder to flatten the inner weld bead, ensuring a smooth weld to reduce the conditions for crack initiation.</w:t>
      </w:r>
    </w:p>
    <w:p w14:paraId="2F9B8E3A">
      <w:pPr>
        <w:pStyle w:val="16"/>
        <w:spacing w:before="31" w:after="31"/>
        <w:ind w:firstLine="480"/>
        <w:rPr>
          <w:szCs w:val="24"/>
        </w:rPr>
      </w:pPr>
    </w:p>
    <w:p w14:paraId="7DAC1B83">
      <w:pPr>
        <w:pStyle w:val="16"/>
        <w:spacing w:before="31" w:after="31"/>
        <w:ind w:firstLine="480"/>
        <w:rPr>
          <w:szCs w:val="24"/>
        </w:rPr>
      </w:pPr>
    </w:p>
    <w:p w14:paraId="4EA865A1">
      <w:pPr>
        <w:pStyle w:val="21"/>
        <w:numPr>
          <w:ilvl w:val="2"/>
          <w:numId w:val="0"/>
        </w:numPr>
        <w:rPr>
          <w:rFonts w:eastAsia="宋体"/>
          <w:color w:val="000000"/>
        </w:rPr>
      </w:pPr>
      <w:r>
        <w:rPr>
          <w:rFonts w:hint="eastAsia" w:eastAsia="宋体"/>
          <w:color w:val="000000"/>
        </w:rPr>
        <w:t>2.2.10 Case 2-10 Cracking of Ammonia Storage Tank in Paraffin Forming Unit</w:t>
      </w:r>
    </w:p>
    <w:p w14:paraId="2D4FA0D7">
      <w:pPr>
        <w:pStyle w:val="16"/>
        <w:spacing w:before="31" w:after="31"/>
        <w:ind w:firstLine="0" w:firstLineChars="0"/>
        <w:rPr>
          <w:szCs w:val="24"/>
        </w:rPr>
      </w:pPr>
      <w:r>
        <w:rPr>
          <w:rFonts w:hint="eastAsia"/>
          <w:szCs w:val="24"/>
        </w:rPr>
        <w:t>(1) Case Name</w:t>
      </w:r>
    </w:p>
    <w:p w14:paraId="62DA194B">
      <w:pPr>
        <w:pStyle w:val="16"/>
        <w:spacing w:before="31" w:after="31"/>
        <w:ind w:firstLine="480"/>
        <w:rPr>
          <w:szCs w:val="24"/>
        </w:rPr>
      </w:pPr>
      <w:r>
        <w:rPr>
          <w:rFonts w:hint="eastAsia"/>
          <w:szCs w:val="24"/>
        </w:rPr>
        <w:t>Cracking of ammonia storage tank in the paraffin forming unit [19].</w:t>
      </w:r>
    </w:p>
    <w:p w14:paraId="64092D22">
      <w:pPr>
        <w:pStyle w:val="16"/>
        <w:spacing w:before="31" w:after="31"/>
        <w:ind w:firstLine="0" w:firstLineChars="0"/>
        <w:rPr>
          <w:szCs w:val="24"/>
        </w:rPr>
      </w:pPr>
    </w:p>
    <w:p w14:paraId="4F1557DA">
      <w:pPr>
        <w:pStyle w:val="16"/>
        <w:spacing w:before="31" w:after="31"/>
        <w:ind w:firstLine="0" w:firstLineChars="0"/>
        <w:rPr>
          <w:szCs w:val="24"/>
        </w:rPr>
      </w:pPr>
      <w:r>
        <w:rPr>
          <w:rFonts w:hint="eastAsia"/>
          <w:szCs w:val="24"/>
        </w:rPr>
        <w:t>(2) Failure Process Description</w:t>
      </w:r>
    </w:p>
    <w:p w14:paraId="00D8329F">
      <w:pPr>
        <w:pStyle w:val="16"/>
        <w:spacing w:before="31" w:after="31"/>
        <w:ind w:firstLine="480"/>
        <w:rPr>
          <w:szCs w:val="24"/>
        </w:rPr>
      </w:pPr>
      <w:r>
        <w:rPr>
          <w:rFonts w:hint="eastAsia"/>
          <w:szCs w:val="24"/>
        </w:rPr>
        <w:t>During an inspection in 2006, numerous cracks were discovered on the inner surface of the lower part of the V3 ammonia storage tank in the paraffin forming unit at Shanghai Gaoqiao Petrochemical Company. These cracks were observed in both the welds and the heat-affected zone (HAZ), as well as in the base metal, including both longitudinal and transverse cracks.</w:t>
      </w:r>
    </w:p>
    <w:p w14:paraId="011AAADF">
      <w:pPr>
        <w:pStyle w:val="16"/>
        <w:spacing w:before="31" w:after="31"/>
        <w:ind w:firstLine="0" w:firstLineChars="0"/>
        <w:rPr>
          <w:szCs w:val="24"/>
        </w:rPr>
      </w:pPr>
    </w:p>
    <w:p w14:paraId="7719EDD3">
      <w:pPr>
        <w:pStyle w:val="16"/>
        <w:spacing w:before="31" w:after="31"/>
        <w:ind w:firstLine="0" w:firstLineChars="0"/>
        <w:rPr>
          <w:szCs w:val="24"/>
        </w:rPr>
      </w:pPr>
      <w:r>
        <w:rPr>
          <w:rFonts w:hint="eastAsia"/>
          <w:szCs w:val="24"/>
        </w:rPr>
        <w:t>(3) Service Environment</w:t>
      </w:r>
    </w:p>
    <w:p w14:paraId="38C5A190">
      <w:pPr>
        <w:pStyle w:val="16"/>
        <w:spacing w:before="31" w:after="31"/>
        <w:ind w:firstLine="480"/>
        <w:rPr>
          <w:szCs w:val="24"/>
        </w:rPr>
      </w:pPr>
      <w:r>
        <w:rPr>
          <w:rFonts w:hint="eastAsia"/>
          <w:szCs w:val="24"/>
        </w:rPr>
        <w:t>The working pressure of the storage tank is 1.56 MPa, the operating temperature is room temperature, and the tank contains liquid ammonia.</w:t>
      </w:r>
    </w:p>
    <w:p w14:paraId="10D3DDD1">
      <w:pPr>
        <w:pStyle w:val="16"/>
        <w:spacing w:before="31" w:after="31"/>
        <w:ind w:firstLine="480"/>
        <w:rPr>
          <w:szCs w:val="24"/>
        </w:rPr>
      </w:pPr>
    </w:p>
    <w:p w14:paraId="2AF15FDD">
      <w:pPr>
        <w:pStyle w:val="16"/>
        <w:spacing w:before="31" w:after="31"/>
        <w:ind w:firstLine="0" w:firstLineChars="0"/>
        <w:rPr>
          <w:szCs w:val="24"/>
        </w:rPr>
      </w:pPr>
      <w:r>
        <w:rPr>
          <w:rFonts w:hint="eastAsia"/>
          <w:szCs w:val="24"/>
        </w:rPr>
        <w:t>(4) Failed Component and Material</w:t>
      </w:r>
    </w:p>
    <w:p w14:paraId="08F758F6">
      <w:pPr>
        <w:pStyle w:val="16"/>
        <w:spacing w:before="31" w:after="31"/>
        <w:ind w:firstLine="480"/>
        <w:rPr>
          <w:szCs w:val="24"/>
        </w:rPr>
      </w:pPr>
      <w:r>
        <w:rPr>
          <w:rFonts w:hint="eastAsia"/>
          <w:szCs w:val="24"/>
        </w:rPr>
        <w:t>The tank was designed by Shanghai Gaoqiao Petrochemical Design Institute in 1992, manufactured by Shanghai Pudong Chemical Machinery Factory in 1993, and put into operation in May 1993. The main information includes:</w:t>
      </w:r>
    </w:p>
    <w:p w14:paraId="141C8746">
      <w:pPr>
        <w:pStyle w:val="16"/>
        <w:spacing w:before="31" w:after="31"/>
        <w:ind w:firstLine="480"/>
        <w:rPr>
          <w:szCs w:val="24"/>
        </w:rPr>
      </w:pPr>
      <w:r>
        <w:rPr>
          <w:rFonts w:hint="eastAsia"/>
          <w:szCs w:val="24"/>
        </w:rPr>
        <w:t>(a) Material and Dimensions</w:t>
      </w:r>
    </w:p>
    <w:p w14:paraId="257E3ADC">
      <w:pPr>
        <w:pStyle w:val="16"/>
        <w:spacing w:before="31" w:after="31"/>
        <w:ind w:firstLine="480"/>
        <w:rPr>
          <w:szCs w:val="24"/>
        </w:rPr>
      </w:pPr>
      <w:r>
        <w:rPr>
          <w:rFonts w:hint="eastAsia"/>
          <w:szCs w:val="24"/>
        </w:rPr>
        <w:t>The main material of the storage tank is 16MnR, which belongs to ordinary low-alloy high-strength steel. The specifications are Φ2200×18×5858mm, with a capacity of 20.2m3. It underwent 100% radiographic testing during manufacturing and did not undergo integral heat treatment.</w:t>
      </w:r>
    </w:p>
    <w:p w14:paraId="76A4C6C3">
      <w:pPr>
        <w:pStyle w:val="16"/>
        <w:spacing w:before="31" w:after="31"/>
        <w:ind w:firstLine="480"/>
        <w:rPr>
          <w:szCs w:val="24"/>
        </w:rPr>
      </w:pPr>
      <w:r>
        <w:rPr>
          <w:rFonts w:hint="eastAsia"/>
          <w:szCs w:val="24"/>
        </w:rPr>
        <w:t>(b) Chemical Composition</w:t>
      </w:r>
    </w:p>
    <w:p w14:paraId="2A6A1390">
      <w:pPr>
        <w:pStyle w:val="16"/>
        <w:spacing w:before="31" w:after="31"/>
        <w:ind w:firstLine="480"/>
        <w:rPr>
          <w:szCs w:val="24"/>
        </w:rPr>
      </w:pPr>
      <w:r>
        <w:rPr>
          <w:rFonts w:hint="eastAsia"/>
          <w:szCs w:val="24"/>
        </w:rPr>
        <w:t>The chemical composition of the tank steel plate specimen is shown in Table 2-9. The chemical composition generally complies with the requirements of standard GB6654. The tank material belongs to special steel for pressure vessels, with a yield strength of 340MPa and excellent comprehensive properties, low-temperature impact toughness, low sensitivity to aging, and good weldability.</w:t>
      </w:r>
    </w:p>
    <w:p w14:paraId="427D445E">
      <w:pPr>
        <w:pStyle w:val="16"/>
        <w:spacing w:before="468" w:beforeLines="150" w:after="156" w:afterLines="50"/>
        <w:ind w:firstLine="0" w:firstLineChars="0"/>
        <w:jc w:val="center"/>
        <w:rPr>
          <w:rFonts w:cs="Times New Roman"/>
          <w:b/>
          <w:color w:val="000000"/>
          <w:sz w:val="21"/>
          <w:szCs w:val="21"/>
        </w:rPr>
      </w:pPr>
      <w:r>
        <w:rPr>
          <w:rFonts w:hint="eastAsia" w:cs="Times New Roman"/>
          <w:b/>
          <w:color w:val="000000"/>
          <w:sz w:val="21"/>
          <w:szCs w:val="21"/>
        </w:rPr>
        <w:t>Table 2-9 Chemical Composition of Tank Steel Plate (wt%)</w:t>
      </w:r>
    </w:p>
    <w:tbl>
      <w:tblPr>
        <w:tblStyle w:val="9"/>
        <w:tblW w:w="0" w:type="auto"/>
        <w:tblInd w:w="0" w:type="dxa"/>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1668"/>
        <w:gridCol w:w="1297"/>
        <w:gridCol w:w="1297"/>
        <w:gridCol w:w="1297"/>
        <w:gridCol w:w="1297"/>
        <w:gridCol w:w="1297"/>
      </w:tblGrid>
      <w:tr w14:paraId="2047E3D5">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668" w:type="dxa"/>
            <w:tcBorders>
              <w:bottom w:val="single" w:color="auto" w:sz="12" w:space="0"/>
            </w:tcBorders>
            <w:vAlign w:val="center"/>
          </w:tcPr>
          <w:p w14:paraId="5AB4A7CF">
            <w:pPr>
              <w:pStyle w:val="16"/>
              <w:spacing w:before="31" w:after="31"/>
              <w:ind w:firstLine="0" w:firstLineChars="0"/>
              <w:jc w:val="center"/>
              <w:rPr>
                <w:rFonts w:cs="Times New Roman"/>
                <w:color w:val="000000"/>
                <w:sz w:val="21"/>
                <w:szCs w:val="21"/>
              </w:rPr>
            </w:pPr>
            <w:r>
              <w:rPr>
                <w:rFonts w:cs="Times New Roman"/>
                <w:color w:val="000000"/>
                <w:sz w:val="21"/>
                <w:szCs w:val="21"/>
              </w:rPr>
              <w:t>16MnR</w:t>
            </w:r>
          </w:p>
        </w:tc>
        <w:tc>
          <w:tcPr>
            <w:tcW w:w="1297" w:type="dxa"/>
            <w:tcBorders>
              <w:bottom w:val="single" w:color="auto" w:sz="12" w:space="0"/>
            </w:tcBorders>
            <w:vAlign w:val="center"/>
          </w:tcPr>
          <w:p w14:paraId="5F968BFC">
            <w:pPr>
              <w:pStyle w:val="16"/>
              <w:spacing w:before="31" w:after="31"/>
              <w:ind w:firstLine="0" w:firstLineChars="0"/>
              <w:jc w:val="center"/>
              <w:rPr>
                <w:rFonts w:cs="Times New Roman"/>
                <w:color w:val="000000"/>
                <w:sz w:val="21"/>
                <w:szCs w:val="21"/>
              </w:rPr>
            </w:pPr>
            <w:r>
              <w:rPr>
                <w:rFonts w:cs="Times New Roman"/>
                <w:color w:val="000000"/>
                <w:sz w:val="21"/>
                <w:szCs w:val="21"/>
              </w:rPr>
              <w:t>C</w:t>
            </w:r>
          </w:p>
        </w:tc>
        <w:tc>
          <w:tcPr>
            <w:tcW w:w="1297" w:type="dxa"/>
            <w:tcBorders>
              <w:bottom w:val="single" w:color="auto" w:sz="12" w:space="0"/>
            </w:tcBorders>
            <w:vAlign w:val="center"/>
          </w:tcPr>
          <w:p w14:paraId="2D852FF2">
            <w:pPr>
              <w:pStyle w:val="16"/>
              <w:spacing w:before="31" w:after="31"/>
              <w:ind w:firstLine="0" w:firstLineChars="0"/>
              <w:jc w:val="center"/>
              <w:rPr>
                <w:rFonts w:cs="Times New Roman"/>
                <w:color w:val="000000"/>
                <w:sz w:val="21"/>
                <w:szCs w:val="21"/>
              </w:rPr>
            </w:pPr>
            <w:r>
              <w:rPr>
                <w:rFonts w:cs="Times New Roman"/>
                <w:color w:val="000000"/>
                <w:sz w:val="21"/>
                <w:szCs w:val="21"/>
              </w:rPr>
              <w:t>Mn</w:t>
            </w:r>
          </w:p>
        </w:tc>
        <w:tc>
          <w:tcPr>
            <w:tcW w:w="1297" w:type="dxa"/>
            <w:tcBorders>
              <w:bottom w:val="single" w:color="auto" w:sz="12" w:space="0"/>
            </w:tcBorders>
            <w:vAlign w:val="center"/>
          </w:tcPr>
          <w:p w14:paraId="698D11E1">
            <w:pPr>
              <w:pStyle w:val="16"/>
              <w:spacing w:before="31" w:after="31"/>
              <w:ind w:firstLine="0" w:firstLineChars="0"/>
              <w:jc w:val="center"/>
              <w:rPr>
                <w:rFonts w:cs="Times New Roman"/>
                <w:color w:val="000000"/>
                <w:sz w:val="21"/>
                <w:szCs w:val="21"/>
              </w:rPr>
            </w:pPr>
            <w:r>
              <w:rPr>
                <w:rFonts w:cs="Times New Roman"/>
                <w:color w:val="000000"/>
                <w:sz w:val="21"/>
                <w:szCs w:val="21"/>
              </w:rPr>
              <w:t>Si</w:t>
            </w:r>
          </w:p>
        </w:tc>
        <w:tc>
          <w:tcPr>
            <w:tcW w:w="1297" w:type="dxa"/>
            <w:tcBorders>
              <w:bottom w:val="single" w:color="auto" w:sz="12" w:space="0"/>
            </w:tcBorders>
            <w:vAlign w:val="center"/>
          </w:tcPr>
          <w:p w14:paraId="63F3E311">
            <w:pPr>
              <w:pStyle w:val="16"/>
              <w:spacing w:before="31" w:after="31"/>
              <w:ind w:firstLine="0" w:firstLineChars="0"/>
              <w:jc w:val="center"/>
              <w:rPr>
                <w:rFonts w:cs="Times New Roman"/>
                <w:color w:val="000000"/>
                <w:sz w:val="21"/>
                <w:szCs w:val="21"/>
              </w:rPr>
            </w:pPr>
            <w:r>
              <w:rPr>
                <w:rFonts w:cs="Times New Roman"/>
                <w:color w:val="000000"/>
                <w:sz w:val="21"/>
                <w:szCs w:val="21"/>
              </w:rPr>
              <w:t>S</w:t>
            </w:r>
          </w:p>
        </w:tc>
        <w:tc>
          <w:tcPr>
            <w:tcW w:w="1297" w:type="dxa"/>
            <w:tcBorders>
              <w:bottom w:val="single" w:color="auto" w:sz="12" w:space="0"/>
            </w:tcBorders>
            <w:vAlign w:val="center"/>
          </w:tcPr>
          <w:p w14:paraId="1E5AE675">
            <w:pPr>
              <w:pStyle w:val="16"/>
              <w:spacing w:before="31" w:after="31"/>
              <w:ind w:firstLine="0" w:firstLineChars="0"/>
              <w:jc w:val="center"/>
              <w:rPr>
                <w:rFonts w:cs="Times New Roman"/>
                <w:color w:val="000000"/>
                <w:sz w:val="21"/>
                <w:szCs w:val="21"/>
              </w:rPr>
            </w:pPr>
            <w:r>
              <w:rPr>
                <w:rFonts w:cs="Times New Roman"/>
                <w:color w:val="000000"/>
                <w:sz w:val="21"/>
                <w:szCs w:val="21"/>
              </w:rPr>
              <w:t>P</w:t>
            </w:r>
          </w:p>
        </w:tc>
      </w:tr>
      <w:tr w14:paraId="78642D7D">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668" w:type="dxa"/>
            <w:tcBorders>
              <w:bottom w:val="nil"/>
            </w:tcBorders>
            <w:vAlign w:val="center"/>
          </w:tcPr>
          <w:p w14:paraId="00FC273E">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 xml:space="preserve">Standard </w:t>
            </w:r>
            <w:r>
              <w:rPr>
                <w:rFonts w:cs="Times New Roman"/>
                <w:color w:val="000000"/>
                <w:sz w:val="21"/>
                <w:szCs w:val="21"/>
              </w:rPr>
              <w:t>GB6654</w:t>
            </w:r>
          </w:p>
        </w:tc>
        <w:tc>
          <w:tcPr>
            <w:tcW w:w="1297" w:type="dxa"/>
            <w:tcBorders>
              <w:bottom w:val="nil"/>
            </w:tcBorders>
            <w:vAlign w:val="center"/>
          </w:tcPr>
          <w:p w14:paraId="647A263A">
            <w:pPr>
              <w:pStyle w:val="16"/>
              <w:spacing w:before="31" w:after="31"/>
              <w:ind w:firstLine="0" w:firstLineChars="0"/>
              <w:jc w:val="center"/>
              <w:rPr>
                <w:rFonts w:cs="Times New Roman"/>
                <w:color w:val="000000"/>
                <w:sz w:val="21"/>
                <w:szCs w:val="21"/>
              </w:rPr>
            </w:pPr>
            <w:r>
              <w:rPr>
                <w:rFonts w:cs="Times New Roman"/>
                <w:color w:val="000000"/>
                <w:sz w:val="21"/>
                <w:szCs w:val="21"/>
              </w:rPr>
              <w:t>≤0.20</w:t>
            </w:r>
          </w:p>
        </w:tc>
        <w:tc>
          <w:tcPr>
            <w:tcW w:w="1297" w:type="dxa"/>
            <w:tcBorders>
              <w:bottom w:val="nil"/>
            </w:tcBorders>
            <w:vAlign w:val="center"/>
          </w:tcPr>
          <w:p w14:paraId="3D195B75">
            <w:pPr>
              <w:pStyle w:val="16"/>
              <w:spacing w:before="31" w:after="31"/>
              <w:ind w:firstLine="0" w:firstLineChars="0"/>
              <w:jc w:val="center"/>
              <w:rPr>
                <w:rFonts w:cs="Times New Roman"/>
                <w:color w:val="000000"/>
                <w:sz w:val="21"/>
                <w:szCs w:val="21"/>
              </w:rPr>
            </w:pPr>
            <w:r>
              <w:rPr>
                <w:rFonts w:cs="Times New Roman"/>
                <w:color w:val="000000"/>
                <w:sz w:val="21"/>
                <w:szCs w:val="21"/>
              </w:rPr>
              <w:t>1.20~1.60</w:t>
            </w:r>
          </w:p>
        </w:tc>
        <w:tc>
          <w:tcPr>
            <w:tcW w:w="1297" w:type="dxa"/>
            <w:tcBorders>
              <w:bottom w:val="nil"/>
            </w:tcBorders>
            <w:vAlign w:val="center"/>
          </w:tcPr>
          <w:p w14:paraId="10D67B63">
            <w:pPr>
              <w:pStyle w:val="16"/>
              <w:spacing w:before="31" w:after="31"/>
              <w:ind w:firstLine="0" w:firstLineChars="0"/>
              <w:jc w:val="center"/>
              <w:rPr>
                <w:rFonts w:cs="Times New Roman"/>
                <w:color w:val="000000"/>
                <w:sz w:val="21"/>
                <w:szCs w:val="21"/>
              </w:rPr>
            </w:pPr>
            <w:r>
              <w:rPr>
                <w:rFonts w:cs="Times New Roman"/>
                <w:color w:val="000000"/>
                <w:sz w:val="21"/>
                <w:szCs w:val="21"/>
              </w:rPr>
              <w:t>0.20~0.55</w:t>
            </w:r>
          </w:p>
        </w:tc>
        <w:tc>
          <w:tcPr>
            <w:tcW w:w="1297" w:type="dxa"/>
            <w:tcBorders>
              <w:bottom w:val="nil"/>
            </w:tcBorders>
            <w:vAlign w:val="center"/>
          </w:tcPr>
          <w:p w14:paraId="0F483D50">
            <w:pPr>
              <w:pStyle w:val="16"/>
              <w:spacing w:before="31" w:after="31"/>
              <w:ind w:firstLine="0" w:firstLineChars="0"/>
              <w:jc w:val="center"/>
              <w:rPr>
                <w:rFonts w:cs="Times New Roman"/>
                <w:color w:val="000000"/>
                <w:sz w:val="21"/>
                <w:szCs w:val="21"/>
              </w:rPr>
            </w:pPr>
            <w:r>
              <w:rPr>
                <w:rFonts w:cs="Times New Roman"/>
                <w:color w:val="000000"/>
                <w:sz w:val="21"/>
                <w:szCs w:val="21"/>
              </w:rPr>
              <w:t>≤0.020</w:t>
            </w:r>
          </w:p>
        </w:tc>
        <w:tc>
          <w:tcPr>
            <w:tcW w:w="1297" w:type="dxa"/>
            <w:tcBorders>
              <w:bottom w:val="nil"/>
            </w:tcBorders>
            <w:vAlign w:val="center"/>
          </w:tcPr>
          <w:p w14:paraId="6164F051">
            <w:pPr>
              <w:pStyle w:val="16"/>
              <w:spacing w:before="31" w:after="31"/>
              <w:ind w:firstLine="0" w:firstLineChars="0"/>
              <w:jc w:val="center"/>
              <w:rPr>
                <w:rFonts w:cs="Times New Roman"/>
                <w:color w:val="000000"/>
                <w:sz w:val="21"/>
                <w:szCs w:val="21"/>
              </w:rPr>
            </w:pPr>
            <w:r>
              <w:rPr>
                <w:rFonts w:cs="Times New Roman"/>
                <w:color w:val="000000"/>
                <w:sz w:val="21"/>
                <w:szCs w:val="21"/>
              </w:rPr>
              <w:t>≤0.030</w:t>
            </w:r>
          </w:p>
        </w:tc>
      </w:tr>
      <w:tr w14:paraId="41FB938D">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668" w:type="dxa"/>
            <w:tcBorders>
              <w:top w:val="nil"/>
            </w:tcBorders>
            <w:vAlign w:val="center"/>
          </w:tcPr>
          <w:p w14:paraId="3631FAFD">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Measured Value</w:t>
            </w:r>
          </w:p>
        </w:tc>
        <w:tc>
          <w:tcPr>
            <w:tcW w:w="1297" w:type="dxa"/>
            <w:tcBorders>
              <w:top w:val="nil"/>
            </w:tcBorders>
            <w:vAlign w:val="center"/>
          </w:tcPr>
          <w:p w14:paraId="36768903">
            <w:pPr>
              <w:pStyle w:val="16"/>
              <w:spacing w:before="31" w:after="31"/>
              <w:ind w:firstLine="0" w:firstLineChars="0"/>
              <w:jc w:val="center"/>
              <w:rPr>
                <w:rFonts w:cs="Times New Roman"/>
                <w:color w:val="000000"/>
                <w:sz w:val="21"/>
                <w:szCs w:val="21"/>
              </w:rPr>
            </w:pPr>
            <w:r>
              <w:rPr>
                <w:rFonts w:cs="Times New Roman"/>
                <w:color w:val="000000"/>
                <w:sz w:val="21"/>
                <w:szCs w:val="21"/>
              </w:rPr>
              <w:t>0.18</w:t>
            </w:r>
          </w:p>
        </w:tc>
        <w:tc>
          <w:tcPr>
            <w:tcW w:w="1297" w:type="dxa"/>
            <w:tcBorders>
              <w:top w:val="nil"/>
            </w:tcBorders>
            <w:vAlign w:val="center"/>
          </w:tcPr>
          <w:p w14:paraId="7C730E67">
            <w:pPr>
              <w:pStyle w:val="16"/>
              <w:spacing w:before="31" w:after="31"/>
              <w:ind w:firstLine="0" w:firstLineChars="0"/>
              <w:jc w:val="center"/>
              <w:rPr>
                <w:rFonts w:cs="Times New Roman"/>
                <w:color w:val="000000"/>
                <w:sz w:val="21"/>
                <w:szCs w:val="21"/>
              </w:rPr>
            </w:pPr>
            <w:r>
              <w:rPr>
                <w:rFonts w:cs="Times New Roman"/>
                <w:color w:val="000000"/>
                <w:sz w:val="21"/>
                <w:szCs w:val="21"/>
              </w:rPr>
              <w:t>1.51</w:t>
            </w:r>
          </w:p>
        </w:tc>
        <w:tc>
          <w:tcPr>
            <w:tcW w:w="1297" w:type="dxa"/>
            <w:tcBorders>
              <w:top w:val="nil"/>
            </w:tcBorders>
            <w:vAlign w:val="center"/>
          </w:tcPr>
          <w:p w14:paraId="64FC8F36">
            <w:pPr>
              <w:pStyle w:val="16"/>
              <w:spacing w:before="31" w:after="31"/>
              <w:ind w:firstLine="0" w:firstLineChars="0"/>
              <w:jc w:val="center"/>
              <w:rPr>
                <w:rFonts w:cs="Times New Roman"/>
                <w:color w:val="000000"/>
                <w:sz w:val="21"/>
                <w:szCs w:val="21"/>
              </w:rPr>
            </w:pPr>
            <w:r>
              <w:rPr>
                <w:rFonts w:cs="Times New Roman"/>
                <w:color w:val="000000"/>
                <w:sz w:val="21"/>
                <w:szCs w:val="21"/>
              </w:rPr>
              <w:t>0.38</w:t>
            </w:r>
          </w:p>
        </w:tc>
        <w:tc>
          <w:tcPr>
            <w:tcW w:w="1297" w:type="dxa"/>
            <w:tcBorders>
              <w:top w:val="nil"/>
            </w:tcBorders>
            <w:vAlign w:val="center"/>
          </w:tcPr>
          <w:p w14:paraId="480EE5F4">
            <w:pPr>
              <w:pStyle w:val="16"/>
              <w:spacing w:before="31" w:after="31"/>
              <w:ind w:firstLine="0" w:firstLineChars="0"/>
              <w:jc w:val="center"/>
              <w:rPr>
                <w:rFonts w:cs="Times New Roman"/>
                <w:color w:val="000000"/>
                <w:sz w:val="21"/>
                <w:szCs w:val="21"/>
              </w:rPr>
            </w:pPr>
            <w:r>
              <w:rPr>
                <w:rFonts w:cs="Times New Roman"/>
                <w:color w:val="000000"/>
                <w:sz w:val="21"/>
                <w:szCs w:val="21"/>
              </w:rPr>
              <w:t>0.008</w:t>
            </w:r>
          </w:p>
        </w:tc>
        <w:tc>
          <w:tcPr>
            <w:tcW w:w="1297" w:type="dxa"/>
            <w:tcBorders>
              <w:top w:val="nil"/>
            </w:tcBorders>
            <w:vAlign w:val="center"/>
          </w:tcPr>
          <w:p w14:paraId="7E98AB96">
            <w:pPr>
              <w:pStyle w:val="16"/>
              <w:spacing w:before="31" w:after="31"/>
              <w:ind w:firstLine="0" w:firstLineChars="0"/>
              <w:jc w:val="center"/>
              <w:rPr>
                <w:rFonts w:cs="Times New Roman"/>
                <w:color w:val="000000"/>
                <w:sz w:val="21"/>
                <w:szCs w:val="21"/>
              </w:rPr>
            </w:pPr>
            <w:r>
              <w:rPr>
                <w:rFonts w:cs="Times New Roman"/>
                <w:color w:val="000000"/>
                <w:sz w:val="21"/>
                <w:szCs w:val="21"/>
              </w:rPr>
              <w:t>0.019</w:t>
            </w:r>
          </w:p>
        </w:tc>
      </w:tr>
    </w:tbl>
    <w:p w14:paraId="6B585E03">
      <w:pPr>
        <w:pStyle w:val="16"/>
        <w:spacing w:before="31" w:after="31"/>
        <w:ind w:firstLine="480"/>
        <w:rPr>
          <w:szCs w:val="24"/>
        </w:rPr>
      </w:pPr>
      <w:r>
        <w:rPr>
          <w:rFonts w:hint="eastAsia"/>
          <w:szCs w:val="24"/>
        </w:rPr>
        <w:t>(c) Microstructure</w:t>
      </w:r>
    </w:p>
    <w:p w14:paraId="381B9878">
      <w:pPr>
        <w:pStyle w:val="16"/>
        <w:spacing w:before="31" w:after="31"/>
        <w:ind w:firstLine="480"/>
        <w:rPr>
          <w:szCs w:val="24"/>
        </w:rPr>
      </w:pPr>
      <w:r>
        <w:rPr>
          <w:rFonts w:hint="eastAsia"/>
          <w:szCs w:val="24"/>
        </w:rPr>
        <w:t>The microstructure of the base metal consists of ferrite and pearlite, while the weld zone exhibits coarsely crystallized ferrite, acicular ferrite, and bainite. The microstructure of the tank body's base metal, weld, and HAZ is generally normal, representing the original manufacturing conditions. The weld zone contains some bainite, leading to elevated hardness.</w:t>
      </w:r>
    </w:p>
    <w:p w14:paraId="15B50558">
      <w:pPr>
        <w:pStyle w:val="16"/>
        <w:spacing w:before="31" w:after="31"/>
        <w:ind w:firstLine="480"/>
        <w:rPr>
          <w:szCs w:val="24"/>
        </w:rPr>
      </w:pPr>
    </w:p>
    <w:p w14:paraId="5C9ABAF6">
      <w:pPr>
        <w:pStyle w:val="16"/>
        <w:spacing w:before="31" w:after="31"/>
        <w:ind w:firstLine="0" w:firstLineChars="0"/>
        <w:rPr>
          <w:szCs w:val="24"/>
        </w:rPr>
      </w:pPr>
      <w:r>
        <w:rPr>
          <w:rFonts w:hint="eastAsia"/>
          <w:szCs w:val="24"/>
        </w:rPr>
        <w:t>(5) Component Failure Morphology</w:t>
      </w:r>
    </w:p>
    <w:p w14:paraId="37035FD6">
      <w:pPr>
        <w:pStyle w:val="16"/>
        <w:spacing w:before="31" w:after="31"/>
        <w:ind w:firstLine="480"/>
        <w:rPr>
          <w:szCs w:val="24"/>
        </w:rPr>
      </w:pPr>
      <w:r>
        <w:rPr>
          <w:rFonts w:hint="eastAsia"/>
          <w:szCs w:val="24"/>
        </w:rPr>
        <w:t>(a) Macroscopic Morphology</w:t>
      </w:r>
    </w:p>
    <w:p w14:paraId="178060DF">
      <w:pPr>
        <w:pStyle w:val="16"/>
        <w:spacing w:before="31" w:after="31"/>
        <w:ind w:firstLine="480"/>
        <w:rPr>
          <w:szCs w:val="24"/>
        </w:rPr>
      </w:pPr>
      <w:r>
        <w:rPr>
          <w:rFonts w:hint="eastAsia"/>
          <w:szCs w:val="24"/>
        </w:rPr>
        <w:t>Numerous fine cracks and defects were found in the welds, HAZ, and base metal of the tank body, as shown in Figure 2-10.1. Most cracks originated from the welds and propagated towards the base metal, with the majority being transverse cracks. The cracks were concentrated in the lower part of the tank's inner surface, particularly near the butt welds and HAZ in direct contact with the medium. The appearance of the cracks shared common features with stress corrosion-induced crack morphology. Stress corrosion cracks in the liquid ammonia storage tank manifest as fine cracks in the weld zone on the inner surface, with most cracks perpendicular to the weld, i.e., transverse cracks. The cracks are located on the weld bead and extend towards both sides of the base metal. Therefore, the initial determination is that the cracks on the inner surface of the tank are stress corrosion cracks.</w:t>
      </w:r>
    </w:p>
    <w:p w14:paraId="3124AEDF">
      <w:pPr>
        <w:pStyle w:val="22"/>
        <w:spacing w:before="156" w:after="468"/>
        <w:rPr>
          <w:sz w:val="24"/>
        </w:rPr>
      </w:pPr>
      <w:r>
        <w:rPr>
          <w:rFonts w:hint="eastAsia" w:eastAsia="宋体"/>
          <w:color w:val="000000"/>
        </w:rPr>
        <w:t>Figure 2-10.1 Macroscopic Inspection of the Specimen</w:t>
      </w:r>
    </w:p>
    <w:p w14:paraId="67557767">
      <w:pPr>
        <w:pStyle w:val="16"/>
        <w:spacing w:before="31" w:after="31"/>
        <w:ind w:firstLine="480"/>
        <w:rPr>
          <w:szCs w:val="24"/>
        </w:rPr>
      </w:pPr>
      <w:r>
        <w:rPr>
          <w:rFonts w:hint="eastAsia"/>
          <w:szCs w:val="24"/>
        </w:rPr>
        <w:t>(b) Microscopic Morphology</w:t>
      </w:r>
    </w:p>
    <w:p w14:paraId="54D294D1">
      <w:pPr>
        <w:pStyle w:val="16"/>
        <w:spacing w:before="31" w:after="31"/>
        <w:ind w:firstLine="480"/>
        <w:rPr>
          <w:szCs w:val="24"/>
        </w:rPr>
      </w:pPr>
      <w:r>
        <w:rPr>
          <w:rFonts w:hint="eastAsia"/>
          <w:szCs w:val="24"/>
        </w:rPr>
        <w:t>The microscopic morphology of the cracks and the base metal is shown in Figure 2-10.2 and 2-10.3. The cracks initiate from the inner surface of the weld and gradually extend towards the outer wall, exhibiting a branching pattern. The cracks deepen longitudinally along the weld from the inside out, while also extending laterally from the weld towards the adjacent base metal. The crack tips are slender and exhibit branching, with the tail end of the crack extending along the grain boundaries. These features are consistent with the characteristics of stress corrosion cracking.</w:t>
      </w:r>
    </w:p>
    <w:p w14:paraId="04CA8889">
      <w:pPr>
        <w:pStyle w:val="22"/>
        <w:spacing w:before="156" w:after="468"/>
        <w:rPr>
          <w:sz w:val="24"/>
        </w:rPr>
      </w:pPr>
      <w:r>
        <w:rPr>
          <w:rFonts w:hint="eastAsia" w:eastAsia="宋体"/>
          <w:color w:val="000000"/>
        </w:rPr>
        <w:t>Figure 2-10.2 Inner Surface Crack      Figure 2-10.3 Localized Inner Surface Crack</w:t>
      </w:r>
    </w:p>
    <w:p w14:paraId="68E49DB3">
      <w:pPr>
        <w:pStyle w:val="16"/>
        <w:spacing w:before="31" w:after="31"/>
        <w:ind w:firstLine="0" w:firstLineChars="0"/>
        <w:rPr>
          <w:szCs w:val="24"/>
        </w:rPr>
      </w:pPr>
      <w:r>
        <w:rPr>
          <w:rFonts w:hint="eastAsia"/>
          <w:szCs w:val="24"/>
        </w:rPr>
        <w:t>(6) Analysis of Failure Causes</w:t>
      </w:r>
    </w:p>
    <w:p w14:paraId="2582C321">
      <w:pPr>
        <w:pStyle w:val="16"/>
        <w:spacing w:before="31" w:after="31"/>
        <w:ind w:firstLine="480"/>
        <w:rPr>
          <w:szCs w:val="24"/>
        </w:rPr>
      </w:pPr>
      <w:r>
        <w:rPr>
          <w:rFonts w:hint="eastAsia"/>
          <w:szCs w:val="24"/>
        </w:rPr>
        <w:t>(a) The microstructure of the tank's base metal, weld, and HAZ is generally normal. However, low-alloy steel 16MnR exhibits sensitivity to stress corrosion in an environment containing liquid ammonia.</w:t>
      </w:r>
    </w:p>
    <w:p w14:paraId="2484A06E">
      <w:pPr>
        <w:pStyle w:val="16"/>
        <w:spacing w:before="31" w:after="31"/>
        <w:ind w:firstLine="480"/>
        <w:rPr>
          <w:szCs w:val="24"/>
        </w:rPr>
      </w:pPr>
      <w:r>
        <w:rPr>
          <w:rFonts w:hint="eastAsia"/>
          <w:szCs w:val="24"/>
        </w:rPr>
        <w:t>(b) Due to stress concentration and residual welding stresses caused by the welded structure, along with the formation of over-tempered coarse-grained regions in the metallographic structure, the fusion line is the most sensitive area for stress corrosion cracking in the equipment.</w:t>
      </w:r>
    </w:p>
    <w:p w14:paraId="0F0B74D4">
      <w:pPr>
        <w:pStyle w:val="16"/>
        <w:spacing w:before="31" w:after="31"/>
        <w:ind w:firstLine="480"/>
        <w:rPr>
          <w:szCs w:val="24"/>
        </w:rPr>
      </w:pPr>
      <w:r>
        <w:rPr>
          <w:rFonts w:hint="eastAsia"/>
          <w:szCs w:val="24"/>
        </w:rPr>
        <w:t>(c) Analysis of the crack morphology reveals that the cracks on the inner surface of the storage tank mostly originate from the fusion line of the weld, are transverse in orientation, exhibit branching during propagation, and have typical characteristics of stress corrosion cracking.</w:t>
      </w:r>
    </w:p>
    <w:p w14:paraId="458DACD3">
      <w:pPr>
        <w:pStyle w:val="16"/>
        <w:spacing w:before="31" w:after="31"/>
        <w:ind w:firstLine="480"/>
        <w:rPr>
          <w:szCs w:val="24"/>
        </w:rPr>
      </w:pPr>
    </w:p>
    <w:p w14:paraId="672C0340">
      <w:pPr>
        <w:pStyle w:val="16"/>
        <w:spacing w:before="31" w:after="31"/>
        <w:ind w:firstLine="0" w:firstLineChars="0"/>
        <w:rPr>
          <w:szCs w:val="24"/>
        </w:rPr>
      </w:pPr>
      <w:r>
        <w:rPr>
          <w:rFonts w:hint="eastAsia"/>
          <w:szCs w:val="24"/>
        </w:rPr>
        <w:t>(7) Impact and Harm Caused</w:t>
      </w:r>
    </w:p>
    <w:p w14:paraId="1E859DF8">
      <w:pPr>
        <w:pStyle w:val="16"/>
        <w:spacing w:before="31" w:after="31"/>
        <w:ind w:firstLine="420" w:firstLineChars="0"/>
        <w:rPr>
          <w:szCs w:val="24"/>
        </w:rPr>
      </w:pPr>
      <w:r>
        <w:rPr>
          <w:rFonts w:hint="eastAsia"/>
          <w:szCs w:val="24"/>
        </w:rPr>
        <w:t>Null</w:t>
      </w:r>
    </w:p>
    <w:p w14:paraId="070A0645">
      <w:pPr>
        <w:pStyle w:val="16"/>
        <w:spacing w:before="31" w:after="31"/>
        <w:ind w:firstLine="0" w:firstLineChars="0"/>
        <w:rPr>
          <w:szCs w:val="24"/>
        </w:rPr>
      </w:pPr>
    </w:p>
    <w:p w14:paraId="269F2A02">
      <w:pPr>
        <w:pStyle w:val="16"/>
        <w:spacing w:before="31" w:after="31"/>
        <w:ind w:firstLine="0" w:firstLineChars="0"/>
        <w:rPr>
          <w:szCs w:val="24"/>
        </w:rPr>
      </w:pPr>
      <w:r>
        <w:rPr>
          <w:rFonts w:hint="eastAsia"/>
          <w:szCs w:val="24"/>
        </w:rPr>
        <w:t>(8) Conclusion and Improvement Measures</w:t>
      </w:r>
    </w:p>
    <w:p w14:paraId="431B5742">
      <w:pPr>
        <w:pStyle w:val="16"/>
        <w:spacing w:before="31" w:after="31"/>
        <w:ind w:firstLine="480"/>
        <w:rPr>
          <w:szCs w:val="24"/>
        </w:rPr>
      </w:pPr>
      <w:r>
        <w:rPr>
          <w:rFonts w:hint="eastAsia"/>
          <w:szCs w:val="24"/>
        </w:rPr>
        <w:t>(a) For ammonia containers, in addition to designing and manufacturing according to general pressure vessel specifications and standards, special attention should be paid to selecting appropriate materials. According to HG20581-1998 "Regulations for the Selection of Materials for Steel Chemical Containers," the yield strength of materials used in chemical containers exposed to a liquid ammonia stress corrosion environment should be less than or equal to 355MPa.</w:t>
      </w:r>
    </w:p>
    <w:p w14:paraId="0AEF523A">
      <w:pPr>
        <w:pStyle w:val="16"/>
        <w:spacing w:before="31" w:after="31"/>
        <w:ind w:firstLine="480"/>
        <w:rPr>
          <w:szCs w:val="24"/>
        </w:rPr>
      </w:pPr>
      <w:r>
        <w:rPr>
          <w:rFonts w:hint="eastAsia"/>
          <w:szCs w:val="24"/>
        </w:rPr>
        <w:t>(b) During welding, strict process measures and lower welding heat input should be used. The material should be in a normalized or normalized + tempered, annealed, or quenched and tempered state. Post-weld heat treatment to eliminate stress should be conducted promptly.</w:t>
      </w:r>
    </w:p>
    <w:p w14:paraId="1A3226FB">
      <w:pPr>
        <w:pStyle w:val="16"/>
        <w:spacing w:before="31" w:after="31"/>
        <w:ind w:firstLine="480"/>
        <w:rPr>
          <w:szCs w:val="24"/>
        </w:rPr>
      </w:pPr>
      <w:r>
        <w:rPr>
          <w:rFonts w:hint="eastAsia"/>
          <w:szCs w:val="24"/>
        </w:rPr>
        <w:t>(c) During filling operations, air pollution should be avoided as much as possible. If permitted by the process, a small amount (above 0.2%) of water can be added to the liquid ammonia as a corrosion inhibitor to reduce the impact of oxygen.</w:t>
      </w:r>
    </w:p>
    <w:p w14:paraId="110E2F99">
      <w:pPr>
        <w:pStyle w:val="16"/>
        <w:spacing w:before="31" w:after="31"/>
        <w:ind w:firstLine="480"/>
        <w:rPr>
          <w:szCs w:val="24"/>
        </w:rPr>
      </w:pPr>
    </w:p>
    <w:p w14:paraId="6844ADD6">
      <w:pPr>
        <w:pStyle w:val="21"/>
        <w:numPr>
          <w:ilvl w:val="2"/>
          <w:numId w:val="0"/>
        </w:numPr>
        <w:rPr>
          <w:rFonts w:eastAsia="宋体"/>
        </w:rPr>
      </w:pPr>
      <w:r>
        <w:rPr>
          <w:rFonts w:hint="eastAsia" w:eastAsia="宋体"/>
        </w:rPr>
        <w:t>2.2.11 Case 2-11 Cracking of Plates in Crude Methanol Removable Plate Condenser</w:t>
      </w:r>
    </w:p>
    <w:p w14:paraId="2DCDDFDB">
      <w:pPr>
        <w:pStyle w:val="16"/>
        <w:spacing w:before="31" w:after="31"/>
        <w:ind w:firstLine="0" w:firstLineChars="0"/>
        <w:rPr>
          <w:szCs w:val="24"/>
        </w:rPr>
      </w:pPr>
      <w:r>
        <w:rPr>
          <w:rFonts w:hint="eastAsia"/>
          <w:szCs w:val="24"/>
        </w:rPr>
        <w:t>(1) Case Name</w:t>
      </w:r>
    </w:p>
    <w:p w14:paraId="4E11AABA">
      <w:pPr>
        <w:pStyle w:val="16"/>
        <w:spacing w:before="31" w:after="31"/>
        <w:ind w:firstLine="480"/>
        <w:rPr>
          <w:szCs w:val="24"/>
        </w:rPr>
      </w:pPr>
      <w:r>
        <w:rPr>
          <w:rFonts w:hint="eastAsia"/>
          <w:szCs w:val="24"/>
        </w:rPr>
        <w:t>Cracking of plates in crude methanol removable plate condenser [20].</w:t>
      </w:r>
    </w:p>
    <w:p w14:paraId="16CF7711">
      <w:pPr>
        <w:pStyle w:val="16"/>
        <w:spacing w:before="31" w:after="31"/>
        <w:ind w:firstLine="0" w:firstLineChars="0"/>
        <w:rPr>
          <w:szCs w:val="24"/>
        </w:rPr>
      </w:pPr>
    </w:p>
    <w:p w14:paraId="30178452">
      <w:pPr>
        <w:pStyle w:val="16"/>
        <w:spacing w:before="31" w:after="31"/>
        <w:ind w:firstLine="0" w:firstLineChars="0"/>
        <w:rPr>
          <w:szCs w:val="24"/>
        </w:rPr>
      </w:pPr>
      <w:r>
        <w:rPr>
          <w:rFonts w:hint="eastAsia"/>
          <w:szCs w:val="24"/>
        </w:rPr>
        <w:t>(2) Failure Process Description</w:t>
      </w:r>
    </w:p>
    <w:p w14:paraId="113BF9A9">
      <w:pPr>
        <w:pStyle w:val="16"/>
        <w:spacing w:before="31" w:after="31"/>
        <w:ind w:firstLine="480"/>
        <w:rPr>
          <w:szCs w:val="24"/>
        </w:rPr>
      </w:pPr>
      <w:r>
        <w:rPr>
          <w:rFonts w:hint="eastAsia"/>
          <w:szCs w:val="24"/>
        </w:rPr>
        <w:t>A BR0.55M model removable plate condenser in operation for a short period experienced leakage. Upon inspection, numerous cracks were found on the plates in the second inlet seal groove, with a majority of them penetrating through.</w:t>
      </w:r>
    </w:p>
    <w:p w14:paraId="44E580E4">
      <w:pPr>
        <w:pStyle w:val="16"/>
        <w:spacing w:before="31" w:after="31"/>
        <w:ind w:firstLine="480"/>
        <w:rPr>
          <w:szCs w:val="24"/>
        </w:rPr>
      </w:pPr>
    </w:p>
    <w:p w14:paraId="338E8305">
      <w:pPr>
        <w:pStyle w:val="16"/>
        <w:spacing w:before="31" w:after="31"/>
        <w:ind w:firstLine="0" w:firstLineChars="0"/>
        <w:rPr>
          <w:szCs w:val="24"/>
        </w:rPr>
      </w:pPr>
      <w:r>
        <w:rPr>
          <w:rFonts w:hint="eastAsia"/>
          <w:szCs w:val="24"/>
        </w:rPr>
        <w:t>(3) Service Environment</w:t>
      </w:r>
    </w:p>
    <w:p w14:paraId="7D4528A2">
      <w:pPr>
        <w:pStyle w:val="16"/>
        <w:spacing w:before="31" w:after="31"/>
        <w:ind w:firstLine="480"/>
        <w:rPr>
          <w:szCs w:val="24"/>
        </w:rPr>
      </w:pPr>
      <w:r>
        <w:rPr>
          <w:rFonts w:hint="eastAsia"/>
          <w:szCs w:val="24"/>
        </w:rPr>
        <w:t>The hot side of the plate condenser operates at atmospheric pressure, with an inlet working temperature of 65°C and an outlet working temperature not exceeding 38°C. The working medium consists of a mixture of 99% methanol, a small amount of water, a small amount of HCl, and a small amount of H2S. The cold side has an inlet working pressure of 0.25-0.3 MPa, an outlet working pressure of 0.1 MPa, an inlet working temperature of 28-34°C, an outlet working temperature of 32-36°C, and the working medium is circulating water.</w:t>
      </w:r>
    </w:p>
    <w:p w14:paraId="6134DC8A">
      <w:pPr>
        <w:pStyle w:val="16"/>
        <w:spacing w:before="31" w:after="31"/>
        <w:ind w:firstLine="480"/>
        <w:rPr>
          <w:szCs w:val="24"/>
        </w:rPr>
      </w:pPr>
    </w:p>
    <w:p w14:paraId="43FD868E">
      <w:pPr>
        <w:pStyle w:val="16"/>
        <w:spacing w:before="31" w:after="31"/>
        <w:ind w:firstLine="0" w:firstLineChars="0"/>
        <w:rPr>
          <w:szCs w:val="24"/>
        </w:rPr>
      </w:pPr>
      <w:r>
        <w:rPr>
          <w:rFonts w:hint="eastAsia"/>
          <w:szCs w:val="24"/>
        </w:rPr>
        <w:t>(4) Failed Component and Material</w:t>
      </w:r>
    </w:p>
    <w:p w14:paraId="701FC90E">
      <w:pPr>
        <w:pStyle w:val="16"/>
        <w:spacing w:before="31" w:after="31"/>
        <w:ind w:firstLine="480"/>
        <w:rPr>
          <w:szCs w:val="24"/>
        </w:rPr>
      </w:pPr>
      <w:r>
        <w:rPr>
          <w:rFonts w:hint="eastAsia"/>
          <w:szCs w:val="24"/>
        </w:rPr>
        <w:t>The heat exchanger has a heat exchange area of 100m2, and the plate material is TA1.</w:t>
      </w:r>
    </w:p>
    <w:p w14:paraId="0E710544">
      <w:pPr>
        <w:pStyle w:val="16"/>
        <w:spacing w:before="31" w:after="31"/>
        <w:ind w:firstLine="480"/>
        <w:rPr>
          <w:szCs w:val="24"/>
        </w:rPr>
      </w:pPr>
    </w:p>
    <w:p w14:paraId="20E3B9D4">
      <w:pPr>
        <w:pStyle w:val="16"/>
        <w:spacing w:before="31" w:after="31"/>
        <w:ind w:firstLine="0" w:firstLineChars="0"/>
        <w:rPr>
          <w:szCs w:val="24"/>
        </w:rPr>
      </w:pPr>
      <w:r>
        <w:rPr>
          <w:rFonts w:hint="eastAsia"/>
          <w:szCs w:val="24"/>
        </w:rPr>
        <w:t>(5) Component Failure Morphology</w:t>
      </w:r>
    </w:p>
    <w:p w14:paraId="5B5CAF5D">
      <w:pPr>
        <w:pStyle w:val="16"/>
        <w:spacing w:before="31" w:after="31"/>
        <w:ind w:firstLine="480"/>
        <w:rPr>
          <w:szCs w:val="24"/>
        </w:rPr>
      </w:pPr>
      <w:r>
        <w:rPr>
          <w:rFonts w:hint="eastAsia"/>
          <w:szCs w:val="24"/>
        </w:rPr>
        <w:t>(a) Microscopic Morphology</w:t>
      </w:r>
    </w:p>
    <w:p w14:paraId="0DC06937">
      <w:pPr>
        <w:pStyle w:val="16"/>
        <w:spacing w:before="31" w:after="31"/>
        <w:ind w:firstLine="480"/>
        <w:rPr>
          <w:szCs w:val="24"/>
        </w:rPr>
      </w:pPr>
      <w:r>
        <w:rPr>
          <w:rFonts w:hint="eastAsia"/>
          <w:szCs w:val="24"/>
        </w:rPr>
        <w:t>Corrosion pits, approximately 0.5mm deep, were observed on the side of the plates near the methanol flow channel where cracking occurred, as shown in Figure 2-11.1. The cracked section's structure consists of martensite α' phase and α phase, as depicted in Figure 2-11.2. Cracking in the condenser plates occurred at the surface corrosion pits of the material flow channel on the plates. Cracks originated at the bottom of the pits and extended in different directions, exhibiting transgranular expansion. In the early stages of crack propagation, local grain detachment was observed on the plate surface in the crack area, as seen in Figure 2-11.3. Cracks also developed within the plate core structure, forming at grain boundaries and extending along them on multiple planes. The predominant crack propagation mode was along-grain, as shown in Figure 2-11.4.</w:t>
      </w:r>
    </w:p>
    <w:p w14:paraId="3FD4E421">
      <w:pPr>
        <w:pStyle w:val="22"/>
        <w:spacing w:before="156" w:after="468"/>
        <w:rPr>
          <w:rFonts w:eastAsia="宋体"/>
        </w:rPr>
      </w:pPr>
      <w:r>
        <w:rPr>
          <w:rFonts w:hint="eastAsia" w:eastAsia="宋体"/>
        </w:rPr>
        <w:t>Figure 2-11.1 Corrosion Pits on the Cracked Plate (200×)</w:t>
      </w:r>
    </w:p>
    <w:p w14:paraId="7D31A350">
      <w:pPr>
        <w:pStyle w:val="22"/>
        <w:spacing w:before="156" w:after="468"/>
        <w:rPr>
          <w:rFonts w:eastAsia="宋体"/>
        </w:rPr>
      </w:pPr>
      <w:r>
        <w:rPr>
          <w:rFonts w:hint="eastAsia" w:eastAsia="宋体"/>
        </w:rPr>
        <w:t>Figure 2-11.2 Martensitic Phase in the Cracked Section</w:t>
      </w:r>
    </w:p>
    <w:p w14:paraId="339C2DF8">
      <w:pPr>
        <w:pStyle w:val="22"/>
        <w:spacing w:before="156" w:after="468"/>
        <w:rPr>
          <w:rFonts w:eastAsia="宋体"/>
        </w:rPr>
      </w:pPr>
      <w:r>
        <w:rPr>
          <w:rFonts w:hint="eastAsia" w:eastAsia="宋体"/>
        </w:rPr>
        <w:t>Figure 2-11.3 Cracking Characteristics along the Plate Surface</w:t>
      </w:r>
    </w:p>
    <w:p w14:paraId="4F5286BC">
      <w:pPr>
        <w:pStyle w:val="22"/>
        <w:spacing w:before="156" w:after="468"/>
        <w:rPr>
          <w:sz w:val="24"/>
        </w:rPr>
      </w:pPr>
      <w:r>
        <w:rPr>
          <w:rFonts w:hint="eastAsia" w:eastAsia="宋体"/>
        </w:rPr>
        <w:t>Figure 2-11.4 Internal Cracks in the Plate (200×)</w:t>
      </w:r>
    </w:p>
    <w:p w14:paraId="2C07C8F8">
      <w:pPr>
        <w:pStyle w:val="16"/>
        <w:spacing w:before="31" w:after="31"/>
        <w:ind w:firstLine="480"/>
        <w:rPr>
          <w:szCs w:val="24"/>
        </w:rPr>
      </w:pPr>
      <w:r>
        <w:rPr>
          <w:rFonts w:hint="eastAsia"/>
          <w:szCs w:val="24"/>
        </w:rPr>
        <w:t>(b) Fracture Surface Morphology</w:t>
      </w:r>
    </w:p>
    <w:p w14:paraId="41B5906F">
      <w:pPr>
        <w:pStyle w:val="16"/>
        <w:spacing w:before="31" w:after="31"/>
        <w:ind w:firstLine="480"/>
        <w:rPr>
          <w:szCs w:val="24"/>
        </w:rPr>
      </w:pPr>
      <w:r>
        <w:rPr>
          <w:rFonts w:hint="eastAsia"/>
          <w:szCs w:val="24"/>
        </w:rPr>
        <w:t>The fractured condenser plate displayed a rough and uneven surface, with localized detachment of the base material. On the methanol flow channel side, there were numerous pits, corrosion holes, and microcracks. Needle-shaped corrosion products deposited at the bottom of the pits on the methanol flow channel side, causing grain detachment in the pit, as shown in Figure 2-11.5. Cracks initiated within the corrosion pits on the plate's methanol flow channel side and propagated inward. Secondary microcracks accompanied crack extension, and the cracks exhibited along-grain characteristics, as seen in Figure 2-11.6.</w:t>
      </w:r>
    </w:p>
    <w:p w14:paraId="68C730A7">
      <w:pPr>
        <w:pStyle w:val="22"/>
        <w:spacing w:before="156" w:after="468"/>
      </w:pPr>
      <w:r>
        <w:rPr>
          <w:rFonts w:hint="eastAsia" w:eastAsia="宋体"/>
        </w:rPr>
        <w:t>Figure 2-11.5 Corrosion Products</w:t>
      </w:r>
    </w:p>
    <w:p w14:paraId="3AA3D524">
      <w:pPr>
        <w:pStyle w:val="22"/>
        <w:spacing w:before="156" w:after="468"/>
        <w:rPr>
          <w:sz w:val="24"/>
        </w:rPr>
      </w:pPr>
      <w:r>
        <w:rPr>
          <w:rFonts w:hint="eastAsia" w:eastAsia="宋体"/>
        </w:rPr>
        <w:t>Figure 2-11.6 Microscopic Features of Crack Propagation</w:t>
      </w:r>
    </w:p>
    <w:p w14:paraId="3A348E62">
      <w:pPr>
        <w:pStyle w:val="16"/>
        <w:spacing w:before="31" w:after="31"/>
        <w:ind w:firstLine="0" w:firstLineChars="0"/>
        <w:rPr>
          <w:szCs w:val="24"/>
        </w:rPr>
      </w:pPr>
      <w:r>
        <w:rPr>
          <w:rFonts w:hint="eastAsia"/>
          <w:szCs w:val="24"/>
        </w:rPr>
        <w:t>(6) Analysis of Failure Causes</w:t>
      </w:r>
    </w:p>
    <w:p w14:paraId="0D472A4F">
      <w:pPr>
        <w:pStyle w:val="16"/>
        <w:spacing w:before="31" w:after="31"/>
        <w:ind w:firstLine="480"/>
        <w:rPr>
          <w:szCs w:val="24"/>
        </w:rPr>
      </w:pPr>
      <w:r>
        <w:rPr>
          <w:rFonts w:hint="eastAsia"/>
          <w:szCs w:val="24"/>
        </w:rPr>
        <w:t>The metallographic structure of the component comprises martensite α' phase and α phase, increasing material brittleness, structural stress, and crack sensitivity. The analysis results suggest that the cracking of the methanol condenser plates is due to stress corrosion cracking. Plate fracture occurred at the bottom of the second inlet seal groove, where manufacturing stresses and deformation are maximized, and the working temperature is highest. The plates consistently experience tensile stress. In the working medium, the protective film on the surface of titanium and titanium alloys is disrupted under tensile stress, making it difficult to repair on its own, accelerating corrosion, forming crack sources, and rapidly expanding cracks. The hydrogen produced by corrosion is absorbed by the plates, and under stress, hydrogen migrates to grain boundaries, structural defects, and other locations, weakening the grain boundaries, and cracks propagate along the grain boundaries.</w:t>
      </w:r>
    </w:p>
    <w:p w14:paraId="7E2ED0F8">
      <w:pPr>
        <w:pStyle w:val="16"/>
        <w:spacing w:before="31" w:after="31"/>
        <w:ind w:firstLine="0" w:firstLineChars="0"/>
        <w:rPr>
          <w:szCs w:val="24"/>
        </w:rPr>
      </w:pPr>
    </w:p>
    <w:p w14:paraId="6513A3BE">
      <w:pPr>
        <w:pStyle w:val="16"/>
        <w:spacing w:before="31" w:after="31"/>
        <w:ind w:firstLine="0" w:firstLineChars="0"/>
        <w:rPr>
          <w:szCs w:val="24"/>
        </w:rPr>
      </w:pPr>
      <w:r>
        <w:rPr>
          <w:rFonts w:hint="eastAsia"/>
          <w:szCs w:val="24"/>
        </w:rPr>
        <w:t>(7) Impact and Harm Caused</w:t>
      </w:r>
    </w:p>
    <w:p w14:paraId="3D7D8E5C">
      <w:pPr>
        <w:pStyle w:val="16"/>
        <w:spacing w:before="31" w:after="31"/>
        <w:ind w:firstLine="420" w:firstLineChars="0"/>
        <w:rPr>
          <w:szCs w:val="24"/>
        </w:rPr>
      </w:pPr>
      <w:r>
        <w:rPr>
          <w:rFonts w:hint="eastAsia"/>
          <w:szCs w:val="24"/>
        </w:rPr>
        <w:t>Null</w:t>
      </w:r>
    </w:p>
    <w:p w14:paraId="14CB2D33">
      <w:pPr>
        <w:pStyle w:val="16"/>
        <w:spacing w:before="31" w:after="31"/>
        <w:ind w:firstLine="0" w:firstLineChars="0"/>
        <w:rPr>
          <w:szCs w:val="24"/>
        </w:rPr>
      </w:pPr>
    </w:p>
    <w:p w14:paraId="5191C5D5">
      <w:pPr>
        <w:pStyle w:val="16"/>
        <w:spacing w:before="31" w:after="31"/>
        <w:ind w:firstLine="0" w:firstLineChars="0"/>
        <w:rPr>
          <w:szCs w:val="24"/>
        </w:rPr>
      </w:pPr>
      <w:r>
        <w:rPr>
          <w:rFonts w:hint="eastAsia"/>
          <w:szCs w:val="24"/>
        </w:rPr>
        <w:t>(8) Conclusion and Improvement Measures</w:t>
      </w:r>
    </w:p>
    <w:p w14:paraId="605F6115">
      <w:pPr>
        <w:pStyle w:val="16"/>
        <w:spacing w:before="31" w:after="31"/>
        <w:ind w:firstLine="480"/>
        <w:rPr>
          <w:szCs w:val="24"/>
        </w:rPr>
      </w:pPr>
      <w:r>
        <w:rPr>
          <w:rFonts w:hint="eastAsia"/>
          <w:szCs w:val="24"/>
        </w:rPr>
        <w:t>The cracking of the crude methanol condenser plates is primarily due to stress corrosion cracking induced by the working medium. Plates under such conditions should not be made of titanium or titanium alloys to avoid the presence of martensite α' phase in the structure, leading to equipment failure.</w:t>
      </w:r>
    </w:p>
    <w:p w14:paraId="461C4143">
      <w:pPr>
        <w:pStyle w:val="16"/>
        <w:spacing w:before="31" w:after="31"/>
        <w:ind w:firstLine="480"/>
        <w:rPr>
          <w:szCs w:val="24"/>
        </w:rPr>
      </w:pPr>
    </w:p>
    <w:p w14:paraId="450090FD">
      <w:pPr>
        <w:pStyle w:val="16"/>
        <w:spacing w:before="31" w:after="31"/>
        <w:ind w:firstLine="480"/>
        <w:rPr>
          <w:szCs w:val="24"/>
        </w:rPr>
      </w:pPr>
    </w:p>
    <w:p w14:paraId="41C71818">
      <w:pPr>
        <w:pStyle w:val="21"/>
        <w:numPr>
          <w:ilvl w:val="2"/>
          <w:numId w:val="0"/>
        </w:numPr>
        <w:rPr>
          <w:rFonts w:eastAsia="宋体"/>
        </w:rPr>
      </w:pPr>
      <w:r>
        <w:rPr>
          <w:rFonts w:hint="eastAsia" w:eastAsia="宋体"/>
        </w:rPr>
        <w:t>2.2.12 Case 2-12 Cracking of Plates in Plate Heat Exchanger</w:t>
      </w:r>
    </w:p>
    <w:p w14:paraId="0DF436ED">
      <w:pPr>
        <w:pStyle w:val="16"/>
        <w:spacing w:before="31" w:after="31"/>
        <w:ind w:firstLine="0" w:firstLineChars="0"/>
        <w:rPr>
          <w:szCs w:val="24"/>
        </w:rPr>
      </w:pPr>
      <w:r>
        <w:rPr>
          <w:rFonts w:hint="eastAsia"/>
          <w:szCs w:val="24"/>
        </w:rPr>
        <w:t>(1) Case Name</w:t>
      </w:r>
    </w:p>
    <w:p w14:paraId="6CEBCC48">
      <w:pPr>
        <w:pStyle w:val="16"/>
        <w:spacing w:before="31" w:after="31"/>
        <w:ind w:firstLine="480"/>
        <w:rPr>
          <w:szCs w:val="24"/>
        </w:rPr>
      </w:pPr>
      <w:r>
        <w:rPr>
          <w:rFonts w:hint="eastAsia"/>
          <w:szCs w:val="24"/>
        </w:rPr>
        <w:t>Cracking of plates in plate heat exchanger [21].</w:t>
      </w:r>
    </w:p>
    <w:p w14:paraId="2D08CA1D">
      <w:pPr>
        <w:pStyle w:val="16"/>
        <w:spacing w:before="31" w:after="31"/>
        <w:ind w:firstLine="480"/>
        <w:rPr>
          <w:szCs w:val="24"/>
        </w:rPr>
      </w:pPr>
    </w:p>
    <w:p w14:paraId="453E7A00">
      <w:pPr>
        <w:pStyle w:val="16"/>
        <w:spacing w:before="31" w:after="31"/>
        <w:ind w:firstLine="0" w:firstLineChars="0"/>
        <w:rPr>
          <w:szCs w:val="24"/>
        </w:rPr>
      </w:pPr>
      <w:r>
        <w:rPr>
          <w:rFonts w:hint="eastAsia"/>
          <w:szCs w:val="24"/>
        </w:rPr>
        <w:t>(2) Failure Process Description</w:t>
      </w:r>
    </w:p>
    <w:p w14:paraId="08DB2613">
      <w:pPr>
        <w:pStyle w:val="16"/>
        <w:spacing w:before="31" w:after="31"/>
        <w:ind w:firstLine="480"/>
        <w:rPr>
          <w:szCs w:val="24"/>
        </w:rPr>
      </w:pPr>
      <w:r>
        <w:rPr>
          <w:rFonts w:hint="eastAsia"/>
          <w:szCs w:val="24"/>
        </w:rPr>
        <w:t>A condensate cooler, E24101 reboiler, in a petrochemical company is a plate heat exchanger. The exchanger, operational for a few months after its launch in 1997, was shut down until 1999. During this period, gaskets were replaced due to leaks. By the end of 2002, severe leakage was discovered due to a large number of cracks in the sealing gasket area.</w:t>
      </w:r>
    </w:p>
    <w:p w14:paraId="5A5052BC">
      <w:pPr>
        <w:pStyle w:val="16"/>
        <w:spacing w:before="31" w:after="31"/>
        <w:ind w:firstLine="0" w:firstLineChars="0"/>
        <w:rPr>
          <w:szCs w:val="24"/>
        </w:rPr>
      </w:pPr>
    </w:p>
    <w:p w14:paraId="5682DA1A">
      <w:pPr>
        <w:pStyle w:val="16"/>
        <w:spacing w:before="31" w:after="31"/>
        <w:ind w:firstLine="0" w:firstLineChars="0"/>
        <w:rPr>
          <w:szCs w:val="24"/>
        </w:rPr>
      </w:pPr>
      <w:r>
        <w:rPr>
          <w:rFonts w:hint="eastAsia"/>
          <w:szCs w:val="24"/>
        </w:rPr>
        <w:t>(3) Service Environment</w:t>
      </w:r>
    </w:p>
    <w:p w14:paraId="74F5EF2F">
      <w:pPr>
        <w:pStyle w:val="20"/>
        <w:spacing w:before="468" w:after="156"/>
        <w:rPr>
          <w:rFonts w:eastAsia="宋体"/>
          <w:szCs w:val="21"/>
        </w:rPr>
      </w:pPr>
      <w:r>
        <w:rPr>
          <w:rFonts w:hint="eastAsia" w:eastAsia="宋体"/>
          <w:szCs w:val="21"/>
        </w:rPr>
        <w:t>Table 2-10 shows the process conditions of the plate heat exchanger.</w:t>
      </w:r>
    </w:p>
    <w:tbl>
      <w:tblPr>
        <w:tblStyle w:val="9"/>
        <w:tblW w:w="0" w:type="auto"/>
        <w:tblInd w:w="108"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79"/>
        <w:gridCol w:w="2588"/>
        <w:gridCol w:w="2588"/>
      </w:tblGrid>
      <w:tr w14:paraId="59C7EF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479" w:type="dxa"/>
            <w:tcBorders>
              <w:top w:val="single" w:color="auto" w:sz="12" w:space="0"/>
              <w:bottom w:val="single" w:color="auto" w:sz="12" w:space="0"/>
            </w:tcBorders>
            <w:vAlign w:val="center"/>
          </w:tcPr>
          <w:p w14:paraId="19E5D2D1">
            <w:pPr>
              <w:pStyle w:val="16"/>
              <w:spacing w:before="31" w:after="31"/>
              <w:ind w:firstLine="0" w:firstLineChars="0"/>
              <w:jc w:val="center"/>
              <w:rPr>
                <w:rFonts w:cs="Times New Roman"/>
                <w:kern w:val="0"/>
                <w:sz w:val="21"/>
                <w:szCs w:val="21"/>
              </w:rPr>
            </w:pPr>
            <w:r>
              <w:rPr>
                <w:rFonts w:hint="eastAsia" w:cs="Times New Roman"/>
                <w:kern w:val="0"/>
                <w:sz w:val="21"/>
                <w:szCs w:val="21"/>
              </w:rPr>
              <w:t>Item</w:t>
            </w:r>
          </w:p>
        </w:tc>
        <w:tc>
          <w:tcPr>
            <w:tcW w:w="2588" w:type="dxa"/>
            <w:tcBorders>
              <w:top w:val="single" w:color="auto" w:sz="12" w:space="0"/>
              <w:bottom w:val="single" w:color="auto" w:sz="12" w:space="0"/>
            </w:tcBorders>
            <w:vAlign w:val="center"/>
          </w:tcPr>
          <w:p w14:paraId="20D54F67">
            <w:pPr>
              <w:pStyle w:val="16"/>
              <w:spacing w:before="31" w:after="31"/>
              <w:ind w:firstLine="0" w:firstLineChars="0"/>
              <w:jc w:val="center"/>
              <w:rPr>
                <w:rFonts w:cs="Times New Roman"/>
                <w:kern w:val="0"/>
                <w:sz w:val="21"/>
                <w:szCs w:val="21"/>
              </w:rPr>
            </w:pPr>
            <w:r>
              <w:rPr>
                <w:rFonts w:hint="eastAsia" w:cs="Times New Roman"/>
                <w:kern w:val="0"/>
                <w:sz w:val="21"/>
                <w:szCs w:val="21"/>
              </w:rPr>
              <w:t>Cold Medium</w:t>
            </w:r>
          </w:p>
        </w:tc>
        <w:tc>
          <w:tcPr>
            <w:tcW w:w="2588" w:type="dxa"/>
            <w:tcBorders>
              <w:top w:val="single" w:color="auto" w:sz="12" w:space="0"/>
              <w:bottom w:val="single" w:color="auto" w:sz="12" w:space="0"/>
            </w:tcBorders>
            <w:vAlign w:val="center"/>
          </w:tcPr>
          <w:p w14:paraId="3253F417">
            <w:pPr>
              <w:pStyle w:val="16"/>
              <w:spacing w:before="31" w:after="31"/>
              <w:ind w:firstLine="0" w:firstLineChars="0"/>
              <w:jc w:val="center"/>
              <w:rPr>
                <w:rFonts w:cs="Times New Roman"/>
                <w:kern w:val="0"/>
                <w:sz w:val="21"/>
                <w:szCs w:val="21"/>
              </w:rPr>
            </w:pPr>
            <w:r>
              <w:rPr>
                <w:rFonts w:hint="eastAsia" w:cs="Times New Roman"/>
                <w:kern w:val="0"/>
                <w:sz w:val="21"/>
                <w:szCs w:val="21"/>
              </w:rPr>
              <w:t>Hot Medium</w:t>
            </w:r>
          </w:p>
        </w:tc>
      </w:tr>
      <w:tr w14:paraId="05AE79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479" w:type="dxa"/>
            <w:tcBorders>
              <w:top w:val="single" w:color="auto" w:sz="12" w:space="0"/>
            </w:tcBorders>
            <w:vAlign w:val="center"/>
          </w:tcPr>
          <w:p w14:paraId="6645409C">
            <w:pPr>
              <w:pStyle w:val="16"/>
              <w:spacing w:before="31" w:after="31"/>
              <w:ind w:firstLine="0" w:firstLineChars="0"/>
              <w:jc w:val="center"/>
              <w:rPr>
                <w:rFonts w:cs="Times New Roman"/>
                <w:kern w:val="0"/>
                <w:sz w:val="21"/>
                <w:szCs w:val="21"/>
              </w:rPr>
            </w:pPr>
            <w:r>
              <w:rPr>
                <w:rFonts w:hint="eastAsia" w:cs="Times New Roman"/>
                <w:kern w:val="0"/>
                <w:sz w:val="21"/>
                <w:szCs w:val="21"/>
              </w:rPr>
              <w:t>Medium</w:t>
            </w:r>
          </w:p>
        </w:tc>
        <w:tc>
          <w:tcPr>
            <w:tcW w:w="2588" w:type="dxa"/>
            <w:tcBorders>
              <w:top w:val="single" w:color="auto" w:sz="12" w:space="0"/>
            </w:tcBorders>
            <w:vAlign w:val="center"/>
          </w:tcPr>
          <w:p w14:paraId="09CC92CB">
            <w:pPr>
              <w:pStyle w:val="16"/>
              <w:spacing w:before="31" w:after="31"/>
              <w:ind w:firstLine="0" w:firstLineChars="0"/>
              <w:jc w:val="center"/>
              <w:rPr>
                <w:rFonts w:cs="Times New Roman"/>
                <w:kern w:val="0"/>
                <w:sz w:val="21"/>
                <w:szCs w:val="21"/>
              </w:rPr>
            </w:pPr>
            <w:r>
              <w:rPr>
                <w:rFonts w:hint="eastAsia" w:cs="Times New Roman"/>
                <w:kern w:val="0"/>
                <w:sz w:val="21"/>
                <w:szCs w:val="21"/>
              </w:rPr>
              <w:t>Desalinated Water</w:t>
            </w:r>
          </w:p>
        </w:tc>
        <w:tc>
          <w:tcPr>
            <w:tcW w:w="2588" w:type="dxa"/>
            <w:tcBorders>
              <w:top w:val="single" w:color="auto" w:sz="12" w:space="0"/>
            </w:tcBorders>
            <w:vAlign w:val="center"/>
          </w:tcPr>
          <w:p w14:paraId="08281B5D">
            <w:pPr>
              <w:pStyle w:val="16"/>
              <w:spacing w:before="31" w:after="31"/>
              <w:ind w:firstLine="0" w:firstLineChars="0"/>
              <w:jc w:val="center"/>
              <w:rPr>
                <w:rFonts w:cs="Times New Roman"/>
                <w:kern w:val="0"/>
                <w:sz w:val="21"/>
                <w:szCs w:val="21"/>
              </w:rPr>
            </w:pPr>
            <w:r>
              <w:rPr>
                <w:rFonts w:hint="eastAsia" w:cs="Times New Roman"/>
                <w:kern w:val="0"/>
                <w:sz w:val="21"/>
                <w:szCs w:val="21"/>
              </w:rPr>
              <w:t>Steam Condensate</w:t>
            </w:r>
          </w:p>
        </w:tc>
      </w:tr>
      <w:tr w14:paraId="14A7A1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479" w:type="dxa"/>
            <w:vAlign w:val="center"/>
          </w:tcPr>
          <w:p w14:paraId="117079DC">
            <w:pPr>
              <w:pStyle w:val="16"/>
              <w:spacing w:before="31" w:after="31"/>
              <w:ind w:firstLine="0" w:firstLineChars="0"/>
              <w:jc w:val="center"/>
              <w:rPr>
                <w:rFonts w:cs="Times New Roman"/>
                <w:kern w:val="0"/>
                <w:sz w:val="21"/>
                <w:szCs w:val="21"/>
              </w:rPr>
            </w:pPr>
            <w:r>
              <w:rPr>
                <w:rFonts w:hint="eastAsia" w:cs="Times New Roman"/>
                <w:kern w:val="0"/>
                <w:sz w:val="21"/>
                <w:szCs w:val="21"/>
              </w:rPr>
              <w:t>Design Pressure</w:t>
            </w:r>
            <w:r>
              <w:rPr>
                <w:rFonts w:cs="Times New Roman"/>
                <w:kern w:val="0"/>
                <w:sz w:val="21"/>
                <w:szCs w:val="21"/>
              </w:rPr>
              <w:t>/MPa</w:t>
            </w:r>
          </w:p>
        </w:tc>
        <w:tc>
          <w:tcPr>
            <w:tcW w:w="2588" w:type="dxa"/>
            <w:vAlign w:val="center"/>
          </w:tcPr>
          <w:p w14:paraId="22FF9C34">
            <w:pPr>
              <w:pStyle w:val="16"/>
              <w:spacing w:before="31" w:after="31"/>
              <w:ind w:firstLine="0" w:firstLineChars="0"/>
              <w:jc w:val="center"/>
              <w:rPr>
                <w:rFonts w:cs="Times New Roman"/>
                <w:kern w:val="0"/>
                <w:sz w:val="21"/>
                <w:szCs w:val="21"/>
              </w:rPr>
            </w:pPr>
            <w:r>
              <w:rPr>
                <w:rFonts w:cs="Times New Roman"/>
                <w:kern w:val="0"/>
                <w:sz w:val="21"/>
                <w:szCs w:val="21"/>
              </w:rPr>
              <w:t>1.10</w:t>
            </w:r>
          </w:p>
        </w:tc>
        <w:tc>
          <w:tcPr>
            <w:tcW w:w="2588" w:type="dxa"/>
            <w:vAlign w:val="center"/>
          </w:tcPr>
          <w:p w14:paraId="431841F8">
            <w:pPr>
              <w:pStyle w:val="16"/>
              <w:spacing w:before="31" w:after="31"/>
              <w:ind w:firstLine="0" w:firstLineChars="0"/>
              <w:jc w:val="center"/>
              <w:rPr>
                <w:rFonts w:cs="Times New Roman"/>
                <w:kern w:val="0"/>
                <w:sz w:val="21"/>
                <w:szCs w:val="21"/>
              </w:rPr>
            </w:pPr>
            <w:r>
              <w:rPr>
                <w:rFonts w:cs="Times New Roman"/>
                <w:kern w:val="0"/>
                <w:sz w:val="21"/>
                <w:szCs w:val="21"/>
              </w:rPr>
              <w:t>1.05</w:t>
            </w:r>
          </w:p>
        </w:tc>
      </w:tr>
      <w:tr w14:paraId="799369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479" w:type="dxa"/>
            <w:vAlign w:val="center"/>
          </w:tcPr>
          <w:p w14:paraId="7DDB823C">
            <w:pPr>
              <w:pStyle w:val="16"/>
              <w:spacing w:before="31" w:after="31"/>
              <w:ind w:firstLine="0" w:firstLineChars="0"/>
              <w:jc w:val="center"/>
              <w:rPr>
                <w:rFonts w:cs="Times New Roman"/>
                <w:kern w:val="0"/>
                <w:sz w:val="21"/>
                <w:szCs w:val="21"/>
              </w:rPr>
            </w:pPr>
            <w:r>
              <w:rPr>
                <w:rFonts w:hint="eastAsia" w:cs="Times New Roman"/>
                <w:kern w:val="0"/>
                <w:sz w:val="21"/>
                <w:szCs w:val="21"/>
              </w:rPr>
              <w:t>Operating Pressure</w:t>
            </w:r>
            <w:r>
              <w:rPr>
                <w:rFonts w:cs="Times New Roman"/>
                <w:kern w:val="0"/>
                <w:sz w:val="21"/>
                <w:szCs w:val="21"/>
              </w:rPr>
              <w:t xml:space="preserve">/MPa </w:t>
            </w:r>
          </w:p>
        </w:tc>
        <w:tc>
          <w:tcPr>
            <w:tcW w:w="2588" w:type="dxa"/>
            <w:vAlign w:val="center"/>
          </w:tcPr>
          <w:p w14:paraId="69202F4E">
            <w:pPr>
              <w:pStyle w:val="16"/>
              <w:spacing w:before="31" w:after="31"/>
              <w:ind w:firstLine="0" w:firstLineChars="0"/>
              <w:jc w:val="center"/>
              <w:rPr>
                <w:rFonts w:cs="Times New Roman"/>
                <w:kern w:val="0"/>
                <w:sz w:val="21"/>
                <w:szCs w:val="21"/>
              </w:rPr>
            </w:pPr>
            <w:r>
              <w:rPr>
                <w:rFonts w:cs="Times New Roman"/>
                <w:kern w:val="0"/>
                <w:sz w:val="21"/>
                <w:szCs w:val="21"/>
              </w:rPr>
              <w:t>0.7</w:t>
            </w:r>
          </w:p>
        </w:tc>
        <w:tc>
          <w:tcPr>
            <w:tcW w:w="2588" w:type="dxa"/>
            <w:vAlign w:val="center"/>
          </w:tcPr>
          <w:p w14:paraId="12C3B8C0">
            <w:pPr>
              <w:pStyle w:val="16"/>
              <w:spacing w:before="31" w:after="31"/>
              <w:ind w:firstLine="0" w:firstLineChars="0"/>
              <w:jc w:val="center"/>
              <w:rPr>
                <w:rFonts w:cs="Times New Roman"/>
                <w:kern w:val="0"/>
                <w:sz w:val="21"/>
                <w:szCs w:val="21"/>
              </w:rPr>
            </w:pPr>
            <w:r>
              <w:rPr>
                <w:rFonts w:cs="Times New Roman"/>
                <w:kern w:val="0"/>
                <w:sz w:val="21"/>
                <w:szCs w:val="21"/>
              </w:rPr>
              <w:t>0.8</w:t>
            </w:r>
          </w:p>
        </w:tc>
      </w:tr>
      <w:tr w14:paraId="26BE1B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479" w:type="dxa"/>
            <w:vAlign w:val="center"/>
          </w:tcPr>
          <w:p w14:paraId="274065F9">
            <w:pPr>
              <w:pStyle w:val="16"/>
              <w:spacing w:before="31" w:after="31"/>
              <w:ind w:firstLine="0" w:firstLineChars="0"/>
              <w:jc w:val="center"/>
              <w:rPr>
                <w:rFonts w:cs="Times New Roman"/>
                <w:kern w:val="0"/>
                <w:sz w:val="21"/>
                <w:szCs w:val="21"/>
              </w:rPr>
            </w:pPr>
            <w:r>
              <w:rPr>
                <w:rFonts w:hint="eastAsia" w:cs="Times New Roman"/>
                <w:kern w:val="0"/>
                <w:sz w:val="21"/>
                <w:szCs w:val="21"/>
              </w:rPr>
              <w:t>Design Temperature</w:t>
            </w:r>
          </w:p>
        </w:tc>
        <w:tc>
          <w:tcPr>
            <w:tcW w:w="2588" w:type="dxa"/>
            <w:vAlign w:val="center"/>
          </w:tcPr>
          <w:p w14:paraId="6C94C02B">
            <w:pPr>
              <w:pStyle w:val="16"/>
              <w:spacing w:before="31" w:after="31"/>
              <w:ind w:firstLine="0" w:firstLineChars="0"/>
              <w:jc w:val="center"/>
              <w:rPr>
                <w:rFonts w:cs="Times New Roman"/>
                <w:kern w:val="0"/>
                <w:sz w:val="21"/>
                <w:szCs w:val="21"/>
              </w:rPr>
            </w:pPr>
            <w:r>
              <w:rPr>
                <w:rFonts w:cs="Times New Roman"/>
                <w:kern w:val="0"/>
                <w:sz w:val="21"/>
                <w:szCs w:val="21"/>
              </w:rPr>
              <w:t>120</w:t>
            </w:r>
          </w:p>
        </w:tc>
        <w:tc>
          <w:tcPr>
            <w:tcW w:w="2588" w:type="dxa"/>
            <w:vAlign w:val="center"/>
          </w:tcPr>
          <w:p w14:paraId="219D3319">
            <w:pPr>
              <w:pStyle w:val="16"/>
              <w:spacing w:before="31" w:after="31"/>
              <w:ind w:firstLine="0" w:firstLineChars="0"/>
              <w:jc w:val="center"/>
              <w:rPr>
                <w:rFonts w:cs="Times New Roman"/>
                <w:kern w:val="0"/>
                <w:sz w:val="21"/>
                <w:szCs w:val="21"/>
              </w:rPr>
            </w:pPr>
            <w:r>
              <w:rPr>
                <w:rFonts w:cs="Times New Roman"/>
                <w:kern w:val="0"/>
                <w:sz w:val="21"/>
                <w:szCs w:val="21"/>
              </w:rPr>
              <w:t>160</w:t>
            </w:r>
          </w:p>
        </w:tc>
      </w:tr>
      <w:tr w14:paraId="5FA818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479" w:type="dxa"/>
            <w:vAlign w:val="center"/>
          </w:tcPr>
          <w:p w14:paraId="66237AAE">
            <w:pPr>
              <w:pStyle w:val="16"/>
              <w:spacing w:before="31" w:after="31"/>
              <w:ind w:firstLine="0" w:firstLineChars="0"/>
              <w:jc w:val="center"/>
              <w:rPr>
                <w:rFonts w:cs="Times New Roman"/>
                <w:kern w:val="0"/>
                <w:sz w:val="21"/>
                <w:szCs w:val="21"/>
              </w:rPr>
            </w:pPr>
            <w:r>
              <w:rPr>
                <w:rFonts w:hint="eastAsia" w:cs="Times New Roman"/>
                <w:kern w:val="0"/>
                <w:sz w:val="21"/>
                <w:szCs w:val="21"/>
              </w:rPr>
              <w:t>Operating Temperature</w:t>
            </w:r>
          </w:p>
          <w:p w14:paraId="7A26602A">
            <w:pPr>
              <w:pStyle w:val="16"/>
              <w:spacing w:before="31" w:after="31"/>
              <w:ind w:firstLine="0" w:firstLineChars="0"/>
              <w:jc w:val="center"/>
              <w:rPr>
                <w:rFonts w:cs="Times New Roman"/>
                <w:kern w:val="0"/>
                <w:sz w:val="21"/>
                <w:szCs w:val="21"/>
              </w:rPr>
            </w:pPr>
            <w:r>
              <w:rPr>
                <w:rFonts w:hint="eastAsia" w:cs="Times New Roman"/>
                <w:kern w:val="0"/>
                <w:sz w:val="21"/>
                <w:szCs w:val="21"/>
              </w:rPr>
              <w:t>(Inlet/Outlet</w:t>
            </w:r>
            <w:r>
              <w:rPr>
                <w:rFonts w:cs="Times New Roman"/>
                <w:kern w:val="0"/>
                <w:sz w:val="21"/>
                <w:szCs w:val="21"/>
              </w:rPr>
              <w:t>/C</w:t>
            </w:r>
            <w:r>
              <w:rPr>
                <w:rFonts w:hint="eastAsia" w:cs="Times New Roman"/>
                <w:kern w:val="0"/>
                <w:sz w:val="21"/>
                <w:szCs w:val="21"/>
              </w:rPr>
              <w:t>)</w:t>
            </w:r>
          </w:p>
        </w:tc>
        <w:tc>
          <w:tcPr>
            <w:tcW w:w="2588" w:type="dxa"/>
            <w:vAlign w:val="center"/>
          </w:tcPr>
          <w:p w14:paraId="2D442E3C">
            <w:pPr>
              <w:pStyle w:val="16"/>
              <w:spacing w:before="31" w:after="31"/>
              <w:ind w:firstLine="0" w:firstLineChars="0"/>
              <w:jc w:val="center"/>
              <w:rPr>
                <w:rFonts w:cs="Times New Roman"/>
                <w:kern w:val="0"/>
                <w:sz w:val="21"/>
                <w:szCs w:val="21"/>
              </w:rPr>
            </w:pPr>
            <w:r>
              <w:rPr>
                <w:rFonts w:cs="Times New Roman"/>
                <w:kern w:val="0"/>
                <w:sz w:val="21"/>
                <w:szCs w:val="21"/>
              </w:rPr>
              <w:t>40/50</w:t>
            </w:r>
          </w:p>
        </w:tc>
        <w:tc>
          <w:tcPr>
            <w:tcW w:w="2588" w:type="dxa"/>
            <w:vAlign w:val="center"/>
          </w:tcPr>
          <w:p w14:paraId="2BAE7AC1">
            <w:pPr>
              <w:pStyle w:val="16"/>
              <w:spacing w:before="31" w:after="31"/>
              <w:ind w:firstLine="0" w:firstLineChars="0"/>
              <w:jc w:val="center"/>
              <w:rPr>
                <w:rFonts w:cs="Times New Roman"/>
                <w:kern w:val="0"/>
                <w:sz w:val="21"/>
                <w:szCs w:val="21"/>
              </w:rPr>
            </w:pPr>
            <w:r>
              <w:rPr>
                <w:rFonts w:cs="Times New Roman"/>
                <w:kern w:val="0"/>
                <w:sz w:val="21"/>
                <w:szCs w:val="21"/>
              </w:rPr>
              <w:t>130/-</w:t>
            </w:r>
          </w:p>
        </w:tc>
      </w:tr>
    </w:tbl>
    <w:p w14:paraId="4EBFDC68">
      <w:pPr>
        <w:pStyle w:val="16"/>
        <w:spacing w:before="31" w:after="31"/>
        <w:ind w:firstLine="480"/>
        <w:rPr>
          <w:szCs w:val="24"/>
        </w:rPr>
      </w:pPr>
    </w:p>
    <w:p w14:paraId="317764B0">
      <w:pPr>
        <w:pStyle w:val="16"/>
        <w:spacing w:before="31" w:after="31"/>
        <w:ind w:firstLine="0" w:firstLineChars="0"/>
        <w:rPr>
          <w:szCs w:val="24"/>
        </w:rPr>
      </w:pPr>
      <w:r>
        <w:rPr>
          <w:rFonts w:hint="eastAsia"/>
          <w:szCs w:val="24"/>
        </w:rPr>
        <w:t>(4) Failed Component and Material</w:t>
      </w:r>
    </w:p>
    <w:p w14:paraId="4C5E84C9">
      <w:pPr>
        <w:pStyle w:val="16"/>
        <w:spacing w:before="31" w:after="31"/>
        <w:ind w:firstLine="480"/>
        <w:rPr>
          <w:szCs w:val="24"/>
        </w:rPr>
      </w:pPr>
      <w:r>
        <w:rPr>
          <w:rFonts w:hint="eastAsia"/>
          <w:szCs w:val="24"/>
        </w:rPr>
        <w:t>(a) Material and Dimensions</w:t>
      </w:r>
    </w:p>
    <w:p w14:paraId="6118EC7B">
      <w:pPr>
        <w:pStyle w:val="16"/>
        <w:spacing w:before="31" w:after="31"/>
        <w:ind w:firstLine="480"/>
        <w:rPr>
          <w:szCs w:val="24"/>
        </w:rPr>
      </w:pPr>
      <w:r>
        <w:rPr>
          <w:rFonts w:hint="eastAsia"/>
          <w:szCs w:val="24"/>
        </w:rPr>
        <w:t>The outer dimensions are 680mm × 2520mm × 1825mm. The plates are made of 0.7mm thick SS316 stainless steel, the sealing gasket is made of EPDM, and the sealing adhesive is made of neoprene.</w:t>
      </w:r>
    </w:p>
    <w:p w14:paraId="1435263E">
      <w:pPr>
        <w:pStyle w:val="16"/>
        <w:spacing w:before="31" w:after="31"/>
        <w:ind w:firstLine="480"/>
        <w:rPr>
          <w:szCs w:val="24"/>
        </w:rPr>
      </w:pPr>
      <w:r>
        <w:rPr>
          <w:rFonts w:hint="eastAsia"/>
          <w:szCs w:val="24"/>
        </w:rPr>
        <w:t>(b) Chemical Composition</w:t>
      </w:r>
    </w:p>
    <w:p w14:paraId="5608E027">
      <w:pPr>
        <w:pStyle w:val="16"/>
        <w:spacing w:before="31" w:after="31"/>
        <w:ind w:firstLine="480"/>
        <w:rPr>
          <w:szCs w:val="24"/>
        </w:rPr>
      </w:pPr>
      <w:r>
        <w:rPr>
          <w:rFonts w:hint="eastAsia"/>
          <w:szCs w:val="24"/>
        </w:rPr>
        <w:t>The chemical composition of the heat exchanger plates is shown in Table 2-11. The material is austenitic stainless steel with a relatively high chromium mass fraction.</w:t>
      </w:r>
    </w:p>
    <w:p w14:paraId="2D8C2AE2">
      <w:pPr>
        <w:pStyle w:val="16"/>
        <w:spacing w:before="31" w:after="31"/>
        <w:ind w:firstLine="480"/>
        <w:rPr>
          <w:szCs w:val="24"/>
        </w:rPr>
      </w:pPr>
    </w:p>
    <w:p w14:paraId="7555FD76">
      <w:pPr>
        <w:pStyle w:val="20"/>
        <w:spacing w:before="468" w:after="156"/>
        <w:ind w:firstLine="2424" w:firstLineChars="1150"/>
        <w:jc w:val="left"/>
        <w:rPr>
          <w:rFonts w:eastAsia="宋体"/>
          <w:szCs w:val="21"/>
        </w:rPr>
      </w:pPr>
      <w:r>
        <w:rPr>
          <w:rFonts w:hint="eastAsia" w:eastAsia="宋体"/>
          <w:szCs w:val="21"/>
        </w:rPr>
        <w:t>Table 2-11 Chemical Composition of Plates (Mass Fraction) %</w:t>
      </w:r>
    </w:p>
    <w:tbl>
      <w:tblPr>
        <w:tblStyle w:val="9"/>
        <w:tblW w:w="0" w:type="auto"/>
        <w:tblInd w:w="392"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5"/>
        <w:gridCol w:w="1276"/>
        <w:gridCol w:w="1276"/>
        <w:gridCol w:w="1275"/>
        <w:gridCol w:w="1276"/>
        <w:gridCol w:w="1276"/>
      </w:tblGrid>
      <w:tr w14:paraId="2A89C6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5" w:type="dxa"/>
            <w:tcBorders>
              <w:top w:val="single" w:color="auto" w:sz="12" w:space="0"/>
              <w:bottom w:val="single" w:color="auto" w:sz="12" w:space="0"/>
            </w:tcBorders>
            <w:vAlign w:val="center"/>
          </w:tcPr>
          <w:p w14:paraId="7EE97E24">
            <w:pPr>
              <w:pStyle w:val="16"/>
              <w:spacing w:before="31" w:after="31"/>
              <w:ind w:firstLine="0" w:firstLineChars="0"/>
              <w:jc w:val="center"/>
              <w:rPr>
                <w:rFonts w:cs="Times New Roman"/>
                <w:kern w:val="0"/>
                <w:sz w:val="21"/>
                <w:szCs w:val="21"/>
              </w:rPr>
            </w:pPr>
            <w:r>
              <w:rPr>
                <w:rFonts w:hint="eastAsia" w:cs="Times New Roman"/>
                <w:kern w:val="0"/>
                <w:sz w:val="21"/>
                <w:szCs w:val="21"/>
              </w:rPr>
              <w:t>Item</w:t>
            </w:r>
          </w:p>
        </w:tc>
        <w:tc>
          <w:tcPr>
            <w:tcW w:w="1276" w:type="dxa"/>
            <w:tcBorders>
              <w:top w:val="single" w:color="auto" w:sz="12" w:space="0"/>
              <w:bottom w:val="single" w:color="auto" w:sz="12" w:space="0"/>
            </w:tcBorders>
            <w:vAlign w:val="center"/>
          </w:tcPr>
          <w:p w14:paraId="5E992908">
            <w:pPr>
              <w:pStyle w:val="16"/>
              <w:spacing w:before="31" w:after="31"/>
              <w:ind w:firstLine="0" w:firstLineChars="0"/>
              <w:jc w:val="center"/>
              <w:rPr>
                <w:rFonts w:cs="Times New Roman"/>
                <w:kern w:val="0"/>
                <w:sz w:val="21"/>
                <w:szCs w:val="21"/>
              </w:rPr>
            </w:pPr>
            <w:r>
              <w:rPr>
                <w:rFonts w:cs="Times New Roman"/>
                <w:kern w:val="0"/>
                <w:sz w:val="21"/>
                <w:szCs w:val="21"/>
              </w:rPr>
              <w:t>C</w:t>
            </w:r>
          </w:p>
        </w:tc>
        <w:tc>
          <w:tcPr>
            <w:tcW w:w="1276" w:type="dxa"/>
            <w:tcBorders>
              <w:top w:val="single" w:color="auto" w:sz="12" w:space="0"/>
              <w:bottom w:val="single" w:color="auto" w:sz="12" w:space="0"/>
            </w:tcBorders>
            <w:vAlign w:val="center"/>
          </w:tcPr>
          <w:p w14:paraId="34C7FEC9">
            <w:pPr>
              <w:pStyle w:val="16"/>
              <w:spacing w:before="31" w:after="31"/>
              <w:ind w:firstLine="0" w:firstLineChars="0"/>
              <w:jc w:val="center"/>
              <w:rPr>
                <w:rFonts w:cs="Times New Roman"/>
                <w:kern w:val="0"/>
                <w:sz w:val="21"/>
                <w:szCs w:val="21"/>
              </w:rPr>
            </w:pPr>
            <w:r>
              <w:rPr>
                <w:rFonts w:cs="Times New Roman"/>
                <w:kern w:val="0"/>
                <w:sz w:val="21"/>
                <w:szCs w:val="21"/>
              </w:rPr>
              <w:t>S</w:t>
            </w:r>
          </w:p>
        </w:tc>
        <w:tc>
          <w:tcPr>
            <w:tcW w:w="1275" w:type="dxa"/>
            <w:tcBorders>
              <w:top w:val="single" w:color="auto" w:sz="12" w:space="0"/>
              <w:bottom w:val="single" w:color="auto" w:sz="12" w:space="0"/>
            </w:tcBorders>
            <w:vAlign w:val="center"/>
          </w:tcPr>
          <w:p w14:paraId="7786278E">
            <w:pPr>
              <w:pStyle w:val="16"/>
              <w:spacing w:before="31" w:after="31"/>
              <w:ind w:firstLine="0" w:firstLineChars="0"/>
              <w:jc w:val="center"/>
              <w:rPr>
                <w:rFonts w:cs="Times New Roman"/>
                <w:kern w:val="0"/>
                <w:sz w:val="21"/>
                <w:szCs w:val="21"/>
              </w:rPr>
            </w:pPr>
            <w:r>
              <w:rPr>
                <w:rFonts w:cs="Times New Roman"/>
                <w:kern w:val="0"/>
                <w:sz w:val="21"/>
                <w:szCs w:val="21"/>
              </w:rPr>
              <w:t>P</w:t>
            </w:r>
          </w:p>
        </w:tc>
        <w:tc>
          <w:tcPr>
            <w:tcW w:w="1276" w:type="dxa"/>
            <w:tcBorders>
              <w:top w:val="single" w:color="auto" w:sz="12" w:space="0"/>
              <w:bottom w:val="single" w:color="auto" w:sz="12" w:space="0"/>
            </w:tcBorders>
            <w:vAlign w:val="center"/>
          </w:tcPr>
          <w:p w14:paraId="70A857D0">
            <w:pPr>
              <w:pStyle w:val="16"/>
              <w:spacing w:before="31" w:after="31"/>
              <w:ind w:firstLine="0" w:firstLineChars="0"/>
              <w:jc w:val="center"/>
              <w:rPr>
                <w:rFonts w:cs="Times New Roman"/>
                <w:kern w:val="0"/>
                <w:sz w:val="21"/>
                <w:szCs w:val="21"/>
              </w:rPr>
            </w:pPr>
            <w:r>
              <w:rPr>
                <w:rFonts w:cs="Times New Roman"/>
                <w:kern w:val="0"/>
                <w:sz w:val="21"/>
                <w:szCs w:val="21"/>
              </w:rPr>
              <w:t>Cr</w:t>
            </w:r>
          </w:p>
        </w:tc>
        <w:tc>
          <w:tcPr>
            <w:tcW w:w="1276" w:type="dxa"/>
            <w:tcBorders>
              <w:top w:val="single" w:color="auto" w:sz="12" w:space="0"/>
              <w:bottom w:val="single" w:color="auto" w:sz="12" w:space="0"/>
            </w:tcBorders>
            <w:vAlign w:val="center"/>
          </w:tcPr>
          <w:p w14:paraId="053DAFB1">
            <w:pPr>
              <w:pStyle w:val="16"/>
              <w:spacing w:before="31" w:after="31"/>
              <w:ind w:firstLine="0" w:firstLineChars="0"/>
              <w:jc w:val="center"/>
              <w:rPr>
                <w:rFonts w:cs="Times New Roman"/>
                <w:kern w:val="0"/>
                <w:sz w:val="21"/>
                <w:szCs w:val="21"/>
              </w:rPr>
            </w:pPr>
            <w:r>
              <w:rPr>
                <w:rFonts w:cs="Times New Roman"/>
                <w:kern w:val="0"/>
                <w:sz w:val="21"/>
                <w:szCs w:val="21"/>
              </w:rPr>
              <w:t>Ni</w:t>
            </w:r>
          </w:p>
        </w:tc>
      </w:tr>
      <w:tr w14:paraId="1F8D87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5" w:type="dxa"/>
            <w:tcBorders>
              <w:top w:val="single" w:color="auto" w:sz="12" w:space="0"/>
            </w:tcBorders>
            <w:vAlign w:val="center"/>
          </w:tcPr>
          <w:p w14:paraId="029BCA51">
            <w:pPr>
              <w:pStyle w:val="16"/>
              <w:spacing w:before="31" w:after="31"/>
              <w:ind w:firstLine="0" w:firstLineChars="0"/>
              <w:jc w:val="center"/>
              <w:rPr>
                <w:rFonts w:cs="Times New Roman"/>
                <w:kern w:val="0"/>
                <w:sz w:val="21"/>
                <w:szCs w:val="21"/>
              </w:rPr>
            </w:pPr>
            <w:r>
              <w:rPr>
                <w:rFonts w:hint="eastAsia" w:cs="Times New Roman"/>
                <w:kern w:val="0"/>
                <w:sz w:val="21"/>
                <w:szCs w:val="21"/>
              </w:rPr>
              <w:t>Sample</w:t>
            </w:r>
          </w:p>
        </w:tc>
        <w:tc>
          <w:tcPr>
            <w:tcW w:w="1276" w:type="dxa"/>
            <w:tcBorders>
              <w:top w:val="single" w:color="auto" w:sz="12" w:space="0"/>
            </w:tcBorders>
            <w:vAlign w:val="center"/>
          </w:tcPr>
          <w:p w14:paraId="2DAD28DE">
            <w:pPr>
              <w:pStyle w:val="16"/>
              <w:spacing w:before="31" w:after="31"/>
              <w:ind w:firstLine="0" w:firstLineChars="0"/>
              <w:jc w:val="center"/>
              <w:rPr>
                <w:rFonts w:cs="Times New Roman"/>
                <w:kern w:val="0"/>
                <w:sz w:val="21"/>
                <w:szCs w:val="21"/>
              </w:rPr>
            </w:pPr>
            <w:r>
              <w:rPr>
                <w:rFonts w:cs="Times New Roman"/>
                <w:kern w:val="0"/>
                <w:sz w:val="21"/>
                <w:szCs w:val="21"/>
              </w:rPr>
              <w:t>0. 02</w:t>
            </w:r>
          </w:p>
        </w:tc>
        <w:tc>
          <w:tcPr>
            <w:tcW w:w="1276" w:type="dxa"/>
            <w:tcBorders>
              <w:top w:val="single" w:color="auto" w:sz="12" w:space="0"/>
            </w:tcBorders>
            <w:vAlign w:val="center"/>
          </w:tcPr>
          <w:p w14:paraId="6705A344">
            <w:pPr>
              <w:pStyle w:val="16"/>
              <w:spacing w:before="31" w:after="31"/>
              <w:ind w:firstLine="0" w:firstLineChars="0"/>
              <w:jc w:val="center"/>
              <w:rPr>
                <w:rFonts w:cs="Times New Roman"/>
                <w:kern w:val="0"/>
                <w:sz w:val="21"/>
                <w:szCs w:val="21"/>
              </w:rPr>
            </w:pPr>
            <w:r>
              <w:rPr>
                <w:rFonts w:cs="Times New Roman"/>
                <w:kern w:val="0"/>
                <w:sz w:val="21"/>
                <w:szCs w:val="21"/>
              </w:rPr>
              <w:t>0.007</w:t>
            </w:r>
          </w:p>
        </w:tc>
        <w:tc>
          <w:tcPr>
            <w:tcW w:w="1275" w:type="dxa"/>
            <w:tcBorders>
              <w:top w:val="single" w:color="auto" w:sz="12" w:space="0"/>
            </w:tcBorders>
            <w:vAlign w:val="center"/>
          </w:tcPr>
          <w:p w14:paraId="5E5557A5">
            <w:pPr>
              <w:pStyle w:val="16"/>
              <w:spacing w:before="31" w:after="31"/>
              <w:ind w:firstLine="0" w:firstLineChars="0"/>
              <w:jc w:val="center"/>
              <w:rPr>
                <w:rFonts w:cs="Times New Roman"/>
                <w:kern w:val="0"/>
                <w:sz w:val="21"/>
                <w:szCs w:val="21"/>
              </w:rPr>
            </w:pPr>
            <w:r>
              <w:rPr>
                <w:rFonts w:cs="Times New Roman"/>
                <w:kern w:val="0"/>
                <w:sz w:val="21"/>
                <w:szCs w:val="21"/>
              </w:rPr>
              <w:t>0.011</w:t>
            </w:r>
          </w:p>
        </w:tc>
        <w:tc>
          <w:tcPr>
            <w:tcW w:w="1276" w:type="dxa"/>
            <w:tcBorders>
              <w:top w:val="single" w:color="auto" w:sz="12" w:space="0"/>
            </w:tcBorders>
            <w:vAlign w:val="center"/>
          </w:tcPr>
          <w:p w14:paraId="0B103D05">
            <w:pPr>
              <w:pStyle w:val="16"/>
              <w:spacing w:before="31" w:after="31"/>
              <w:ind w:firstLine="0" w:firstLineChars="0"/>
              <w:jc w:val="center"/>
              <w:rPr>
                <w:rFonts w:cs="Times New Roman"/>
                <w:kern w:val="0"/>
                <w:sz w:val="21"/>
                <w:szCs w:val="21"/>
              </w:rPr>
            </w:pPr>
            <w:r>
              <w:rPr>
                <w:rFonts w:cs="Times New Roman"/>
                <w:kern w:val="0"/>
                <w:sz w:val="21"/>
                <w:szCs w:val="21"/>
              </w:rPr>
              <w:t>19.51</w:t>
            </w:r>
          </w:p>
        </w:tc>
        <w:tc>
          <w:tcPr>
            <w:tcW w:w="1276" w:type="dxa"/>
            <w:tcBorders>
              <w:top w:val="single" w:color="auto" w:sz="12" w:space="0"/>
            </w:tcBorders>
            <w:vAlign w:val="center"/>
          </w:tcPr>
          <w:p w14:paraId="0901A7C3">
            <w:pPr>
              <w:pStyle w:val="16"/>
              <w:spacing w:before="31" w:after="31"/>
              <w:ind w:firstLine="0" w:firstLineChars="0"/>
              <w:jc w:val="center"/>
              <w:rPr>
                <w:rFonts w:cs="Times New Roman"/>
                <w:kern w:val="0"/>
                <w:sz w:val="21"/>
                <w:szCs w:val="21"/>
              </w:rPr>
            </w:pPr>
            <w:r>
              <w:rPr>
                <w:rFonts w:cs="Times New Roman"/>
                <w:kern w:val="0"/>
                <w:sz w:val="21"/>
                <w:szCs w:val="21"/>
              </w:rPr>
              <w:t>10.97</w:t>
            </w:r>
          </w:p>
        </w:tc>
      </w:tr>
    </w:tbl>
    <w:p w14:paraId="1385EC09">
      <w:pPr>
        <w:pStyle w:val="16"/>
        <w:spacing w:before="31" w:after="31"/>
        <w:ind w:firstLine="480"/>
        <w:rPr>
          <w:szCs w:val="24"/>
        </w:rPr>
      </w:pPr>
      <w:r>
        <w:rPr>
          <w:rFonts w:hint="eastAsia"/>
          <w:szCs w:val="24"/>
        </w:rPr>
        <w:t>(c) Mechanical Properties</w:t>
      </w:r>
    </w:p>
    <w:p w14:paraId="13BCD017">
      <w:pPr>
        <w:pStyle w:val="16"/>
        <w:spacing w:before="31" w:after="31"/>
        <w:ind w:firstLine="480"/>
        <w:rPr>
          <w:szCs w:val="24"/>
        </w:rPr>
      </w:pPr>
      <w:r>
        <w:rPr>
          <w:rFonts w:hint="eastAsia"/>
          <w:szCs w:val="24"/>
        </w:rPr>
        <w:t>The hardness values (HV) of the component material are shown in Table 2-12.</w:t>
      </w:r>
    </w:p>
    <w:p w14:paraId="4D87CC62">
      <w:pPr>
        <w:pStyle w:val="20"/>
        <w:spacing w:before="468" w:after="156"/>
        <w:rPr>
          <w:rFonts w:eastAsia="宋体"/>
          <w:szCs w:val="21"/>
        </w:rPr>
      </w:pPr>
      <w:r>
        <w:rPr>
          <w:rFonts w:hint="eastAsia" w:eastAsia="宋体"/>
          <w:szCs w:val="21"/>
        </w:rPr>
        <w:t>Table 2-12 Plate Material Hardness (HV)</w:t>
      </w:r>
    </w:p>
    <w:tbl>
      <w:tblPr>
        <w:tblStyle w:val="9"/>
        <w:tblW w:w="0" w:type="auto"/>
        <w:tblInd w:w="392"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5"/>
        <w:gridCol w:w="1276"/>
        <w:gridCol w:w="1276"/>
        <w:gridCol w:w="1275"/>
        <w:gridCol w:w="1135"/>
        <w:gridCol w:w="1559"/>
      </w:tblGrid>
      <w:tr w14:paraId="6D61B3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5" w:type="dxa"/>
            <w:tcBorders>
              <w:top w:val="single" w:color="auto" w:sz="12" w:space="0"/>
              <w:bottom w:val="single" w:color="auto" w:sz="12" w:space="0"/>
            </w:tcBorders>
            <w:vAlign w:val="center"/>
          </w:tcPr>
          <w:p w14:paraId="6DB8B71F">
            <w:pPr>
              <w:pStyle w:val="16"/>
              <w:spacing w:before="31" w:after="31"/>
              <w:ind w:firstLine="0" w:firstLineChars="0"/>
              <w:jc w:val="center"/>
              <w:rPr>
                <w:rFonts w:cs="Times New Roman"/>
                <w:kern w:val="0"/>
                <w:sz w:val="21"/>
                <w:szCs w:val="21"/>
              </w:rPr>
            </w:pPr>
            <w:r>
              <w:rPr>
                <w:rFonts w:hint="eastAsia" w:cs="Times New Roman"/>
                <w:kern w:val="0"/>
                <w:sz w:val="21"/>
                <w:szCs w:val="21"/>
              </w:rPr>
              <w:t>Sample No.</w:t>
            </w:r>
          </w:p>
        </w:tc>
        <w:tc>
          <w:tcPr>
            <w:tcW w:w="1276" w:type="dxa"/>
            <w:tcBorders>
              <w:top w:val="single" w:color="auto" w:sz="12" w:space="0"/>
              <w:bottom w:val="single" w:color="auto" w:sz="12" w:space="0"/>
            </w:tcBorders>
            <w:vAlign w:val="center"/>
          </w:tcPr>
          <w:p w14:paraId="62561333">
            <w:pPr>
              <w:pStyle w:val="16"/>
              <w:spacing w:before="31" w:after="31"/>
              <w:ind w:firstLine="0" w:firstLineChars="0"/>
              <w:jc w:val="center"/>
              <w:rPr>
                <w:rFonts w:cs="Times New Roman"/>
                <w:kern w:val="0"/>
                <w:sz w:val="21"/>
                <w:szCs w:val="21"/>
              </w:rPr>
            </w:pPr>
            <w:r>
              <w:rPr>
                <w:rFonts w:hint="eastAsia" w:cs="Times New Roman"/>
                <w:kern w:val="0"/>
                <w:sz w:val="21"/>
                <w:szCs w:val="21"/>
              </w:rPr>
              <w:t>Location 1</w:t>
            </w:r>
          </w:p>
        </w:tc>
        <w:tc>
          <w:tcPr>
            <w:tcW w:w="1276" w:type="dxa"/>
            <w:tcBorders>
              <w:top w:val="single" w:color="auto" w:sz="12" w:space="0"/>
              <w:bottom w:val="single" w:color="auto" w:sz="12" w:space="0"/>
            </w:tcBorders>
            <w:vAlign w:val="center"/>
          </w:tcPr>
          <w:p w14:paraId="1B2B7DF2">
            <w:pPr>
              <w:pStyle w:val="16"/>
              <w:spacing w:before="31" w:after="31"/>
              <w:ind w:firstLine="0" w:firstLineChars="0"/>
              <w:jc w:val="center"/>
              <w:rPr>
                <w:rFonts w:cs="Times New Roman"/>
                <w:kern w:val="0"/>
                <w:sz w:val="21"/>
                <w:szCs w:val="21"/>
              </w:rPr>
            </w:pPr>
            <w:r>
              <w:rPr>
                <w:rFonts w:hint="eastAsia" w:cs="Times New Roman"/>
                <w:kern w:val="0"/>
                <w:sz w:val="21"/>
                <w:szCs w:val="21"/>
              </w:rPr>
              <w:t xml:space="preserve">Location </w:t>
            </w:r>
            <w:r>
              <w:rPr>
                <w:rFonts w:cs="Times New Roman"/>
                <w:kern w:val="0"/>
                <w:sz w:val="21"/>
                <w:szCs w:val="21"/>
              </w:rPr>
              <w:t>2</w:t>
            </w:r>
          </w:p>
        </w:tc>
        <w:tc>
          <w:tcPr>
            <w:tcW w:w="1275" w:type="dxa"/>
            <w:tcBorders>
              <w:top w:val="single" w:color="auto" w:sz="12" w:space="0"/>
              <w:bottom w:val="single" w:color="auto" w:sz="12" w:space="0"/>
            </w:tcBorders>
            <w:vAlign w:val="center"/>
          </w:tcPr>
          <w:p w14:paraId="6E8B6E66">
            <w:pPr>
              <w:pStyle w:val="16"/>
              <w:spacing w:before="31" w:after="31"/>
              <w:ind w:firstLine="0" w:firstLineChars="0"/>
              <w:jc w:val="center"/>
              <w:rPr>
                <w:rFonts w:cs="Times New Roman"/>
                <w:kern w:val="0"/>
                <w:sz w:val="21"/>
                <w:szCs w:val="21"/>
              </w:rPr>
            </w:pPr>
            <w:r>
              <w:rPr>
                <w:rFonts w:hint="eastAsia" w:cs="Times New Roman"/>
                <w:kern w:val="0"/>
                <w:sz w:val="21"/>
                <w:szCs w:val="21"/>
              </w:rPr>
              <w:t xml:space="preserve">Location </w:t>
            </w:r>
            <w:r>
              <w:rPr>
                <w:rFonts w:cs="Times New Roman"/>
                <w:kern w:val="0"/>
                <w:sz w:val="21"/>
                <w:szCs w:val="21"/>
              </w:rPr>
              <w:t>3</w:t>
            </w:r>
          </w:p>
        </w:tc>
        <w:tc>
          <w:tcPr>
            <w:tcW w:w="1135" w:type="dxa"/>
            <w:tcBorders>
              <w:top w:val="single" w:color="auto" w:sz="12" w:space="0"/>
              <w:bottom w:val="single" w:color="auto" w:sz="12" w:space="0"/>
            </w:tcBorders>
            <w:vAlign w:val="center"/>
          </w:tcPr>
          <w:p w14:paraId="761735D0">
            <w:pPr>
              <w:pStyle w:val="16"/>
              <w:spacing w:before="31" w:after="31"/>
              <w:ind w:firstLine="0" w:firstLineChars="0"/>
              <w:jc w:val="center"/>
              <w:rPr>
                <w:rFonts w:cs="Times New Roman"/>
                <w:kern w:val="0"/>
                <w:sz w:val="21"/>
                <w:szCs w:val="21"/>
              </w:rPr>
            </w:pPr>
            <w:r>
              <w:rPr>
                <w:rFonts w:hint="eastAsia" w:cs="Times New Roman"/>
                <w:kern w:val="0"/>
                <w:sz w:val="21"/>
                <w:szCs w:val="21"/>
              </w:rPr>
              <w:t>Average Value</w:t>
            </w:r>
          </w:p>
        </w:tc>
        <w:tc>
          <w:tcPr>
            <w:tcW w:w="1559" w:type="dxa"/>
            <w:tcBorders>
              <w:top w:val="single" w:color="auto" w:sz="12" w:space="0"/>
              <w:bottom w:val="single" w:color="auto" w:sz="12" w:space="0"/>
            </w:tcBorders>
            <w:vAlign w:val="center"/>
          </w:tcPr>
          <w:p w14:paraId="73786904">
            <w:pPr>
              <w:pStyle w:val="16"/>
              <w:spacing w:before="31" w:after="31"/>
              <w:ind w:firstLine="0" w:firstLineChars="0"/>
              <w:jc w:val="center"/>
              <w:rPr>
                <w:rFonts w:cs="Times New Roman"/>
                <w:kern w:val="0"/>
                <w:sz w:val="21"/>
                <w:szCs w:val="21"/>
              </w:rPr>
            </w:pPr>
            <w:r>
              <w:rPr>
                <w:rFonts w:hint="eastAsia" w:cs="Times New Roman"/>
                <w:kern w:val="0"/>
                <w:sz w:val="21"/>
                <w:szCs w:val="21"/>
              </w:rPr>
              <w:t>Remarks</w:t>
            </w:r>
          </w:p>
        </w:tc>
      </w:tr>
      <w:tr w14:paraId="011659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5" w:type="dxa"/>
            <w:tcBorders>
              <w:top w:val="single" w:color="auto" w:sz="12" w:space="0"/>
              <w:bottom w:val="nil"/>
            </w:tcBorders>
            <w:vAlign w:val="center"/>
          </w:tcPr>
          <w:p w14:paraId="582CD82D">
            <w:pPr>
              <w:pStyle w:val="16"/>
              <w:spacing w:before="31" w:after="31"/>
              <w:ind w:firstLine="0" w:firstLineChars="0"/>
              <w:jc w:val="center"/>
              <w:rPr>
                <w:rFonts w:cs="Times New Roman"/>
                <w:kern w:val="0"/>
                <w:sz w:val="21"/>
                <w:szCs w:val="21"/>
              </w:rPr>
            </w:pPr>
            <w:r>
              <w:rPr>
                <w:rFonts w:cs="Times New Roman"/>
                <w:kern w:val="0"/>
                <w:sz w:val="21"/>
                <w:szCs w:val="21"/>
              </w:rPr>
              <w:t>1#</w:t>
            </w:r>
            <w:r>
              <w:rPr>
                <w:rFonts w:hint="eastAsia" w:cs="Times New Roman"/>
                <w:kern w:val="0"/>
                <w:sz w:val="21"/>
                <w:szCs w:val="21"/>
              </w:rPr>
              <w:t>Sample</w:t>
            </w:r>
          </w:p>
        </w:tc>
        <w:tc>
          <w:tcPr>
            <w:tcW w:w="1276" w:type="dxa"/>
            <w:tcBorders>
              <w:top w:val="single" w:color="auto" w:sz="12" w:space="0"/>
              <w:bottom w:val="nil"/>
            </w:tcBorders>
            <w:vAlign w:val="center"/>
          </w:tcPr>
          <w:p w14:paraId="4B6E1B20">
            <w:pPr>
              <w:pStyle w:val="16"/>
              <w:spacing w:before="31" w:after="31"/>
              <w:ind w:firstLine="0" w:firstLineChars="0"/>
              <w:jc w:val="center"/>
              <w:rPr>
                <w:rFonts w:cs="Times New Roman"/>
                <w:kern w:val="0"/>
                <w:sz w:val="21"/>
                <w:szCs w:val="21"/>
              </w:rPr>
            </w:pPr>
            <w:r>
              <w:rPr>
                <w:rFonts w:cs="Times New Roman"/>
                <w:kern w:val="0"/>
                <w:sz w:val="21"/>
                <w:szCs w:val="21"/>
              </w:rPr>
              <w:t>91. 0</w:t>
            </w:r>
          </w:p>
        </w:tc>
        <w:tc>
          <w:tcPr>
            <w:tcW w:w="1276" w:type="dxa"/>
            <w:tcBorders>
              <w:top w:val="single" w:color="auto" w:sz="12" w:space="0"/>
              <w:bottom w:val="nil"/>
            </w:tcBorders>
            <w:vAlign w:val="center"/>
          </w:tcPr>
          <w:p w14:paraId="5A13803A">
            <w:pPr>
              <w:pStyle w:val="16"/>
              <w:spacing w:before="31" w:after="31"/>
              <w:ind w:firstLine="0" w:firstLineChars="0"/>
              <w:jc w:val="center"/>
              <w:rPr>
                <w:rFonts w:cs="Times New Roman"/>
                <w:kern w:val="0"/>
                <w:sz w:val="21"/>
                <w:szCs w:val="21"/>
              </w:rPr>
            </w:pPr>
            <w:r>
              <w:rPr>
                <w:rFonts w:cs="Times New Roman"/>
                <w:kern w:val="0"/>
                <w:sz w:val="21"/>
                <w:szCs w:val="21"/>
              </w:rPr>
              <w:t>92.0</w:t>
            </w:r>
          </w:p>
        </w:tc>
        <w:tc>
          <w:tcPr>
            <w:tcW w:w="1275" w:type="dxa"/>
            <w:tcBorders>
              <w:top w:val="single" w:color="auto" w:sz="12" w:space="0"/>
              <w:bottom w:val="nil"/>
            </w:tcBorders>
            <w:vAlign w:val="center"/>
          </w:tcPr>
          <w:p w14:paraId="392B1699">
            <w:pPr>
              <w:pStyle w:val="16"/>
              <w:spacing w:before="31" w:after="31"/>
              <w:ind w:firstLine="0" w:firstLineChars="0"/>
              <w:jc w:val="center"/>
              <w:rPr>
                <w:rFonts w:cs="Times New Roman"/>
                <w:kern w:val="0"/>
                <w:sz w:val="21"/>
                <w:szCs w:val="21"/>
              </w:rPr>
            </w:pPr>
            <w:r>
              <w:rPr>
                <w:rFonts w:cs="Times New Roman"/>
                <w:kern w:val="0"/>
                <w:sz w:val="21"/>
                <w:szCs w:val="21"/>
              </w:rPr>
              <w:t>92.0</w:t>
            </w:r>
          </w:p>
        </w:tc>
        <w:tc>
          <w:tcPr>
            <w:tcW w:w="1135" w:type="dxa"/>
            <w:tcBorders>
              <w:top w:val="single" w:color="auto" w:sz="12" w:space="0"/>
              <w:bottom w:val="nil"/>
            </w:tcBorders>
            <w:vAlign w:val="center"/>
          </w:tcPr>
          <w:p w14:paraId="450ECA24">
            <w:pPr>
              <w:pStyle w:val="16"/>
              <w:spacing w:before="31" w:after="31"/>
              <w:ind w:firstLine="0" w:firstLineChars="0"/>
              <w:jc w:val="center"/>
              <w:rPr>
                <w:rFonts w:cs="Times New Roman"/>
                <w:kern w:val="0"/>
                <w:sz w:val="21"/>
                <w:szCs w:val="21"/>
              </w:rPr>
            </w:pPr>
            <w:r>
              <w:rPr>
                <w:rFonts w:cs="Times New Roman"/>
                <w:kern w:val="0"/>
                <w:sz w:val="21"/>
                <w:szCs w:val="21"/>
              </w:rPr>
              <w:t>91.7</w:t>
            </w:r>
          </w:p>
        </w:tc>
        <w:tc>
          <w:tcPr>
            <w:tcW w:w="1559" w:type="dxa"/>
            <w:tcBorders>
              <w:top w:val="single" w:color="auto" w:sz="12" w:space="0"/>
              <w:bottom w:val="nil"/>
            </w:tcBorders>
            <w:vAlign w:val="center"/>
          </w:tcPr>
          <w:p w14:paraId="636DA9C2">
            <w:pPr>
              <w:pStyle w:val="16"/>
              <w:spacing w:before="31" w:after="31"/>
              <w:ind w:firstLine="0" w:firstLineChars="0"/>
              <w:jc w:val="center"/>
              <w:rPr>
                <w:rFonts w:cs="Times New Roman"/>
                <w:kern w:val="0"/>
                <w:sz w:val="21"/>
                <w:szCs w:val="21"/>
              </w:rPr>
            </w:pPr>
            <w:r>
              <w:rPr>
                <w:rFonts w:hint="eastAsia" w:cs="Times New Roman"/>
                <w:kern w:val="0"/>
                <w:sz w:val="21"/>
                <w:szCs w:val="21"/>
              </w:rPr>
              <w:t>Heat exchange area</w:t>
            </w:r>
          </w:p>
        </w:tc>
      </w:tr>
      <w:tr w14:paraId="0D68E3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5" w:type="dxa"/>
            <w:tcBorders>
              <w:top w:val="nil"/>
              <w:bottom w:val="single" w:color="auto" w:sz="12" w:space="0"/>
            </w:tcBorders>
            <w:vAlign w:val="center"/>
          </w:tcPr>
          <w:p w14:paraId="517F337C">
            <w:pPr>
              <w:pStyle w:val="16"/>
              <w:spacing w:before="31" w:after="31"/>
              <w:ind w:firstLine="0" w:firstLineChars="0"/>
              <w:jc w:val="center"/>
              <w:rPr>
                <w:rFonts w:cs="Times New Roman"/>
                <w:kern w:val="0"/>
                <w:sz w:val="21"/>
                <w:szCs w:val="21"/>
              </w:rPr>
            </w:pPr>
            <w:r>
              <w:rPr>
                <w:rFonts w:cs="Times New Roman"/>
                <w:kern w:val="0"/>
                <w:sz w:val="21"/>
                <w:szCs w:val="21"/>
              </w:rPr>
              <w:t>2#</w:t>
            </w:r>
            <w:r>
              <w:rPr>
                <w:rFonts w:hint="eastAsia" w:cs="Times New Roman"/>
                <w:kern w:val="0"/>
                <w:sz w:val="21"/>
                <w:szCs w:val="21"/>
              </w:rPr>
              <w:t>Sample</w:t>
            </w:r>
          </w:p>
        </w:tc>
        <w:tc>
          <w:tcPr>
            <w:tcW w:w="1276" w:type="dxa"/>
            <w:tcBorders>
              <w:top w:val="nil"/>
              <w:bottom w:val="single" w:color="auto" w:sz="12" w:space="0"/>
            </w:tcBorders>
            <w:vAlign w:val="center"/>
          </w:tcPr>
          <w:p w14:paraId="17E6F01F">
            <w:pPr>
              <w:pStyle w:val="16"/>
              <w:spacing w:before="31" w:after="31"/>
              <w:ind w:firstLine="0" w:firstLineChars="0"/>
              <w:jc w:val="center"/>
              <w:rPr>
                <w:rFonts w:cs="Times New Roman"/>
                <w:kern w:val="0"/>
                <w:sz w:val="21"/>
                <w:szCs w:val="21"/>
              </w:rPr>
            </w:pPr>
            <w:r>
              <w:rPr>
                <w:rFonts w:cs="Times New Roman"/>
                <w:kern w:val="0"/>
                <w:sz w:val="21"/>
                <w:szCs w:val="21"/>
              </w:rPr>
              <w:t>162. 0</w:t>
            </w:r>
          </w:p>
        </w:tc>
        <w:tc>
          <w:tcPr>
            <w:tcW w:w="1276" w:type="dxa"/>
            <w:tcBorders>
              <w:top w:val="nil"/>
              <w:bottom w:val="single" w:color="auto" w:sz="12" w:space="0"/>
            </w:tcBorders>
            <w:vAlign w:val="center"/>
          </w:tcPr>
          <w:p w14:paraId="11968C90">
            <w:pPr>
              <w:pStyle w:val="16"/>
              <w:spacing w:before="31" w:after="31"/>
              <w:ind w:firstLine="0" w:firstLineChars="0"/>
              <w:jc w:val="center"/>
              <w:rPr>
                <w:rFonts w:cs="Times New Roman"/>
                <w:kern w:val="0"/>
                <w:sz w:val="21"/>
                <w:szCs w:val="21"/>
              </w:rPr>
            </w:pPr>
            <w:r>
              <w:rPr>
                <w:rFonts w:cs="Times New Roman"/>
                <w:kern w:val="0"/>
                <w:sz w:val="21"/>
                <w:szCs w:val="21"/>
              </w:rPr>
              <w:t>164.0</w:t>
            </w:r>
          </w:p>
        </w:tc>
        <w:tc>
          <w:tcPr>
            <w:tcW w:w="1275" w:type="dxa"/>
            <w:tcBorders>
              <w:top w:val="nil"/>
              <w:bottom w:val="single" w:color="auto" w:sz="12" w:space="0"/>
            </w:tcBorders>
            <w:vAlign w:val="center"/>
          </w:tcPr>
          <w:p w14:paraId="579B25BC">
            <w:pPr>
              <w:pStyle w:val="16"/>
              <w:spacing w:before="31" w:after="31"/>
              <w:ind w:firstLine="0" w:firstLineChars="0"/>
              <w:jc w:val="center"/>
              <w:rPr>
                <w:rFonts w:cs="Times New Roman"/>
                <w:kern w:val="0"/>
                <w:sz w:val="21"/>
                <w:szCs w:val="21"/>
              </w:rPr>
            </w:pPr>
            <w:r>
              <w:rPr>
                <w:rFonts w:cs="Times New Roman"/>
                <w:kern w:val="0"/>
                <w:sz w:val="21"/>
                <w:szCs w:val="21"/>
              </w:rPr>
              <w:t>162.0</w:t>
            </w:r>
          </w:p>
        </w:tc>
        <w:tc>
          <w:tcPr>
            <w:tcW w:w="1135" w:type="dxa"/>
            <w:tcBorders>
              <w:top w:val="nil"/>
              <w:bottom w:val="single" w:color="auto" w:sz="12" w:space="0"/>
            </w:tcBorders>
            <w:vAlign w:val="center"/>
          </w:tcPr>
          <w:p w14:paraId="76038AB0">
            <w:pPr>
              <w:pStyle w:val="16"/>
              <w:spacing w:before="31" w:after="31"/>
              <w:ind w:firstLine="0" w:firstLineChars="0"/>
              <w:jc w:val="center"/>
              <w:rPr>
                <w:rFonts w:cs="Times New Roman"/>
                <w:kern w:val="0"/>
                <w:sz w:val="21"/>
                <w:szCs w:val="21"/>
              </w:rPr>
            </w:pPr>
            <w:r>
              <w:rPr>
                <w:rFonts w:cs="Times New Roman"/>
                <w:kern w:val="0"/>
                <w:sz w:val="21"/>
                <w:szCs w:val="21"/>
              </w:rPr>
              <w:t>162.7</w:t>
            </w:r>
          </w:p>
        </w:tc>
        <w:tc>
          <w:tcPr>
            <w:tcW w:w="1559" w:type="dxa"/>
            <w:tcBorders>
              <w:top w:val="nil"/>
              <w:bottom w:val="single" w:color="auto" w:sz="12" w:space="0"/>
            </w:tcBorders>
            <w:vAlign w:val="center"/>
          </w:tcPr>
          <w:p w14:paraId="00EC89A3">
            <w:pPr>
              <w:pStyle w:val="16"/>
              <w:spacing w:before="31" w:after="31"/>
              <w:ind w:firstLine="0" w:firstLineChars="0"/>
              <w:jc w:val="center"/>
              <w:rPr>
                <w:rFonts w:cs="Times New Roman"/>
                <w:kern w:val="0"/>
                <w:sz w:val="21"/>
                <w:szCs w:val="21"/>
              </w:rPr>
            </w:pPr>
            <w:r>
              <w:rPr>
                <w:rFonts w:hint="eastAsia" w:cs="Times New Roman"/>
                <w:kern w:val="0"/>
                <w:sz w:val="21"/>
                <w:szCs w:val="21"/>
              </w:rPr>
              <w:t>Stamped protrusion area</w:t>
            </w:r>
          </w:p>
        </w:tc>
      </w:tr>
    </w:tbl>
    <w:p w14:paraId="0BFB8C15">
      <w:pPr>
        <w:pStyle w:val="16"/>
        <w:spacing w:before="31" w:after="31"/>
        <w:ind w:firstLine="480"/>
        <w:rPr>
          <w:szCs w:val="24"/>
        </w:rPr>
      </w:pPr>
      <w:r>
        <w:rPr>
          <w:rFonts w:hint="eastAsia"/>
          <w:szCs w:val="24"/>
        </w:rPr>
        <w:t>(d) Plate Surface Composition</w:t>
      </w:r>
    </w:p>
    <w:p w14:paraId="4C39AFF9">
      <w:pPr>
        <w:pStyle w:val="16"/>
        <w:spacing w:before="31" w:after="31"/>
        <w:ind w:firstLine="480"/>
        <w:rPr>
          <w:szCs w:val="24"/>
        </w:rPr>
      </w:pPr>
      <w:r>
        <w:rPr>
          <w:rFonts w:hint="eastAsia"/>
          <w:szCs w:val="24"/>
        </w:rPr>
        <w:t>Chlorine ion (Cl-) content near the crack-concentrated cold and hot fluid channel sealing gasket is shown in Table 2-13.</w:t>
      </w:r>
    </w:p>
    <w:p w14:paraId="6E265886">
      <w:pPr>
        <w:pStyle w:val="22"/>
        <w:spacing w:before="156" w:after="468"/>
        <w:jc w:val="both"/>
        <w:rPr>
          <w:rFonts w:eastAsia="宋体"/>
        </w:rPr>
      </w:pPr>
      <w:r>
        <w:rPr>
          <w:rFonts w:eastAsia="宋体"/>
        </w:rPr>
        <w:t>Figure 2-12.1 Sample for Cl- Analysis of the External Surface of the Crack</w:t>
      </w:r>
    </w:p>
    <w:p w14:paraId="501EF74D">
      <w:pPr>
        <w:pStyle w:val="20"/>
        <w:spacing w:before="468" w:after="156"/>
        <w:ind w:firstLine="2530" w:firstLineChars="1200"/>
        <w:jc w:val="left"/>
        <w:rPr>
          <w:rFonts w:eastAsia="宋体"/>
          <w:szCs w:val="21"/>
        </w:rPr>
      </w:pPr>
      <w:r>
        <w:rPr>
          <w:rFonts w:hint="eastAsia" w:eastAsia="宋体"/>
          <w:szCs w:val="21"/>
        </w:rPr>
        <w:t>Table 2-13 Analysis Results of Cl- Content on Plate Surface</w:t>
      </w:r>
    </w:p>
    <w:tbl>
      <w:tblPr>
        <w:tblStyle w:val="9"/>
        <w:tblW w:w="0" w:type="auto"/>
        <w:tblInd w:w="392"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78"/>
        <w:gridCol w:w="1382"/>
        <w:gridCol w:w="1701"/>
        <w:gridCol w:w="2693"/>
      </w:tblGrid>
      <w:tr w14:paraId="0EC26C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8" w:type="dxa"/>
            <w:tcBorders>
              <w:top w:val="single" w:color="auto" w:sz="12" w:space="0"/>
              <w:bottom w:val="single" w:color="auto" w:sz="12" w:space="0"/>
            </w:tcBorders>
            <w:vAlign w:val="center"/>
          </w:tcPr>
          <w:p w14:paraId="4F023118">
            <w:pPr>
              <w:pStyle w:val="16"/>
              <w:spacing w:before="31" w:after="31"/>
              <w:ind w:firstLine="0" w:firstLineChars="0"/>
              <w:jc w:val="center"/>
              <w:rPr>
                <w:rFonts w:cs="Times New Roman"/>
                <w:kern w:val="0"/>
                <w:sz w:val="21"/>
                <w:szCs w:val="21"/>
              </w:rPr>
            </w:pPr>
            <w:r>
              <w:rPr>
                <w:rFonts w:hint="eastAsia" w:cs="Times New Roman"/>
                <w:kern w:val="0"/>
                <w:sz w:val="21"/>
                <w:szCs w:val="21"/>
              </w:rPr>
              <w:t>Sample No.</w:t>
            </w:r>
          </w:p>
        </w:tc>
        <w:tc>
          <w:tcPr>
            <w:tcW w:w="1382" w:type="dxa"/>
            <w:tcBorders>
              <w:top w:val="single" w:color="auto" w:sz="12" w:space="0"/>
              <w:bottom w:val="single" w:color="auto" w:sz="12" w:space="0"/>
            </w:tcBorders>
            <w:vAlign w:val="center"/>
          </w:tcPr>
          <w:p w14:paraId="222243AE">
            <w:pPr>
              <w:pStyle w:val="16"/>
              <w:spacing w:before="31" w:after="31"/>
              <w:ind w:firstLine="0" w:firstLineChars="0"/>
              <w:jc w:val="center"/>
              <w:rPr>
                <w:rFonts w:cs="Times New Roman"/>
                <w:kern w:val="0"/>
                <w:sz w:val="21"/>
                <w:szCs w:val="21"/>
              </w:rPr>
            </w:pPr>
            <w:r>
              <w:rPr>
                <w:rFonts w:hint="eastAsia" w:cs="Times New Roman"/>
                <w:kern w:val="0"/>
                <w:sz w:val="21"/>
                <w:szCs w:val="21"/>
              </w:rPr>
              <w:t>Total Surface Area</w:t>
            </w:r>
            <w:r>
              <w:rPr>
                <w:rFonts w:cs="Times New Roman"/>
                <w:kern w:val="0"/>
                <w:sz w:val="21"/>
                <w:szCs w:val="21"/>
              </w:rPr>
              <w:t>/m</w:t>
            </w:r>
            <w:r>
              <w:rPr>
                <w:rFonts w:cs="Times New Roman"/>
                <w:kern w:val="0"/>
                <w:sz w:val="21"/>
                <w:szCs w:val="21"/>
                <w:vertAlign w:val="superscript"/>
              </w:rPr>
              <w:t>2</w:t>
            </w:r>
          </w:p>
        </w:tc>
        <w:tc>
          <w:tcPr>
            <w:tcW w:w="1701" w:type="dxa"/>
            <w:tcBorders>
              <w:top w:val="single" w:color="auto" w:sz="12" w:space="0"/>
              <w:bottom w:val="single" w:color="auto" w:sz="12" w:space="0"/>
            </w:tcBorders>
            <w:vAlign w:val="center"/>
          </w:tcPr>
          <w:p w14:paraId="178B3B83">
            <w:pPr>
              <w:pStyle w:val="16"/>
              <w:spacing w:before="31" w:after="31"/>
              <w:ind w:firstLine="0" w:firstLineChars="0"/>
              <w:jc w:val="center"/>
              <w:rPr>
                <w:rFonts w:cs="Times New Roman"/>
                <w:kern w:val="0"/>
                <w:sz w:val="21"/>
                <w:szCs w:val="21"/>
              </w:rPr>
            </w:pPr>
            <w:r>
              <w:rPr>
                <w:rFonts w:hint="eastAsia" w:cs="Times New Roman"/>
                <w:kern w:val="0"/>
                <w:sz w:val="21"/>
                <w:szCs w:val="21"/>
              </w:rPr>
              <w:t>Cl- Total</w:t>
            </w:r>
            <w:r>
              <w:rPr>
                <w:rFonts w:cs="Times New Roman"/>
                <w:kern w:val="0"/>
                <w:sz w:val="21"/>
                <w:szCs w:val="21"/>
              </w:rPr>
              <w:t>/ug</w:t>
            </w:r>
          </w:p>
        </w:tc>
        <w:tc>
          <w:tcPr>
            <w:tcW w:w="2693" w:type="dxa"/>
            <w:tcBorders>
              <w:top w:val="single" w:color="auto" w:sz="12" w:space="0"/>
              <w:bottom w:val="single" w:color="auto" w:sz="12" w:space="0"/>
            </w:tcBorders>
            <w:vAlign w:val="center"/>
          </w:tcPr>
          <w:p w14:paraId="5376C723">
            <w:pPr>
              <w:pStyle w:val="16"/>
              <w:spacing w:before="31" w:after="31"/>
              <w:ind w:right="-248" w:rightChars="-118" w:firstLine="0" w:firstLineChars="0"/>
              <w:jc w:val="center"/>
              <w:rPr>
                <w:rFonts w:cs="Times New Roman"/>
                <w:kern w:val="0"/>
                <w:sz w:val="21"/>
                <w:szCs w:val="21"/>
              </w:rPr>
            </w:pPr>
            <w:r>
              <w:rPr>
                <w:rFonts w:hint="eastAsia" w:cs="Times New Roman"/>
                <w:kern w:val="0"/>
                <w:sz w:val="21"/>
                <w:szCs w:val="21"/>
              </w:rPr>
              <w:t>Cl- Total per Unit Area</w:t>
            </w:r>
            <w:r>
              <w:rPr>
                <w:rFonts w:cs="Times New Roman"/>
                <w:kern w:val="0"/>
                <w:sz w:val="21"/>
                <w:szCs w:val="21"/>
              </w:rPr>
              <w:t>/mg·m</w:t>
            </w:r>
            <w:r>
              <w:rPr>
                <w:rFonts w:cs="Times New Roman"/>
                <w:kern w:val="0"/>
                <w:sz w:val="21"/>
                <w:szCs w:val="21"/>
                <w:vertAlign w:val="superscript"/>
              </w:rPr>
              <w:t>-2</w:t>
            </w:r>
          </w:p>
        </w:tc>
      </w:tr>
      <w:tr w14:paraId="70E1C4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8" w:type="dxa"/>
            <w:tcBorders>
              <w:top w:val="single" w:color="auto" w:sz="12" w:space="0"/>
              <w:bottom w:val="nil"/>
            </w:tcBorders>
            <w:vAlign w:val="center"/>
          </w:tcPr>
          <w:p w14:paraId="53CB00BD">
            <w:pPr>
              <w:pStyle w:val="16"/>
              <w:spacing w:before="31" w:after="31"/>
              <w:ind w:firstLine="0" w:firstLineChars="0"/>
              <w:jc w:val="center"/>
              <w:rPr>
                <w:rFonts w:cs="Times New Roman"/>
                <w:kern w:val="0"/>
                <w:sz w:val="21"/>
                <w:szCs w:val="21"/>
              </w:rPr>
            </w:pPr>
            <w:r>
              <w:rPr>
                <w:rFonts w:cs="Times New Roman"/>
                <w:kern w:val="0"/>
                <w:sz w:val="21"/>
                <w:szCs w:val="21"/>
              </w:rPr>
              <w:t>1#</w:t>
            </w:r>
            <w:r>
              <w:rPr>
                <w:rFonts w:hint="eastAsia" w:cs="Times New Roman"/>
                <w:kern w:val="0"/>
                <w:sz w:val="21"/>
                <w:szCs w:val="21"/>
              </w:rPr>
              <w:t>Sample</w:t>
            </w:r>
          </w:p>
        </w:tc>
        <w:tc>
          <w:tcPr>
            <w:tcW w:w="1382" w:type="dxa"/>
            <w:tcBorders>
              <w:top w:val="single" w:color="auto" w:sz="12" w:space="0"/>
              <w:bottom w:val="nil"/>
            </w:tcBorders>
            <w:vAlign w:val="center"/>
          </w:tcPr>
          <w:p w14:paraId="2DE8303F">
            <w:pPr>
              <w:pStyle w:val="16"/>
              <w:spacing w:before="31" w:after="31"/>
              <w:ind w:firstLine="0" w:firstLineChars="0"/>
              <w:jc w:val="center"/>
              <w:rPr>
                <w:rFonts w:cs="Times New Roman"/>
                <w:kern w:val="0"/>
                <w:sz w:val="21"/>
                <w:szCs w:val="21"/>
              </w:rPr>
            </w:pPr>
            <w:r>
              <w:rPr>
                <w:rFonts w:cs="Times New Roman"/>
                <w:kern w:val="0"/>
                <w:sz w:val="21"/>
                <w:szCs w:val="21"/>
              </w:rPr>
              <w:t>5916</w:t>
            </w:r>
          </w:p>
        </w:tc>
        <w:tc>
          <w:tcPr>
            <w:tcW w:w="1701" w:type="dxa"/>
            <w:tcBorders>
              <w:top w:val="single" w:color="auto" w:sz="12" w:space="0"/>
              <w:bottom w:val="nil"/>
            </w:tcBorders>
            <w:vAlign w:val="center"/>
          </w:tcPr>
          <w:p w14:paraId="3F8FB5B5">
            <w:pPr>
              <w:pStyle w:val="16"/>
              <w:spacing w:before="31" w:after="31"/>
              <w:ind w:firstLine="0" w:firstLineChars="0"/>
              <w:jc w:val="center"/>
              <w:rPr>
                <w:rFonts w:cs="Times New Roman"/>
                <w:kern w:val="0"/>
                <w:sz w:val="21"/>
                <w:szCs w:val="21"/>
              </w:rPr>
            </w:pPr>
            <w:r>
              <w:rPr>
                <w:rFonts w:cs="Times New Roman"/>
                <w:kern w:val="0"/>
                <w:sz w:val="21"/>
                <w:szCs w:val="21"/>
              </w:rPr>
              <w:t>48.0</w:t>
            </w:r>
          </w:p>
        </w:tc>
        <w:tc>
          <w:tcPr>
            <w:tcW w:w="2693" w:type="dxa"/>
            <w:tcBorders>
              <w:top w:val="single" w:color="auto" w:sz="12" w:space="0"/>
              <w:bottom w:val="nil"/>
            </w:tcBorders>
            <w:vAlign w:val="center"/>
          </w:tcPr>
          <w:p w14:paraId="073AABE9">
            <w:pPr>
              <w:pStyle w:val="16"/>
              <w:spacing w:before="31" w:after="31"/>
              <w:ind w:firstLine="0" w:firstLineChars="0"/>
              <w:jc w:val="center"/>
              <w:rPr>
                <w:rFonts w:cs="Times New Roman"/>
                <w:kern w:val="0"/>
                <w:sz w:val="21"/>
                <w:szCs w:val="21"/>
              </w:rPr>
            </w:pPr>
            <w:r>
              <w:rPr>
                <w:rFonts w:cs="Times New Roman"/>
                <w:kern w:val="0"/>
                <w:sz w:val="21"/>
                <w:szCs w:val="21"/>
              </w:rPr>
              <w:t>8.114</w:t>
            </w:r>
          </w:p>
        </w:tc>
      </w:tr>
      <w:tr w14:paraId="708BF3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8" w:type="dxa"/>
            <w:tcBorders>
              <w:top w:val="nil"/>
              <w:bottom w:val="single" w:color="auto" w:sz="12" w:space="0"/>
            </w:tcBorders>
            <w:vAlign w:val="center"/>
          </w:tcPr>
          <w:p w14:paraId="203233A6">
            <w:pPr>
              <w:pStyle w:val="16"/>
              <w:spacing w:before="31" w:after="31"/>
              <w:ind w:firstLine="0" w:firstLineChars="0"/>
              <w:jc w:val="center"/>
              <w:rPr>
                <w:rFonts w:cs="Times New Roman"/>
                <w:kern w:val="0"/>
                <w:sz w:val="21"/>
                <w:szCs w:val="21"/>
              </w:rPr>
            </w:pPr>
            <w:r>
              <w:rPr>
                <w:rFonts w:cs="Times New Roman"/>
                <w:kern w:val="0"/>
                <w:sz w:val="21"/>
                <w:szCs w:val="21"/>
              </w:rPr>
              <w:t>2#</w:t>
            </w:r>
            <w:r>
              <w:rPr>
                <w:rFonts w:hint="eastAsia" w:cs="Times New Roman"/>
                <w:kern w:val="0"/>
                <w:sz w:val="21"/>
                <w:szCs w:val="21"/>
              </w:rPr>
              <w:t>Sample</w:t>
            </w:r>
          </w:p>
        </w:tc>
        <w:tc>
          <w:tcPr>
            <w:tcW w:w="1382" w:type="dxa"/>
            <w:tcBorders>
              <w:top w:val="nil"/>
              <w:bottom w:val="single" w:color="auto" w:sz="12" w:space="0"/>
            </w:tcBorders>
            <w:vAlign w:val="center"/>
          </w:tcPr>
          <w:p w14:paraId="40F438E7">
            <w:pPr>
              <w:pStyle w:val="16"/>
              <w:spacing w:before="31" w:after="31"/>
              <w:ind w:firstLine="0" w:firstLineChars="0"/>
              <w:jc w:val="center"/>
              <w:rPr>
                <w:rFonts w:cs="Times New Roman"/>
                <w:kern w:val="0"/>
                <w:sz w:val="21"/>
                <w:szCs w:val="21"/>
              </w:rPr>
            </w:pPr>
            <w:r>
              <w:rPr>
                <w:rFonts w:cs="Times New Roman"/>
                <w:kern w:val="0"/>
                <w:sz w:val="21"/>
                <w:szCs w:val="21"/>
              </w:rPr>
              <w:t>86107</w:t>
            </w:r>
          </w:p>
        </w:tc>
        <w:tc>
          <w:tcPr>
            <w:tcW w:w="1701" w:type="dxa"/>
            <w:tcBorders>
              <w:top w:val="nil"/>
              <w:bottom w:val="single" w:color="auto" w:sz="12" w:space="0"/>
            </w:tcBorders>
            <w:vAlign w:val="center"/>
          </w:tcPr>
          <w:p w14:paraId="7437C856">
            <w:pPr>
              <w:pStyle w:val="16"/>
              <w:spacing w:before="31" w:after="31"/>
              <w:ind w:firstLine="0" w:firstLineChars="0"/>
              <w:jc w:val="center"/>
              <w:rPr>
                <w:rFonts w:cs="Times New Roman"/>
                <w:kern w:val="0"/>
                <w:sz w:val="21"/>
                <w:szCs w:val="21"/>
              </w:rPr>
            </w:pPr>
            <w:r>
              <w:rPr>
                <w:rFonts w:cs="Times New Roman"/>
                <w:kern w:val="0"/>
                <w:sz w:val="21"/>
                <w:szCs w:val="21"/>
              </w:rPr>
              <w:t>504</w:t>
            </w:r>
          </w:p>
        </w:tc>
        <w:tc>
          <w:tcPr>
            <w:tcW w:w="2693" w:type="dxa"/>
            <w:tcBorders>
              <w:top w:val="nil"/>
              <w:bottom w:val="single" w:color="auto" w:sz="12" w:space="0"/>
            </w:tcBorders>
            <w:vAlign w:val="center"/>
          </w:tcPr>
          <w:p w14:paraId="1B0D83F4">
            <w:pPr>
              <w:pStyle w:val="16"/>
              <w:spacing w:before="31" w:after="31"/>
              <w:ind w:firstLine="0" w:firstLineChars="0"/>
              <w:jc w:val="center"/>
              <w:rPr>
                <w:rFonts w:cs="Times New Roman"/>
                <w:kern w:val="0"/>
                <w:sz w:val="21"/>
                <w:szCs w:val="21"/>
              </w:rPr>
            </w:pPr>
            <w:r>
              <w:rPr>
                <w:rFonts w:cs="Times New Roman"/>
                <w:kern w:val="0"/>
                <w:sz w:val="21"/>
                <w:szCs w:val="21"/>
              </w:rPr>
              <w:t>5.853</w:t>
            </w:r>
          </w:p>
        </w:tc>
      </w:tr>
    </w:tbl>
    <w:p w14:paraId="43F9B630">
      <w:pPr>
        <w:pStyle w:val="16"/>
        <w:spacing w:before="31" w:after="31"/>
        <w:ind w:firstLine="480"/>
        <w:rPr>
          <w:szCs w:val="24"/>
        </w:rPr>
      </w:pPr>
    </w:p>
    <w:p w14:paraId="5DCF1A97">
      <w:pPr>
        <w:pStyle w:val="16"/>
        <w:spacing w:before="31" w:after="31"/>
        <w:ind w:firstLine="0" w:firstLineChars="0"/>
        <w:rPr>
          <w:szCs w:val="24"/>
        </w:rPr>
      </w:pPr>
      <w:r>
        <w:rPr>
          <w:rFonts w:hint="eastAsia"/>
          <w:szCs w:val="24"/>
        </w:rPr>
        <w:t>(5) Component Failure Morphology</w:t>
      </w:r>
    </w:p>
    <w:p w14:paraId="6D3BF3CF">
      <w:pPr>
        <w:pStyle w:val="16"/>
        <w:spacing w:before="31" w:after="31"/>
        <w:ind w:firstLine="480"/>
        <w:rPr>
          <w:szCs w:val="24"/>
        </w:rPr>
      </w:pPr>
      <w:r>
        <w:rPr>
          <w:rFonts w:hint="eastAsia"/>
          <w:szCs w:val="24"/>
        </w:rPr>
        <w:t>(a) Macroscopic Morphology</w:t>
      </w:r>
    </w:p>
    <w:p w14:paraId="30054E0D">
      <w:pPr>
        <w:pStyle w:val="16"/>
        <w:spacing w:before="31" w:after="31"/>
        <w:ind w:firstLine="480"/>
        <w:rPr>
          <w:szCs w:val="24"/>
        </w:rPr>
      </w:pPr>
      <w:r>
        <w:rPr>
          <w:rFonts w:hint="eastAsia"/>
          <w:szCs w:val="24"/>
        </w:rPr>
        <w:t>Macroscopic examination of the samples revealed that: ① Cracks are primarily distributed along the plate's sealing gasket, and cracks are accompanied by sealing adhesive. Cracks are located on the sealing surface of the plate's cold-formed protrusion, with no apparent plastic deformation near the cracks. ② Deposits of scale were found in dead flow corners near the cracks. ③ Cracks occurred on the sealing surface of the cold and hot fluid channel mouths, with the main cracks parallel to the sealing gasket but exhibiting significant branching. ④ No cracks or perforations were found in the stamped ridge-shaped corrugated flow groove, which serves as the main heat transfer surface of the heat exchanger plate, as shown in Figure 2-12.1.</w:t>
      </w:r>
    </w:p>
    <w:p w14:paraId="56901A52">
      <w:pPr>
        <w:pStyle w:val="16"/>
        <w:spacing w:before="31" w:after="31"/>
        <w:ind w:firstLine="480"/>
        <w:rPr>
          <w:szCs w:val="24"/>
        </w:rPr>
      </w:pPr>
      <w:r>
        <w:rPr>
          <w:rFonts w:hint="eastAsia"/>
          <w:szCs w:val="24"/>
        </w:rPr>
        <w:t>(b) Microscopic Morphology</w:t>
      </w:r>
    </w:p>
    <w:p w14:paraId="714E8E35">
      <w:pPr>
        <w:pStyle w:val="16"/>
        <w:spacing w:before="31" w:after="31"/>
        <w:ind w:firstLine="480"/>
        <w:rPr>
          <w:szCs w:val="24"/>
        </w:rPr>
      </w:pPr>
      <w:r>
        <w:rPr>
          <w:rFonts w:hint="eastAsia"/>
          <w:szCs w:val="24"/>
        </w:rPr>
        <w:t>Microscopic examination of the plate heat exchanger revealed that: ① The uncorroded microstructure near the crack tip shows a clear dendritic pattern of crack extension, with no apparent macroscopic signs of deformation near the crack. The cracks exhibit basic features of stress corrosion, as shown in Figure 2-12.2a. ② The metallographic structure of the plate heat exchanger consists of equiaxed austenite grains, with relatively uniform grains, mainly along-grain, and occasional transgranular cracks. Corrosion signs are evident at the crack tips, as shown in Figure 2-12.2b.</w:t>
      </w:r>
    </w:p>
    <w:p w14:paraId="73E3F22E">
      <w:pPr>
        <w:pStyle w:val="22"/>
        <w:spacing w:before="156" w:after="31" w:afterLines="10"/>
        <w:rPr>
          <w:rFonts w:eastAsia="宋体"/>
        </w:rPr>
      </w:pPr>
      <w:r>
        <w:rPr>
          <w:rFonts w:hint="eastAsia" w:eastAsia="宋体"/>
        </w:rPr>
        <w:t>(a) Uncorroded Sample           | (b) Corroded Sample</w:t>
      </w:r>
    </w:p>
    <w:p w14:paraId="0ACECB9F">
      <w:pPr>
        <w:pStyle w:val="22"/>
        <w:spacing w:before="156" w:after="468"/>
        <w:rPr>
          <w:rFonts w:eastAsia="宋体"/>
          <w:sz w:val="24"/>
        </w:rPr>
      </w:pPr>
      <w:r>
        <w:rPr>
          <w:rFonts w:hint="eastAsia" w:eastAsia="宋体"/>
        </w:rPr>
        <w:t>Figure 2-12.2 Crack Tip Morphology</w:t>
      </w:r>
    </w:p>
    <w:p w14:paraId="3A663E72">
      <w:pPr>
        <w:pStyle w:val="16"/>
        <w:spacing w:before="31" w:after="31"/>
        <w:ind w:firstLine="480"/>
        <w:rPr>
          <w:szCs w:val="24"/>
        </w:rPr>
      </w:pPr>
      <w:r>
        <w:rPr>
          <w:rFonts w:hint="eastAsia"/>
          <w:szCs w:val="24"/>
        </w:rPr>
        <w:t>Microscopic analysis revealed: ① The plate surface exhibits a dense distribution of granular structures, representing the main material grains. Cracks propagate along the grain boundaries. ② Numerous fissures similar to secondary cracks were found on the plate surface, indicating a porous structure and severe medium corrosion, with significant intergranular corrosion. ③ The fracture surface shows a significant presence of blocky structures resembling sugar cubes, indicating characteristics of brittle cracks, with corrosion product coverage near the fracture, as shown in Figure 2-12.3. ④ The cracks penetrated the plate wall thickness.</w:t>
      </w:r>
    </w:p>
    <w:p w14:paraId="7DE4B723">
      <w:pPr>
        <w:pStyle w:val="22"/>
        <w:spacing w:before="156" w:after="468"/>
        <w:rPr>
          <w:rFonts w:eastAsia="宋体"/>
        </w:rPr>
      </w:pPr>
      <w:r>
        <w:rPr>
          <w:rFonts w:hint="eastAsia" w:eastAsia="宋体"/>
        </w:rPr>
        <w:t>Figure 2-12.3 Secondary Cracks on the Plate Surface</w:t>
      </w:r>
    </w:p>
    <w:p w14:paraId="60E19311">
      <w:pPr>
        <w:pStyle w:val="22"/>
        <w:spacing w:before="156" w:after="468"/>
        <w:rPr>
          <w:rFonts w:eastAsia="宋体"/>
        </w:rPr>
      </w:pPr>
      <w:r>
        <w:rPr>
          <w:rFonts w:hint="eastAsia" w:eastAsia="宋体"/>
        </w:rPr>
        <w:t>Figure 2-12.4 Artificially Separated Port Fracture Surface</w:t>
      </w:r>
    </w:p>
    <w:p w14:paraId="48D3E2F8">
      <w:pPr>
        <w:pStyle w:val="16"/>
        <w:spacing w:before="31" w:after="31"/>
        <w:ind w:firstLine="0" w:firstLineChars="0"/>
        <w:rPr>
          <w:szCs w:val="24"/>
        </w:rPr>
      </w:pPr>
      <w:r>
        <w:rPr>
          <w:rFonts w:hint="eastAsia"/>
          <w:szCs w:val="24"/>
        </w:rPr>
        <w:t>(6) Analysis of Failure Causes</w:t>
      </w:r>
    </w:p>
    <w:p w14:paraId="03B71E3D">
      <w:pPr>
        <w:pStyle w:val="16"/>
        <w:spacing w:before="31" w:after="31"/>
        <w:ind w:firstLine="480"/>
        <w:rPr>
          <w:szCs w:val="24"/>
        </w:rPr>
      </w:pPr>
      <w:r>
        <w:rPr>
          <w:rFonts w:hint="eastAsia"/>
          <w:szCs w:val="24"/>
        </w:rPr>
        <w:t>The main reason for leakage on the sealing surface of the heat exchanger plate is the high residual cold working stress in the sealing surface itself. Under operating conditions, there is high stress in the sealing surface, and elements such as Cl and S in the neoprene adhesive tend to precipitate at operating temperatures. This leads to stress corrosion in austenitic stainless steel.</w:t>
      </w:r>
    </w:p>
    <w:p w14:paraId="230FAAFB">
      <w:pPr>
        <w:pStyle w:val="16"/>
        <w:spacing w:before="31" w:after="31"/>
        <w:ind w:firstLine="480"/>
        <w:rPr>
          <w:szCs w:val="24"/>
        </w:rPr>
      </w:pPr>
    </w:p>
    <w:p w14:paraId="2B1F2817">
      <w:pPr>
        <w:pStyle w:val="16"/>
        <w:spacing w:before="31" w:after="31"/>
        <w:ind w:firstLine="0" w:firstLineChars="0"/>
        <w:rPr>
          <w:szCs w:val="24"/>
        </w:rPr>
      </w:pPr>
      <w:r>
        <w:rPr>
          <w:rFonts w:hint="eastAsia"/>
          <w:szCs w:val="24"/>
        </w:rPr>
        <w:t>(7) Impact and Harm Caused</w:t>
      </w:r>
    </w:p>
    <w:p w14:paraId="6551CA14">
      <w:pPr>
        <w:pStyle w:val="16"/>
        <w:spacing w:before="31" w:after="31"/>
        <w:ind w:firstLine="480"/>
        <w:rPr>
          <w:szCs w:val="24"/>
        </w:rPr>
      </w:pPr>
      <w:r>
        <w:rPr>
          <w:rFonts w:hint="eastAsia"/>
          <w:szCs w:val="24"/>
        </w:rPr>
        <w:t>Cracking and leakage in the heat exchanger plates resulted in serious equipment leaks, causing safety issues.</w:t>
      </w:r>
    </w:p>
    <w:p w14:paraId="0DC2454C">
      <w:pPr>
        <w:pStyle w:val="16"/>
        <w:spacing w:before="31" w:after="31"/>
        <w:ind w:firstLine="480"/>
        <w:rPr>
          <w:szCs w:val="24"/>
        </w:rPr>
      </w:pPr>
    </w:p>
    <w:p w14:paraId="70E93AE4">
      <w:pPr>
        <w:pStyle w:val="16"/>
        <w:spacing w:before="31" w:after="31"/>
        <w:ind w:firstLine="0" w:firstLineChars="0"/>
        <w:rPr>
          <w:szCs w:val="24"/>
        </w:rPr>
      </w:pPr>
      <w:r>
        <w:rPr>
          <w:rFonts w:hint="eastAsia"/>
          <w:szCs w:val="24"/>
        </w:rPr>
        <w:t>(8) Conclusion and Improvement Measures</w:t>
      </w:r>
    </w:p>
    <w:p w14:paraId="3E852534">
      <w:pPr>
        <w:pStyle w:val="16"/>
        <w:spacing w:before="31" w:after="31"/>
        <w:ind w:firstLine="480"/>
        <w:rPr>
          <w:szCs w:val="24"/>
        </w:rPr>
      </w:pPr>
      <w:r>
        <w:rPr>
          <w:rFonts w:hint="eastAsia"/>
          <w:szCs w:val="24"/>
        </w:rPr>
        <w:t>To prevent similar incidents, the following measures are recommended: (a) Strengthen supervision and control of stress relief heat treatment after cold stamping of heat exchanger plates. (b) Strictly control the formulation of the sealing adhesive, ensuring that the adhesive does not contain harmful elements such as Cl and S, or take measures to ensure that S and Cl will not precipitate under operating conditions, and consider using a new type of adhesive. (c) Choose stainless steel heat exchanger plates that are resistant to Cl and S stress corrosion, such as ferritic and duplex stainless steels. (d) Strictly monitor and control the Cl- content in steam condensate to avoid stress corrosion failure of the plates. Perform Cl- monitoring on desalinated water and steam condensate. (e) Adjust the gasket sealing pressure ratio and explore appropriate sealing face pressure or torque on the heat exchanger plate's sealing surface to avoid overtightening operations exceeding reasonable parameters.</w:t>
      </w:r>
    </w:p>
    <w:p w14:paraId="14F116C8">
      <w:pPr>
        <w:pStyle w:val="16"/>
        <w:spacing w:before="31" w:after="31"/>
        <w:ind w:firstLine="480"/>
        <w:rPr>
          <w:szCs w:val="24"/>
        </w:rPr>
      </w:pPr>
    </w:p>
    <w:p w14:paraId="0003B6CD">
      <w:pPr>
        <w:pStyle w:val="16"/>
        <w:spacing w:before="31" w:after="31"/>
        <w:ind w:firstLine="480"/>
        <w:rPr>
          <w:szCs w:val="24"/>
        </w:rPr>
      </w:pPr>
    </w:p>
    <w:p w14:paraId="2988762B">
      <w:pPr>
        <w:pStyle w:val="19"/>
        <w:numPr>
          <w:ilvl w:val="1"/>
          <w:numId w:val="0"/>
        </w:numPr>
        <w:rPr>
          <w:rFonts w:eastAsia="宋体"/>
        </w:rPr>
      </w:pPr>
      <w:r>
        <w:rPr>
          <w:rFonts w:hint="eastAsia" w:eastAsia="宋体"/>
        </w:rPr>
        <w:t>2.3 Summary</w:t>
      </w:r>
    </w:p>
    <w:p w14:paraId="732A2317">
      <w:pPr>
        <w:pStyle w:val="21"/>
        <w:numPr>
          <w:ilvl w:val="2"/>
          <w:numId w:val="0"/>
        </w:numPr>
        <w:rPr>
          <w:rFonts w:eastAsia="宋体"/>
        </w:rPr>
      </w:pPr>
      <w:r>
        <w:rPr>
          <w:rFonts w:hint="eastAsia" w:eastAsia="宋体"/>
        </w:rPr>
        <w:t>2.3.1 Primary Failure Modes and Issues</w:t>
      </w:r>
    </w:p>
    <w:p w14:paraId="32911E5B">
      <w:pPr>
        <w:pStyle w:val="16"/>
        <w:spacing w:before="31" w:after="31"/>
        <w:ind w:firstLine="0" w:firstLineChars="0"/>
        <w:rPr>
          <w:szCs w:val="24"/>
        </w:rPr>
      </w:pPr>
      <w:r>
        <w:rPr>
          <w:rFonts w:hint="eastAsia"/>
          <w:szCs w:val="24"/>
        </w:rPr>
        <w:t>2.3.1.1 Major Failure Modes</w:t>
      </w:r>
    </w:p>
    <w:p w14:paraId="044667FF">
      <w:pPr>
        <w:pStyle w:val="16"/>
        <w:spacing w:before="31" w:after="31"/>
        <w:ind w:firstLine="480"/>
        <w:rPr>
          <w:szCs w:val="24"/>
        </w:rPr>
      </w:pPr>
      <w:r>
        <w:rPr>
          <w:rFonts w:hint="eastAsia"/>
          <w:szCs w:val="24"/>
        </w:rPr>
        <w:t>From the results of failure investigations, it can be observed that the main failure modes in China's petroleum and petrochemical industry include corrosion, fatigue, and fractures. Additionally, in refining and processing equipment, creep is also a major form of equipment failure. The failure modes of equipment often involve a process where corrosion, fatigue, and fractures interact with each other.</w:t>
      </w:r>
    </w:p>
    <w:p w14:paraId="1C105A6F">
      <w:pPr>
        <w:pStyle w:val="16"/>
        <w:spacing w:before="31" w:after="31"/>
        <w:ind w:firstLine="480"/>
        <w:rPr>
          <w:szCs w:val="24"/>
        </w:rPr>
      </w:pPr>
      <w:r>
        <w:rPr>
          <w:rFonts w:hint="eastAsia"/>
          <w:szCs w:val="24"/>
        </w:rPr>
        <w:t>For specific investigative cases, the causes of accidents were summarized from factors such as material properties, production and construction, design reasons, and environmental factors. Detailed information can be found in Table 2-14 and Table 2-15.</w:t>
      </w:r>
    </w:p>
    <w:p w14:paraId="3A6A2207">
      <w:pPr>
        <w:pStyle w:val="16"/>
        <w:spacing w:before="31" w:after="31"/>
        <w:ind w:firstLine="0" w:firstLineChars="0"/>
        <w:rPr>
          <w:szCs w:val="24"/>
        </w:rPr>
      </w:pPr>
      <w:r>
        <w:rPr>
          <w:rFonts w:hint="eastAsia"/>
          <w:szCs w:val="24"/>
        </w:rPr>
        <w:t>2.3.1.2 Existing Issues:</w:t>
      </w:r>
    </w:p>
    <w:p w14:paraId="14A827E2">
      <w:pPr>
        <w:pStyle w:val="16"/>
        <w:spacing w:before="31" w:after="31"/>
        <w:ind w:firstLine="480"/>
        <w:rPr>
          <w:szCs w:val="24"/>
        </w:rPr>
      </w:pPr>
      <w:r>
        <w:rPr>
          <w:rFonts w:hint="eastAsia"/>
          <w:szCs w:val="24"/>
        </w:rPr>
        <w:t>Due to the high-temperature and high-pressure environment in which most equipment in the petroleum and petrochemical industry operates, and the significant corrosion hazards posed by H2S and CO2 in petroleum and petroleum products, the failure process of equipment is often the result of the combined action of various environmental factors. This poses certain challenges in analyzing failure accidents.</w:t>
      </w:r>
    </w:p>
    <w:p w14:paraId="120ECB91">
      <w:pPr>
        <w:pStyle w:val="16"/>
        <w:spacing w:before="31" w:after="31"/>
        <w:ind w:firstLine="480"/>
        <w:rPr>
          <w:szCs w:val="24"/>
        </w:rPr>
      </w:pPr>
      <w:r>
        <w:rPr>
          <w:rFonts w:hint="eastAsia"/>
          <w:szCs w:val="24"/>
        </w:rPr>
        <w:t>In practical working conditions, most major loss incidents are caused by human factors. Improper management and errors in operation can lead to unexpected equipment damage or even serious accidents. Therefore, petroleum and petrochemical enterprises in China should strengthen the management of safe and standardized production to reduce unnecessary catastrophic accidents.</w:t>
      </w:r>
    </w:p>
    <w:p w14:paraId="5CA43192">
      <w:pPr>
        <w:pStyle w:val="16"/>
        <w:spacing w:before="468" w:beforeLines="150" w:after="156" w:afterLines="50"/>
        <w:ind w:firstLine="0" w:firstLineChars="0"/>
        <w:jc w:val="center"/>
        <w:rPr>
          <w:rFonts w:cs="Times New Roman"/>
          <w:b/>
          <w:sz w:val="21"/>
          <w:szCs w:val="21"/>
        </w:rPr>
      </w:pPr>
      <w:r>
        <w:rPr>
          <w:rFonts w:hint="eastAsia" w:cs="Times New Roman"/>
          <w:b/>
          <w:sz w:val="21"/>
          <w:szCs w:val="21"/>
        </w:rPr>
        <w:t>Table 2-14 Summary of Failure Causes in Investigated Cases in the Petroleum and Petrochemical Industry</w:t>
      </w:r>
    </w:p>
    <w:tbl>
      <w:tblPr>
        <w:tblStyle w:val="9"/>
        <w:tblW w:w="0" w:type="auto"/>
        <w:jc w:val="center"/>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1016"/>
        <w:gridCol w:w="2896"/>
        <w:gridCol w:w="928"/>
        <w:gridCol w:w="1301"/>
        <w:gridCol w:w="916"/>
        <w:gridCol w:w="1465"/>
      </w:tblGrid>
      <w:tr w14:paraId="37F97F4F">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88" w:type="dxa"/>
            <w:vMerge w:val="restart"/>
            <w:tcBorders>
              <w:left w:val="nil"/>
              <w:right w:val="nil"/>
            </w:tcBorders>
            <w:vAlign w:val="center"/>
          </w:tcPr>
          <w:p w14:paraId="220E9B36">
            <w:pPr>
              <w:pStyle w:val="16"/>
              <w:spacing w:beforeLines="0" w:afterLines="0"/>
              <w:ind w:firstLine="0" w:firstLineChars="0"/>
              <w:jc w:val="center"/>
              <w:rPr>
                <w:rFonts w:cs="Times New Roman"/>
                <w:sz w:val="21"/>
                <w:szCs w:val="21"/>
              </w:rPr>
            </w:pPr>
            <w:r>
              <w:rPr>
                <w:rFonts w:hint="eastAsia" w:cs="Times New Roman"/>
                <w:sz w:val="21"/>
                <w:szCs w:val="21"/>
              </w:rPr>
              <w:t>Case No</w:t>
            </w:r>
          </w:p>
        </w:tc>
        <w:tc>
          <w:tcPr>
            <w:tcW w:w="3605" w:type="dxa"/>
            <w:vMerge w:val="restart"/>
            <w:tcBorders>
              <w:left w:val="nil"/>
              <w:right w:val="nil"/>
            </w:tcBorders>
            <w:vAlign w:val="center"/>
          </w:tcPr>
          <w:p w14:paraId="2565330C">
            <w:pPr>
              <w:pStyle w:val="16"/>
              <w:spacing w:beforeLines="0" w:afterLines="0"/>
              <w:ind w:firstLine="0" w:firstLineChars="0"/>
              <w:jc w:val="center"/>
              <w:rPr>
                <w:rFonts w:cs="Times New Roman"/>
                <w:sz w:val="21"/>
                <w:szCs w:val="21"/>
              </w:rPr>
            </w:pPr>
            <w:r>
              <w:rPr>
                <w:rFonts w:hint="eastAsia" w:cs="Times New Roman"/>
                <w:sz w:val="21"/>
                <w:szCs w:val="21"/>
              </w:rPr>
              <w:t>Case Name</w:t>
            </w:r>
          </w:p>
        </w:tc>
        <w:tc>
          <w:tcPr>
            <w:tcW w:w="3252" w:type="dxa"/>
            <w:gridSpan w:val="4"/>
            <w:tcBorders>
              <w:left w:val="nil"/>
              <w:right w:val="nil"/>
            </w:tcBorders>
            <w:vAlign w:val="center"/>
          </w:tcPr>
          <w:p w14:paraId="36641153">
            <w:pPr>
              <w:pStyle w:val="16"/>
              <w:spacing w:beforeLines="0" w:afterLines="0"/>
              <w:ind w:firstLine="0" w:firstLineChars="0"/>
              <w:jc w:val="center"/>
              <w:rPr>
                <w:rFonts w:cs="Times New Roman"/>
                <w:sz w:val="21"/>
                <w:szCs w:val="21"/>
              </w:rPr>
            </w:pPr>
            <w:r>
              <w:rPr>
                <w:rFonts w:hint="eastAsia" w:cs="Times New Roman"/>
                <w:sz w:val="21"/>
                <w:szCs w:val="21"/>
              </w:rPr>
              <w:t>Failure Causes</w:t>
            </w:r>
          </w:p>
        </w:tc>
      </w:tr>
      <w:tr w14:paraId="3AE8527B">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88" w:type="dxa"/>
            <w:vMerge w:val="continue"/>
            <w:tcBorders>
              <w:left w:val="nil"/>
              <w:bottom w:val="single" w:color="auto" w:sz="12" w:space="0"/>
              <w:right w:val="nil"/>
            </w:tcBorders>
            <w:vAlign w:val="center"/>
          </w:tcPr>
          <w:p w14:paraId="7995D196">
            <w:pPr>
              <w:pStyle w:val="16"/>
              <w:spacing w:beforeLines="0" w:afterLines="0"/>
              <w:ind w:firstLine="0" w:firstLineChars="0"/>
              <w:jc w:val="center"/>
              <w:rPr>
                <w:rFonts w:cs="Times New Roman"/>
                <w:sz w:val="21"/>
                <w:szCs w:val="21"/>
              </w:rPr>
            </w:pPr>
          </w:p>
        </w:tc>
        <w:tc>
          <w:tcPr>
            <w:tcW w:w="3605" w:type="dxa"/>
            <w:vMerge w:val="continue"/>
            <w:tcBorders>
              <w:left w:val="nil"/>
              <w:bottom w:val="single" w:color="auto" w:sz="12" w:space="0"/>
              <w:right w:val="nil"/>
            </w:tcBorders>
            <w:vAlign w:val="center"/>
          </w:tcPr>
          <w:p w14:paraId="03966A2C">
            <w:pPr>
              <w:pStyle w:val="16"/>
              <w:spacing w:beforeLines="0" w:afterLines="0"/>
              <w:ind w:firstLine="0" w:firstLineChars="0"/>
              <w:jc w:val="center"/>
              <w:rPr>
                <w:rFonts w:cs="Times New Roman"/>
                <w:sz w:val="21"/>
                <w:szCs w:val="21"/>
              </w:rPr>
            </w:pPr>
          </w:p>
        </w:tc>
        <w:tc>
          <w:tcPr>
            <w:tcW w:w="781" w:type="dxa"/>
            <w:tcBorders>
              <w:left w:val="nil"/>
              <w:bottom w:val="single" w:color="auto" w:sz="12" w:space="0"/>
              <w:right w:val="nil"/>
            </w:tcBorders>
            <w:vAlign w:val="center"/>
          </w:tcPr>
          <w:p w14:paraId="3C73C512">
            <w:pPr>
              <w:pStyle w:val="16"/>
              <w:spacing w:beforeLines="0" w:afterLines="0"/>
              <w:ind w:firstLine="0" w:firstLineChars="0"/>
              <w:jc w:val="center"/>
              <w:rPr>
                <w:rFonts w:cs="Times New Roman"/>
                <w:sz w:val="21"/>
                <w:szCs w:val="21"/>
              </w:rPr>
            </w:pPr>
            <w:r>
              <w:rPr>
                <w:rFonts w:hint="eastAsia" w:cs="Times New Roman"/>
                <w:sz w:val="21"/>
                <w:szCs w:val="21"/>
              </w:rPr>
              <w:t>Material</w:t>
            </w:r>
          </w:p>
          <w:p w14:paraId="405C0806">
            <w:pPr>
              <w:pStyle w:val="16"/>
              <w:spacing w:beforeLines="0" w:afterLines="0"/>
              <w:ind w:firstLine="0" w:firstLineChars="0"/>
              <w:jc w:val="center"/>
              <w:rPr>
                <w:rFonts w:cs="Times New Roman"/>
                <w:sz w:val="21"/>
                <w:szCs w:val="21"/>
              </w:rPr>
            </w:pPr>
            <w:r>
              <w:rPr>
                <w:rFonts w:hint="eastAsia" w:cs="Times New Roman"/>
                <w:sz w:val="21"/>
                <w:szCs w:val="21"/>
              </w:rPr>
              <w:t>Itself</w:t>
            </w:r>
          </w:p>
        </w:tc>
        <w:tc>
          <w:tcPr>
            <w:tcW w:w="890" w:type="dxa"/>
            <w:tcBorders>
              <w:left w:val="nil"/>
              <w:bottom w:val="single" w:color="auto" w:sz="12" w:space="0"/>
              <w:right w:val="nil"/>
            </w:tcBorders>
            <w:vAlign w:val="center"/>
          </w:tcPr>
          <w:p w14:paraId="25ACA8C5">
            <w:pPr>
              <w:pStyle w:val="16"/>
              <w:spacing w:beforeLines="0" w:afterLines="0"/>
              <w:ind w:firstLine="0" w:firstLineChars="0"/>
              <w:jc w:val="center"/>
              <w:rPr>
                <w:rFonts w:cs="Times New Roman"/>
                <w:sz w:val="21"/>
                <w:szCs w:val="21"/>
              </w:rPr>
            </w:pPr>
            <w:r>
              <w:rPr>
                <w:rFonts w:hint="eastAsia" w:cs="Times New Roman"/>
                <w:sz w:val="21"/>
                <w:szCs w:val="21"/>
              </w:rPr>
              <w:t>Production</w:t>
            </w:r>
          </w:p>
          <w:p w14:paraId="6BD35831">
            <w:pPr>
              <w:pStyle w:val="16"/>
              <w:spacing w:beforeLines="0" w:afterLines="0"/>
              <w:ind w:firstLine="0" w:firstLineChars="0"/>
              <w:jc w:val="center"/>
              <w:rPr>
                <w:rFonts w:cs="Times New Roman"/>
                <w:sz w:val="21"/>
                <w:szCs w:val="21"/>
              </w:rPr>
            </w:pPr>
            <w:r>
              <w:rPr>
                <w:rFonts w:hint="eastAsia" w:cs="Times New Roman"/>
                <w:sz w:val="21"/>
                <w:szCs w:val="21"/>
              </w:rPr>
              <w:t>and Construction</w:t>
            </w:r>
          </w:p>
        </w:tc>
        <w:tc>
          <w:tcPr>
            <w:tcW w:w="778" w:type="dxa"/>
            <w:tcBorders>
              <w:left w:val="nil"/>
              <w:bottom w:val="single" w:color="auto" w:sz="12" w:space="0"/>
              <w:right w:val="nil"/>
            </w:tcBorders>
            <w:vAlign w:val="center"/>
          </w:tcPr>
          <w:p w14:paraId="25EB4CB5">
            <w:pPr>
              <w:pStyle w:val="16"/>
              <w:spacing w:beforeLines="0" w:afterLines="0"/>
              <w:ind w:firstLine="0" w:firstLineChars="0"/>
              <w:jc w:val="center"/>
              <w:rPr>
                <w:rFonts w:cs="Times New Roman"/>
                <w:sz w:val="21"/>
                <w:szCs w:val="21"/>
              </w:rPr>
            </w:pPr>
            <w:r>
              <w:rPr>
                <w:rFonts w:hint="eastAsia" w:cs="Times New Roman"/>
                <w:sz w:val="21"/>
                <w:szCs w:val="21"/>
              </w:rPr>
              <w:t>Design</w:t>
            </w:r>
          </w:p>
          <w:p w14:paraId="4EEA8DCD">
            <w:pPr>
              <w:pStyle w:val="16"/>
              <w:spacing w:beforeLines="0" w:afterLines="0"/>
              <w:ind w:firstLine="0" w:firstLineChars="0"/>
              <w:jc w:val="center"/>
              <w:rPr>
                <w:rFonts w:cs="Times New Roman"/>
                <w:sz w:val="21"/>
                <w:szCs w:val="21"/>
              </w:rPr>
            </w:pPr>
            <w:r>
              <w:rPr>
                <w:rFonts w:hint="eastAsia" w:cs="Times New Roman"/>
                <w:sz w:val="21"/>
                <w:szCs w:val="21"/>
              </w:rPr>
              <w:t>Reasons</w:t>
            </w:r>
          </w:p>
        </w:tc>
        <w:tc>
          <w:tcPr>
            <w:tcW w:w="803" w:type="dxa"/>
            <w:tcBorders>
              <w:left w:val="nil"/>
              <w:bottom w:val="single" w:color="auto" w:sz="12" w:space="0"/>
              <w:right w:val="nil"/>
            </w:tcBorders>
            <w:vAlign w:val="center"/>
          </w:tcPr>
          <w:p w14:paraId="174EC758">
            <w:pPr>
              <w:pStyle w:val="16"/>
              <w:spacing w:beforeLines="0" w:afterLines="0"/>
              <w:ind w:firstLine="0" w:firstLineChars="0"/>
              <w:jc w:val="center"/>
              <w:rPr>
                <w:rFonts w:cs="Times New Roman"/>
                <w:sz w:val="21"/>
                <w:szCs w:val="21"/>
              </w:rPr>
            </w:pPr>
            <w:r>
              <w:rPr>
                <w:rFonts w:hint="eastAsia" w:cs="Times New Roman"/>
                <w:sz w:val="21"/>
                <w:szCs w:val="21"/>
              </w:rPr>
              <w:t>Environmental</w:t>
            </w:r>
          </w:p>
          <w:p w14:paraId="44423497">
            <w:pPr>
              <w:pStyle w:val="16"/>
              <w:spacing w:beforeLines="0" w:afterLines="0"/>
              <w:ind w:firstLine="0" w:firstLineChars="0"/>
              <w:jc w:val="center"/>
              <w:rPr>
                <w:rFonts w:cs="Times New Roman"/>
                <w:sz w:val="21"/>
                <w:szCs w:val="21"/>
              </w:rPr>
            </w:pPr>
            <w:r>
              <w:rPr>
                <w:rFonts w:hint="eastAsia" w:cs="Times New Roman"/>
                <w:sz w:val="21"/>
                <w:szCs w:val="21"/>
              </w:rPr>
              <w:t>Factors</w:t>
            </w:r>
          </w:p>
        </w:tc>
      </w:tr>
      <w:tr w14:paraId="017F7449">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88" w:type="dxa"/>
            <w:tcBorders>
              <w:left w:val="nil"/>
              <w:bottom w:val="nil"/>
              <w:right w:val="nil"/>
            </w:tcBorders>
            <w:vAlign w:val="center"/>
          </w:tcPr>
          <w:p w14:paraId="7DB1196A">
            <w:pPr>
              <w:pStyle w:val="16"/>
              <w:spacing w:beforeLines="0" w:afterLines="0"/>
              <w:ind w:firstLine="0" w:firstLineChars="0"/>
              <w:jc w:val="center"/>
              <w:rPr>
                <w:rFonts w:cs="Times New Roman"/>
                <w:sz w:val="21"/>
                <w:szCs w:val="21"/>
              </w:rPr>
            </w:pPr>
            <w:r>
              <w:rPr>
                <w:rFonts w:hint="eastAsia" w:cs="Times New Roman"/>
                <w:sz w:val="21"/>
                <w:szCs w:val="21"/>
              </w:rPr>
              <w:t xml:space="preserve">Case </w:t>
            </w:r>
            <w:r>
              <w:rPr>
                <w:rFonts w:cs="Times New Roman"/>
                <w:sz w:val="21"/>
                <w:szCs w:val="21"/>
              </w:rPr>
              <w:t>2-1</w:t>
            </w:r>
          </w:p>
        </w:tc>
        <w:tc>
          <w:tcPr>
            <w:tcW w:w="3605" w:type="dxa"/>
            <w:tcBorders>
              <w:left w:val="nil"/>
              <w:bottom w:val="nil"/>
              <w:right w:val="nil"/>
            </w:tcBorders>
            <w:vAlign w:val="center"/>
          </w:tcPr>
          <w:p w14:paraId="0E28E475">
            <w:pPr>
              <w:spacing w:line="312" w:lineRule="auto"/>
              <w:jc w:val="left"/>
              <w:rPr>
                <w:szCs w:val="21"/>
              </w:rPr>
            </w:pPr>
            <w:r>
              <w:rPr>
                <w:rFonts w:hint="eastAsia"/>
                <w:szCs w:val="21"/>
              </w:rPr>
              <w:t>Corrosion fatigue and fracture of 30CrMo sucker rod</w:t>
            </w:r>
          </w:p>
        </w:tc>
        <w:tc>
          <w:tcPr>
            <w:tcW w:w="781" w:type="dxa"/>
            <w:tcBorders>
              <w:left w:val="nil"/>
              <w:bottom w:val="nil"/>
              <w:right w:val="nil"/>
            </w:tcBorders>
            <w:vAlign w:val="center"/>
          </w:tcPr>
          <w:p w14:paraId="51D1142D">
            <w:pPr>
              <w:spacing w:line="312" w:lineRule="auto"/>
              <w:jc w:val="center"/>
              <w:rPr>
                <w:szCs w:val="21"/>
              </w:rPr>
            </w:pPr>
            <w:r>
              <w:rPr>
                <w:szCs w:val="21"/>
              </w:rPr>
              <w:t>√</w:t>
            </w:r>
          </w:p>
        </w:tc>
        <w:tc>
          <w:tcPr>
            <w:tcW w:w="890" w:type="dxa"/>
            <w:tcBorders>
              <w:left w:val="nil"/>
              <w:bottom w:val="nil"/>
              <w:right w:val="nil"/>
            </w:tcBorders>
            <w:vAlign w:val="center"/>
          </w:tcPr>
          <w:p w14:paraId="5CFFDA9D">
            <w:pPr>
              <w:pStyle w:val="16"/>
              <w:spacing w:beforeLines="0" w:afterLines="0"/>
              <w:ind w:firstLine="0" w:firstLineChars="0"/>
              <w:jc w:val="center"/>
              <w:rPr>
                <w:rFonts w:cs="Times New Roman"/>
                <w:sz w:val="21"/>
                <w:szCs w:val="21"/>
              </w:rPr>
            </w:pPr>
          </w:p>
        </w:tc>
        <w:tc>
          <w:tcPr>
            <w:tcW w:w="778" w:type="dxa"/>
            <w:tcBorders>
              <w:left w:val="nil"/>
              <w:bottom w:val="nil"/>
              <w:right w:val="nil"/>
            </w:tcBorders>
            <w:vAlign w:val="center"/>
          </w:tcPr>
          <w:p w14:paraId="5E7291D3">
            <w:pPr>
              <w:pStyle w:val="16"/>
              <w:spacing w:beforeLines="0" w:afterLines="0"/>
              <w:ind w:firstLine="0" w:firstLineChars="0"/>
              <w:jc w:val="center"/>
              <w:rPr>
                <w:rFonts w:cs="Times New Roman"/>
                <w:sz w:val="21"/>
                <w:szCs w:val="21"/>
              </w:rPr>
            </w:pPr>
          </w:p>
        </w:tc>
        <w:tc>
          <w:tcPr>
            <w:tcW w:w="803" w:type="dxa"/>
            <w:tcBorders>
              <w:left w:val="nil"/>
              <w:bottom w:val="nil"/>
              <w:right w:val="nil"/>
            </w:tcBorders>
            <w:vAlign w:val="center"/>
          </w:tcPr>
          <w:p w14:paraId="6C512EDB">
            <w:pPr>
              <w:pStyle w:val="16"/>
              <w:spacing w:beforeLines="0" w:afterLines="0"/>
              <w:ind w:firstLine="0" w:firstLineChars="0"/>
              <w:jc w:val="center"/>
              <w:rPr>
                <w:rFonts w:cs="Times New Roman"/>
                <w:sz w:val="21"/>
                <w:szCs w:val="21"/>
              </w:rPr>
            </w:pPr>
          </w:p>
        </w:tc>
      </w:tr>
      <w:tr w14:paraId="6B0BE8CA">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88" w:type="dxa"/>
            <w:tcBorders>
              <w:top w:val="nil"/>
              <w:left w:val="nil"/>
              <w:bottom w:val="nil"/>
              <w:right w:val="nil"/>
            </w:tcBorders>
            <w:vAlign w:val="center"/>
          </w:tcPr>
          <w:p w14:paraId="119CB737">
            <w:pPr>
              <w:pStyle w:val="16"/>
              <w:spacing w:beforeLines="0" w:afterLines="0"/>
              <w:ind w:firstLine="0" w:firstLineChars="0"/>
              <w:jc w:val="center"/>
              <w:rPr>
                <w:rFonts w:cs="Times New Roman"/>
                <w:sz w:val="21"/>
                <w:szCs w:val="21"/>
              </w:rPr>
            </w:pPr>
            <w:r>
              <w:rPr>
                <w:rFonts w:hint="eastAsia" w:cs="Times New Roman"/>
                <w:sz w:val="21"/>
                <w:szCs w:val="21"/>
              </w:rPr>
              <w:t xml:space="preserve">Case </w:t>
            </w:r>
            <w:r>
              <w:rPr>
                <w:rFonts w:cs="Times New Roman"/>
                <w:sz w:val="21"/>
                <w:szCs w:val="21"/>
              </w:rPr>
              <w:t>2-2</w:t>
            </w:r>
          </w:p>
        </w:tc>
        <w:tc>
          <w:tcPr>
            <w:tcW w:w="3605" w:type="dxa"/>
            <w:tcBorders>
              <w:top w:val="nil"/>
              <w:left w:val="nil"/>
              <w:bottom w:val="nil"/>
              <w:right w:val="nil"/>
            </w:tcBorders>
            <w:vAlign w:val="center"/>
          </w:tcPr>
          <w:p w14:paraId="442D7047">
            <w:pPr>
              <w:spacing w:line="312" w:lineRule="auto"/>
              <w:jc w:val="left"/>
              <w:rPr>
                <w:kern w:val="0"/>
                <w:szCs w:val="21"/>
              </w:rPr>
            </w:pPr>
            <w:r>
              <w:rPr>
                <w:rFonts w:hint="eastAsia"/>
                <w:kern w:val="0"/>
                <w:szCs w:val="21"/>
              </w:rPr>
              <w:t>Corrosion fatigue fracture of 20CrMo sucker rod</w:t>
            </w:r>
          </w:p>
        </w:tc>
        <w:tc>
          <w:tcPr>
            <w:tcW w:w="781" w:type="dxa"/>
            <w:tcBorders>
              <w:top w:val="nil"/>
              <w:left w:val="nil"/>
              <w:bottom w:val="nil"/>
              <w:right w:val="nil"/>
            </w:tcBorders>
            <w:vAlign w:val="center"/>
          </w:tcPr>
          <w:p w14:paraId="1E393B16">
            <w:pPr>
              <w:pStyle w:val="16"/>
              <w:spacing w:beforeLines="0" w:afterLines="0"/>
              <w:ind w:firstLine="0" w:firstLineChars="0"/>
              <w:jc w:val="center"/>
              <w:rPr>
                <w:rFonts w:cs="Times New Roman"/>
                <w:sz w:val="21"/>
                <w:szCs w:val="21"/>
              </w:rPr>
            </w:pPr>
          </w:p>
        </w:tc>
        <w:tc>
          <w:tcPr>
            <w:tcW w:w="890" w:type="dxa"/>
            <w:tcBorders>
              <w:top w:val="nil"/>
              <w:left w:val="nil"/>
              <w:bottom w:val="nil"/>
              <w:right w:val="nil"/>
            </w:tcBorders>
            <w:vAlign w:val="center"/>
          </w:tcPr>
          <w:p w14:paraId="149C6A5A">
            <w:pPr>
              <w:pStyle w:val="16"/>
              <w:spacing w:beforeLines="0" w:afterLines="0"/>
              <w:ind w:firstLine="0" w:firstLineChars="0"/>
              <w:jc w:val="center"/>
              <w:rPr>
                <w:rFonts w:cs="Times New Roman"/>
                <w:sz w:val="21"/>
                <w:szCs w:val="21"/>
              </w:rPr>
            </w:pPr>
            <w:r>
              <w:rPr>
                <w:rFonts w:cs="Times New Roman"/>
                <w:sz w:val="21"/>
                <w:szCs w:val="21"/>
              </w:rPr>
              <w:t>√</w:t>
            </w:r>
          </w:p>
        </w:tc>
        <w:tc>
          <w:tcPr>
            <w:tcW w:w="778" w:type="dxa"/>
            <w:tcBorders>
              <w:top w:val="nil"/>
              <w:left w:val="nil"/>
              <w:bottom w:val="nil"/>
              <w:right w:val="nil"/>
            </w:tcBorders>
            <w:vAlign w:val="center"/>
          </w:tcPr>
          <w:p w14:paraId="4FA8AA61">
            <w:pPr>
              <w:pStyle w:val="16"/>
              <w:spacing w:beforeLines="0" w:afterLines="0"/>
              <w:ind w:firstLine="0" w:firstLineChars="0"/>
              <w:jc w:val="center"/>
              <w:rPr>
                <w:rFonts w:cs="Times New Roman"/>
                <w:sz w:val="21"/>
                <w:szCs w:val="21"/>
              </w:rPr>
            </w:pPr>
          </w:p>
        </w:tc>
        <w:tc>
          <w:tcPr>
            <w:tcW w:w="803" w:type="dxa"/>
            <w:tcBorders>
              <w:top w:val="nil"/>
              <w:left w:val="nil"/>
              <w:bottom w:val="nil"/>
              <w:right w:val="nil"/>
            </w:tcBorders>
            <w:vAlign w:val="center"/>
          </w:tcPr>
          <w:p w14:paraId="149D211C">
            <w:pPr>
              <w:pStyle w:val="16"/>
              <w:spacing w:beforeLines="0" w:afterLines="0"/>
              <w:ind w:firstLine="0" w:firstLineChars="0"/>
              <w:jc w:val="center"/>
              <w:rPr>
                <w:rFonts w:cs="Times New Roman"/>
                <w:sz w:val="21"/>
                <w:szCs w:val="21"/>
              </w:rPr>
            </w:pPr>
          </w:p>
        </w:tc>
      </w:tr>
      <w:tr w14:paraId="40E062B8">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347" w:hRule="atLeast"/>
          <w:jc w:val="center"/>
        </w:trPr>
        <w:tc>
          <w:tcPr>
            <w:tcW w:w="1188" w:type="dxa"/>
            <w:tcBorders>
              <w:top w:val="nil"/>
              <w:left w:val="nil"/>
              <w:bottom w:val="nil"/>
              <w:right w:val="nil"/>
            </w:tcBorders>
            <w:vAlign w:val="center"/>
          </w:tcPr>
          <w:p w14:paraId="42EE815F">
            <w:pPr>
              <w:pStyle w:val="16"/>
              <w:spacing w:beforeLines="0" w:afterLines="0"/>
              <w:ind w:firstLine="0" w:firstLineChars="0"/>
              <w:jc w:val="center"/>
              <w:rPr>
                <w:rFonts w:cs="Times New Roman"/>
                <w:sz w:val="21"/>
                <w:szCs w:val="21"/>
              </w:rPr>
            </w:pPr>
            <w:r>
              <w:rPr>
                <w:rFonts w:hint="eastAsia" w:cs="Times New Roman"/>
                <w:sz w:val="21"/>
                <w:szCs w:val="21"/>
              </w:rPr>
              <w:t xml:space="preserve">Case </w:t>
            </w:r>
            <w:r>
              <w:rPr>
                <w:rFonts w:cs="Times New Roman"/>
                <w:sz w:val="21"/>
                <w:szCs w:val="21"/>
              </w:rPr>
              <w:t>2-3</w:t>
            </w:r>
          </w:p>
        </w:tc>
        <w:tc>
          <w:tcPr>
            <w:tcW w:w="3605" w:type="dxa"/>
            <w:tcBorders>
              <w:top w:val="nil"/>
              <w:left w:val="nil"/>
              <w:bottom w:val="nil"/>
              <w:right w:val="nil"/>
            </w:tcBorders>
            <w:vAlign w:val="center"/>
          </w:tcPr>
          <w:p w14:paraId="52E5FA3E">
            <w:pPr>
              <w:pStyle w:val="16"/>
              <w:spacing w:before="31" w:after="31"/>
              <w:ind w:firstLine="0" w:firstLineChars="0"/>
              <w:jc w:val="left"/>
              <w:rPr>
                <w:rFonts w:cs="Times New Roman"/>
                <w:sz w:val="21"/>
                <w:szCs w:val="21"/>
              </w:rPr>
            </w:pPr>
            <w:r>
              <w:rPr>
                <w:rFonts w:hint="eastAsia" w:cs="Times New Roman"/>
                <w:sz w:val="21"/>
                <w:szCs w:val="21"/>
              </w:rPr>
              <w:t>Corrosion and fracture of tubing due to erosion</w:t>
            </w:r>
          </w:p>
        </w:tc>
        <w:tc>
          <w:tcPr>
            <w:tcW w:w="781" w:type="dxa"/>
            <w:tcBorders>
              <w:top w:val="nil"/>
              <w:left w:val="nil"/>
              <w:bottom w:val="nil"/>
              <w:right w:val="nil"/>
            </w:tcBorders>
            <w:vAlign w:val="center"/>
          </w:tcPr>
          <w:p w14:paraId="5BBE0978">
            <w:pPr>
              <w:pStyle w:val="16"/>
              <w:spacing w:beforeLines="0" w:afterLines="0"/>
              <w:ind w:firstLine="0" w:firstLineChars="0"/>
              <w:jc w:val="center"/>
              <w:rPr>
                <w:rFonts w:cs="Times New Roman"/>
                <w:sz w:val="21"/>
                <w:szCs w:val="21"/>
              </w:rPr>
            </w:pPr>
          </w:p>
        </w:tc>
        <w:tc>
          <w:tcPr>
            <w:tcW w:w="890" w:type="dxa"/>
            <w:tcBorders>
              <w:top w:val="nil"/>
              <w:left w:val="nil"/>
              <w:bottom w:val="nil"/>
              <w:right w:val="nil"/>
            </w:tcBorders>
            <w:vAlign w:val="center"/>
          </w:tcPr>
          <w:p w14:paraId="247E1E7B">
            <w:pPr>
              <w:pStyle w:val="16"/>
              <w:spacing w:beforeLines="0" w:afterLines="0"/>
              <w:ind w:firstLine="0" w:firstLineChars="0"/>
              <w:jc w:val="center"/>
              <w:rPr>
                <w:rFonts w:cs="Times New Roman"/>
                <w:sz w:val="21"/>
                <w:szCs w:val="21"/>
              </w:rPr>
            </w:pPr>
          </w:p>
        </w:tc>
        <w:tc>
          <w:tcPr>
            <w:tcW w:w="778" w:type="dxa"/>
            <w:tcBorders>
              <w:top w:val="nil"/>
              <w:left w:val="nil"/>
              <w:bottom w:val="nil"/>
              <w:right w:val="nil"/>
            </w:tcBorders>
            <w:vAlign w:val="center"/>
          </w:tcPr>
          <w:p w14:paraId="15641F04">
            <w:pPr>
              <w:pStyle w:val="16"/>
              <w:spacing w:beforeLines="0" w:afterLines="0"/>
              <w:ind w:firstLine="0" w:firstLineChars="0"/>
              <w:jc w:val="center"/>
              <w:rPr>
                <w:rFonts w:cs="Times New Roman"/>
                <w:sz w:val="21"/>
                <w:szCs w:val="21"/>
              </w:rPr>
            </w:pPr>
            <w:r>
              <w:rPr>
                <w:rFonts w:cs="Times New Roman"/>
                <w:sz w:val="21"/>
                <w:szCs w:val="21"/>
              </w:rPr>
              <w:t>√</w:t>
            </w:r>
          </w:p>
        </w:tc>
        <w:tc>
          <w:tcPr>
            <w:tcW w:w="803" w:type="dxa"/>
            <w:tcBorders>
              <w:top w:val="nil"/>
              <w:left w:val="nil"/>
              <w:bottom w:val="nil"/>
              <w:right w:val="nil"/>
            </w:tcBorders>
            <w:vAlign w:val="center"/>
          </w:tcPr>
          <w:p w14:paraId="3D06971F">
            <w:pPr>
              <w:pStyle w:val="16"/>
              <w:spacing w:beforeLines="0" w:afterLines="0"/>
              <w:ind w:firstLine="0" w:firstLineChars="0"/>
              <w:jc w:val="center"/>
              <w:rPr>
                <w:rFonts w:cs="Times New Roman"/>
                <w:sz w:val="21"/>
                <w:szCs w:val="21"/>
              </w:rPr>
            </w:pPr>
          </w:p>
        </w:tc>
      </w:tr>
      <w:tr w14:paraId="573045B2">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88" w:type="dxa"/>
            <w:tcBorders>
              <w:top w:val="nil"/>
              <w:left w:val="nil"/>
              <w:bottom w:val="nil"/>
              <w:right w:val="nil"/>
            </w:tcBorders>
            <w:vAlign w:val="center"/>
          </w:tcPr>
          <w:p w14:paraId="7B37FA3E">
            <w:pPr>
              <w:pStyle w:val="16"/>
              <w:spacing w:beforeLines="0" w:afterLines="0"/>
              <w:ind w:firstLine="0" w:firstLineChars="0"/>
              <w:jc w:val="center"/>
              <w:rPr>
                <w:rFonts w:cs="Times New Roman"/>
                <w:sz w:val="21"/>
                <w:szCs w:val="21"/>
              </w:rPr>
            </w:pPr>
            <w:r>
              <w:rPr>
                <w:rFonts w:hint="eastAsia" w:cs="Times New Roman"/>
                <w:sz w:val="21"/>
                <w:szCs w:val="21"/>
              </w:rPr>
              <w:t xml:space="preserve">Case </w:t>
            </w:r>
            <w:r>
              <w:rPr>
                <w:rFonts w:cs="Times New Roman"/>
                <w:sz w:val="21"/>
                <w:szCs w:val="21"/>
              </w:rPr>
              <w:t>2-4</w:t>
            </w:r>
          </w:p>
        </w:tc>
        <w:tc>
          <w:tcPr>
            <w:tcW w:w="3605" w:type="dxa"/>
            <w:tcBorders>
              <w:top w:val="nil"/>
              <w:left w:val="nil"/>
              <w:bottom w:val="nil"/>
              <w:right w:val="nil"/>
            </w:tcBorders>
            <w:vAlign w:val="center"/>
          </w:tcPr>
          <w:p w14:paraId="2D880EB7">
            <w:pPr>
              <w:spacing w:line="312" w:lineRule="auto"/>
              <w:jc w:val="left"/>
              <w:rPr>
                <w:szCs w:val="21"/>
              </w:rPr>
            </w:pPr>
            <w:r>
              <w:rPr>
                <w:rFonts w:hint="eastAsia"/>
                <w:color w:val="000000"/>
              </w:rPr>
              <w:t>Cracking of weld seams in an underground liquefied petroleum gas tank</w:t>
            </w:r>
            <w:r>
              <w:rPr>
                <w:rFonts w:hint="eastAsia"/>
                <w:color w:val="000000"/>
              </w:rPr>
              <w:tab/>
            </w:r>
          </w:p>
        </w:tc>
        <w:tc>
          <w:tcPr>
            <w:tcW w:w="781" w:type="dxa"/>
            <w:tcBorders>
              <w:top w:val="nil"/>
              <w:left w:val="nil"/>
              <w:bottom w:val="nil"/>
              <w:right w:val="nil"/>
            </w:tcBorders>
            <w:vAlign w:val="center"/>
          </w:tcPr>
          <w:p w14:paraId="57A9556D">
            <w:pPr>
              <w:pStyle w:val="16"/>
              <w:spacing w:beforeLines="0" w:afterLines="0"/>
              <w:ind w:firstLine="0" w:firstLineChars="0"/>
              <w:jc w:val="center"/>
              <w:rPr>
                <w:rFonts w:cs="Times New Roman"/>
                <w:sz w:val="21"/>
                <w:szCs w:val="21"/>
              </w:rPr>
            </w:pPr>
          </w:p>
        </w:tc>
        <w:tc>
          <w:tcPr>
            <w:tcW w:w="890" w:type="dxa"/>
            <w:tcBorders>
              <w:top w:val="nil"/>
              <w:left w:val="nil"/>
              <w:bottom w:val="nil"/>
              <w:right w:val="nil"/>
            </w:tcBorders>
            <w:vAlign w:val="center"/>
          </w:tcPr>
          <w:p w14:paraId="163F135D">
            <w:pPr>
              <w:pStyle w:val="16"/>
              <w:spacing w:beforeLines="0" w:afterLines="0"/>
              <w:ind w:firstLine="0" w:firstLineChars="0"/>
              <w:jc w:val="center"/>
              <w:rPr>
                <w:rFonts w:cs="Times New Roman"/>
                <w:sz w:val="21"/>
                <w:szCs w:val="21"/>
              </w:rPr>
            </w:pPr>
            <w:r>
              <w:rPr>
                <w:rFonts w:cs="Times New Roman"/>
                <w:sz w:val="21"/>
                <w:szCs w:val="21"/>
              </w:rPr>
              <w:t>√</w:t>
            </w:r>
          </w:p>
        </w:tc>
        <w:tc>
          <w:tcPr>
            <w:tcW w:w="778" w:type="dxa"/>
            <w:tcBorders>
              <w:top w:val="nil"/>
              <w:left w:val="nil"/>
              <w:bottom w:val="nil"/>
              <w:right w:val="nil"/>
            </w:tcBorders>
            <w:vAlign w:val="center"/>
          </w:tcPr>
          <w:p w14:paraId="0CD68552">
            <w:pPr>
              <w:pStyle w:val="16"/>
              <w:spacing w:beforeLines="0" w:afterLines="0"/>
              <w:ind w:firstLine="0" w:firstLineChars="0"/>
              <w:jc w:val="center"/>
              <w:rPr>
                <w:rFonts w:cs="Times New Roman"/>
                <w:sz w:val="21"/>
                <w:szCs w:val="21"/>
              </w:rPr>
            </w:pPr>
          </w:p>
        </w:tc>
        <w:tc>
          <w:tcPr>
            <w:tcW w:w="803" w:type="dxa"/>
            <w:tcBorders>
              <w:top w:val="nil"/>
              <w:left w:val="nil"/>
              <w:bottom w:val="nil"/>
              <w:right w:val="nil"/>
            </w:tcBorders>
            <w:vAlign w:val="center"/>
          </w:tcPr>
          <w:p w14:paraId="1CC5468D">
            <w:pPr>
              <w:pStyle w:val="16"/>
              <w:spacing w:beforeLines="0" w:afterLines="0"/>
              <w:ind w:firstLine="0" w:firstLineChars="0"/>
              <w:jc w:val="center"/>
              <w:rPr>
                <w:rFonts w:cs="Times New Roman"/>
                <w:sz w:val="21"/>
                <w:szCs w:val="21"/>
              </w:rPr>
            </w:pPr>
          </w:p>
        </w:tc>
      </w:tr>
      <w:tr w14:paraId="2B0EBF62">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88" w:type="dxa"/>
            <w:tcBorders>
              <w:top w:val="nil"/>
              <w:left w:val="nil"/>
              <w:bottom w:val="nil"/>
              <w:right w:val="nil"/>
            </w:tcBorders>
            <w:vAlign w:val="center"/>
          </w:tcPr>
          <w:p w14:paraId="71EE9986">
            <w:pPr>
              <w:pStyle w:val="16"/>
              <w:spacing w:beforeLines="0" w:afterLines="0"/>
              <w:ind w:firstLine="0" w:firstLineChars="0"/>
              <w:jc w:val="center"/>
              <w:rPr>
                <w:rFonts w:cs="Times New Roman"/>
                <w:sz w:val="21"/>
                <w:szCs w:val="21"/>
              </w:rPr>
            </w:pPr>
            <w:r>
              <w:rPr>
                <w:rFonts w:hint="eastAsia" w:cs="Times New Roman"/>
                <w:sz w:val="21"/>
                <w:szCs w:val="21"/>
              </w:rPr>
              <w:t xml:space="preserve">Case </w:t>
            </w:r>
            <w:r>
              <w:rPr>
                <w:rFonts w:cs="Times New Roman"/>
                <w:sz w:val="21"/>
                <w:szCs w:val="21"/>
              </w:rPr>
              <w:t>2-5</w:t>
            </w:r>
          </w:p>
        </w:tc>
        <w:tc>
          <w:tcPr>
            <w:tcW w:w="3605" w:type="dxa"/>
            <w:tcBorders>
              <w:top w:val="nil"/>
              <w:left w:val="nil"/>
              <w:bottom w:val="nil"/>
              <w:right w:val="nil"/>
            </w:tcBorders>
            <w:vAlign w:val="center"/>
          </w:tcPr>
          <w:p w14:paraId="69849E0B">
            <w:pPr>
              <w:spacing w:line="312" w:lineRule="auto"/>
              <w:jc w:val="left"/>
              <w:rPr>
                <w:szCs w:val="21"/>
              </w:rPr>
            </w:pPr>
            <w:r>
              <w:rPr>
                <w:rFonts w:hint="eastAsia"/>
                <w:szCs w:val="21"/>
              </w:rPr>
              <w:t>Failure analysis of buried oil pipeline</w:t>
            </w:r>
          </w:p>
        </w:tc>
        <w:tc>
          <w:tcPr>
            <w:tcW w:w="781" w:type="dxa"/>
            <w:tcBorders>
              <w:top w:val="nil"/>
              <w:left w:val="nil"/>
              <w:bottom w:val="nil"/>
              <w:right w:val="nil"/>
            </w:tcBorders>
            <w:vAlign w:val="center"/>
          </w:tcPr>
          <w:p w14:paraId="1FAFE949">
            <w:pPr>
              <w:pStyle w:val="16"/>
              <w:spacing w:beforeLines="0" w:afterLines="0"/>
              <w:ind w:firstLine="0" w:firstLineChars="0"/>
              <w:jc w:val="center"/>
              <w:rPr>
                <w:rFonts w:cs="Times New Roman"/>
                <w:sz w:val="21"/>
                <w:szCs w:val="21"/>
              </w:rPr>
            </w:pPr>
            <w:r>
              <w:rPr>
                <w:rFonts w:cs="Times New Roman"/>
                <w:sz w:val="21"/>
                <w:szCs w:val="21"/>
              </w:rPr>
              <w:t>√</w:t>
            </w:r>
          </w:p>
        </w:tc>
        <w:tc>
          <w:tcPr>
            <w:tcW w:w="890" w:type="dxa"/>
            <w:tcBorders>
              <w:top w:val="nil"/>
              <w:left w:val="nil"/>
              <w:bottom w:val="nil"/>
              <w:right w:val="nil"/>
            </w:tcBorders>
            <w:vAlign w:val="center"/>
          </w:tcPr>
          <w:p w14:paraId="3A954E77">
            <w:pPr>
              <w:pStyle w:val="16"/>
              <w:spacing w:beforeLines="0" w:afterLines="0"/>
              <w:ind w:firstLine="0" w:firstLineChars="0"/>
              <w:jc w:val="center"/>
              <w:rPr>
                <w:rFonts w:cs="Times New Roman"/>
                <w:sz w:val="21"/>
                <w:szCs w:val="21"/>
              </w:rPr>
            </w:pPr>
          </w:p>
        </w:tc>
        <w:tc>
          <w:tcPr>
            <w:tcW w:w="778" w:type="dxa"/>
            <w:tcBorders>
              <w:top w:val="nil"/>
              <w:left w:val="nil"/>
              <w:bottom w:val="nil"/>
              <w:right w:val="nil"/>
            </w:tcBorders>
            <w:vAlign w:val="center"/>
          </w:tcPr>
          <w:p w14:paraId="0CF006DF">
            <w:pPr>
              <w:pStyle w:val="16"/>
              <w:spacing w:beforeLines="0" w:afterLines="0"/>
              <w:ind w:firstLine="0" w:firstLineChars="0"/>
              <w:jc w:val="center"/>
              <w:rPr>
                <w:rFonts w:cs="Times New Roman"/>
                <w:sz w:val="21"/>
                <w:szCs w:val="21"/>
              </w:rPr>
            </w:pPr>
          </w:p>
        </w:tc>
        <w:tc>
          <w:tcPr>
            <w:tcW w:w="803" w:type="dxa"/>
            <w:tcBorders>
              <w:top w:val="nil"/>
              <w:left w:val="nil"/>
              <w:bottom w:val="nil"/>
              <w:right w:val="nil"/>
            </w:tcBorders>
            <w:vAlign w:val="center"/>
          </w:tcPr>
          <w:p w14:paraId="6F44521B">
            <w:pPr>
              <w:pStyle w:val="16"/>
              <w:spacing w:beforeLines="0" w:afterLines="0"/>
              <w:ind w:firstLine="0" w:firstLineChars="0"/>
              <w:jc w:val="center"/>
              <w:rPr>
                <w:rFonts w:cs="Times New Roman"/>
                <w:sz w:val="21"/>
                <w:szCs w:val="21"/>
              </w:rPr>
            </w:pPr>
          </w:p>
        </w:tc>
      </w:tr>
      <w:tr w14:paraId="614C49F9">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88" w:type="dxa"/>
            <w:tcBorders>
              <w:top w:val="nil"/>
              <w:left w:val="nil"/>
              <w:bottom w:val="nil"/>
              <w:right w:val="nil"/>
            </w:tcBorders>
            <w:vAlign w:val="center"/>
          </w:tcPr>
          <w:p w14:paraId="6FD0E9E4">
            <w:pPr>
              <w:pStyle w:val="16"/>
              <w:spacing w:beforeLines="0" w:afterLines="0"/>
              <w:ind w:firstLine="0" w:firstLineChars="0"/>
              <w:jc w:val="center"/>
              <w:rPr>
                <w:rFonts w:cs="Times New Roman"/>
                <w:sz w:val="21"/>
                <w:szCs w:val="21"/>
              </w:rPr>
            </w:pPr>
            <w:r>
              <w:rPr>
                <w:rFonts w:hint="eastAsia" w:cs="Times New Roman"/>
                <w:sz w:val="21"/>
                <w:szCs w:val="21"/>
              </w:rPr>
              <w:t xml:space="preserve">Case </w:t>
            </w:r>
            <w:r>
              <w:rPr>
                <w:rFonts w:cs="Times New Roman"/>
                <w:sz w:val="21"/>
                <w:szCs w:val="21"/>
              </w:rPr>
              <w:t>2-6</w:t>
            </w:r>
          </w:p>
        </w:tc>
        <w:tc>
          <w:tcPr>
            <w:tcW w:w="3605" w:type="dxa"/>
            <w:tcBorders>
              <w:top w:val="nil"/>
              <w:left w:val="nil"/>
              <w:bottom w:val="nil"/>
              <w:right w:val="nil"/>
            </w:tcBorders>
            <w:vAlign w:val="center"/>
          </w:tcPr>
          <w:p w14:paraId="3CA9C11F">
            <w:pPr>
              <w:spacing w:line="312" w:lineRule="auto"/>
              <w:jc w:val="left"/>
              <w:rPr>
                <w:szCs w:val="21"/>
              </w:rPr>
            </w:pPr>
            <w:r>
              <w:rPr>
                <w:rFonts w:hint="eastAsia"/>
                <w:szCs w:val="21"/>
              </w:rPr>
              <w:t>Corrosion cases of oil and gas pipelines in clay and sandy soil</w:t>
            </w:r>
          </w:p>
        </w:tc>
        <w:tc>
          <w:tcPr>
            <w:tcW w:w="781" w:type="dxa"/>
            <w:tcBorders>
              <w:top w:val="nil"/>
              <w:left w:val="nil"/>
              <w:bottom w:val="nil"/>
              <w:right w:val="nil"/>
            </w:tcBorders>
            <w:vAlign w:val="center"/>
          </w:tcPr>
          <w:p w14:paraId="57628E50">
            <w:pPr>
              <w:pStyle w:val="16"/>
              <w:spacing w:beforeLines="0" w:afterLines="0"/>
              <w:ind w:firstLine="0" w:firstLineChars="0"/>
              <w:jc w:val="center"/>
              <w:rPr>
                <w:rFonts w:cs="Times New Roman"/>
                <w:sz w:val="21"/>
                <w:szCs w:val="21"/>
              </w:rPr>
            </w:pPr>
          </w:p>
        </w:tc>
        <w:tc>
          <w:tcPr>
            <w:tcW w:w="890" w:type="dxa"/>
            <w:tcBorders>
              <w:top w:val="nil"/>
              <w:left w:val="nil"/>
              <w:bottom w:val="nil"/>
              <w:right w:val="nil"/>
            </w:tcBorders>
            <w:vAlign w:val="center"/>
          </w:tcPr>
          <w:p w14:paraId="7AFA7AE9">
            <w:pPr>
              <w:pStyle w:val="16"/>
              <w:spacing w:beforeLines="0" w:afterLines="0"/>
              <w:ind w:firstLine="0" w:firstLineChars="0"/>
              <w:jc w:val="center"/>
              <w:rPr>
                <w:rFonts w:cs="Times New Roman"/>
                <w:sz w:val="21"/>
                <w:szCs w:val="21"/>
              </w:rPr>
            </w:pPr>
          </w:p>
        </w:tc>
        <w:tc>
          <w:tcPr>
            <w:tcW w:w="778" w:type="dxa"/>
            <w:tcBorders>
              <w:top w:val="nil"/>
              <w:left w:val="nil"/>
              <w:bottom w:val="nil"/>
              <w:right w:val="nil"/>
            </w:tcBorders>
            <w:vAlign w:val="center"/>
          </w:tcPr>
          <w:p w14:paraId="764A3367">
            <w:pPr>
              <w:pStyle w:val="16"/>
              <w:spacing w:beforeLines="0" w:afterLines="0"/>
              <w:ind w:firstLine="0" w:firstLineChars="0"/>
              <w:jc w:val="center"/>
              <w:rPr>
                <w:rFonts w:cs="Times New Roman"/>
                <w:sz w:val="21"/>
                <w:szCs w:val="21"/>
              </w:rPr>
            </w:pPr>
          </w:p>
        </w:tc>
        <w:tc>
          <w:tcPr>
            <w:tcW w:w="803" w:type="dxa"/>
            <w:tcBorders>
              <w:top w:val="nil"/>
              <w:left w:val="nil"/>
              <w:bottom w:val="nil"/>
              <w:right w:val="nil"/>
            </w:tcBorders>
            <w:vAlign w:val="center"/>
          </w:tcPr>
          <w:p w14:paraId="17A2F2E0">
            <w:pPr>
              <w:pStyle w:val="16"/>
              <w:spacing w:beforeLines="0" w:afterLines="0"/>
              <w:ind w:firstLine="0" w:firstLineChars="0"/>
              <w:jc w:val="center"/>
              <w:rPr>
                <w:rFonts w:cs="Times New Roman"/>
                <w:sz w:val="21"/>
                <w:szCs w:val="21"/>
              </w:rPr>
            </w:pPr>
            <w:r>
              <w:rPr>
                <w:rFonts w:cs="Times New Roman"/>
                <w:sz w:val="21"/>
                <w:szCs w:val="21"/>
              </w:rPr>
              <w:t>√</w:t>
            </w:r>
          </w:p>
        </w:tc>
      </w:tr>
      <w:tr w14:paraId="52CFD187">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88" w:type="dxa"/>
            <w:tcBorders>
              <w:top w:val="nil"/>
              <w:left w:val="nil"/>
              <w:bottom w:val="nil"/>
              <w:right w:val="nil"/>
            </w:tcBorders>
            <w:vAlign w:val="center"/>
          </w:tcPr>
          <w:p w14:paraId="46BEC40D">
            <w:pPr>
              <w:pStyle w:val="16"/>
              <w:spacing w:beforeLines="0" w:afterLines="0"/>
              <w:ind w:firstLine="0" w:firstLineChars="0"/>
              <w:jc w:val="center"/>
              <w:rPr>
                <w:rFonts w:cs="Times New Roman"/>
                <w:sz w:val="21"/>
                <w:szCs w:val="21"/>
              </w:rPr>
            </w:pPr>
            <w:r>
              <w:rPr>
                <w:rFonts w:hint="eastAsia" w:cs="Times New Roman"/>
                <w:sz w:val="21"/>
                <w:szCs w:val="21"/>
              </w:rPr>
              <w:t xml:space="preserve">Case </w:t>
            </w:r>
            <w:r>
              <w:rPr>
                <w:rFonts w:cs="Times New Roman"/>
                <w:sz w:val="21"/>
                <w:szCs w:val="21"/>
              </w:rPr>
              <w:t>2-7</w:t>
            </w:r>
          </w:p>
        </w:tc>
        <w:tc>
          <w:tcPr>
            <w:tcW w:w="3605" w:type="dxa"/>
            <w:tcBorders>
              <w:top w:val="nil"/>
              <w:left w:val="nil"/>
              <w:bottom w:val="nil"/>
              <w:right w:val="nil"/>
            </w:tcBorders>
            <w:vAlign w:val="center"/>
          </w:tcPr>
          <w:p w14:paraId="1F740476">
            <w:pPr>
              <w:spacing w:line="312" w:lineRule="auto"/>
              <w:jc w:val="left"/>
              <w:rPr>
                <w:szCs w:val="21"/>
              </w:rPr>
            </w:pPr>
            <w:r>
              <w:rPr>
                <w:rFonts w:hint="eastAsia"/>
                <w:szCs w:val="21"/>
              </w:rPr>
              <w:t>X65 pipeline steel cracking</w:t>
            </w:r>
          </w:p>
        </w:tc>
        <w:tc>
          <w:tcPr>
            <w:tcW w:w="781" w:type="dxa"/>
            <w:tcBorders>
              <w:top w:val="nil"/>
              <w:left w:val="nil"/>
              <w:bottom w:val="nil"/>
              <w:right w:val="nil"/>
            </w:tcBorders>
            <w:vAlign w:val="center"/>
          </w:tcPr>
          <w:p w14:paraId="40DBDF42">
            <w:pPr>
              <w:pStyle w:val="16"/>
              <w:spacing w:beforeLines="0" w:afterLines="0"/>
              <w:ind w:firstLine="0" w:firstLineChars="0"/>
              <w:jc w:val="center"/>
              <w:rPr>
                <w:rFonts w:cs="Times New Roman"/>
                <w:sz w:val="21"/>
                <w:szCs w:val="21"/>
              </w:rPr>
            </w:pPr>
          </w:p>
        </w:tc>
        <w:tc>
          <w:tcPr>
            <w:tcW w:w="890" w:type="dxa"/>
            <w:tcBorders>
              <w:top w:val="nil"/>
              <w:left w:val="nil"/>
              <w:bottom w:val="nil"/>
              <w:right w:val="nil"/>
            </w:tcBorders>
            <w:vAlign w:val="center"/>
          </w:tcPr>
          <w:p w14:paraId="4E10D040">
            <w:pPr>
              <w:pStyle w:val="16"/>
              <w:spacing w:beforeLines="0" w:afterLines="0"/>
              <w:ind w:firstLine="0" w:firstLineChars="0"/>
              <w:jc w:val="center"/>
              <w:rPr>
                <w:rFonts w:cs="Times New Roman"/>
                <w:sz w:val="21"/>
                <w:szCs w:val="21"/>
              </w:rPr>
            </w:pPr>
            <w:r>
              <w:rPr>
                <w:rFonts w:cs="Times New Roman"/>
                <w:sz w:val="21"/>
                <w:szCs w:val="21"/>
              </w:rPr>
              <w:t>√</w:t>
            </w:r>
          </w:p>
        </w:tc>
        <w:tc>
          <w:tcPr>
            <w:tcW w:w="778" w:type="dxa"/>
            <w:tcBorders>
              <w:top w:val="nil"/>
              <w:left w:val="nil"/>
              <w:bottom w:val="nil"/>
              <w:right w:val="nil"/>
            </w:tcBorders>
            <w:vAlign w:val="center"/>
          </w:tcPr>
          <w:p w14:paraId="761208F4">
            <w:pPr>
              <w:pStyle w:val="16"/>
              <w:spacing w:beforeLines="0" w:afterLines="0"/>
              <w:ind w:firstLine="0" w:firstLineChars="0"/>
              <w:jc w:val="center"/>
              <w:rPr>
                <w:rFonts w:cs="Times New Roman"/>
                <w:sz w:val="21"/>
                <w:szCs w:val="21"/>
              </w:rPr>
            </w:pPr>
          </w:p>
        </w:tc>
        <w:tc>
          <w:tcPr>
            <w:tcW w:w="803" w:type="dxa"/>
            <w:tcBorders>
              <w:top w:val="nil"/>
              <w:left w:val="nil"/>
              <w:bottom w:val="nil"/>
              <w:right w:val="nil"/>
            </w:tcBorders>
            <w:vAlign w:val="center"/>
          </w:tcPr>
          <w:p w14:paraId="2CEE7373">
            <w:pPr>
              <w:pStyle w:val="16"/>
              <w:spacing w:beforeLines="0" w:afterLines="0"/>
              <w:ind w:firstLine="0" w:firstLineChars="0"/>
              <w:jc w:val="center"/>
              <w:rPr>
                <w:rFonts w:cs="Times New Roman"/>
                <w:sz w:val="21"/>
                <w:szCs w:val="21"/>
              </w:rPr>
            </w:pPr>
          </w:p>
        </w:tc>
      </w:tr>
      <w:tr w14:paraId="02020FC0">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88" w:type="dxa"/>
            <w:tcBorders>
              <w:top w:val="nil"/>
              <w:left w:val="nil"/>
              <w:bottom w:val="nil"/>
              <w:right w:val="nil"/>
            </w:tcBorders>
            <w:vAlign w:val="center"/>
          </w:tcPr>
          <w:p w14:paraId="09A5FE37">
            <w:pPr>
              <w:pStyle w:val="16"/>
              <w:spacing w:beforeLines="0" w:afterLines="0"/>
              <w:ind w:firstLine="0" w:firstLineChars="0"/>
              <w:jc w:val="center"/>
              <w:rPr>
                <w:rFonts w:cs="Times New Roman"/>
                <w:sz w:val="21"/>
                <w:szCs w:val="21"/>
              </w:rPr>
            </w:pPr>
            <w:r>
              <w:rPr>
                <w:rFonts w:hint="eastAsia" w:cs="Times New Roman"/>
                <w:sz w:val="21"/>
                <w:szCs w:val="21"/>
              </w:rPr>
              <w:t xml:space="preserve">Case </w:t>
            </w:r>
            <w:r>
              <w:rPr>
                <w:rFonts w:cs="Times New Roman"/>
                <w:sz w:val="21"/>
                <w:szCs w:val="21"/>
              </w:rPr>
              <w:t>2-8</w:t>
            </w:r>
          </w:p>
        </w:tc>
        <w:tc>
          <w:tcPr>
            <w:tcW w:w="3605" w:type="dxa"/>
            <w:tcBorders>
              <w:top w:val="nil"/>
              <w:left w:val="nil"/>
              <w:bottom w:val="nil"/>
              <w:right w:val="nil"/>
            </w:tcBorders>
            <w:vAlign w:val="center"/>
          </w:tcPr>
          <w:p w14:paraId="4016331C">
            <w:pPr>
              <w:spacing w:line="312" w:lineRule="auto"/>
              <w:jc w:val="left"/>
              <w:rPr>
                <w:szCs w:val="21"/>
              </w:rPr>
            </w:pPr>
            <w:r>
              <w:rPr>
                <w:rFonts w:hint="eastAsia"/>
                <w:szCs w:val="21"/>
              </w:rPr>
              <w:t>Failure analysis of fractured bolts in a gas storage tank valve</w:t>
            </w:r>
          </w:p>
        </w:tc>
        <w:tc>
          <w:tcPr>
            <w:tcW w:w="781" w:type="dxa"/>
            <w:tcBorders>
              <w:top w:val="nil"/>
              <w:left w:val="nil"/>
              <w:bottom w:val="nil"/>
              <w:right w:val="nil"/>
            </w:tcBorders>
            <w:vAlign w:val="center"/>
          </w:tcPr>
          <w:p w14:paraId="2EB39CAE">
            <w:pPr>
              <w:pStyle w:val="16"/>
              <w:spacing w:beforeLines="0" w:afterLines="0"/>
              <w:ind w:firstLine="0" w:firstLineChars="0"/>
              <w:jc w:val="center"/>
              <w:rPr>
                <w:rFonts w:cs="Times New Roman"/>
                <w:sz w:val="21"/>
                <w:szCs w:val="21"/>
              </w:rPr>
            </w:pPr>
          </w:p>
        </w:tc>
        <w:tc>
          <w:tcPr>
            <w:tcW w:w="890" w:type="dxa"/>
            <w:tcBorders>
              <w:top w:val="nil"/>
              <w:left w:val="nil"/>
              <w:bottom w:val="nil"/>
              <w:right w:val="nil"/>
            </w:tcBorders>
            <w:vAlign w:val="center"/>
          </w:tcPr>
          <w:p w14:paraId="3B8E7B14">
            <w:pPr>
              <w:pStyle w:val="16"/>
              <w:spacing w:beforeLines="0" w:afterLines="0"/>
              <w:ind w:firstLine="0" w:firstLineChars="0"/>
              <w:jc w:val="center"/>
              <w:rPr>
                <w:rFonts w:cs="Times New Roman"/>
                <w:sz w:val="21"/>
                <w:szCs w:val="21"/>
              </w:rPr>
            </w:pPr>
          </w:p>
        </w:tc>
        <w:tc>
          <w:tcPr>
            <w:tcW w:w="778" w:type="dxa"/>
            <w:tcBorders>
              <w:top w:val="nil"/>
              <w:left w:val="nil"/>
              <w:bottom w:val="nil"/>
              <w:right w:val="nil"/>
            </w:tcBorders>
            <w:vAlign w:val="center"/>
          </w:tcPr>
          <w:p w14:paraId="64148D1F">
            <w:pPr>
              <w:pStyle w:val="16"/>
              <w:spacing w:beforeLines="0" w:afterLines="0"/>
              <w:ind w:firstLine="0" w:firstLineChars="0"/>
              <w:jc w:val="center"/>
              <w:rPr>
                <w:rFonts w:cs="Times New Roman"/>
                <w:sz w:val="21"/>
                <w:szCs w:val="21"/>
              </w:rPr>
            </w:pPr>
            <w:r>
              <w:rPr>
                <w:rFonts w:cs="Times New Roman"/>
                <w:sz w:val="21"/>
                <w:szCs w:val="21"/>
              </w:rPr>
              <w:t>√</w:t>
            </w:r>
          </w:p>
        </w:tc>
        <w:tc>
          <w:tcPr>
            <w:tcW w:w="803" w:type="dxa"/>
            <w:tcBorders>
              <w:top w:val="nil"/>
              <w:left w:val="nil"/>
              <w:bottom w:val="nil"/>
              <w:right w:val="nil"/>
            </w:tcBorders>
            <w:vAlign w:val="center"/>
          </w:tcPr>
          <w:p w14:paraId="0376DCD2">
            <w:pPr>
              <w:pStyle w:val="16"/>
              <w:spacing w:beforeLines="0" w:afterLines="0"/>
              <w:ind w:firstLine="0" w:firstLineChars="0"/>
              <w:jc w:val="center"/>
              <w:rPr>
                <w:rFonts w:cs="Times New Roman"/>
                <w:sz w:val="21"/>
                <w:szCs w:val="21"/>
              </w:rPr>
            </w:pPr>
          </w:p>
        </w:tc>
      </w:tr>
      <w:tr w14:paraId="02C69BFF">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88" w:type="dxa"/>
            <w:tcBorders>
              <w:top w:val="nil"/>
              <w:left w:val="nil"/>
              <w:bottom w:val="nil"/>
              <w:right w:val="nil"/>
            </w:tcBorders>
            <w:vAlign w:val="center"/>
          </w:tcPr>
          <w:p w14:paraId="2422F9B7">
            <w:pPr>
              <w:pStyle w:val="16"/>
              <w:spacing w:beforeLines="0" w:afterLines="0"/>
              <w:ind w:firstLine="0" w:firstLineChars="0"/>
              <w:jc w:val="center"/>
              <w:rPr>
                <w:rFonts w:cs="Times New Roman"/>
                <w:sz w:val="21"/>
                <w:szCs w:val="21"/>
              </w:rPr>
            </w:pPr>
            <w:r>
              <w:rPr>
                <w:rFonts w:hint="eastAsia" w:cs="Times New Roman"/>
                <w:sz w:val="21"/>
                <w:szCs w:val="21"/>
              </w:rPr>
              <w:t xml:space="preserve">Case </w:t>
            </w:r>
            <w:r>
              <w:rPr>
                <w:rFonts w:cs="Times New Roman"/>
                <w:sz w:val="21"/>
                <w:szCs w:val="21"/>
              </w:rPr>
              <w:t>2-9</w:t>
            </w:r>
          </w:p>
        </w:tc>
        <w:tc>
          <w:tcPr>
            <w:tcW w:w="3605" w:type="dxa"/>
            <w:tcBorders>
              <w:top w:val="nil"/>
              <w:left w:val="nil"/>
              <w:bottom w:val="nil"/>
              <w:right w:val="nil"/>
            </w:tcBorders>
            <w:vAlign w:val="center"/>
          </w:tcPr>
          <w:p w14:paraId="6CD2A777">
            <w:pPr>
              <w:spacing w:line="312" w:lineRule="auto"/>
              <w:jc w:val="left"/>
              <w:rPr>
                <w:szCs w:val="21"/>
              </w:rPr>
            </w:pPr>
            <w:r>
              <w:rPr>
                <w:rFonts w:hint="eastAsia"/>
                <w:szCs w:val="21"/>
              </w:rPr>
              <w:t>Steam leakage from a three-way pipe in a catalytic device</w:t>
            </w:r>
          </w:p>
        </w:tc>
        <w:tc>
          <w:tcPr>
            <w:tcW w:w="781" w:type="dxa"/>
            <w:tcBorders>
              <w:top w:val="nil"/>
              <w:left w:val="nil"/>
              <w:bottom w:val="nil"/>
              <w:right w:val="nil"/>
            </w:tcBorders>
            <w:vAlign w:val="center"/>
          </w:tcPr>
          <w:p w14:paraId="686F63BC">
            <w:pPr>
              <w:pStyle w:val="16"/>
              <w:spacing w:beforeLines="0" w:afterLines="0"/>
              <w:ind w:firstLine="0" w:firstLineChars="0"/>
              <w:jc w:val="center"/>
              <w:rPr>
                <w:rFonts w:cs="Times New Roman"/>
                <w:sz w:val="21"/>
                <w:szCs w:val="21"/>
              </w:rPr>
            </w:pPr>
          </w:p>
        </w:tc>
        <w:tc>
          <w:tcPr>
            <w:tcW w:w="890" w:type="dxa"/>
            <w:tcBorders>
              <w:top w:val="nil"/>
              <w:left w:val="nil"/>
              <w:bottom w:val="nil"/>
              <w:right w:val="nil"/>
            </w:tcBorders>
            <w:vAlign w:val="center"/>
          </w:tcPr>
          <w:p w14:paraId="14520588">
            <w:pPr>
              <w:pStyle w:val="16"/>
              <w:spacing w:beforeLines="0" w:afterLines="0"/>
              <w:ind w:firstLine="0" w:firstLineChars="0"/>
              <w:jc w:val="center"/>
              <w:rPr>
                <w:rFonts w:cs="Times New Roman"/>
                <w:sz w:val="21"/>
                <w:szCs w:val="21"/>
              </w:rPr>
            </w:pPr>
            <w:r>
              <w:rPr>
                <w:rFonts w:cs="Times New Roman"/>
                <w:sz w:val="21"/>
                <w:szCs w:val="21"/>
              </w:rPr>
              <w:t>√</w:t>
            </w:r>
          </w:p>
        </w:tc>
        <w:tc>
          <w:tcPr>
            <w:tcW w:w="778" w:type="dxa"/>
            <w:tcBorders>
              <w:top w:val="nil"/>
              <w:left w:val="nil"/>
              <w:bottom w:val="nil"/>
              <w:right w:val="nil"/>
            </w:tcBorders>
            <w:vAlign w:val="center"/>
          </w:tcPr>
          <w:p w14:paraId="29AAEAE7">
            <w:pPr>
              <w:pStyle w:val="16"/>
              <w:spacing w:beforeLines="0" w:afterLines="0"/>
              <w:ind w:firstLine="0" w:firstLineChars="0"/>
              <w:jc w:val="center"/>
              <w:rPr>
                <w:rFonts w:cs="Times New Roman"/>
                <w:sz w:val="21"/>
                <w:szCs w:val="21"/>
              </w:rPr>
            </w:pPr>
          </w:p>
        </w:tc>
        <w:tc>
          <w:tcPr>
            <w:tcW w:w="803" w:type="dxa"/>
            <w:tcBorders>
              <w:top w:val="nil"/>
              <w:left w:val="nil"/>
              <w:bottom w:val="nil"/>
              <w:right w:val="nil"/>
            </w:tcBorders>
            <w:vAlign w:val="center"/>
          </w:tcPr>
          <w:p w14:paraId="1D02781C">
            <w:pPr>
              <w:pStyle w:val="16"/>
              <w:spacing w:beforeLines="0" w:afterLines="0"/>
              <w:ind w:firstLine="0" w:firstLineChars="0"/>
              <w:jc w:val="center"/>
              <w:rPr>
                <w:rFonts w:cs="Times New Roman"/>
                <w:sz w:val="21"/>
                <w:szCs w:val="21"/>
              </w:rPr>
            </w:pPr>
          </w:p>
        </w:tc>
      </w:tr>
      <w:tr w14:paraId="09028BB9">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88" w:type="dxa"/>
            <w:tcBorders>
              <w:top w:val="nil"/>
              <w:left w:val="nil"/>
              <w:bottom w:val="nil"/>
              <w:right w:val="nil"/>
            </w:tcBorders>
            <w:vAlign w:val="center"/>
          </w:tcPr>
          <w:p w14:paraId="185B469A">
            <w:pPr>
              <w:pStyle w:val="16"/>
              <w:spacing w:beforeLines="0" w:afterLines="0"/>
              <w:ind w:firstLine="0" w:firstLineChars="0"/>
              <w:jc w:val="center"/>
              <w:rPr>
                <w:rFonts w:cs="Times New Roman"/>
                <w:sz w:val="21"/>
                <w:szCs w:val="21"/>
              </w:rPr>
            </w:pPr>
            <w:r>
              <w:rPr>
                <w:rFonts w:hint="eastAsia" w:cs="Times New Roman"/>
                <w:sz w:val="21"/>
                <w:szCs w:val="21"/>
              </w:rPr>
              <w:t xml:space="preserve">Case </w:t>
            </w:r>
            <w:r>
              <w:rPr>
                <w:rFonts w:cs="Times New Roman"/>
                <w:sz w:val="21"/>
                <w:szCs w:val="21"/>
              </w:rPr>
              <w:t>2-10</w:t>
            </w:r>
          </w:p>
        </w:tc>
        <w:tc>
          <w:tcPr>
            <w:tcW w:w="3605" w:type="dxa"/>
            <w:tcBorders>
              <w:top w:val="nil"/>
              <w:left w:val="nil"/>
              <w:bottom w:val="nil"/>
              <w:right w:val="nil"/>
            </w:tcBorders>
            <w:vAlign w:val="center"/>
          </w:tcPr>
          <w:p w14:paraId="00B047EF">
            <w:pPr>
              <w:spacing w:line="312" w:lineRule="auto"/>
              <w:jc w:val="left"/>
              <w:rPr>
                <w:szCs w:val="21"/>
              </w:rPr>
            </w:pPr>
            <w:r>
              <w:rPr>
                <w:rFonts w:hint="eastAsia"/>
                <w:szCs w:val="21"/>
              </w:rPr>
              <w:t>Cracking of storage tank for crude wax formation</w:t>
            </w:r>
          </w:p>
        </w:tc>
        <w:tc>
          <w:tcPr>
            <w:tcW w:w="781" w:type="dxa"/>
            <w:tcBorders>
              <w:top w:val="nil"/>
              <w:left w:val="nil"/>
              <w:bottom w:val="nil"/>
              <w:right w:val="nil"/>
            </w:tcBorders>
            <w:vAlign w:val="center"/>
          </w:tcPr>
          <w:p w14:paraId="05C458F8">
            <w:pPr>
              <w:pStyle w:val="16"/>
              <w:spacing w:beforeLines="0" w:afterLines="0"/>
              <w:ind w:firstLine="0" w:firstLineChars="0"/>
              <w:jc w:val="center"/>
              <w:rPr>
                <w:rFonts w:cs="Times New Roman"/>
                <w:sz w:val="21"/>
                <w:szCs w:val="21"/>
              </w:rPr>
            </w:pPr>
            <w:r>
              <w:rPr>
                <w:rFonts w:cs="Times New Roman"/>
                <w:sz w:val="21"/>
                <w:szCs w:val="21"/>
              </w:rPr>
              <w:t>√</w:t>
            </w:r>
          </w:p>
        </w:tc>
        <w:tc>
          <w:tcPr>
            <w:tcW w:w="890" w:type="dxa"/>
            <w:tcBorders>
              <w:top w:val="nil"/>
              <w:left w:val="nil"/>
              <w:bottom w:val="nil"/>
              <w:right w:val="nil"/>
            </w:tcBorders>
            <w:vAlign w:val="center"/>
          </w:tcPr>
          <w:p w14:paraId="5895DDF6">
            <w:pPr>
              <w:pStyle w:val="16"/>
              <w:spacing w:beforeLines="0" w:afterLines="0"/>
              <w:ind w:firstLine="0" w:firstLineChars="0"/>
              <w:jc w:val="center"/>
              <w:rPr>
                <w:rFonts w:cs="Times New Roman"/>
                <w:sz w:val="21"/>
                <w:szCs w:val="21"/>
              </w:rPr>
            </w:pPr>
            <w:r>
              <w:rPr>
                <w:rFonts w:cs="Times New Roman"/>
                <w:sz w:val="21"/>
                <w:szCs w:val="21"/>
              </w:rPr>
              <w:t>√</w:t>
            </w:r>
          </w:p>
        </w:tc>
        <w:tc>
          <w:tcPr>
            <w:tcW w:w="778" w:type="dxa"/>
            <w:tcBorders>
              <w:top w:val="nil"/>
              <w:left w:val="nil"/>
              <w:bottom w:val="nil"/>
              <w:right w:val="nil"/>
            </w:tcBorders>
            <w:vAlign w:val="center"/>
          </w:tcPr>
          <w:p w14:paraId="087110BA">
            <w:pPr>
              <w:pStyle w:val="16"/>
              <w:spacing w:beforeLines="0" w:afterLines="0"/>
              <w:ind w:firstLine="0" w:firstLineChars="0"/>
              <w:jc w:val="center"/>
              <w:rPr>
                <w:rFonts w:cs="Times New Roman"/>
                <w:sz w:val="21"/>
                <w:szCs w:val="21"/>
              </w:rPr>
            </w:pPr>
          </w:p>
        </w:tc>
        <w:tc>
          <w:tcPr>
            <w:tcW w:w="803" w:type="dxa"/>
            <w:tcBorders>
              <w:top w:val="nil"/>
              <w:left w:val="nil"/>
              <w:bottom w:val="nil"/>
              <w:right w:val="nil"/>
            </w:tcBorders>
            <w:vAlign w:val="center"/>
          </w:tcPr>
          <w:p w14:paraId="749B6870">
            <w:pPr>
              <w:pStyle w:val="16"/>
              <w:spacing w:beforeLines="0" w:afterLines="0"/>
              <w:ind w:firstLine="0" w:firstLineChars="0"/>
              <w:jc w:val="center"/>
              <w:rPr>
                <w:rFonts w:cs="Times New Roman"/>
                <w:sz w:val="21"/>
                <w:szCs w:val="21"/>
              </w:rPr>
            </w:pPr>
          </w:p>
        </w:tc>
      </w:tr>
      <w:tr w14:paraId="12CC50E0">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88" w:type="dxa"/>
            <w:tcBorders>
              <w:top w:val="nil"/>
              <w:left w:val="nil"/>
              <w:bottom w:val="nil"/>
              <w:right w:val="nil"/>
            </w:tcBorders>
            <w:vAlign w:val="center"/>
          </w:tcPr>
          <w:p w14:paraId="41B6F593">
            <w:pPr>
              <w:pStyle w:val="16"/>
              <w:spacing w:beforeLines="0" w:afterLines="0"/>
              <w:ind w:firstLine="0" w:firstLineChars="0"/>
              <w:jc w:val="center"/>
              <w:rPr>
                <w:rFonts w:cs="Times New Roman"/>
                <w:sz w:val="21"/>
                <w:szCs w:val="21"/>
              </w:rPr>
            </w:pPr>
            <w:r>
              <w:rPr>
                <w:rFonts w:hint="eastAsia" w:cs="Times New Roman"/>
                <w:sz w:val="21"/>
                <w:szCs w:val="21"/>
              </w:rPr>
              <w:t xml:space="preserve">Case </w:t>
            </w:r>
            <w:r>
              <w:rPr>
                <w:rFonts w:cs="Times New Roman"/>
                <w:sz w:val="21"/>
                <w:szCs w:val="21"/>
              </w:rPr>
              <w:t>2-11</w:t>
            </w:r>
          </w:p>
        </w:tc>
        <w:tc>
          <w:tcPr>
            <w:tcW w:w="3605" w:type="dxa"/>
            <w:tcBorders>
              <w:top w:val="nil"/>
              <w:left w:val="nil"/>
              <w:bottom w:val="nil"/>
              <w:right w:val="nil"/>
            </w:tcBorders>
            <w:vAlign w:val="center"/>
          </w:tcPr>
          <w:p w14:paraId="22F7D92D">
            <w:pPr>
              <w:spacing w:line="312" w:lineRule="auto"/>
              <w:jc w:val="left"/>
              <w:rPr>
                <w:szCs w:val="21"/>
              </w:rPr>
            </w:pPr>
            <w:r>
              <w:rPr>
                <w:rFonts w:hint="eastAsia"/>
                <w:szCs w:val="21"/>
              </w:rPr>
              <w:t>Cracking of crude methanol detachable plate condenser plates</w:t>
            </w:r>
          </w:p>
        </w:tc>
        <w:tc>
          <w:tcPr>
            <w:tcW w:w="781" w:type="dxa"/>
            <w:tcBorders>
              <w:top w:val="nil"/>
              <w:left w:val="nil"/>
              <w:bottom w:val="nil"/>
              <w:right w:val="nil"/>
            </w:tcBorders>
            <w:vAlign w:val="center"/>
          </w:tcPr>
          <w:p w14:paraId="195365D9">
            <w:pPr>
              <w:pStyle w:val="16"/>
              <w:spacing w:beforeLines="0" w:afterLines="0"/>
              <w:ind w:firstLine="0" w:firstLineChars="0"/>
              <w:jc w:val="center"/>
              <w:rPr>
                <w:rFonts w:cs="Times New Roman"/>
                <w:sz w:val="21"/>
                <w:szCs w:val="21"/>
              </w:rPr>
            </w:pPr>
            <w:r>
              <w:rPr>
                <w:rFonts w:cs="Times New Roman"/>
                <w:sz w:val="21"/>
                <w:szCs w:val="21"/>
              </w:rPr>
              <w:t>√</w:t>
            </w:r>
          </w:p>
        </w:tc>
        <w:tc>
          <w:tcPr>
            <w:tcW w:w="890" w:type="dxa"/>
            <w:tcBorders>
              <w:top w:val="nil"/>
              <w:left w:val="nil"/>
              <w:bottom w:val="nil"/>
              <w:right w:val="nil"/>
            </w:tcBorders>
            <w:vAlign w:val="center"/>
          </w:tcPr>
          <w:p w14:paraId="2F76E8C9">
            <w:pPr>
              <w:pStyle w:val="16"/>
              <w:spacing w:beforeLines="0" w:afterLines="0"/>
              <w:ind w:firstLine="0" w:firstLineChars="0"/>
              <w:jc w:val="center"/>
              <w:rPr>
                <w:rFonts w:cs="Times New Roman"/>
                <w:sz w:val="21"/>
                <w:szCs w:val="21"/>
              </w:rPr>
            </w:pPr>
          </w:p>
        </w:tc>
        <w:tc>
          <w:tcPr>
            <w:tcW w:w="778" w:type="dxa"/>
            <w:tcBorders>
              <w:top w:val="nil"/>
              <w:left w:val="nil"/>
              <w:bottom w:val="nil"/>
              <w:right w:val="nil"/>
            </w:tcBorders>
            <w:vAlign w:val="center"/>
          </w:tcPr>
          <w:p w14:paraId="7FCD2E46">
            <w:pPr>
              <w:pStyle w:val="16"/>
              <w:spacing w:beforeLines="0" w:afterLines="0"/>
              <w:ind w:firstLine="0" w:firstLineChars="0"/>
              <w:jc w:val="center"/>
              <w:rPr>
                <w:rFonts w:cs="Times New Roman"/>
                <w:sz w:val="21"/>
                <w:szCs w:val="21"/>
              </w:rPr>
            </w:pPr>
          </w:p>
        </w:tc>
        <w:tc>
          <w:tcPr>
            <w:tcW w:w="803" w:type="dxa"/>
            <w:tcBorders>
              <w:top w:val="nil"/>
              <w:left w:val="nil"/>
              <w:bottom w:val="nil"/>
              <w:right w:val="nil"/>
            </w:tcBorders>
            <w:vAlign w:val="center"/>
          </w:tcPr>
          <w:p w14:paraId="7D7529AA">
            <w:pPr>
              <w:pStyle w:val="16"/>
              <w:spacing w:beforeLines="0" w:afterLines="0"/>
              <w:ind w:firstLine="0" w:firstLineChars="0"/>
              <w:jc w:val="center"/>
              <w:rPr>
                <w:rFonts w:cs="Times New Roman"/>
                <w:sz w:val="21"/>
                <w:szCs w:val="21"/>
              </w:rPr>
            </w:pPr>
            <w:r>
              <w:rPr>
                <w:rFonts w:cs="Times New Roman"/>
                <w:sz w:val="21"/>
                <w:szCs w:val="21"/>
              </w:rPr>
              <w:t>√</w:t>
            </w:r>
          </w:p>
        </w:tc>
      </w:tr>
      <w:tr w14:paraId="3293A433">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88" w:type="dxa"/>
            <w:tcBorders>
              <w:top w:val="nil"/>
              <w:left w:val="nil"/>
              <w:right w:val="nil"/>
            </w:tcBorders>
            <w:vAlign w:val="center"/>
          </w:tcPr>
          <w:p w14:paraId="43476D6D">
            <w:pPr>
              <w:pStyle w:val="16"/>
              <w:spacing w:beforeLines="0" w:afterLines="0"/>
              <w:ind w:firstLine="0" w:firstLineChars="0"/>
              <w:jc w:val="center"/>
              <w:rPr>
                <w:rFonts w:cs="Times New Roman"/>
                <w:sz w:val="21"/>
                <w:szCs w:val="21"/>
              </w:rPr>
            </w:pPr>
            <w:r>
              <w:rPr>
                <w:rFonts w:hint="eastAsia" w:cs="Times New Roman"/>
                <w:sz w:val="21"/>
                <w:szCs w:val="21"/>
              </w:rPr>
              <w:t xml:space="preserve">Case </w:t>
            </w:r>
            <w:r>
              <w:rPr>
                <w:rFonts w:cs="Times New Roman"/>
                <w:sz w:val="21"/>
                <w:szCs w:val="21"/>
              </w:rPr>
              <w:t>2-12</w:t>
            </w:r>
          </w:p>
        </w:tc>
        <w:tc>
          <w:tcPr>
            <w:tcW w:w="3605" w:type="dxa"/>
            <w:tcBorders>
              <w:top w:val="nil"/>
              <w:left w:val="nil"/>
              <w:right w:val="nil"/>
            </w:tcBorders>
            <w:vAlign w:val="center"/>
          </w:tcPr>
          <w:p w14:paraId="263DD673">
            <w:pPr>
              <w:spacing w:line="312" w:lineRule="auto"/>
              <w:jc w:val="left"/>
              <w:rPr>
                <w:szCs w:val="21"/>
              </w:rPr>
            </w:pPr>
            <w:r>
              <w:rPr>
                <w:rFonts w:hint="eastAsia"/>
                <w:szCs w:val="21"/>
              </w:rPr>
              <w:t>Cracking of plate heat exchanger plates</w:t>
            </w:r>
          </w:p>
        </w:tc>
        <w:tc>
          <w:tcPr>
            <w:tcW w:w="781" w:type="dxa"/>
            <w:tcBorders>
              <w:top w:val="nil"/>
              <w:left w:val="nil"/>
              <w:right w:val="nil"/>
            </w:tcBorders>
            <w:vAlign w:val="center"/>
          </w:tcPr>
          <w:p w14:paraId="2D58CA2D">
            <w:pPr>
              <w:pStyle w:val="16"/>
              <w:spacing w:beforeLines="0" w:afterLines="0"/>
              <w:ind w:firstLine="0" w:firstLineChars="0"/>
              <w:jc w:val="center"/>
              <w:rPr>
                <w:rFonts w:cs="Times New Roman"/>
                <w:sz w:val="21"/>
                <w:szCs w:val="21"/>
              </w:rPr>
            </w:pPr>
            <w:r>
              <w:rPr>
                <w:rFonts w:cs="Times New Roman"/>
                <w:sz w:val="21"/>
                <w:szCs w:val="21"/>
              </w:rPr>
              <w:t>√</w:t>
            </w:r>
          </w:p>
        </w:tc>
        <w:tc>
          <w:tcPr>
            <w:tcW w:w="890" w:type="dxa"/>
            <w:tcBorders>
              <w:top w:val="nil"/>
              <w:left w:val="nil"/>
              <w:right w:val="nil"/>
            </w:tcBorders>
            <w:vAlign w:val="center"/>
          </w:tcPr>
          <w:p w14:paraId="4250F65E">
            <w:pPr>
              <w:pStyle w:val="16"/>
              <w:spacing w:beforeLines="0" w:afterLines="0"/>
              <w:ind w:firstLine="0" w:firstLineChars="0"/>
              <w:jc w:val="center"/>
              <w:rPr>
                <w:rFonts w:cs="Times New Roman"/>
                <w:sz w:val="21"/>
                <w:szCs w:val="21"/>
              </w:rPr>
            </w:pPr>
          </w:p>
        </w:tc>
        <w:tc>
          <w:tcPr>
            <w:tcW w:w="778" w:type="dxa"/>
            <w:tcBorders>
              <w:top w:val="nil"/>
              <w:left w:val="nil"/>
              <w:right w:val="nil"/>
            </w:tcBorders>
            <w:vAlign w:val="center"/>
          </w:tcPr>
          <w:p w14:paraId="37083BB5">
            <w:pPr>
              <w:pStyle w:val="16"/>
              <w:spacing w:beforeLines="0" w:afterLines="0"/>
              <w:ind w:firstLine="0" w:firstLineChars="0"/>
              <w:jc w:val="center"/>
              <w:rPr>
                <w:rFonts w:cs="Times New Roman"/>
                <w:sz w:val="21"/>
                <w:szCs w:val="21"/>
              </w:rPr>
            </w:pPr>
          </w:p>
        </w:tc>
        <w:tc>
          <w:tcPr>
            <w:tcW w:w="803" w:type="dxa"/>
            <w:tcBorders>
              <w:top w:val="nil"/>
              <w:left w:val="nil"/>
              <w:right w:val="nil"/>
            </w:tcBorders>
            <w:vAlign w:val="center"/>
          </w:tcPr>
          <w:p w14:paraId="51E75423">
            <w:pPr>
              <w:pStyle w:val="16"/>
              <w:spacing w:beforeLines="0" w:afterLines="0"/>
              <w:ind w:firstLine="0" w:firstLineChars="0"/>
              <w:jc w:val="center"/>
              <w:rPr>
                <w:rFonts w:cs="Times New Roman"/>
                <w:sz w:val="21"/>
                <w:szCs w:val="21"/>
              </w:rPr>
            </w:pPr>
          </w:p>
        </w:tc>
      </w:tr>
    </w:tbl>
    <w:p w14:paraId="650EF811">
      <w:pPr>
        <w:pStyle w:val="16"/>
        <w:spacing w:before="468" w:beforeLines="150" w:after="156" w:afterLines="50"/>
        <w:ind w:firstLine="0" w:firstLineChars="0"/>
        <w:jc w:val="center"/>
        <w:rPr>
          <w:rFonts w:cs="Times New Roman"/>
          <w:b/>
          <w:sz w:val="21"/>
          <w:szCs w:val="21"/>
        </w:rPr>
      </w:pPr>
      <w:r>
        <w:rPr>
          <w:rFonts w:hint="eastAsia" w:cs="Times New Roman"/>
          <w:b/>
          <w:sz w:val="21"/>
          <w:szCs w:val="21"/>
        </w:rPr>
        <w:t>Table 2-15 Summary of Failure Causes in Cases Not Listed in the Report</w:t>
      </w:r>
    </w:p>
    <w:tbl>
      <w:tblPr>
        <w:tblStyle w:val="9"/>
        <w:tblW w:w="0" w:type="auto"/>
        <w:jc w:val="center"/>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Layout w:type="autofit"/>
        <w:tblCellMar>
          <w:top w:w="0" w:type="dxa"/>
          <w:left w:w="108" w:type="dxa"/>
          <w:bottom w:w="0" w:type="dxa"/>
          <w:right w:w="108" w:type="dxa"/>
        </w:tblCellMar>
      </w:tblPr>
      <w:tblGrid>
        <w:gridCol w:w="531"/>
        <w:gridCol w:w="3381"/>
        <w:gridCol w:w="928"/>
        <w:gridCol w:w="181"/>
        <w:gridCol w:w="1120"/>
        <w:gridCol w:w="141"/>
        <w:gridCol w:w="775"/>
        <w:gridCol w:w="248"/>
        <w:gridCol w:w="1217"/>
      </w:tblGrid>
      <w:tr w14:paraId="663ED4EC">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jc w:val="center"/>
        </w:trPr>
        <w:tc>
          <w:tcPr>
            <w:tcW w:w="534" w:type="dxa"/>
            <w:vMerge w:val="restart"/>
            <w:tcBorders>
              <w:right w:val="nil"/>
            </w:tcBorders>
            <w:vAlign w:val="center"/>
          </w:tcPr>
          <w:p w14:paraId="0A4F7F38">
            <w:pPr>
              <w:pStyle w:val="16"/>
              <w:spacing w:beforeLines="0" w:afterLines="0"/>
              <w:ind w:firstLine="0" w:firstLineChars="0"/>
              <w:jc w:val="center"/>
              <w:rPr>
                <w:rFonts w:cs="Times New Roman"/>
                <w:sz w:val="21"/>
                <w:szCs w:val="21"/>
              </w:rPr>
            </w:pPr>
            <w:r>
              <w:rPr>
                <w:rFonts w:hint="eastAsia" w:cs="Times New Roman"/>
                <w:sz w:val="21"/>
                <w:szCs w:val="21"/>
              </w:rPr>
              <w:t>No.</w:t>
            </w:r>
          </w:p>
        </w:tc>
        <w:tc>
          <w:tcPr>
            <w:tcW w:w="4363" w:type="dxa"/>
            <w:vMerge w:val="restart"/>
            <w:tcBorders>
              <w:left w:val="nil"/>
              <w:right w:val="nil"/>
            </w:tcBorders>
            <w:vAlign w:val="center"/>
          </w:tcPr>
          <w:p w14:paraId="26D02F0F">
            <w:pPr>
              <w:pStyle w:val="16"/>
              <w:spacing w:beforeLines="0" w:afterLines="0"/>
              <w:ind w:firstLine="0" w:firstLineChars="0"/>
              <w:jc w:val="center"/>
              <w:rPr>
                <w:rFonts w:cs="Times New Roman"/>
                <w:sz w:val="21"/>
                <w:szCs w:val="21"/>
              </w:rPr>
            </w:pPr>
            <w:r>
              <w:rPr>
                <w:rFonts w:hint="eastAsia" w:cs="Times New Roman"/>
                <w:sz w:val="21"/>
                <w:szCs w:val="21"/>
              </w:rPr>
              <w:tab/>
            </w:r>
            <w:r>
              <w:rPr>
                <w:rFonts w:hint="eastAsia" w:cs="Times New Roman"/>
                <w:sz w:val="21"/>
                <w:szCs w:val="21"/>
              </w:rPr>
              <w:t>Case Name</w:t>
            </w:r>
          </w:p>
        </w:tc>
        <w:tc>
          <w:tcPr>
            <w:tcW w:w="3256" w:type="dxa"/>
            <w:gridSpan w:val="7"/>
            <w:tcBorders>
              <w:left w:val="nil"/>
            </w:tcBorders>
            <w:vAlign w:val="center"/>
          </w:tcPr>
          <w:p w14:paraId="1BAA1045">
            <w:pPr>
              <w:pStyle w:val="16"/>
              <w:spacing w:beforeLines="0" w:afterLines="0"/>
              <w:ind w:firstLine="0" w:firstLineChars="0"/>
              <w:jc w:val="center"/>
              <w:rPr>
                <w:rFonts w:cs="Times New Roman"/>
                <w:sz w:val="21"/>
                <w:szCs w:val="21"/>
              </w:rPr>
            </w:pPr>
            <w:r>
              <w:rPr>
                <w:rFonts w:hint="eastAsia" w:cs="Times New Roman"/>
                <w:sz w:val="21"/>
                <w:szCs w:val="21"/>
              </w:rPr>
              <w:t>Failure Causes</w:t>
            </w:r>
          </w:p>
        </w:tc>
      </w:tr>
      <w:tr w14:paraId="6FEC24A4">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jc w:val="center"/>
        </w:trPr>
        <w:tc>
          <w:tcPr>
            <w:tcW w:w="534" w:type="dxa"/>
            <w:vMerge w:val="continue"/>
            <w:tcBorders>
              <w:bottom w:val="single" w:color="auto" w:sz="12" w:space="0"/>
              <w:right w:val="nil"/>
            </w:tcBorders>
            <w:vAlign w:val="center"/>
          </w:tcPr>
          <w:p w14:paraId="137B41DF">
            <w:pPr>
              <w:pStyle w:val="16"/>
              <w:spacing w:beforeLines="0" w:afterLines="0"/>
              <w:ind w:firstLine="0" w:firstLineChars="0"/>
              <w:jc w:val="center"/>
              <w:rPr>
                <w:rFonts w:cs="Times New Roman"/>
                <w:sz w:val="21"/>
                <w:szCs w:val="21"/>
              </w:rPr>
            </w:pPr>
          </w:p>
        </w:tc>
        <w:tc>
          <w:tcPr>
            <w:tcW w:w="4363" w:type="dxa"/>
            <w:vMerge w:val="continue"/>
            <w:tcBorders>
              <w:left w:val="nil"/>
              <w:bottom w:val="single" w:color="auto" w:sz="12" w:space="0"/>
              <w:right w:val="nil"/>
            </w:tcBorders>
            <w:vAlign w:val="center"/>
          </w:tcPr>
          <w:p w14:paraId="7A9ABD35">
            <w:pPr>
              <w:pStyle w:val="16"/>
              <w:spacing w:beforeLines="0" w:afterLines="0"/>
              <w:ind w:firstLine="0" w:firstLineChars="0"/>
              <w:jc w:val="center"/>
              <w:rPr>
                <w:rFonts w:cs="Times New Roman"/>
                <w:sz w:val="21"/>
                <w:szCs w:val="21"/>
              </w:rPr>
            </w:pPr>
          </w:p>
        </w:tc>
        <w:tc>
          <w:tcPr>
            <w:tcW w:w="655" w:type="dxa"/>
            <w:tcBorders>
              <w:left w:val="nil"/>
              <w:bottom w:val="single" w:color="auto" w:sz="12" w:space="0"/>
              <w:right w:val="nil"/>
            </w:tcBorders>
            <w:vAlign w:val="center"/>
          </w:tcPr>
          <w:p w14:paraId="1D59991C">
            <w:pPr>
              <w:pStyle w:val="16"/>
              <w:spacing w:beforeLines="0" w:afterLines="0"/>
              <w:ind w:firstLine="0" w:firstLineChars="0"/>
              <w:jc w:val="center"/>
              <w:rPr>
                <w:rFonts w:cs="Times New Roman"/>
                <w:sz w:val="21"/>
                <w:szCs w:val="21"/>
              </w:rPr>
            </w:pPr>
            <w:r>
              <w:rPr>
                <w:rFonts w:hint="eastAsia" w:cs="Times New Roman"/>
                <w:sz w:val="21"/>
                <w:szCs w:val="21"/>
              </w:rPr>
              <w:t>Material</w:t>
            </w:r>
          </w:p>
          <w:p w14:paraId="11538E95">
            <w:pPr>
              <w:pStyle w:val="16"/>
              <w:spacing w:beforeLines="0" w:afterLines="0"/>
              <w:ind w:firstLine="0" w:firstLineChars="0"/>
              <w:jc w:val="center"/>
              <w:rPr>
                <w:rFonts w:cs="Times New Roman"/>
                <w:sz w:val="21"/>
                <w:szCs w:val="21"/>
              </w:rPr>
            </w:pPr>
            <w:r>
              <w:rPr>
                <w:rFonts w:hint="eastAsia" w:cs="Times New Roman"/>
                <w:sz w:val="21"/>
                <w:szCs w:val="21"/>
              </w:rPr>
              <w:t>Itself</w:t>
            </w:r>
          </w:p>
        </w:tc>
        <w:tc>
          <w:tcPr>
            <w:tcW w:w="919" w:type="dxa"/>
            <w:gridSpan w:val="2"/>
            <w:tcBorders>
              <w:left w:val="nil"/>
              <w:bottom w:val="single" w:color="auto" w:sz="12" w:space="0"/>
              <w:right w:val="nil"/>
            </w:tcBorders>
            <w:vAlign w:val="center"/>
          </w:tcPr>
          <w:p w14:paraId="4D91A193">
            <w:pPr>
              <w:pStyle w:val="16"/>
              <w:spacing w:beforeLines="0" w:afterLines="0"/>
              <w:ind w:firstLine="0" w:firstLineChars="0"/>
              <w:jc w:val="center"/>
              <w:rPr>
                <w:rFonts w:cs="Times New Roman"/>
                <w:sz w:val="21"/>
                <w:szCs w:val="21"/>
              </w:rPr>
            </w:pPr>
            <w:r>
              <w:rPr>
                <w:rFonts w:hint="eastAsia" w:cs="Times New Roman"/>
                <w:sz w:val="21"/>
                <w:szCs w:val="21"/>
              </w:rPr>
              <w:t>Production</w:t>
            </w:r>
          </w:p>
          <w:p w14:paraId="66F06E20">
            <w:pPr>
              <w:pStyle w:val="16"/>
              <w:spacing w:beforeLines="0" w:afterLines="0"/>
              <w:ind w:firstLine="0" w:firstLineChars="0"/>
              <w:jc w:val="center"/>
              <w:rPr>
                <w:rFonts w:cs="Times New Roman"/>
                <w:sz w:val="21"/>
                <w:szCs w:val="21"/>
              </w:rPr>
            </w:pPr>
            <w:r>
              <w:rPr>
                <w:rFonts w:hint="eastAsia" w:cs="Times New Roman"/>
                <w:sz w:val="21"/>
                <w:szCs w:val="21"/>
              </w:rPr>
              <w:t>and Construction</w:t>
            </w:r>
          </w:p>
        </w:tc>
        <w:tc>
          <w:tcPr>
            <w:tcW w:w="647" w:type="dxa"/>
            <w:gridSpan w:val="2"/>
            <w:tcBorders>
              <w:left w:val="nil"/>
              <w:bottom w:val="single" w:color="auto" w:sz="12" w:space="0"/>
              <w:right w:val="nil"/>
            </w:tcBorders>
            <w:vAlign w:val="center"/>
          </w:tcPr>
          <w:p w14:paraId="30BDA6C8">
            <w:pPr>
              <w:pStyle w:val="16"/>
              <w:spacing w:beforeLines="0" w:afterLines="0"/>
              <w:ind w:firstLine="0" w:firstLineChars="0"/>
              <w:jc w:val="center"/>
              <w:rPr>
                <w:rFonts w:cs="Times New Roman"/>
                <w:sz w:val="21"/>
                <w:szCs w:val="21"/>
              </w:rPr>
            </w:pPr>
            <w:r>
              <w:rPr>
                <w:rFonts w:hint="eastAsia" w:cs="Times New Roman"/>
                <w:sz w:val="21"/>
                <w:szCs w:val="21"/>
              </w:rPr>
              <w:t>Design</w:t>
            </w:r>
          </w:p>
          <w:p w14:paraId="76B4025F">
            <w:pPr>
              <w:pStyle w:val="16"/>
              <w:spacing w:beforeLines="0" w:afterLines="0"/>
              <w:ind w:firstLine="0" w:firstLineChars="0"/>
              <w:jc w:val="center"/>
              <w:rPr>
                <w:rFonts w:cs="Times New Roman"/>
                <w:sz w:val="21"/>
                <w:szCs w:val="21"/>
              </w:rPr>
            </w:pPr>
            <w:r>
              <w:rPr>
                <w:rFonts w:hint="eastAsia" w:cs="Times New Roman"/>
                <w:sz w:val="21"/>
                <w:szCs w:val="21"/>
              </w:rPr>
              <w:t>Reasons</w:t>
            </w:r>
          </w:p>
        </w:tc>
        <w:tc>
          <w:tcPr>
            <w:tcW w:w="1035" w:type="dxa"/>
            <w:gridSpan w:val="2"/>
            <w:tcBorders>
              <w:left w:val="nil"/>
              <w:bottom w:val="single" w:color="auto" w:sz="12" w:space="0"/>
            </w:tcBorders>
            <w:vAlign w:val="center"/>
          </w:tcPr>
          <w:p w14:paraId="72CBEDCB">
            <w:pPr>
              <w:pStyle w:val="16"/>
              <w:spacing w:beforeLines="0" w:afterLines="0"/>
              <w:ind w:firstLine="0" w:firstLineChars="0"/>
              <w:jc w:val="center"/>
              <w:rPr>
                <w:rFonts w:cs="Times New Roman"/>
                <w:sz w:val="21"/>
                <w:szCs w:val="21"/>
              </w:rPr>
            </w:pPr>
            <w:r>
              <w:rPr>
                <w:rFonts w:hint="eastAsia" w:cs="Times New Roman"/>
                <w:sz w:val="21"/>
                <w:szCs w:val="21"/>
              </w:rPr>
              <w:t>Environmental</w:t>
            </w:r>
          </w:p>
          <w:p w14:paraId="146E8B8C">
            <w:pPr>
              <w:pStyle w:val="16"/>
              <w:spacing w:beforeLines="0" w:afterLines="0"/>
              <w:ind w:firstLine="0" w:firstLineChars="0"/>
              <w:jc w:val="center"/>
              <w:rPr>
                <w:rFonts w:cs="Times New Roman"/>
                <w:sz w:val="21"/>
                <w:szCs w:val="21"/>
              </w:rPr>
            </w:pPr>
            <w:r>
              <w:rPr>
                <w:rFonts w:hint="eastAsia" w:cs="Times New Roman"/>
                <w:sz w:val="21"/>
                <w:szCs w:val="21"/>
              </w:rPr>
              <w:t>Factors</w:t>
            </w:r>
          </w:p>
        </w:tc>
      </w:tr>
      <w:tr w14:paraId="57460415">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jc w:val="center"/>
        </w:trPr>
        <w:tc>
          <w:tcPr>
            <w:tcW w:w="534" w:type="dxa"/>
            <w:tcBorders>
              <w:bottom w:val="nil"/>
              <w:right w:val="nil"/>
            </w:tcBorders>
            <w:vAlign w:val="center"/>
          </w:tcPr>
          <w:p w14:paraId="51469CEA">
            <w:pPr>
              <w:pStyle w:val="16"/>
              <w:spacing w:beforeLines="0" w:afterLines="0"/>
              <w:ind w:firstLine="0" w:firstLineChars="0"/>
              <w:jc w:val="center"/>
              <w:rPr>
                <w:rFonts w:cs="Times New Roman"/>
                <w:sz w:val="21"/>
                <w:szCs w:val="21"/>
              </w:rPr>
            </w:pPr>
            <w:r>
              <w:rPr>
                <w:rFonts w:cs="Times New Roman"/>
                <w:sz w:val="21"/>
                <w:szCs w:val="21"/>
              </w:rPr>
              <w:t>1</w:t>
            </w:r>
          </w:p>
        </w:tc>
        <w:tc>
          <w:tcPr>
            <w:tcW w:w="4363" w:type="dxa"/>
            <w:tcBorders>
              <w:left w:val="nil"/>
              <w:bottom w:val="nil"/>
              <w:right w:val="nil"/>
            </w:tcBorders>
            <w:vAlign w:val="center"/>
          </w:tcPr>
          <w:p w14:paraId="1CFEA83C">
            <w:pPr>
              <w:rPr>
                <w:color w:val="000000"/>
                <w:szCs w:val="21"/>
              </w:rPr>
            </w:pPr>
            <w:r>
              <w:rPr>
                <w:rFonts w:hint="eastAsia"/>
                <w:color w:val="000000"/>
                <w:szCs w:val="21"/>
              </w:rPr>
              <w:t>Failure of drill bit buckle connection and drill string fracture[3]</w:t>
            </w:r>
          </w:p>
        </w:tc>
        <w:tc>
          <w:tcPr>
            <w:tcW w:w="782" w:type="dxa"/>
            <w:gridSpan w:val="2"/>
            <w:tcBorders>
              <w:left w:val="nil"/>
              <w:bottom w:val="nil"/>
              <w:right w:val="nil"/>
            </w:tcBorders>
            <w:vAlign w:val="center"/>
          </w:tcPr>
          <w:p w14:paraId="7088B67F">
            <w:pPr>
              <w:spacing w:line="312" w:lineRule="auto"/>
              <w:jc w:val="center"/>
              <w:rPr>
                <w:szCs w:val="21"/>
              </w:rPr>
            </w:pPr>
            <w:r>
              <w:rPr>
                <w:szCs w:val="21"/>
              </w:rPr>
              <w:t>√</w:t>
            </w:r>
          </w:p>
        </w:tc>
        <w:tc>
          <w:tcPr>
            <w:tcW w:w="891" w:type="dxa"/>
            <w:gridSpan w:val="2"/>
            <w:tcBorders>
              <w:left w:val="nil"/>
              <w:bottom w:val="nil"/>
              <w:right w:val="nil"/>
            </w:tcBorders>
            <w:vAlign w:val="center"/>
          </w:tcPr>
          <w:p w14:paraId="47CE28E3">
            <w:pPr>
              <w:pStyle w:val="16"/>
              <w:spacing w:beforeLines="0" w:afterLines="0"/>
              <w:ind w:firstLine="0" w:firstLineChars="0"/>
              <w:jc w:val="center"/>
              <w:rPr>
                <w:rFonts w:cs="Times New Roman"/>
                <w:sz w:val="21"/>
                <w:szCs w:val="21"/>
              </w:rPr>
            </w:pPr>
          </w:p>
        </w:tc>
        <w:tc>
          <w:tcPr>
            <w:tcW w:w="779" w:type="dxa"/>
            <w:gridSpan w:val="2"/>
            <w:tcBorders>
              <w:left w:val="nil"/>
              <w:bottom w:val="nil"/>
              <w:right w:val="nil"/>
            </w:tcBorders>
            <w:vAlign w:val="center"/>
          </w:tcPr>
          <w:p w14:paraId="4B0364F4">
            <w:pPr>
              <w:pStyle w:val="16"/>
              <w:spacing w:beforeLines="0" w:afterLines="0"/>
              <w:ind w:firstLine="0" w:firstLineChars="0"/>
              <w:jc w:val="center"/>
              <w:rPr>
                <w:rFonts w:cs="Times New Roman"/>
                <w:sz w:val="21"/>
                <w:szCs w:val="21"/>
              </w:rPr>
            </w:pPr>
          </w:p>
        </w:tc>
        <w:tc>
          <w:tcPr>
            <w:tcW w:w="804" w:type="dxa"/>
            <w:tcBorders>
              <w:left w:val="nil"/>
              <w:bottom w:val="nil"/>
            </w:tcBorders>
            <w:vAlign w:val="center"/>
          </w:tcPr>
          <w:p w14:paraId="5C44D256">
            <w:pPr>
              <w:pStyle w:val="16"/>
              <w:spacing w:beforeLines="0" w:afterLines="0"/>
              <w:ind w:firstLine="0" w:firstLineChars="0"/>
              <w:jc w:val="center"/>
              <w:rPr>
                <w:rFonts w:cs="Times New Roman"/>
                <w:sz w:val="21"/>
                <w:szCs w:val="21"/>
              </w:rPr>
            </w:pPr>
          </w:p>
        </w:tc>
      </w:tr>
      <w:tr w14:paraId="4BEB3847">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jc w:val="center"/>
        </w:trPr>
        <w:tc>
          <w:tcPr>
            <w:tcW w:w="534" w:type="dxa"/>
            <w:tcBorders>
              <w:top w:val="nil"/>
              <w:bottom w:val="nil"/>
              <w:right w:val="nil"/>
            </w:tcBorders>
            <w:vAlign w:val="center"/>
          </w:tcPr>
          <w:p w14:paraId="3417877A">
            <w:pPr>
              <w:pStyle w:val="16"/>
              <w:spacing w:beforeLines="0" w:afterLines="0"/>
              <w:ind w:firstLine="0" w:firstLineChars="0"/>
              <w:jc w:val="center"/>
              <w:rPr>
                <w:rFonts w:cs="Times New Roman"/>
                <w:sz w:val="21"/>
                <w:szCs w:val="21"/>
              </w:rPr>
            </w:pPr>
            <w:r>
              <w:rPr>
                <w:rFonts w:cs="Times New Roman"/>
                <w:sz w:val="21"/>
                <w:szCs w:val="21"/>
              </w:rPr>
              <w:t>2</w:t>
            </w:r>
          </w:p>
        </w:tc>
        <w:tc>
          <w:tcPr>
            <w:tcW w:w="4363" w:type="dxa"/>
            <w:tcBorders>
              <w:top w:val="nil"/>
              <w:left w:val="nil"/>
              <w:bottom w:val="nil"/>
              <w:right w:val="nil"/>
            </w:tcBorders>
            <w:vAlign w:val="center"/>
          </w:tcPr>
          <w:p w14:paraId="05B511BD">
            <w:pPr>
              <w:rPr>
                <w:bCs/>
                <w:color w:val="000000"/>
                <w:szCs w:val="21"/>
              </w:rPr>
            </w:pPr>
            <w:r>
              <w:rPr>
                <w:rFonts w:hint="eastAsia"/>
                <w:bCs/>
                <w:color w:val="000000"/>
                <w:szCs w:val="21"/>
              </w:rPr>
              <w:t>Stress corrosion cracking of threaded joints inside drill pipes[22]</w:t>
            </w:r>
          </w:p>
        </w:tc>
        <w:tc>
          <w:tcPr>
            <w:tcW w:w="782" w:type="dxa"/>
            <w:gridSpan w:val="2"/>
            <w:tcBorders>
              <w:top w:val="nil"/>
              <w:left w:val="nil"/>
              <w:bottom w:val="nil"/>
              <w:right w:val="nil"/>
            </w:tcBorders>
            <w:vAlign w:val="center"/>
          </w:tcPr>
          <w:p w14:paraId="0E763EE7">
            <w:pPr>
              <w:pStyle w:val="16"/>
              <w:spacing w:beforeLines="0" w:afterLines="0"/>
              <w:ind w:firstLine="0" w:firstLineChars="0"/>
              <w:jc w:val="center"/>
              <w:rPr>
                <w:rFonts w:cs="Times New Roman"/>
                <w:sz w:val="21"/>
                <w:szCs w:val="21"/>
              </w:rPr>
            </w:pPr>
          </w:p>
        </w:tc>
        <w:tc>
          <w:tcPr>
            <w:tcW w:w="891" w:type="dxa"/>
            <w:gridSpan w:val="2"/>
            <w:tcBorders>
              <w:top w:val="nil"/>
              <w:left w:val="nil"/>
              <w:bottom w:val="nil"/>
              <w:right w:val="nil"/>
            </w:tcBorders>
            <w:vAlign w:val="center"/>
          </w:tcPr>
          <w:p w14:paraId="6957E315">
            <w:pPr>
              <w:pStyle w:val="16"/>
              <w:spacing w:beforeLines="0" w:afterLines="0"/>
              <w:ind w:firstLine="0" w:firstLineChars="0"/>
              <w:jc w:val="center"/>
              <w:rPr>
                <w:rFonts w:cs="Times New Roman"/>
                <w:sz w:val="21"/>
                <w:szCs w:val="21"/>
              </w:rPr>
            </w:pPr>
          </w:p>
        </w:tc>
        <w:tc>
          <w:tcPr>
            <w:tcW w:w="779" w:type="dxa"/>
            <w:gridSpan w:val="2"/>
            <w:tcBorders>
              <w:top w:val="nil"/>
              <w:left w:val="nil"/>
              <w:bottom w:val="nil"/>
              <w:right w:val="nil"/>
            </w:tcBorders>
            <w:vAlign w:val="center"/>
          </w:tcPr>
          <w:p w14:paraId="6BAF7B30">
            <w:pPr>
              <w:pStyle w:val="16"/>
              <w:spacing w:beforeLines="0" w:afterLines="0"/>
              <w:ind w:firstLine="0" w:firstLineChars="0"/>
              <w:jc w:val="center"/>
              <w:rPr>
                <w:rFonts w:cs="Times New Roman"/>
                <w:sz w:val="21"/>
                <w:szCs w:val="21"/>
              </w:rPr>
            </w:pPr>
          </w:p>
        </w:tc>
        <w:tc>
          <w:tcPr>
            <w:tcW w:w="804" w:type="dxa"/>
            <w:tcBorders>
              <w:top w:val="nil"/>
              <w:left w:val="nil"/>
              <w:bottom w:val="nil"/>
            </w:tcBorders>
            <w:vAlign w:val="center"/>
          </w:tcPr>
          <w:p w14:paraId="4615C31E">
            <w:pPr>
              <w:pStyle w:val="16"/>
              <w:spacing w:beforeLines="0" w:afterLines="0"/>
              <w:ind w:firstLine="0" w:firstLineChars="0"/>
              <w:jc w:val="center"/>
              <w:rPr>
                <w:rFonts w:cs="Times New Roman"/>
                <w:sz w:val="21"/>
                <w:szCs w:val="21"/>
              </w:rPr>
            </w:pPr>
            <w:r>
              <w:rPr>
                <w:rFonts w:cs="Times New Roman"/>
                <w:sz w:val="21"/>
                <w:szCs w:val="21"/>
              </w:rPr>
              <w:t>√</w:t>
            </w:r>
          </w:p>
        </w:tc>
      </w:tr>
      <w:tr w14:paraId="3F0A0C8D">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347" w:hRule="atLeast"/>
          <w:jc w:val="center"/>
        </w:trPr>
        <w:tc>
          <w:tcPr>
            <w:tcW w:w="534" w:type="dxa"/>
            <w:tcBorders>
              <w:top w:val="nil"/>
              <w:bottom w:val="nil"/>
              <w:right w:val="nil"/>
            </w:tcBorders>
            <w:vAlign w:val="center"/>
          </w:tcPr>
          <w:p w14:paraId="19DAE897">
            <w:pPr>
              <w:pStyle w:val="16"/>
              <w:spacing w:beforeLines="0" w:afterLines="0"/>
              <w:ind w:firstLine="0" w:firstLineChars="0"/>
              <w:jc w:val="center"/>
              <w:rPr>
                <w:rFonts w:cs="Times New Roman"/>
                <w:bCs/>
                <w:color w:val="000000"/>
                <w:sz w:val="21"/>
                <w:szCs w:val="21"/>
              </w:rPr>
            </w:pPr>
            <w:r>
              <w:rPr>
                <w:rFonts w:cs="Times New Roman"/>
                <w:bCs/>
                <w:color w:val="000000"/>
                <w:sz w:val="21"/>
                <w:szCs w:val="21"/>
              </w:rPr>
              <w:t>3</w:t>
            </w:r>
          </w:p>
        </w:tc>
        <w:tc>
          <w:tcPr>
            <w:tcW w:w="4363" w:type="dxa"/>
            <w:tcBorders>
              <w:top w:val="nil"/>
              <w:left w:val="nil"/>
              <w:bottom w:val="nil"/>
              <w:right w:val="nil"/>
            </w:tcBorders>
            <w:vAlign w:val="center"/>
          </w:tcPr>
          <w:p w14:paraId="7E19B8CD">
            <w:pPr>
              <w:pStyle w:val="16"/>
              <w:spacing w:before="31" w:after="31"/>
              <w:ind w:firstLine="0" w:firstLineChars="0"/>
              <w:rPr>
                <w:rFonts w:cs="Times New Roman"/>
                <w:bCs/>
                <w:color w:val="000000"/>
                <w:sz w:val="21"/>
                <w:szCs w:val="21"/>
              </w:rPr>
            </w:pPr>
            <w:r>
              <w:rPr>
                <w:rFonts w:hint="eastAsia" w:cs="Times New Roman"/>
                <w:bCs/>
                <w:color w:val="000000"/>
                <w:sz w:val="21"/>
                <w:szCs w:val="21"/>
              </w:rPr>
              <w:t>Fatigue fracture of drill pipe thread joints leading to fishing tool loss[23]</w:t>
            </w:r>
          </w:p>
        </w:tc>
        <w:tc>
          <w:tcPr>
            <w:tcW w:w="782" w:type="dxa"/>
            <w:gridSpan w:val="2"/>
            <w:tcBorders>
              <w:top w:val="nil"/>
              <w:left w:val="nil"/>
              <w:bottom w:val="nil"/>
              <w:right w:val="nil"/>
            </w:tcBorders>
            <w:vAlign w:val="center"/>
          </w:tcPr>
          <w:p w14:paraId="3BD38968">
            <w:pPr>
              <w:pStyle w:val="16"/>
              <w:spacing w:beforeLines="0" w:afterLines="0"/>
              <w:ind w:firstLine="0" w:firstLineChars="0"/>
              <w:jc w:val="center"/>
              <w:rPr>
                <w:rFonts w:cs="Times New Roman"/>
                <w:sz w:val="21"/>
                <w:szCs w:val="21"/>
              </w:rPr>
            </w:pPr>
            <w:r>
              <w:rPr>
                <w:rFonts w:cs="Times New Roman"/>
                <w:sz w:val="21"/>
                <w:szCs w:val="21"/>
              </w:rPr>
              <w:t>√</w:t>
            </w:r>
          </w:p>
        </w:tc>
        <w:tc>
          <w:tcPr>
            <w:tcW w:w="891" w:type="dxa"/>
            <w:gridSpan w:val="2"/>
            <w:tcBorders>
              <w:top w:val="nil"/>
              <w:left w:val="nil"/>
              <w:bottom w:val="nil"/>
              <w:right w:val="nil"/>
            </w:tcBorders>
            <w:vAlign w:val="center"/>
          </w:tcPr>
          <w:p w14:paraId="3D4B3B37">
            <w:pPr>
              <w:pStyle w:val="16"/>
              <w:spacing w:beforeLines="0" w:afterLines="0"/>
              <w:ind w:firstLine="0" w:firstLineChars="0"/>
              <w:jc w:val="center"/>
              <w:rPr>
                <w:rFonts w:cs="Times New Roman"/>
                <w:sz w:val="21"/>
                <w:szCs w:val="21"/>
              </w:rPr>
            </w:pPr>
          </w:p>
        </w:tc>
        <w:tc>
          <w:tcPr>
            <w:tcW w:w="779" w:type="dxa"/>
            <w:gridSpan w:val="2"/>
            <w:tcBorders>
              <w:top w:val="nil"/>
              <w:left w:val="nil"/>
              <w:bottom w:val="nil"/>
              <w:right w:val="nil"/>
            </w:tcBorders>
            <w:vAlign w:val="center"/>
          </w:tcPr>
          <w:p w14:paraId="0A2B7E0E">
            <w:pPr>
              <w:pStyle w:val="16"/>
              <w:spacing w:beforeLines="0" w:afterLines="0"/>
              <w:ind w:firstLine="0" w:firstLineChars="0"/>
              <w:jc w:val="center"/>
              <w:rPr>
                <w:rFonts w:cs="Times New Roman"/>
                <w:sz w:val="21"/>
                <w:szCs w:val="21"/>
              </w:rPr>
            </w:pPr>
          </w:p>
        </w:tc>
        <w:tc>
          <w:tcPr>
            <w:tcW w:w="804" w:type="dxa"/>
            <w:tcBorders>
              <w:top w:val="nil"/>
              <w:left w:val="nil"/>
              <w:bottom w:val="nil"/>
            </w:tcBorders>
            <w:vAlign w:val="center"/>
          </w:tcPr>
          <w:p w14:paraId="418FA718">
            <w:pPr>
              <w:pStyle w:val="16"/>
              <w:spacing w:beforeLines="0" w:afterLines="0"/>
              <w:ind w:firstLine="0" w:firstLineChars="0"/>
              <w:jc w:val="center"/>
              <w:rPr>
                <w:rFonts w:cs="Times New Roman"/>
                <w:sz w:val="21"/>
                <w:szCs w:val="21"/>
              </w:rPr>
            </w:pPr>
          </w:p>
        </w:tc>
      </w:tr>
      <w:tr w14:paraId="51BF1454">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347" w:hRule="atLeast"/>
          <w:jc w:val="center"/>
        </w:trPr>
        <w:tc>
          <w:tcPr>
            <w:tcW w:w="534" w:type="dxa"/>
            <w:tcBorders>
              <w:top w:val="nil"/>
              <w:bottom w:val="nil"/>
              <w:right w:val="nil"/>
            </w:tcBorders>
            <w:vAlign w:val="center"/>
          </w:tcPr>
          <w:p w14:paraId="7F9045F9">
            <w:pPr>
              <w:pStyle w:val="16"/>
              <w:spacing w:beforeLines="0" w:afterLines="0"/>
              <w:ind w:firstLine="0" w:firstLineChars="0"/>
              <w:jc w:val="center"/>
              <w:rPr>
                <w:rFonts w:cs="Times New Roman"/>
                <w:sz w:val="21"/>
                <w:szCs w:val="21"/>
              </w:rPr>
            </w:pPr>
            <w:r>
              <w:rPr>
                <w:rFonts w:cs="Times New Roman"/>
                <w:sz w:val="21"/>
                <w:szCs w:val="21"/>
              </w:rPr>
              <w:t>4</w:t>
            </w:r>
          </w:p>
        </w:tc>
        <w:tc>
          <w:tcPr>
            <w:tcW w:w="4363" w:type="dxa"/>
            <w:tcBorders>
              <w:top w:val="nil"/>
              <w:left w:val="nil"/>
              <w:bottom w:val="nil"/>
              <w:right w:val="nil"/>
            </w:tcBorders>
            <w:vAlign w:val="center"/>
          </w:tcPr>
          <w:p w14:paraId="5CD96FF8">
            <w:pPr>
              <w:pStyle w:val="16"/>
              <w:spacing w:before="31" w:after="31"/>
              <w:ind w:firstLine="0" w:firstLineChars="0"/>
              <w:rPr>
                <w:rFonts w:cs="Times New Roman"/>
                <w:bCs/>
                <w:color w:val="000000"/>
                <w:sz w:val="21"/>
                <w:szCs w:val="21"/>
              </w:rPr>
            </w:pPr>
            <w:r>
              <w:rPr>
                <w:rFonts w:hint="eastAsia" w:cs="Times New Roman"/>
                <w:bCs/>
                <w:color w:val="000000"/>
                <w:sz w:val="21"/>
                <w:szCs w:val="21"/>
              </w:rPr>
              <w:t>Sticking of oil pipe threads[6]</w:t>
            </w:r>
          </w:p>
        </w:tc>
        <w:tc>
          <w:tcPr>
            <w:tcW w:w="782" w:type="dxa"/>
            <w:gridSpan w:val="2"/>
            <w:tcBorders>
              <w:top w:val="nil"/>
              <w:left w:val="nil"/>
              <w:bottom w:val="nil"/>
              <w:right w:val="nil"/>
            </w:tcBorders>
            <w:vAlign w:val="center"/>
          </w:tcPr>
          <w:p w14:paraId="1CA96984">
            <w:pPr>
              <w:pStyle w:val="16"/>
              <w:spacing w:beforeLines="0" w:afterLines="0"/>
              <w:ind w:firstLine="0" w:firstLineChars="0"/>
              <w:jc w:val="center"/>
              <w:rPr>
                <w:rFonts w:cs="Times New Roman"/>
                <w:sz w:val="21"/>
                <w:szCs w:val="21"/>
              </w:rPr>
            </w:pPr>
          </w:p>
        </w:tc>
        <w:tc>
          <w:tcPr>
            <w:tcW w:w="891" w:type="dxa"/>
            <w:gridSpan w:val="2"/>
            <w:tcBorders>
              <w:top w:val="nil"/>
              <w:left w:val="nil"/>
              <w:bottom w:val="nil"/>
              <w:right w:val="nil"/>
            </w:tcBorders>
            <w:vAlign w:val="center"/>
          </w:tcPr>
          <w:p w14:paraId="2A41C06D">
            <w:pPr>
              <w:pStyle w:val="16"/>
              <w:spacing w:beforeLines="0" w:afterLines="0"/>
              <w:ind w:firstLine="0" w:firstLineChars="0"/>
              <w:jc w:val="center"/>
              <w:rPr>
                <w:rFonts w:cs="Times New Roman"/>
                <w:sz w:val="21"/>
                <w:szCs w:val="21"/>
              </w:rPr>
            </w:pPr>
          </w:p>
        </w:tc>
        <w:tc>
          <w:tcPr>
            <w:tcW w:w="779" w:type="dxa"/>
            <w:gridSpan w:val="2"/>
            <w:tcBorders>
              <w:top w:val="nil"/>
              <w:left w:val="nil"/>
              <w:bottom w:val="nil"/>
              <w:right w:val="nil"/>
            </w:tcBorders>
            <w:vAlign w:val="center"/>
          </w:tcPr>
          <w:p w14:paraId="377FD669">
            <w:pPr>
              <w:pStyle w:val="16"/>
              <w:spacing w:beforeLines="0" w:afterLines="0"/>
              <w:ind w:firstLine="0" w:firstLineChars="0"/>
              <w:jc w:val="center"/>
              <w:rPr>
                <w:rFonts w:cs="Times New Roman"/>
                <w:sz w:val="21"/>
                <w:szCs w:val="21"/>
              </w:rPr>
            </w:pPr>
          </w:p>
        </w:tc>
        <w:tc>
          <w:tcPr>
            <w:tcW w:w="804" w:type="dxa"/>
            <w:tcBorders>
              <w:top w:val="nil"/>
              <w:left w:val="nil"/>
              <w:bottom w:val="nil"/>
            </w:tcBorders>
            <w:vAlign w:val="center"/>
          </w:tcPr>
          <w:p w14:paraId="3E51588E">
            <w:pPr>
              <w:pStyle w:val="16"/>
              <w:spacing w:beforeLines="0" w:afterLines="0"/>
              <w:ind w:firstLine="0" w:firstLineChars="0"/>
              <w:jc w:val="center"/>
              <w:rPr>
                <w:rFonts w:cs="Times New Roman"/>
                <w:sz w:val="21"/>
                <w:szCs w:val="21"/>
              </w:rPr>
            </w:pPr>
          </w:p>
        </w:tc>
      </w:tr>
      <w:tr w14:paraId="31126178">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347" w:hRule="atLeast"/>
          <w:jc w:val="center"/>
        </w:trPr>
        <w:tc>
          <w:tcPr>
            <w:tcW w:w="534" w:type="dxa"/>
            <w:tcBorders>
              <w:top w:val="nil"/>
              <w:bottom w:val="nil"/>
              <w:right w:val="nil"/>
            </w:tcBorders>
            <w:vAlign w:val="center"/>
          </w:tcPr>
          <w:p w14:paraId="2A7BC511">
            <w:pPr>
              <w:pStyle w:val="16"/>
              <w:spacing w:beforeLines="0" w:afterLines="0"/>
              <w:ind w:firstLine="0" w:firstLineChars="0"/>
              <w:jc w:val="center"/>
              <w:rPr>
                <w:rFonts w:cs="Times New Roman"/>
                <w:sz w:val="21"/>
                <w:szCs w:val="21"/>
              </w:rPr>
            </w:pPr>
            <w:r>
              <w:rPr>
                <w:rFonts w:cs="Times New Roman"/>
                <w:sz w:val="21"/>
                <w:szCs w:val="21"/>
              </w:rPr>
              <w:t>5</w:t>
            </w:r>
          </w:p>
        </w:tc>
        <w:tc>
          <w:tcPr>
            <w:tcW w:w="4363" w:type="dxa"/>
            <w:tcBorders>
              <w:top w:val="nil"/>
              <w:left w:val="nil"/>
              <w:bottom w:val="nil"/>
              <w:right w:val="nil"/>
            </w:tcBorders>
            <w:vAlign w:val="center"/>
          </w:tcPr>
          <w:p w14:paraId="6943DBE3">
            <w:pPr>
              <w:pStyle w:val="16"/>
              <w:spacing w:before="31" w:after="31"/>
              <w:ind w:firstLine="0" w:firstLineChars="0"/>
              <w:rPr>
                <w:rFonts w:cs="Times New Roman"/>
                <w:bCs/>
                <w:color w:val="000000"/>
                <w:sz w:val="21"/>
                <w:szCs w:val="21"/>
              </w:rPr>
            </w:pPr>
            <w:r>
              <w:rPr>
                <w:rFonts w:hint="eastAsia" w:cs="Times New Roman"/>
                <w:bCs/>
                <w:color w:val="000000"/>
                <w:sz w:val="21"/>
                <w:szCs w:val="21"/>
              </w:rPr>
              <w:t>Corrosion erosion of oil pipe[12]</w:t>
            </w:r>
          </w:p>
        </w:tc>
        <w:tc>
          <w:tcPr>
            <w:tcW w:w="782" w:type="dxa"/>
            <w:gridSpan w:val="2"/>
            <w:tcBorders>
              <w:top w:val="nil"/>
              <w:left w:val="nil"/>
              <w:bottom w:val="nil"/>
              <w:right w:val="nil"/>
            </w:tcBorders>
            <w:vAlign w:val="center"/>
          </w:tcPr>
          <w:p w14:paraId="6B5794F0">
            <w:pPr>
              <w:pStyle w:val="16"/>
              <w:spacing w:beforeLines="0" w:afterLines="0"/>
              <w:ind w:firstLine="0" w:firstLineChars="0"/>
              <w:jc w:val="center"/>
              <w:rPr>
                <w:rFonts w:cs="Times New Roman"/>
                <w:sz w:val="21"/>
                <w:szCs w:val="21"/>
              </w:rPr>
            </w:pPr>
          </w:p>
        </w:tc>
        <w:tc>
          <w:tcPr>
            <w:tcW w:w="891" w:type="dxa"/>
            <w:gridSpan w:val="2"/>
            <w:tcBorders>
              <w:top w:val="nil"/>
              <w:left w:val="nil"/>
              <w:bottom w:val="nil"/>
              <w:right w:val="nil"/>
            </w:tcBorders>
            <w:vAlign w:val="center"/>
          </w:tcPr>
          <w:p w14:paraId="19F9B699">
            <w:pPr>
              <w:pStyle w:val="16"/>
              <w:spacing w:beforeLines="0" w:afterLines="0"/>
              <w:ind w:firstLine="0" w:firstLineChars="0"/>
              <w:jc w:val="center"/>
              <w:rPr>
                <w:rFonts w:cs="Times New Roman"/>
                <w:sz w:val="21"/>
                <w:szCs w:val="21"/>
              </w:rPr>
            </w:pPr>
          </w:p>
        </w:tc>
        <w:tc>
          <w:tcPr>
            <w:tcW w:w="779" w:type="dxa"/>
            <w:gridSpan w:val="2"/>
            <w:tcBorders>
              <w:top w:val="nil"/>
              <w:left w:val="nil"/>
              <w:bottom w:val="nil"/>
              <w:right w:val="nil"/>
            </w:tcBorders>
            <w:vAlign w:val="center"/>
          </w:tcPr>
          <w:p w14:paraId="1BDEC55B">
            <w:pPr>
              <w:pStyle w:val="16"/>
              <w:spacing w:beforeLines="0" w:afterLines="0"/>
              <w:ind w:firstLine="0" w:firstLineChars="0"/>
              <w:jc w:val="center"/>
              <w:rPr>
                <w:rFonts w:cs="Times New Roman"/>
                <w:sz w:val="21"/>
                <w:szCs w:val="21"/>
              </w:rPr>
            </w:pPr>
          </w:p>
        </w:tc>
        <w:tc>
          <w:tcPr>
            <w:tcW w:w="804" w:type="dxa"/>
            <w:tcBorders>
              <w:top w:val="nil"/>
              <w:left w:val="nil"/>
              <w:bottom w:val="nil"/>
            </w:tcBorders>
            <w:vAlign w:val="center"/>
          </w:tcPr>
          <w:p w14:paraId="4C45E942">
            <w:pPr>
              <w:pStyle w:val="16"/>
              <w:spacing w:beforeLines="0" w:afterLines="0"/>
              <w:ind w:firstLine="0" w:firstLineChars="0"/>
              <w:jc w:val="center"/>
              <w:rPr>
                <w:rFonts w:cs="Times New Roman"/>
                <w:sz w:val="21"/>
                <w:szCs w:val="21"/>
              </w:rPr>
            </w:pPr>
          </w:p>
        </w:tc>
      </w:tr>
      <w:tr w14:paraId="2DF4FF28">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jc w:val="center"/>
        </w:trPr>
        <w:tc>
          <w:tcPr>
            <w:tcW w:w="534" w:type="dxa"/>
            <w:tcBorders>
              <w:top w:val="nil"/>
              <w:bottom w:val="nil"/>
              <w:right w:val="nil"/>
            </w:tcBorders>
            <w:vAlign w:val="center"/>
          </w:tcPr>
          <w:p w14:paraId="2931FFED">
            <w:pPr>
              <w:pStyle w:val="16"/>
              <w:spacing w:beforeLines="0" w:afterLines="0"/>
              <w:ind w:firstLine="0" w:firstLineChars="0"/>
              <w:jc w:val="center"/>
              <w:rPr>
                <w:rFonts w:cs="Times New Roman"/>
                <w:sz w:val="21"/>
                <w:szCs w:val="21"/>
              </w:rPr>
            </w:pPr>
            <w:r>
              <w:rPr>
                <w:rFonts w:cs="Times New Roman"/>
                <w:sz w:val="21"/>
                <w:szCs w:val="21"/>
              </w:rPr>
              <w:t>6</w:t>
            </w:r>
          </w:p>
        </w:tc>
        <w:tc>
          <w:tcPr>
            <w:tcW w:w="4363" w:type="dxa"/>
            <w:tcBorders>
              <w:top w:val="nil"/>
              <w:left w:val="nil"/>
              <w:bottom w:val="nil"/>
              <w:right w:val="nil"/>
            </w:tcBorders>
            <w:vAlign w:val="center"/>
          </w:tcPr>
          <w:p w14:paraId="7E33FDF0">
            <w:pPr>
              <w:rPr>
                <w:color w:val="000000"/>
                <w:szCs w:val="21"/>
              </w:rPr>
            </w:pPr>
            <w:r>
              <w:rPr>
                <w:rFonts w:hint="eastAsia"/>
                <w:color w:val="000000"/>
                <w:szCs w:val="21"/>
              </w:rPr>
              <w:t>Failure of oil casing coupling[24]</w:t>
            </w:r>
          </w:p>
        </w:tc>
        <w:tc>
          <w:tcPr>
            <w:tcW w:w="782" w:type="dxa"/>
            <w:gridSpan w:val="2"/>
            <w:tcBorders>
              <w:top w:val="nil"/>
              <w:left w:val="nil"/>
              <w:bottom w:val="nil"/>
              <w:right w:val="nil"/>
            </w:tcBorders>
            <w:vAlign w:val="center"/>
          </w:tcPr>
          <w:p w14:paraId="2BA1CE09">
            <w:pPr>
              <w:pStyle w:val="16"/>
              <w:spacing w:beforeLines="0" w:afterLines="0"/>
              <w:ind w:firstLine="0" w:firstLineChars="0"/>
              <w:jc w:val="center"/>
              <w:rPr>
                <w:rFonts w:cs="Times New Roman"/>
                <w:sz w:val="21"/>
                <w:szCs w:val="21"/>
              </w:rPr>
            </w:pPr>
          </w:p>
        </w:tc>
        <w:tc>
          <w:tcPr>
            <w:tcW w:w="891" w:type="dxa"/>
            <w:gridSpan w:val="2"/>
            <w:tcBorders>
              <w:top w:val="nil"/>
              <w:left w:val="nil"/>
              <w:bottom w:val="nil"/>
              <w:right w:val="nil"/>
            </w:tcBorders>
            <w:vAlign w:val="center"/>
          </w:tcPr>
          <w:p w14:paraId="7969EDD5">
            <w:pPr>
              <w:pStyle w:val="16"/>
              <w:spacing w:beforeLines="0" w:afterLines="0"/>
              <w:ind w:firstLine="0" w:firstLineChars="0"/>
              <w:jc w:val="center"/>
              <w:rPr>
                <w:rFonts w:cs="Times New Roman"/>
                <w:sz w:val="21"/>
                <w:szCs w:val="21"/>
              </w:rPr>
            </w:pPr>
            <w:r>
              <w:rPr>
                <w:rFonts w:cs="Times New Roman"/>
                <w:sz w:val="21"/>
                <w:szCs w:val="21"/>
              </w:rPr>
              <w:t>√</w:t>
            </w:r>
          </w:p>
        </w:tc>
        <w:tc>
          <w:tcPr>
            <w:tcW w:w="779" w:type="dxa"/>
            <w:gridSpan w:val="2"/>
            <w:tcBorders>
              <w:top w:val="nil"/>
              <w:left w:val="nil"/>
              <w:bottom w:val="nil"/>
              <w:right w:val="nil"/>
            </w:tcBorders>
            <w:vAlign w:val="center"/>
          </w:tcPr>
          <w:p w14:paraId="6FD5F7EA">
            <w:pPr>
              <w:pStyle w:val="16"/>
              <w:spacing w:beforeLines="0" w:afterLines="0"/>
              <w:ind w:firstLine="0" w:firstLineChars="0"/>
              <w:jc w:val="center"/>
              <w:rPr>
                <w:rFonts w:cs="Times New Roman"/>
                <w:sz w:val="21"/>
                <w:szCs w:val="21"/>
              </w:rPr>
            </w:pPr>
          </w:p>
        </w:tc>
        <w:tc>
          <w:tcPr>
            <w:tcW w:w="804" w:type="dxa"/>
            <w:tcBorders>
              <w:top w:val="nil"/>
              <w:left w:val="nil"/>
              <w:bottom w:val="nil"/>
            </w:tcBorders>
            <w:vAlign w:val="center"/>
          </w:tcPr>
          <w:p w14:paraId="7E94CFCE">
            <w:pPr>
              <w:pStyle w:val="16"/>
              <w:spacing w:beforeLines="0" w:afterLines="0"/>
              <w:ind w:firstLine="0" w:firstLineChars="0"/>
              <w:jc w:val="center"/>
              <w:rPr>
                <w:rFonts w:cs="Times New Roman"/>
                <w:sz w:val="21"/>
                <w:szCs w:val="21"/>
              </w:rPr>
            </w:pPr>
          </w:p>
        </w:tc>
      </w:tr>
      <w:tr w14:paraId="798E9608">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jc w:val="center"/>
        </w:trPr>
        <w:tc>
          <w:tcPr>
            <w:tcW w:w="534" w:type="dxa"/>
            <w:tcBorders>
              <w:top w:val="nil"/>
              <w:bottom w:val="nil"/>
              <w:right w:val="nil"/>
            </w:tcBorders>
            <w:vAlign w:val="center"/>
          </w:tcPr>
          <w:p w14:paraId="2AED7BF9">
            <w:pPr>
              <w:pStyle w:val="16"/>
              <w:spacing w:beforeLines="0" w:afterLines="0"/>
              <w:ind w:firstLine="0" w:firstLineChars="0"/>
              <w:jc w:val="center"/>
              <w:rPr>
                <w:rFonts w:cs="Times New Roman"/>
                <w:sz w:val="21"/>
                <w:szCs w:val="21"/>
              </w:rPr>
            </w:pPr>
            <w:r>
              <w:rPr>
                <w:rFonts w:cs="Times New Roman"/>
                <w:sz w:val="21"/>
                <w:szCs w:val="21"/>
              </w:rPr>
              <w:t>7</w:t>
            </w:r>
          </w:p>
        </w:tc>
        <w:tc>
          <w:tcPr>
            <w:tcW w:w="4363" w:type="dxa"/>
            <w:tcBorders>
              <w:top w:val="nil"/>
              <w:left w:val="nil"/>
              <w:bottom w:val="nil"/>
              <w:right w:val="nil"/>
            </w:tcBorders>
            <w:vAlign w:val="center"/>
          </w:tcPr>
          <w:p w14:paraId="73B9BC25">
            <w:pPr>
              <w:rPr>
                <w:color w:val="000000"/>
                <w:szCs w:val="21"/>
              </w:rPr>
            </w:pPr>
            <w:r>
              <w:rPr>
                <w:rFonts w:hint="eastAsia"/>
                <w:color w:val="000000"/>
                <w:szCs w:val="21"/>
              </w:rPr>
              <w:t>Crack extension of oil casing coupling[24]</w:t>
            </w:r>
          </w:p>
        </w:tc>
        <w:tc>
          <w:tcPr>
            <w:tcW w:w="782" w:type="dxa"/>
            <w:gridSpan w:val="2"/>
            <w:tcBorders>
              <w:top w:val="nil"/>
              <w:left w:val="nil"/>
              <w:bottom w:val="nil"/>
              <w:right w:val="nil"/>
            </w:tcBorders>
            <w:vAlign w:val="center"/>
          </w:tcPr>
          <w:p w14:paraId="3773DC97">
            <w:pPr>
              <w:pStyle w:val="16"/>
              <w:spacing w:beforeLines="0" w:afterLines="0"/>
              <w:ind w:firstLine="0" w:firstLineChars="0"/>
              <w:jc w:val="center"/>
              <w:rPr>
                <w:rFonts w:cs="Times New Roman"/>
                <w:sz w:val="21"/>
                <w:szCs w:val="21"/>
              </w:rPr>
            </w:pPr>
          </w:p>
        </w:tc>
        <w:tc>
          <w:tcPr>
            <w:tcW w:w="891" w:type="dxa"/>
            <w:gridSpan w:val="2"/>
            <w:tcBorders>
              <w:top w:val="nil"/>
              <w:left w:val="nil"/>
              <w:bottom w:val="nil"/>
              <w:right w:val="nil"/>
            </w:tcBorders>
            <w:vAlign w:val="center"/>
          </w:tcPr>
          <w:p w14:paraId="72E25E26">
            <w:pPr>
              <w:pStyle w:val="16"/>
              <w:spacing w:beforeLines="0" w:afterLines="0"/>
              <w:ind w:firstLine="0" w:firstLineChars="0"/>
              <w:jc w:val="center"/>
              <w:rPr>
                <w:rFonts w:cs="Times New Roman"/>
                <w:sz w:val="21"/>
                <w:szCs w:val="21"/>
              </w:rPr>
            </w:pPr>
            <w:r>
              <w:rPr>
                <w:rFonts w:cs="Times New Roman"/>
                <w:sz w:val="21"/>
                <w:szCs w:val="21"/>
              </w:rPr>
              <w:t>√</w:t>
            </w:r>
          </w:p>
        </w:tc>
        <w:tc>
          <w:tcPr>
            <w:tcW w:w="779" w:type="dxa"/>
            <w:gridSpan w:val="2"/>
            <w:tcBorders>
              <w:top w:val="nil"/>
              <w:left w:val="nil"/>
              <w:bottom w:val="nil"/>
              <w:right w:val="nil"/>
            </w:tcBorders>
            <w:vAlign w:val="center"/>
          </w:tcPr>
          <w:p w14:paraId="7142DB14">
            <w:pPr>
              <w:pStyle w:val="16"/>
              <w:spacing w:beforeLines="0" w:afterLines="0"/>
              <w:ind w:firstLine="0" w:firstLineChars="0"/>
              <w:jc w:val="center"/>
              <w:rPr>
                <w:rFonts w:cs="Times New Roman"/>
                <w:sz w:val="21"/>
                <w:szCs w:val="21"/>
              </w:rPr>
            </w:pPr>
          </w:p>
        </w:tc>
        <w:tc>
          <w:tcPr>
            <w:tcW w:w="804" w:type="dxa"/>
            <w:tcBorders>
              <w:top w:val="nil"/>
              <w:left w:val="nil"/>
              <w:bottom w:val="nil"/>
            </w:tcBorders>
            <w:vAlign w:val="center"/>
          </w:tcPr>
          <w:p w14:paraId="2CDB7119">
            <w:pPr>
              <w:pStyle w:val="16"/>
              <w:spacing w:beforeLines="0" w:afterLines="0"/>
              <w:ind w:firstLine="0" w:firstLineChars="0"/>
              <w:jc w:val="center"/>
              <w:rPr>
                <w:rFonts w:cs="Times New Roman"/>
                <w:sz w:val="21"/>
                <w:szCs w:val="21"/>
              </w:rPr>
            </w:pPr>
          </w:p>
        </w:tc>
      </w:tr>
      <w:tr w14:paraId="084CA720">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jc w:val="center"/>
        </w:trPr>
        <w:tc>
          <w:tcPr>
            <w:tcW w:w="534" w:type="dxa"/>
            <w:tcBorders>
              <w:top w:val="nil"/>
              <w:bottom w:val="nil"/>
              <w:right w:val="nil"/>
            </w:tcBorders>
            <w:vAlign w:val="center"/>
          </w:tcPr>
          <w:p w14:paraId="6E1EBBD2">
            <w:pPr>
              <w:pStyle w:val="16"/>
              <w:spacing w:beforeLines="0" w:afterLines="0"/>
              <w:ind w:firstLine="0" w:firstLineChars="0"/>
              <w:jc w:val="center"/>
              <w:rPr>
                <w:rFonts w:cs="Times New Roman"/>
                <w:sz w:val="21"/>
                <w:szCs w:val="21"/>
              </w:rPr>
            </w:pPr>
            <w:r>
              <w:rPr>
                <w:rFonts w:cs="Times New Roman"/>
                <w:sz w:val="21"/>
                <w:szCs w:val="21"/>
              </w:rPr>
              <w:t>8</w:t>
            </w:r>
          </w:p>
        </w:tc>
        <w:tc>
          <w:tcPr>
            <w:tcW w:w="4363" w:type="dxa"/>
            <w:tcBorders>
              <w:top w:val="nil"/>
              <w:left w:val="nil"/>
              <w:bottom w:val="nil"/>
              <w:right w:val="nil"/>
            </w:tcBorders>
            <w:vAlign w:val="center"/>
          </w:tcPr>
          <w:p w14:paraId="2C185E80">
            <w:pPr>
              <w:rPr>
                <w:color w:val="000000"/>
                <w:szCs w:val="21"/>
              </w:rPr>
            </w:pPr>
            <w:r>
              <w:rPr>
                <w:rFonts w:hint="eastAsia"/>
                <w:color w:val="000000"/>
                <w:szCs w:val="21"/>
              </w:rPr>
              <w:t>Brittle fracture in the welded area of oil casing[24]</w:t>
            </w:r>
          </w:p>
        </w:tc>
        <w:tc>
          <w:tcPr>
            <w:tcW w:w="782" w:type="dxa"/>
            <w:gridSpan w:val="2"/>
            <w:tcBorders>
              <w:top w:val="nil"/>
              <w:left w:val="nil"/>
              <w:bottom w:val="nil"/>
              <w:right w:val="nil"/>
            </w:tcBorders>
            <w:vAlign w:val="center"/>
          </w:tcPr>
          <w:p w14:paraId="3DEE2E0A">
            <w:pPr>
              <w:pStyle w:val="16"/>
              <w:spacing w:beforeLines="0" w:afterLines="0"/>
              <w:ind w:firstLine="0" w:firstLineChars="0"/>
              <w:jc w:val="center"/>
              <w:rPr>
                <w:rFonts w:cs="Times New Roman"/>
                <w:sz w:val="21"/>
                <w:szCs w:val="21"/>
              </w:rPr>
            </w:pPr>
          </w:p>
        </w:tc>
        <w:tc>
          <w:tcPr>
            <w:tcW w:w="891" w:type="dxa"/>
            <w:gridSpan w:val="2"/>
            <w:tcBorders>
              <w:top w:val="nil"/>
              <w:left w:val="nil"/>
              <w:bottom w:val="nil"/>
              <w:right w:val="nil"/>
            </w:tcBorders>
            <w:vAlign w:val="center"/>
          </w:tcPr>
          <w:p w14:paraId="756911CB">
            <w:pPr>
              <w:pStyle w:val="16"/>
              <w:spacing w:beforeLines="0" w:afterLines="0"/>
              <w:ind w:firstLine="0" w:firstLineChars="0"/>
              <w:jc w:val="center"/>
              <w:rPr>
                <w:rFonts w:cs="Times New Roman"/>
                <w:sz w:val="21"/>
                <w:szCs w:val="21"/>
              </w:rPr>
            </w:pPr>
            <w:r>
              <w:rPr>
                <w:rFonts w:cs="Times New Roman"/>
                <w:sz w:val="21"/>
                <w:szCs w:val="21"/>
              </w:rPr>
              <w:t>√</w:t>
            </w:r>
          </w:p>
        </w:tc>
        <w:tc>
          <w:tcPr>
            <w:tcW w:w="779" w:type="dxa"/>
            <w:gridSpan w:val="2"/>
            <w:tcBorders>
              <w:top w:val="nil"/>
              <w:left w:val="nil"/>
              <w:bottom w:val="nil"/>
              <w:right w:val="nil"/>
            </w:tcBorders>
            <w:vAlign w:val="center"/>
          </w:tcPr>
          <w:p w14:paraId="5ADC829E">
            <w:pPr>
              <w:pStyle w:val="16"/>
              <w:spacing w:beforeLines="0" w:afterLines="0"/>
              <w:ind w:firstLine="0" w:firstLineChars="0"/>
              <w:jc w:val="center"/>
              <w:rPr>
                <w:rFonts w:cs="Times New Roman"/>
                <w:sz w:val="21"/>
                <w:szCs w:val="21"/>
              </w:rPr>
            </w:pPr>
          </w:p>
        </w:tc>
        <w:tc>
          <w:tcPr>
            <w:tcW w:w="804" w:type="dxa"/>
            <w:tcBorders>
              <w:top w:val="nil"/>
              <w:left w:val="nil"/>
              <w:bottom w:val="nil"/>
            </w:tcBorders>
            <w:vAlign w:val="center"/>
          </w:tcPr>
          <w:p w14:paraId="588BDA90">
            <w:pPr>
              <w:pStyle w:val="16"/>
              <w:spacing w:beforeLines="0" w:afterLines="0"/>
              <w:ind w:firstLine="0" w:firstLineChars="0"/>
              <w:jc w:val="center"/>
              <w:rPr>
                <w:rFonts w:cs="Times New Roman"/>
                <w:sz w:val="21"/>
                <w:szCs w:val="21"/>
              </w:rPr>
            </w:pPr>
            <w:r>
              <w:rPr>
                <w:rFonts w:cs="Times New Roman"/>
                <w:sz w:val="21"/>
                <w:szCs w:val="21"/>
              </w:rPr>
              <w:t>√</w:t>
            </w:r>
          </w:p>
        </w:tc>
      </w:tr>
      <w:tr w14:paraId="5218DA31">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jc w:val="center"/>
        </w:trPr>
        <w:tc>
          <w:tcPr>
            <w:tcW w:w="534" w:type="dxa"/>
            <w:tcBorders>
              <w:top w:val="nil"/>
              <w:bottom w:val="nil"/>
              <w:right w:val="nil"/>
            </w:tcBorders>
            <w:vAlign w:val="center"/>
          </w:tcPr>
          <w:p w14:paraId="7FB41DCF">
            <w:pPr>
              <w:pStyle w:val="16"/>
              <w:spacing w:beforeLines="0" w:afterLines="0"/>
              <w:ind w:firstLine="0" w:firstLineChars="0"/>
              <w:jc w:val="center"/>
              <w:rPr>
                <w:rFonts w:cs="Times New Roman"/>
                <w:sz w:val="21"/>
                <w:szCs w:val="21"/>
              </w:rPr>
            </w:pPr>
            <w:r>
              <w:rPr>
                <w:rFonts w:cs="Times New Roman"/>
                <w:sz w:val="21"/>
                <w:szCs w:val="21"/>
              </w:rPr>
              <w:t>9</w:t>
            </w:r>
          </w:p>
        </w:tc>
        <w:tc>
          <w:tcPr>
            <w:tcW w:w="4363" w:type="dxa"/>
            <w:tcBorders>
              <w:top w:val="nil"/>
              <w:left w:val="nil"/>
              <w:bottom w:val="nil"/>
              <w:right w:val="nil"/>
            </w:tcBorders>
            <w:vAlign w:val="center"/>
          </w:tcPr>
          <w:p w14:paraId="3BE88E54">
            <w:pPr>
              <w:rPr>
                <w:color w:val="000000"/>
                <w:szCs w:val="21"/>
              </w:rPr>
            </w:pPr>
            <w:r>
              <w:rPr>
                <w:rFonts w:hint="eastAsia"/>
                <w:color w:val="000000"/>
                <w:szCs w:val="21"/>
              </w:rPr>
              <w:t>Cracking of oil casing coupling[24]</w:t>
            </w:r>
          </w:p>
        </w:tc>
        <w:tc>
          <w:tcPr>
            <w:tcW w:w="782" w:type="dxa"/>
            <w:gridSpan w:val="2"/>
            <w:tcBorders>
              <w:top w:val="nil"/>
              <w:left w:val="nil"/>
              <w:bottom w:val="nil"/>
              <w:right w:val="nil"/>
            </w:tcBorders>
            <w:vAlign w:val="center"/>
          </w:tcPr>
          <w:p w14:paraId="63A8F75E">
            <w:pPr>
              <w:pStyle w:val="16"/>
              <w:spacing w:beforeLines="0" w:afterLines="0"/>
              <w:ind w:firstLine="0" w:firstLineChars="0"/>
              <w:jc w:val="center"/>
              <w:rPr>
                <w:rFonts w:cs="Times New Roman"/>
                <w:sz w:val="21"/>
                <w:szCs w:val="21"/>
              </w:rPr>
            </w:pPr>
            <w:r>
              <w:rPr>
                <w:rFonts w:cs="Times New Roman"/>
                <w:sz w:val="21"/>
                <w:szCs w:val="21"/>
              </w:rPr>
              <w:t>√</w:t>
            </w:r>
          </w:p>
        </w:tc>
        <w:tc>
          <w:tcPr>
            <w:tcW w:w="891" w:type="dxa"/>
            <w:gridSpan w:val="2"/>
            <w:tcBorders>
              <w:top w:val="nil"/>
              <w:left w:val="nil"/>
              <w:bottom w:val="nil"/>
              <w:right w:val="nil"/>
            </w:tcBorders>
            <w:vAlign w:val="center"/>
          </w:tcPr>
          <w:p w14:paraId="6426BC98">
            <w:pPr>
              <w:pStyle w:val="16"/>
              <w:spacing w:beforeLines="0" w:afterLines="0"/>
              <w:ind w:firstLine="0" w:firstLineChars="0"/>
              <w:jc w:val="center"/>
              <w:rPr>
                <w:rFonts w:cs="Times New Roman"/>
                <w:sz w:val="21"/>
                <w:szCs w:val="21"/>
              </w:rPr>
            </w:pPr>
          </w:p>
        </w:tc>
        <w:tc>
          <w:tcPr>
            <w:tcW w:w="779" w:type="dxa"/>
            <w:gridSpan w:val="2"/>
            <w:tcBorders>
              <w:top w:val="nil"/>
              <w:left w:val="nil"/>
              <w:bottom w:val="nil"/>
              <w:right w:val="nil"/>
            </w:tcBorders>
            <w:vAlign w:val="center"/>
          </w:tcPr>
          <w:p w14:paraId="3D1DFF31">
            <w:pPr>
              <w:pStyle w:val="16"/>
              <w:spacing w:beforeLines="0" w:afterLines="0"/>
              <w:ind w:firstLine="0" w:firstLineChars="0"/>
              <w:jc w:val="center"/>
              <w:rPr>
                <w:rFonts w:cs="Times New Roman"/>
                <w:sz w:val="21"/>
                <w:szCs w:val="21"/>
              </w:rPr>
            </w:pPr>
          </w:p>
        </w:tc>
        <w:tc>
          <w:tcPr>
            <w:tcW w:w="804" w:type="dxa"/>
            <w:tcBorders>
              <w:top w:val="nil"/>
              <w:left w:val="nil"/>
              <w:bottom w:val="nil"/>
            </w:tcBorders>
            <w:vAlign w:val="center"/>
          </w:tcPr>
          <w:p w14:paraId="42D3CAD3">
            <w:pPr>
              <w:pStyle w:val="16"/>
              <w:spacing w:beforeLines="0" w:afterLines="0"/>
              <w:ind w:firstLine="0" w:firstLineChars="0"/>
              <w:jc w:val="center"/>
              <w:rPr>
                <w:rFonts w:cs="Times New Roman"/>
                <w:sz w:val="21"/>
                <w:szCs w:val="21"/>
              </w:rPr>
            </w:pPr>
          </w:p>
        </w:tc>
      </w:tr>
      <w:tr w14:paraId="02284821">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jc w:val="center"/>
        </w:trPr>
        <w:tc>
          <w:tcPr>
            <w:tcW w:w="534" w:type="dxa"/>
            <w:tcBorders>
              <w:top w:val="nil"/>
              <w:bottom w:val="nil"/>
              <w:right w:val="nil"/>
            </w:tcBorders>
            <w:vAlign w:val="center"/>
          </w:tcPr>
          <w:p w14:paraId="1E7765F7">
            <w:pPr>
              <w:pStyle w:val="16"/>
              <w:spacing w:beforeLines="0" w:afterLines="0"/>
              <w:ind w:firstLine="0" w:firstLineChars="0"/>
              <w:jc w:val="center"/>
              <w:rPr>
                <w:rFonts w:cs="Times New Roman"/>
                <w:sz w:val="21"/>
                <w:szCs w:val="21"/>
              </w:rPr>
            </w:pPr>
            <w:r>
              <w:rPr>
                <w:rFonts w:cs="Times New Roman"/>
                <w:sz w:val="21"/>
                <w:szCs w:val="21"/>
              </w:rPr>
              <w:t>10</w:t>
            </w:r>
          </w:p>
        </w:tc>
        <w:tc>
          <w:tcPr>
            <w:tcW w:w="4363" w:type="dxa"/>
            <w:tcBorders>
              <w:top w:val="nil"/>
              <w:left w:val="nil"/>
              <w:bottom w:val="nil"/>
              <w:right w:val="nil"/>
            </w:tcBorders>
            <w:vAlign w:val="center"/>
          </w:tcPr>
          <w:p w14:paraId="658F783D">
            <w:pPr>
              <w:rPr>
                <w:color w:val="000000"/>
                <w:szCs w:val="21"/>
              </w:rPr>
            </w:pPr>
            <w:r>
              <w:rPr>
                <w:rFonts w:hint="eastAsia"/>
                <w:color w:val="000000"/>
                <w:szCs w:val="21"/>
              </w:rPr>
              <w:t>High-pressure water injection pipe explosion in oilfield[25]</w:t>
            </w:r>
          </w:p>
        </w:tc>
        <w:tc>
          <w:tcPr>
            <w:tcW w:w="782" w:type="dxa"/>
            <w:gridSpan w:val="2"/>
            <w:tcBorders>
              <w:top w:val="nil"/>
              <w:left w:val="nil"/>
              <w:bottom w:val="nil"/>
              <w:right w:val="nil"/>
            </w:tcBorders>
            <w:vAlign w:val="center"/>
          </w:tcPr>
          <w:p w14:paraId="4C04AF40">
            <w:pPr>
              <w:pStyle w:val="16"/>
              <w:spacing w:beforeLines="0" w:afterLines="0"/>
              <w:ind w:firstLine="0" w:firstLineChars="0"/>
              <w:jc w:val="center"/>
              <w:rPr>
                <w:rFonts w:cs="Times New Roman"/>
                <w:sz w:val="21"/>
                <w:szCs w:val="21"/>
              </w:rPr>
            </w:pPr>
          </w:p>
        </w:tc>
        <w:tc>
          <w:tcPr>
            <w:tcW w:w="891" w:type="dxa"/>
            <w:gridSpan w:val="2"/>
            <w:tcBorders>
              <w:top w:val="nil"/>
              <w:left w:val="nil"/>
              <w:bottom w:val="nil"/>
              <w:right w:val="nil"/>
            </w:tcBorders>
            <w:vAlign w:val="center"/>
          </w:tcPr>
          <w:p w14:paraId="6AC40416">
            <w:pPr>
              <w:pStyle w:val="16"/>
              <w:spacing w:beforeLines="0" w:afterLines="0"/>
              <w:ind w:firstLine="0" w:firstLineChars="0"/>
              <w:jc w:val="center"/>
              <w:rPr>
                <w:rFonts w:cs="Times New Roman"/>
                <w:sz w:val="21"/>
                <w:szCs w:val="21"/>
              </w:rPr>
            </w:pPr>
            <w:r>
              <w:rPr>
                <w:rFonts w:cs="Times New Roman"/>
                <w:sz w:val="21"/>
                <w:szCs w:val="21"/>
              </w:rPr>
              <w:t>√</w:t>
            </w:r>
          </w:p>
        </w:tc>
        <w:tc>
          <w:tcPr>
            <w:tcW w:w="779" w:type="dxa"/>
            <w:gridSpan w:val="2"/>
            <w:tcBorders>
              <w:top w:val="nil"/>
              <w:left w:val="nil"/>
              <w:bottom w:val="nil"/>
              <w:right w:val="nil"/>
            </w:tcBorders>
            <w:vAlign w:val="center"/>
          </w:tcPr>
          <w:p w14:paraId="7CDDB806">
            <w:pPr>
              <w:pStyle w:val="16"/>
              <w:spacing w:beforeLines="0" w:afterLines="0"/>
              <w:ind w:firstLine="0" w:firstLineChars="0"/>
              <w:jc w:val="center"/>
              <w:rPr>
                <w:rFonts w:cs="Times New Roman"/>
                <w:sz w:val="21"/>
                <w:szCs w:val="21"/>
              </w:rPr>
            </w:pPr>
          </w:p>
        </w:tc>
        <w:tc>
          <w:tcPr>
            <w:tcW w:w="804" w:type="dxa"/>
            <w:tcBorders>
              <w:top w:val="nil"/>
              <w:left w:val="nil"/>
              <w:bottom w:val="nil"/>
            </w:tcBorders>
            <w:vAlign w:val="center"/>
          </w:tcPr>
          <w:p w14:paraId="60E9BDEE">
            <w:pPr>
              <w:pStyle w:val="16"/>
              <w:spacing w:beforeLines="0" w:afterLines="0"/>
              <w:ind w:firstLine="0" w:firstLineChars="0"/>
              <w:jc w:val="center"/>
              <w:rPr>
                <w:rFonts w:cs="Times New Roman"/>
                <w:sz w:val="21"/>
                <w:szCs w:val="21"/>
              </w:rPr>
            </w:pPr>
            <w:r>
              <w:rPr>
                <w:rFonts w:cs="Times New Roman"/>
                <w:sz w:val="21"/>
                <w:szCs w:val="21"/>
              </w:rPr>
              <w:t>√</w:t>
            </w:r>
          </w:p>
        </w:tc>
      </w:tr>
      <w:tr w14:paraId="5384C079">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jc w:val="center"/>
        </w:trPr>
        <w:tc>
          <w:tcPr>
            <w:tcW w:w="534" w:type="dxa"/>
            <w:tcBorders>
              <w:top w:val="nil"/>
              <w:bottom w:val="nil"/>
              <w:right w:val="nil"/>
            </w:tcBorders>
            <w:vAlign w:val="center"/>
          </w:tcPr>
          <w:p w14:paraId="5E63C658">
            <w:pPr>
              <w:pStyle w:val="16"/>
              <w:spacing w:before="31" w:after="31"/>
              <w:ind w:firstLine="0" w:firstLineChars="0"/>
              <w:jc w:val="center"/>
              <w:rPr>
                <w:rFonts w:cs="Times New Roman"/>
                <w:color w:val="000000"/>
                <w:sz w:val="21"/>
                <w:szCs w:val="21"/>
              </w:rPr>
            </w:pPr>
            <w:r>
              <w:rPr>
                <w:rFonts w:cs="Times New Roman"/>
                <w:color w:val="000000"/>
                <w:sz w:val="21"/>
                <w:szCs w:val="21"/>
              </w:rPr>
              <w:t>11</w:t>
            </w:r>
          </w:p>
        </w:tc>
        <w:tc>
          <w:tcPr>
            <w:tcW w:w="4363" w:type="dxa"/>
            <w:tcBorders>
              <w:top w:val="nil"/>
              <w:left w:val="nil"/>
              <w:bottom w:val="nil"/>
              <w:right w:val="nil"/>
            </w:tcBorders>
            <w:vAlign w:val="center"/>
          </w:tcPr>
          <w:p w14:paraId="34BD0C31">
            <w:pPr>
              <w:rPr>
                <w:color w:val="000000"/>
                <w:szCs w:val="21"/>
              </w:rPr>
            </w:pPr>
            <w:r>
              <w:rPr>
                <w:rFonts w:hint="eastAsia"/>
                <w:color w:val="000000"/>
                <w:szCs w:val="21"/>
              </w:rPr>
              <w:t>Corrosion of oil tank floor[26]</w:t>
            </w:r>
            <w:r>
              <w:rPr>
                <w:rFonts w:hint="eastAsia"/>
                <w:color w:val="000000"/>
                <w:szCs w:val="21"/>
              </w:rPr>
              <w:tab/>
            </w:r>
          </w:p>
        </w:tc>
        <w:tc>
          <w:tcPr>
            <w:tcW w:w="782" w:type="dxa"/>
            <w:gridSpan w:val="2"/>
            <w:tcBorders>
              <w:top w:val="nil"/>
              <w:left w:val="nil"/>
              <w:bottom w:val="nil"/>
              <w:right w:val="nil"/>
            </w:tcBorders>
            <w:vAlign w:val="center"/>
          </w:tcPr>
          <w:p w14:paraId="538985B2">
            <w:pPr>
              <w:pStyle w:val="16"/>
              <w:spacing w:beforeLines="0" w:afterLines="0"/>
              <w:ind w:firstLine="0" w:firstLineChars="0"/>
              <w:jc w:val="center"/>
              <w:rPr>
                <w:rFonts w:cs="Times New Roman"/>
                <w:sz w:val="21"/>
                <w:szCs w:val="21"/>
              </w:rPr>
            </w:pPr>
          </w:p>
        </w:tc>
        <w:tc>
          <w:tcPr>
            <w:tcW w:w="891" w:type="dxa"/>
            <w:gridSpan w:val="2"/>
            <w:tcBorders>
              <w:top w:val="nil"/>
              <w:left w:val="nil"/>
              <w:bottom w:val="nil"/>
              <w:right w:val="nil"/>
            </w:tcBorders>
            <w:vAlign w:val="center"/>
          </w:tcPr>
          <w:p w14:paraId="5DDAEBF5">
            <w:pPr>
              <w:pStyle w:val="16"/>
              <w:spacing w:beforeLines="0" w:afterLines="0"/>
              <w:ind w:firstLine="0" w:firstLineChars="0"/>
              <w:jc w:val="center"/>
              <w:rPr>
                <w:rFonts w:cs="Times New Roman"/>
                <w:sz w:val="21"/>
                <w:szCs w:val="21"/>
              </w:rPr>
            </w:pPr>
          </w:p>
        </w:tc>
        <w:tc>
          <w:tcPr>
            <w:tcW w:w="779" w:type="dxa"/>
            <w:gridSpan w:val="2"/>
            <w:tcBorders>
              <w:top w:val="nil"/>
              <w:left w:val="nil"/>
              <w:bottom w:val="nil"/>
              <w:right w:val="nil"/>
            </w:tcBorders>
            <w:vAlign w:val="center"/>
          </w:tcPr>
          <w:p w14:paraId="329AFE3B">
            <w:pPr>
              <w:pStyle w:val="16"/>
              <w:spacing w:beforeLines="0" w:afterLines="0"/>
              <w:ind w:firstLine="0" w:firstLineChars="0"/>
              <w:jc w:val="center"/>
              <w:rPr>
                <w:rFonts w:cs="Times New Roman"/>
                <w:sz w:val="21"/>
                <w:szCs w:val="21"/>
              </w:rPr>
            </w:pPr>
          </w:p>
        </w:tc>
        <w:tc>
          <w:tcPr>
            <w:tcW w:w="804" w:type="dxa"/>
            <w:tcBorders>
              <w:top w:val="nil"/>
              <w:left w:val="nil"/>
              <w:bottom w:val="nil"/>
            </w:tcBorders>
            <w:vAlign w:val="center"/>
          </w:tcPr>
          <w:p w14:paraId="7F17EA4E">
            <w:pPr>
              <w:pStyle w:val="16"/>
              <w:spacing w:beforeLines="0" w:afterLines="0"/>
              <w:ind w:firstLine="0" w:firstLineChars="0"/>
              <w:jc w:val="center"/>
              <w:rPr>
                <w:rFonts w:cs="Times New Roman"/>
                <w:sz w:val="21"/>
                <w:szCs w:val="21"/>
              </w:rPr>
            </w:pPr>
          </w:p>
        </w:tc>
      </w:tr>
      <w:tr w14:paraId="0A63CC95">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jc w:val="center"/>
        </w:trPr>
        <w:tc>
          <w:tcPr>
            <w:tcW w:w="534" w:type="dxa"/>
            <w:tcBorders>
              <w:top w:val="nil"/>
              <w:bottom w:val="nil"/>
              <w:right w:val="nil"/>
            </w:tcBorders>
            <w:vAlign w:val="center"/>
          </w:tcPr>
          <w:p w14:paraId="26D8D1D4">
            <w:pPr>
              <w:pStyle w:val="16"/>
              <w:spacing w:before="31" w:after="31"/>
              <w:ind w:firstLine="0" w:firstLineChars="0"/>
              <w:jc w:val="center"/>
              <w:rPr>
                <w:rFonts w:cs="Times New Roman"/>
                <w:color w:val="000000"/>
                <w:sz w:val="21"/>
                <w:szCs w:val="21"/>
              </w:rPr>
            </w:pPr>
            <w:r>
              <w:rPr>
                <w:rFonts w:cs="Times New Roman"/>
                <w:color w:val="000000"/>
                <w:sz w:val="21"/>
                <w:szCs w:val="21"/>
              </w:rPr>
              <w:t>12</w:t>
            </w:r>
          </w:p>
        </w:tc>
        <w:tc>
          <w:tcPr>
            <w:tcW w:w="4363" w:type="dxa"/>
            <w:tcBorders>
              <w:top w:val="nil"/>
              <w:left w:val="nil"/>
              <w:bottom w:val="nil"/>
              <w:right w:val="nil"/>
            </w:tcBorders>
            <w:vAlign w:val="center"/>
          </w:tcPr>
          <w:p w14:paraId="66F66CC2">
            <w:pPr>
              <w:rPr>
                <w:color w:val="000000"/>
                <w:szCs w:val="21"/>
              </w:rPr>
            </w:pPr>
            <w:r>
              <w:rPr>
                <w:rFonts w:hint="eastAsia"/>
                <w:color w:val="000000"/>
                <w:szCs w:val="21"/>
              </w:rPr>
              <w:t>Corrosion and cracking at the bottom of oil pipe[27]</w:t>
            </w:r>
            <w:r>
              <w:rPr>
                <w:rFonts w:hint="eastAsia"/>
                <w:color w:val="000000"/>
                <w:szCs w:val="21"/>
              </w:rPr>
              <w:tab/>
            </w:r>
          </w:p>
        </w:tc>
        <w:tc>
          <w:tcPr>
            <w:tcW w:w="782" w:type="dxa"/>
            <w:gridSpan w:val="2"/>
            <w:tcBorders>
              <w:top w:val="nil"/>
              <w:left w:val="nil"/>
              <w:bottom w:val="nil"/>
              <w:right w:val="nil"/>
            </w:tcBorders>
            <w:vAlign w:val="center"/>
          </w:tcPr>
          <w:p w14:paraId="16B737E7">
            <w:pPr>
              <w:pStyle w:val="16"/>
              <w:spacing w:beforeLines="0" w:afterLines="0"/>
              <w:ind w:firstLine="0" w:firstLineChars="0"/>
              <w:jc w:val="center"/>
              <w:rPr>
                <w:rFonts w:cs="Times New Roman"/>
                <w:sz w:val="21"/>
                <w:szCs w:val="21"/>
              </w:rPr>
            </w:pPr>
          </w:p>
        </w:tc>
        <w:tc>
          <w:tcPr>
            <w:tcW w:w="891" w:type="dxa"/>
            <w:gridSpan w:val="2"/>
            <w:tcBorders>
              <w:top w:val="nil"/>
              <w:left w:val="nil"/>
              <w:bottom w:val="nil"/>
              <w:right w:val="nil"/>
            </w:tcBorders>
            <w:vAlign w:val="center"/>
          </w:tcPr>
          <w:p w14:paraId="0DE86234">
            <w:pPr>
              <w:pStyle w:val="16"/>
              <w:spacing w:beforeLines="0" w:afterLines="0"/>
              <w:ind w:firstLine="0" w:firstLineChars="0"/>
              <w:jc w:val="center"/>
              <w:rPr>
                <w:rFonts w:cs="Times New Roman"/>
                <w:sz w:val="21"/>
                <w:szCs w:val="21"/>
              </w:rPr>
            </w:pPr>
          </w:p>
        </w:tc>
        <w:tc>
          <w:tcPr>
            <w:tcW w:w="779" w:type="dxa"/>
            <w:gridSpan w:val="2"/>
            <w:tcBorders>
              <w:top w:val="nil"/>
              <w:left w:val="nil"/>
              <w:bottom w:val="nil"/>
              <w:right w:val="nil"/>
            </w:tcBorders>
            <w:vAlign w:val="center"/>
          </w:tcPr>
          <w:p w14:paraId="270C0ABB">
            <w:pPr>
              <w:pStyle w:val="16"/>
              <w:spacing w:beforeLines="0" w:afterLines="0"/>
              <w:ind w:firstLine="0" w:firstLineChars="0"/>
              <w:jc w:val="center"/>
              <w:rPr>
                <w:rFonts w:cs="Times New Roman"/>
                <w:sz w:val="21"/>
                <w:szCs w:val="21"/>
              </w:rPr>
            </w:pPr>
            <w:r>
              <w:rPr>
                <w:rFonts w:cs="Times New Roman"/>
                <w:sz w:val="21"/>
                <w:szCs w:val="21"/>
              </w:rPr>
              <w:t>√</w:t>
            </w:r>
          </w:p>
        </w:tc>
        <w:tc>
          <w:tcPr>
            <w:tcW w:w="804" w:type="dxa"/>
            <w:tcBorders>
              <w:top w:val="nil"/>
              <w:left w:val="nil"/>
              <w:bottom w:val="nil"/>
            </w:tcBorders>
            <w:vAlign w:val="center"/>
          </w:tcPr>
          <w:p w14:paraId="1404775C">
            <w:pPr>
              <w:pStyle w:val="16"/>
              <w:spacing w:beforeLines="0" w:afterLines="0"/>
              <w:ind w:firstLine="0" w:firstLineChars="0"/>
              <w:jc w:val="center"/>
              <w:rPr>
                <w:rFonts w:cs="Times New Roman"/>
                <w:sz w:val="21"/>
                <w:szCs w:val="21"/>
              </w:rPr>
            </w:pPr>
          </w:p>
        </w:tc>
      </w:tr>
      <w:tr w14:paraId="2FC4AC0D">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jc w:val="center"/>
        </w:trPr>
        <w:tc>
          <w:tcPr>
            <w:tcW w:w="534" w:type="dxa"/>
            <w:tcBorders>
              <w:top w:val="nil"/>
              <w:bottom w:val="nil"/>
              <w:right w:val="nil"/>
            </w:tcBorders>
            <w:vAlign w:val="center"/>
          </w:tcPr>
          <w:p w14:paraId="31AC2089">
            <w:pPr>
              <w:pStyle w:val="16"/>
              <w:spacing w:before="31" w:after="31"/>
              <w:ind w:firstLine="0" w:firstLineChars="0"/>
              <w:jc w:val="center"/>
              <w:rPr>
                <w:rFonts w:cs="Times New Roman"/>
                <w:color w:val="000000"/>
                <w:sz w:val="21"/>
                <w:szCs w:val="21"/>
              </w:rPr>
            </w:pPr>
            <w:r>
              <w:rPr>
                <w:rFonts w:cs="Times New Roman"/>
                <w:color w:val="000000"/>
                <w:sz w:val="21"/>
                <w:szCs w:val="21"/>
              </w:rPr>
              <w:t>13</w:t>
            </w:r>
          </w:p>
        </w:tc>
        <w:tc>
          <w:tcPr>
            <w:tcW w:w="4363" w:type="dxa"/>
            <w:tcBorders>
              <w:top w:val="nil"/>
              <w:left w:val="nil"/>
              <w:bottom w:val="nil"/>
              <w:right w:val="nil"/>
            </w:tcBorders>
            <w:vAlign w:val="center"/>
          </w:tcPr>
          <w:p w14:paraId="3368E849">
            <w:pPr>
              <w:rPr>
                <w:color w:val="000000"/>
                <w:szCs w:val="21"/>
              </w:rPr>
            </w:pPr>
            <w:r>
              <w:rPr>
                <w:rFonts w:hint="eastAsia"/>
                <w:color w:val="000000"/>
                <w:szCs w:val="21"/>
              </w:rPr>
              <w:t>Stress corrosion cracking in Fona gas pipeline[28]</w:t>
            </w:r>
          </w:p>
        </w:tc>
        <w:tc>
          <w:tcPr>
            <w:tcW w:w="782" w:type="dxa"/>
            <w:gridSpan w:val="2"/>
            <w:tcBorders>
              <w:top w:val="nil"/>
              <w:left w:val="nil"/>
              <w:bottom w:val="nil"/>
              <w:right w:val="nil"/>
            </w:tcBorders>
            <w:vAlign w:val="center"/>
          </w:tcPr>
          <w:p w14:paraId="5AA3FB0E">
            <w:pPr>
              <w:pStyle w:val="16"/>
              <w:spacing w:beforeLines="0" w:afterLines="0"/>
              <w:ind w:firstLine="0" w:firstLineChars="0"/>
              <w:jc w:val="center"/>
              <w:rPr>
                <w:rFonts w:cs="Times New Roman"/>
                <w:sz w:val="21"/>
                <w:szCs w:val="21"/>
              </w:rPr>
            </w:pPr>
            <w:r>
              <w:rPr>
                <w:rFonts w:cs="Times New Roman"/>
                <w:sz w:val="21"/>
                <w:szCs w:val="21"/>
              </w:rPr>
              <w:t>√</w:t>
            </w:r>
          </w:p>
        </w:tc>
        <w:tc>
          <w:tcPr>
            <w:tcW w:w="891" w:type="dxa"/>
            <w:gridSpan w:val="2"/>
            <w:tcBorders>
              <w:top w:val="nil"/>
              <w:left w:val="nil"/>
              <w:bottom w:val="nil"/>
              <w:right w:val="nil"/>
            </w:tcBorders>
            <w:vAlign w:val="center"/>
          </w:tcPr>
          <w:p w14:paraId="5FE32D50">
            <w:pPr>
              <w:pStyle w:val="16"/>
              <w:spacing w:beforeLines="0" w:afterLines="0"/>
              <w:ind w:firstLine="0" w:firstLineChars="0"/>
              <w:jc w:val="center"/>
              <w:rPr>
                <w:rFonts w:cs="Times New Roman"/>
                <w:sz w:val="21"/>
                <w:szCs w:val="21"/>
              </w:rPr>
            </w:pPr>
            <w:r>
              <w:rPr>
                <w:rFonts w:cs="Times New Roman"/>
                <w:sz w:val="21"/>
                <w:szCs w:val="21"/>
              </w:rPr>
              <w:t>√</w:t>
            </w:r>
          </w:p>
        </w:tc>
        <w:tc>
          <w:tcPr>
            <w:tcW w:w="779" w:type="dxa"/>
            <w:gridSpan w:val="2"/>
            <w:tcBorders>
              <w:top w:val="nil"/>
              <w:left w:val="nil"/>
              <w:bottom w:val="nil"/>
              <w:right w:val="nil"/>
            </w:tcBorders>
            <w:vAlign w:val="center"/>
          </w:tcPr>
          <w:p w14:paraId="294E3F1D">
            <w:pPr>
              <w:pStyle w:val="16"/>
              <w:spacing w:beforeLines="0" w:afterLines="0"/>
              <w:ind w:firstLine="0" w:firstLineChars="0"/>
              <w:jc w:val="center"/>
              <w:rPr>
                <w:rFonts w:cs="Times New Roman"/>
                <w:sz w:val="21"/>
                <w:szCs w:val="21"/>
              </w:rPr>
            </w:pPr>
          </w:p>
        </w:tc>
        <w:tc>
          <w:tcPr>
            <w:tcW w:w="804" w:type="dxa"/>
            <w:tcBorders>
              <w:top w:val="nil"/>
              <w:left w:val="nil"/>
              <w:bottom w:val="nil"/>
            </w:tcBorders>
            <w:vAlign w:val="center"/>
          </w:tcPr>
          <w:p w14:paraId="39D80856">
            <w:pPr>
              <w:pStyle w:val="16"/>
              <w:spacing w:beforeLines="0" w:afterLines="0"/>
              <w:ind w:firstLine="0" w:firstLineChars="0"/>
              <w:jc w:val="center"/>
              <w:rPr>
                <w:rFonts w:cs="Times New Roman"/>
                <w:sz w:val="21"/>
                <w:szCs w:val="21"/>
              </w:rPr>
            </w:pPr>
          </w:p>
        </w:tc>
      </w:tr>
      <w:tr w14:paraId="203504FB">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jc w:val="center"/>
        </w:trPr>
        <w:tc>
          <w:tcPr>
            <w:tcW w:w="534" w:type="dxa"/>
            <w:tcBorders>
              <w:top w:val="nil"/>
              <w:bottom w:val="nil"/>
              <w:right w:val="nil"/>
            </w:tcBorders>
            <w:vAlign w:val="center"/>
          </w:tcPr>
          <w:p w14:paraId="27093C46">
            <w:pPr>
              <w:pStyle w:val="16"/>
              <w:spacing w:before="31" w:after="31"/>
              <w:ind w:firstLine="0" w:firstLineChars="0"/>
              <w:jc w:val="center"/>
              <w:rPr>
                <w:rFonts w:cs="Times New Roman"/>
                <w:color w:val="000000"/>
                <w:sz w:val="21"/>
                <w:szCs w:val="21"/>
              </w:rPr>
            </w:pPr>
            <w:r>
              <w:rPr>
                <w:rFonts w:cs="Times New Roman"/>
                <w:color w:val="000000"/>
                <w:sz w:val="21"/>
                <w:szCs w:val="21"/>
              </w:rPr>
              <w:t>14</w:t>
            </w:r>
          </w:p>
        </w:tc>
        <w:tc>
          <w:tcPr>
            <w:tcW w:w="4363" w:type="dxa"/>
            <w:tcBorders>
              <w:top w:val="nil"/>
              <w:left w:val="nil"/>
              <w:bottom w:val="nil"/>
              <w:right w:val="nil"/>
            </w:tcBorders>
            <w:vAlign w:val="center"/>
          </w:tcPr>
          <w:p w14:paraId="285A2332">
            <w:pPr>
              <w:rPr>
                <w:color w:val="000000"/>
                <w:szCs w:val="21"/>
              </w:rPr>
            </w:pPr>
            <w:r>
              <w:rPr>
                <w:rFonts w:hint="eastAsia"/>
              </w:rPr>
              <w:t>Cracking of Dawo gas pipeline weld[28]</w:t>
            </w:r>
          </w:p>
        </w:tc>
        <w:tc>
          <w:tcPr>
            <w:tcW w:w="782" w:type="dxa"/>
            <w:gridSpan w:val="2"/>
            <w:tcBorders>
              <w:top w:val="nil"/>
              <w:left w:val="nil"/>
              <w:bottom w:val="nil"/>
              <w:right w:val="nil"/>
            </w:tcBorders>
            <w:vAlign w:val="center"/>
          </w:tcPr>
          <w:p w14:paraId="2504FFDF">
            <w:pPr>
              <w:pStyle w:val="16"/>
              <w:spacing w:beforeLines="0" w:afterLines="0"/>
              <w:ind w:firstLine="0" w:firstLineChars="0"/>
              <w:jc w:val="center"/>
              <w:rPr>
                <w:rFonts w:cs="Times New Roman"/>
                <w:sz w:val="21"/>
                <w:szCs w:val="21"/>
              </w:rPr>
            </w:pPr>
          </w:p>
        </w:tc>
        <w:tc>
          <w:tcPr>
            <w:tcW w:w="891" w:type="dxa"/>
            <w:gridSpan w:val="2"/>
            <w:tcBorders>
              <w:top w:val="nil"/>
              <w:left w:val="nil"/>
              <w:bottom w:val="nil"/>
              <w:right w:val="nil"/>
            </w:tcBorders>
            <w:vAlign w:val="center"/>
          </w:tcPr>
          <w:p w14:paraId="4BD8C529">
            <w:pPr>
              <w:pStyle w:val="16"/>
              <w:spacing w:beforeLines="0" w:afterLines="0"/>
              <w:ind w:firstLine="0" w:firstLineChars="0"/>
              <w:jc w:val="center"/>
              <w:rPr>
                <w:rFonts w:cs="Times New Roman"/>
                <w:sz w:val="21"/>
                <w:szCs w:val="21"/>
              </w:rPr>
            </w:pPr>
          </w:p>
        </w:tc>
        <w:tc>
          <w:tcPr>
            <w:tcW w:w="779" w:type="dxa"/>
            <w:gridSpan w:val="2"/>
            <w:tcBorders>
              <w:top w:val="nil"/>
              <w:left w:val="nil"/>
              <w:bottom w:val="nil"/>
              <w:right w:val="nil"/>
            </w:tcBorders>
            <w:vAlign w:val="center"/>
          </w:tcPr>
          <w:p w14:paraId="561083BE">
            <w:pPr>
              <w:pStyle w:val="16"/>
              <w:spacing w:beforeLines="0" w:afterLines="0"/>
              <w:ind w:firstLine="0" w:firstLineChars="0"/>
              <w:jc w:val="center"/>
              <w:rPr>
                <w:rFonts w:cs="Times New Roman"/>
                <w:sz w:val="21"/>
                <w:szCs w:val="21"/>
              </w:rPr>
            </w:pPr>
          </w:p>
        </w:tc>
        <w:tc>
          <w:tcPr>
            <w:tcW w:w="804" w:type="dxa"/>
            <w:tcBorders>
              <w:top w:val="nil"/>
              <w:left w:val="nil"/>
              <w:bottom w:val="nil"/>
            </w:tcBorders>
            <w:vAlign w:val="center"/>
          </w:tcPr>
          <w:p w14:paraId="529B05A9">
            <w:pPr>
              <w:pStyle w:val="16"/>
              <w:spacing w:beforeLines="0" w:afterLines="0"/>
              <w:ind w:firstLine="0" w:firstLineChars="0"/>
              <w:jc w:val="center"/>
              <w:rPr>
                <w:rFonts w:cs="Times New Roman"/>
                <w:sz w:val="21"/>
                <w:szCs w:val="21"/>
              </w:rPr>
            </w:pPr>
          </w:p>
        </w:tc>
      </w:tr>
      <w:tr w14:paraId="76405767">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jc w:val="center"/>
        </w:trPr>
        <w:tc>
          <w:tcPr>
            <w:tcW w:w="534" w:type="dxa"/>
            <w:tcBorders>
              <w:top w:val="nil"/>
              <w:bottom w:val="nil"/>
              <w:right w:val="nil"/>
            </w:tcBorders>
            <w:vAlign w:val="center"/>
          </w:tcPr>
          <w:p w14:paraId="2D0CC9D5">
            <w:pPr>
              <w:pStyle w:val="16"/>
              <w:spacing w:before="31" w:after="31"/>
              <w:ind w:firstLine="0" w:firstLineChars="0"/>
              <w:jc w:val="center"/>
              <w:rPr>
                <w:rFonts w:cs="Times New Roman"/>
                <w:color w:val="000000"/>
                <w:sz w:val="21"/>
                <w:szCs w:val="21"/>
              </w:rPr>
            </w:pPr>
            <w:r>
              <w:rPr>
                <w:rFonts w:cs="Times New Roman"/>
                <w:color w:val="000000"/>
                <w:sz w:val="21"/>
                <w:szCs w:val="21"/>
              </w:rPr>
              <w:t>15</w:t>
            </w:r>
          </w:p>
        </w:tc>
        <w:tc>
          <w:tcPr>
            <w:tcW w:w="4363" w:type="dxa"/>
            <w:tcBorders>
              <w:top w:val="nil"/>
              <w:left w:val="nil"/>
              <w:bottom w:val="nil"/>
              <w:right w:val="nil"/>
            </w:tcBorders>
            <w:vAlign w:val="center"/>
          </w:tcPr>
          <w:p w14:paraId="5EA7B024">
            <w:pPr>
              <w:rPr>
                <w:color w:val="000000"/>
                <w:szCs w:val="21"/>
              </w:rPr>
            </w:pPr>
            <w:r>
              <w:rPr>
                <w:rFonts w:hint="eastAsia"/>
                <w:color w:val="000000"/>
                <w:szCs w:val="21"/>
              </w:rPr>
              <w:t>Stress corrosion cracking in natural gas transmission main pipeline[29]</w:t>
            </w:r>
          </w:p>
        </w:tc>
        <w:tc>
          <w:tcPr>
            <w:tcW w:w="782" w:type="dxa"/>
            <w:gridSpan w:val="2"/>
            <w:tcBorders>
              <w:top w:val="nil"/>
              <w:left w:val="nil"/>
              <w:bottom w:val="nil"/>
              <w:right w:val="nil"/>
            </w:tcBorders>
            <w:vAlign w:val="center"/>
          </w:tcPr>
          <w:p w14:paraId="621D4505">
            <w:pPr>
              <w:pStyle w:val="16"/>
              <w:spacing w:beforeLines="0" w:afterLines="0"/>
              <w:ind w:firstLine="0" w:firstLineChars="0"/>
              <w:jc w:val="center"/>
              <w:rPr>
                <w:rFonts w:cs="Times New Roman"/>
                <w:sz w:val="21"/>
                <w:szCs w:val="21"/>
              </w:rPr>
            </w:pPr>
          </w:p>
        </w:tc>
        <w:tc>
          <w:tcPr>
            <w:tcW w:w="891" w:type="dxa"/>
            <w:gridSpan w:val="2"/>
            <w:tcBorders>
              <w:top w:val="nil"/>
              <w:left w:val="nil"/>
              <w:bottom w:val="nil"/>
              <w:right w:val="nil"/>
            </w:tcBorders>
            <w:vAlign w:val="center"/>
          </w:tcPr>
          <w:p w14:paraId="17EDB8E5">
            <w:pPr>
              <w:pStyle w:val="16"/>
              <w:spacing w:beforeLines="0" w:afterLines="0"/>
              <w:ind w:firstLine="0" w:firstLineChars="0"/>
              <w:jc w:val="center"/>
              <w:rPr>
                <w:rFonts w:cs="Times New Roman"/>
                <w:sz w:val="21"/>
                <w:szCs w:val="21"/>
              </w:rPr>
            </w:pPr>
            <w:r>
              <w:rPr>
                <w:rFonts w:cs="Times New Roman"/>
                <w:sz w:val="21"/>
                <w:szCs w:val="21"/>
              </w:rPr>
              <w:t>√</w:t>
            </w:r>
          </w:p>
        </w:tc>
        <w:tc>
          <w:tcPr>
            <w:tcW w:w="779" w:type="dxa"/>
            <w:gridSpan w:val="2"/>
            <w:tcBorders>
              <w:top w:val="nil"/>
              <w:left w:val="nil"/>
              <w:bottom w:val="nil"/>
              <w:right w:val="nil"/>
            </w:tcBorders>
            <w:vAlign w:val="center"/>
          </w:tcPr>
          <w:p w14:paraId="15DAE822">
            <w:pPr>
              <w:pStyle w:val="16"/>
              <w:spacing w:beforeLines="0" w:afterLines="0"/>
              <w:ind w:firstLine="0" w:firstLineChars="0"/>
              <w:jc w:val="center"/>
              <w:rPr>
                <w:rFonts w:cs="Times New Roman"/>
                <w:sz w:val="21"/>
                <w:szCs w:val="21"/>
              </w:rPr>
            </w:pPr>
          </w:p>
        </w:tc>
        <w:tc>
          <w:tcPr>
            <w:tcW w:w="804" w:type="dxa"/>
            <w:tcBorders>
              <w:top w:val="nil"/>
              <w:left w:val="nil"/>
              <w:bottom w:val="nil"/>
            </w:tcBorders>
            <w:vAlign w:val="center"/>
          </w:tcPr>
          <w:p w14:paraId="0A082A02">
            <w:pPr>
              <w:pStyle w:val="16"/>
              <w:spacing w:beforeLines="0" w:afterLines="0"/>
              <w:ind w:firstLine="0" w:firstLineChars="0"/>
              <w:jc w:val="center"/>
              <w:rPr>
                <w:rFonts w:cs="Times New Roman"/>
                <w:sz w:val="21"/>
                <w:szCs w:val="21"/>
              </w:rPr>
            </w:pPr>
          </w:p>
        </w:tc>
      </w:tr>
      <w:tr w14:paraId="00A47DB6">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jc w:val="center"/>
        </w:trPr>
        <w:tc>
          <w:tcPr>
            <w:tcW w:w="534" w:type="dxa"/>
            <w:tcBorders>
              <w:top w:val="nil"/>
              <w:bottom w:val="nil"/>
              <w:right w:val="nil"/>
            </w:tcBorders>
            <w:vAlign w:val="center"/>
          </w:tcPr>
          <w:p w14:paraId="1D6611F7">
            <w:pPr>
              <w:pStyle w:val="16"/>
              <w:spacing w:before="31" w:after="31"/>
              <w:ind w:firstLine="0" w:firstLineChars="0"/>
              <w:jc w:val="center"/>
              <w:rPr>
                <w:rFonts w:cs="Times New Roman"/>
                <w:color w:val="000000"/>
                <w:sz w:val="21"/>
                <w:szCs w:val="21"/>
              </w:rPr>
            </w:pPr>
            <w:r>
              <w:rPr>
                <w:rFonts w:cs="Times New Roman"/>
                <w:color w:val="000000"/>
                <w:sz w:val="21"/>
                <w:szCs w:val="21"/>
              </w:rPr>
              <w:t>16</w:t>
            </w:r>
          </w:p>
        </w:tc>
        <w:tc>
          <w:tcPr>
            <w:tcW w:w="4363" w:type="dxa"/>
            <w:tcBorders>
              <w:top w:val="nil"/>
              <w:left w:val="nil"/>
              <w:bottom w:val="nil"/>
              <w:right w:val="nil"/>
            </w:tcBorders>
            <w:vAlign w:val="center"/>
          </w:tcPr>
          <w:p w14:paraId="6FCBFAD5">
            <w:pPr>
              <w:rPr>
                <w:color w:val="000000"/>
                <w:szCs w:val="21"/>
              </w:rPr>
            </w:pPr>
            <w:r>
              <w:rPr>
                <w:rFonts w:hint="eastAsia"/>
                <w:color w:val="000000"/>
                <w:szCs w:val="21"/>
              </w:rPr>
              <w:t>Fatigue fracture of underwater oil pipeline[29]</w:t>
            </w:r>
          </w:p>
        </w:tc>
        <w:tc>
          <w:tcPr>
            <w:tcW w:w="782" w:type="dxa"/>
            <w:gridSpan w:val="2"/>
            <w:tcBorders>
              <w:top w:val="nil"/>
              <w:left w:val="nil"/>
              <w:bottom w:val="nil"/>
              <w:right w:val="nil"/>
            </w:tcBorders>
            <w:vAlign w:val="center"/>
          </w:tcPr>
          <w:p w14:paraId="7F62AFDE">
            <w:pPr>
              <w:pStyle w:val="16"/>
              <w:spacing w:beforeLines="0" w:afterLines="0"/>
              <w:ind w:firstLine="0" w:firstLineChars="0"/>
              <w:jc w:val="center"/>
              <w:rPr>
                <w:rFonts w:cs="Times New Roman"/>
                <w:sz w:val="21"/>
                <w:szCs w:val="21"/>
              </w:rPr>
            </w:pPr>
          </w:p>
        </w:tc>
        <w:tc>
          <w:tcPr>
            <w:tcW w:w="891" w:type="dxa"/>
            <w:gridSpan w:val="2"/>
            <w:tcBorders>
              <w:top w:val="nil"/>
              <w:left w:val="nil"/>
              <w:bottom w:val="nil"/>
              <w:right w:val="nil"/>
            </w:tcBorders>
            <w:vAlign w:val="center"/>
          </w:tcPr>
          <w:p w14:paraId="0801C679">
            <w:pPr>
              <w:pStyle w:val="16"/>
              <w:spacing w:beforeLines="0" w:afterLines="0"/>
              <w:ind w:firstLine="0" w:firstLineChars="0"/>
              <w:jc w:val="center"/>
              <w:rPr>
                <w:rFonts w:cs="Times New Roman"/>
                <w:sz w:val="21"/>
                <w:szCs w:val="21"/>
              </w:rPr>
            </w:pPr>
          </w:p>
        </w:tc>
        <w:tc>
          <w:tcPr>
            <w:tcW w:w="779" w:type="dxa"/>
            <w:gridSpan w:val="2"/>
            <w:tcBorders>
              <w:top w:val="nil"/>
              <w:left w:val="nil"/>
              <w:bottom w:val="nil"/>
              <w:right w:val="nil"/>
            </w:tcBorders>
            <w:vAlign w:val="center"/>
          </w:tcPr>
          <w:p w14:paraId="4727B5F2">
            <w:pPr>
              <w:pStyle w:val="16"/>
              <w:spacing w:beforeLines="0" w:afterLines="0"/>
              <w:ind w:firstLine="0" w:firstLineChars="0"/>
              <w:jc w:val="center"/>
              <w:rPr>
                <w:rFonts w:cs="Times New Roman"/>
                <w:sz w:val="21"/>
                <w:szCs w:val="21"/>
              </w:rPr>
            </w:pPr>
          </w:p>
        </w:tc>
        <w:tc>
          <w:tcPr>
            <w:tcW w:w="804" w:type="dxa"/>
            <w:tcBorders>
              <w:top w:val="nil"/>
              <w:left w:val="nil"/>
              <w:bottom w:val="nil"/>
            </w:tcBorders>
            <w:vAlign w:val="center"/>
          </w:tcPr>
          <w:p w14:paraId="597BE246">
            <w:pPr>
              <w:pStyle w:val="16"/>
              <w:spacing w:beforeLines="0" w:afterLines="0"/>
              <w:ind w:firstLine="0" w:firstLineChars="0"/>
              <w:jc w:val="center"/>
              <w:rPr>
                <w:rFonts w:cs="Times New Roman"/>
                <w:sz w:val="21"/>
                <w:szCs w:val="21"/>
              </w:rPr>
            </w:pPr>
            <w:r>
              <w:rPr>
                <w:rFonts w:cs="Times New Roman"/>
                <w:sz w:val="21"/>
                <w:szCs w:val="21"/>
              </w:rPr>
              <w:t>√</w:t>
            </w:r>
          </w:p>
        </w:tc>
      </w:tr>
      <w:tr w14:paraId="782C9BC1">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jc w:val="center"/>
        </w:trPr>
        <w:tc>
          <w:tcPr>
            <w:tcW w:w="534" w:type="dxa"/>
            <w:tcBorders>
              <w:top w:val="nil"/>
              <w:bottom w:val="nil"/>
              <w:right w:val="nil"/>
            </w:tcBorders>
            <w:vAlign w:val="center"/>
          </w:tcPr>
          <w:p w14:paraId="41776045">
            <w:pPr>
              <w:pStyle w:val="16"/>
              <w:spacing w:before="31" w:after="31"/>
              <w:ind w:firstLine="0" w:firstLineChars="0"/>
              <w:jc w:val="center"/>
              <w:rPr>
                <w:rFonts w:cs="Times New Roman"/>
                <w:color w:val="000000"/>
                <w:sz w:val="21"/>
                <w:szCs w:val="21"/>
              </w:rPr>
            </w:pPr>
            <w:r>
              <w:rPr>
                <w:rFonts w:cs="Times New Roman"/>
                <w:color w:val="000000"/>
                <w:sz w:val="21"/>
                <w:szCs w:val="21"/>
              </w:rPr>
              <w:t>17</w:t>
            </w:r>
          </w:p>
        </w:tc>
        <w:tc>
          <w:tcPr>
            <w:tcW w:w="4363" w:type="dxa"/>
            <w:tcBorders>
              <w:top w:val="nil"/>
              <w:left w:val="nil"/>
              <w:bottom w:val="nil"/>
              <w:right w:val="nil"/>
            </w:tcBorders>
            <w:vAlign w:val="center"/>
          </w:tcPr>
          <w:p w14:paraId="1BB516E7">
            <w:pPr>
              <w:rPr>
                <w:color w:val="000000"/>
                <w:szCs w:val="21"/>
              </w:rPr>
            </w:pPr>
            <w:r>
              <w:rPr>
                <w:rFonts w:hint="eastAsia"/>
                <w:color w:val="000000"/>
                <w:szCs w:val="21"/>
              </w:rPr>
              <w:t>Failure of gasket in hydrogenation unit heat exchanger[30]</w:t>
            </w:r>
          </w:p>
        </w:tc>
        <w:tc>
          <w:tcPr>
            <w:tcW w:w="782" w:type="dxa"/>
            <w:gridSpan w:val="2"/>
            <w:tcBorders>
              <w:top w:val="nil"/>
              <w:left w:val="nil"/>
              <w:bottom w:val="nil"/>
              <w:right w:val="nil"/>
            </w:tcBorders>
            <w:vAlign w:val="center"/>
          </w:tcPr>
          <w:p w14:paraId="0D3C6713">
            <w:pPr>
              <w:pStyle w:val="16"/>
              <w:spacing w:beforeLines="0" w:afterLines="0"/>
              <w:ind w:firstLine="0" w:firstLineChars="0"/>
              <w:jc w:val="center"/>
              <w:rPr>
                <w:rFonts w:cs="Times New Roman"/>
                <w:sz w:val="21"/>
                <w:szCs w:val="21"/>
              </w:rPr>
            </w:pPr>
            <w:r>
              <w:rPr>
                <w:rFonts w:cs="Times New Roman"/>
                <w:sz w:val="21"/>
                <w:szCs w:val="21"/>
              </w:rPr>
              <w:t>√</w:t>
            </w:r>
          </w:p>
        </w:tc>
        <w:tc>
          <w:tcPr>
            <w:tcW w:w="891" w:type="dxa"/>
            <w:gridSpan w:val="2"/>
            <w:tcBorders>
              <w:top w:val="nil"/>
              <w:left w:val="nil"/>
              <w:bottom w:val="nil"/>
              <w:right w:val="nil"/>
            </w:tcBorders>
            <w:vAlign w:val="center"/>
          </w:tcPr>
          <w:p w14:paraId="614AFE7F">
            <w:pPr>
              <w:pStyle w:val="16"/>
              <w:spacing w:beforeLines="0" w:afterLines="0"/>
              <w:ind w:firstLine="0" w:firstLineChars="0"/>
              <w:jc w:val="center"/>
              <w:rPr>
                <w:rFonts w:cs="Times New Roman"/>
                <w:sz w:val="21"/>
                <w:szCs w:val="21"/>
              </w:rPr>
            </w:pPr>
            <w:r>
              <w:rPr>
                <w:rFonts w:cs="Times New Roman"/>
                <w:sz w:val="21"/>
                <w:szCs w:val="21"/>
              </w:rPr>
              <w:t>√</w:t>
            </w:r>
          </w:p>
        </w:tc>
        <w:tc>
          <w:tcPr>
            <w:tcW w:w="779" w:type="dxa"/>
            <w:gridSpan w:val="2"/>
            <w:tcBorders>
              <w:top w:val="nil"/>
              <w:left w:val="nil"/>
              <w:bottom w:val="nil"/>
              <w:right w:val="nil"/>
            </w:tcBorders>
            <w:vAlign w:val="center"/>
          </w:tcPr>
          <w:p w14:paraId="151229A1">
            <w:pPr>
              <w:pStyle w:val="16"/>
              <w:spacing w:beforeLines="0" w:afterLines="0"/>
              <w:ind w:firstLine="0" w:firstLineChars="0"/>
              <w:jc w:val="center"/>
              <w:rPr>
                <w:rFonts w:cs="Times New Roman"/>
                <w:sz w:val="21"/>
                <w:szCs w:val="21"/>
              </w:rPr>
            </w:pPr>
          </w:p>
        </w:tc>
        <w:tc>
          <w:tcPr>
            <w:tcW w:w="804" w:type="dxa"/>
            <w:tcBorders>
              <w:top w:val="nil"/>
              <w:left w:val="nil"/>
              <w:bottom w:val="nil"/>
            </w:tcBorders>
            <w:vAlign w:val="center"/>
          </w:tcPr>
          <w:p w14:paraId="74D3B0A5">
            <w:pPr>
              <w:pStyle w:val="16"/>
              <w:spacing w:beforeLines="0" w:afterLines="0"/>
              <w:ind w:firstLine="0" w:firstLineChars="0"/>
              <w:jc w:val="center"/>
              <w:rPr>
                <w:rFonts w:cs="Times New Roman"/>
                <w:sz w:val="21"/>
                <w:szCs w:val="21"/>
              </w:rPr>
            </w:pPr>
          </w:p>
        </w:tc>
      </w:tr>
      <w:tr w14:paraId="770F8B59">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jc w:val="center"/>
        </w:trPr>
        <w:tc>
          <w:tcPr>
            <w:tcW w:w="534" w:type="dxa"/>
            <w:tcBorders>
              <w:top w:val="nil"/>
              <w:bottom w:val="nil"/>
              <w:right w:val="nil"/>
            </w:tcBorders>
            <w:vAlign w:val="center"/>
          </w:tcPr>
          <w:p w14:paraId="62603804">
            <w:pPr>
              <w:pStyle w:val="16"/>
              <w:spacing w:before="31" w:after="31"/>
              <w:ind w:firstLine="0" w:firstLineChars="0"/>
              <w:jc w:val="center"/>
              <w:rPr>
                <w:rFonts w:cs="Times New Roman"/>
                <w:color w:val="000000"/>
                <w:sz w:val="21"/>
                <w:szCs w:val="21"/>
              </w:rPr>
            </w:pPr>
            <w:r>
              <w:rPr>
                <w:rFonts w:cs="Times New Roman"/>
                <w:color w:val="000000"/>
                <w:sz w:val="21"/>
                <w:szCs w:val="21"/>
              </w:rPr>
              <w:t>18</w:t>
            </w:r>
          </w:p>
        </w:tc>
        <w:tc>
          <w:tcPr>
            <w:tcW w:w="4363" w:type="dxa"/>
            <w:tcBorders>
              <w:top w:val="nil"/>
              <w:left w:val="nil"/>
              <w:bottom w:val="nil"/>
              <w:right w:val="nil"/>
            </w:tcBorders>
            <w:vAlign w:val="center"/>
          </w:tcPr>
          <w:p w14:paraId="2051E9DD">
            <w:pPr>
              <w:rPr>
                <w:color w:val="000000"/>
                <w:szCs w:val="21"/>
              </w:rPr>
            </w:pPr>
            <w:r>
              <w:rPr>
                <w:rFonts w:hint="eastAsia"/>
                <w:color w:val="000000"/>
                <w:szCs w:val="21"/>
              </w:rPr>
              <w:t>Failure and leakage of blowdown outlet in hydrocracking unit heat exchanger[31]</w:t>
            </w:r>
          </w:p>
        </w:tc>
        <w:tc>
          <w:tcPr>
            <w:tcW w:w="782" w:type="dxa"/>
            <w:gridSpan w:val="2"/>
            <w:tcBorders>
              <w:top w:val="nil"/>
              <w:left w:val="nil"/>
              <w:bottom w:val="nil"/>
              <w:right w:val="nil"/>
            </w:tcBorders>
            <w:vAlign w:val="center"/>
          </w:tcPr>
          <w:p w14:paraId="01859928">
            <w:pPr>
              <w:pStyle w:val="16"/>
              <w:spacing w:beforeLines="0" w:afterLines="0"/>
              <w:ind w:firstLine="0" w:firstLineChars="0"/>
              <w:jc w:val="center"/>
              <w:rPr>
                <w:rFonts w:cs="Times New Roman"/>
                <w:sz w:val="21"/>
                <w:szCs w:val="21"/>
              </w:rPr>
            </w:pPr>
          </w:p>
        </w:tc>
        <w:tc>
          <w:tcPr>
            <w:tcW w:w="891" w:type="dxa"/>
            <w:gridSpan w:val="2"/>
            <w:tcBorders>
              <w:top w:val="nil"/>
              <w:left w:val="nil"/>
              <w:bottom w:val="nil"/>
              <w:right w:val="nil"/>
            </w:tcBorders>
            <w:vAlign w:val="center"/>
          </w:tcPr>
          <w:p w14:paraId="7D514D26">
            <w:pPr>
              <w:pStyle w:val="16"/>
              <w:spacing w:beforeLines="0" w:afterLines="0"/>
              <w:ind w:firstLine="0" w:firstLineChars="0"/>
              <w:jc w:val="center"/>
              <w:rPr>
                <w:rFonts w:cs="Times New Roman"/>
                <w:sz w:val="21"/>
                <w:szCs w:val="21"/>
              </w:rPr>
            </w:pPr>
            <w:r>
              <w:rPr>
                <w:rFonts w:cs="Times New Roman"/>
                <w:sz w:val="21"/>
                <w:szCs w:val="21"/>
              </w:rPr>
              <w:t>√</w:t>
            </w:r>
          </w:p>
        </w:tc>
        <w:tc>
          <w:tcPr>
            <w:tcW w:w="779" w:type="dxa"/>
            <w:gridSpan w:val="2"/>
            <w:tcBorders>
              <w:top w:val="nil"/>
              <w:left w:val="nil"/>
              <w:bottom w:val="nil"/>
              <w:right w:val="nil"/>
            </w:tcBorders>
            <w:vAlign w:val="center"/>
          </w:tcPr>
          <w:p w14:paraId="33099ECC">
            <w:pPr>
              <w:pStyle w:val="16"/>
              <w:spacing w:beforeLines="0" w:afterLines="0"/>
              <w:ind w:firstLine="0" w:firstLineChars="0"/>
              <w:jc w:val="center"/>
              <w:rPr>
                <w:rFonts w:cs="Times New Roman"/>
                <w:sz w:val="21"/>
                <w:szCs w:val="21"/>
              </w:rPr>
            </w:pPr>
          </w:p>
        </w:tc>
        <w:tc>
          <w:tcPr>
            <w:tcW w:w="804" w:type="dxa"/>
            <w:tcBorders>
              <w:top w:val="nil"/>
              <w:left w:val="nil"/>
              <w:bottom w:val="nil"/>
            </w:tcBorders>
            <w:vAlign w:val="center"/>
          </w:tcPr>
          <w:p w14:paraId="131DBE05">
            <w:pPr>
              <w:pStyle w:val="16"/>
              <w:spacing w:beforeLines="0" w:afterLines="0"/>
              <w:ind w:firstLine="0" w:firstLineChars="0"/>
              <w:jc w:val="center"/>
              <w:rPr>
                <w:rFonts w:cs="Times New Roman"/>
                <w:sz w:val="21"/>
                <w:szCs w:val="21"/>
              </w:rPr>
            </w:pPr>
          </w:p>
        </w:tc>
      </w:tr>
      <w:tr w14:paraId="7F4B52EE">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jc w:val="center"/>
        </w:trPr>
        <w:tc>
          <w:tcPr>
            <w:tcW w:w="534" w:type="dxa"/>
            <w:tcBorders>
              <w:top w:val="nil"/>
              <w:bottom w:val="nil"/>
              <w:right w:val="nil"/>
            </w:tcBorders>
            <w:vAlign w:val="center"/>
          </w:tcPr>
          <w:p w14:paraId="2A61C4C1">
            <w:pPr>
              <w:pStyle w:val="16"/>
              <w:spacing w:before="31" w:after="31"/>
              <w:ind w:firstLine="0" w:firstLineChars="0"/>
              <w:jc w:val="center"/>
              <w:rPr>
                <w:rFonts w:cs="Times New Roman"/>
                <w:color w:val="000000"/>
                <w:sz w:val="21"/>
                <w:szCs w:val="21"/>
              </w:rPr>
            </w:pPr>
            <w:r>
              <w:rPr>
                <w:rFonts w:cs="Times New Roman"/>
                <w:color w:val="000000"/>
                <w:sz w:val="21"/>
                <w:szCs w:val="21"/>
              </w:rPr>
              <w:t>19</w:t>
            </w:r>
          </w:p>
        </w:tc>
        <w:tc>
          <w:tcPr>
            <w:tcW w:w="4363" w:type="dxa"/>
            <w:tcBorders>
              <w:top w:val="nil"/>
              <w:left w:val="nil"/>
              <w:bottom w:val="nil"/>
              <w:right w:val="nil"/>
            </w:tcBorders>
            <w:vAlign w:val="center"/>
          </w:tcPr>
          <w:p w14:paraId="03C5D77D">
            <w:pPr>
              <w:rPr>
                <w:color w:val="000000"/>
                <w:szCs w:val="21"/>
              </w:rPr>
            </w:pPr>
            <w:r>
              <w:rPr>
                <w:rFonts w:hint="eastAsia"/>
                <w:color w:val="000000"/>
                <w:szCs w:val="21"/>
              </w:rPr>
              <w:t>Corrosion of heat exchanger unit in Shijiazhuang refinery[32]</w:t>
            </w:r>
          </w:p>
        </w:tc>
        <w:tc>
          <w:tcPr>
            <w:tcW w:w="782" w:type="dxa"/>
            <w:gridSpan w:val="2"/>
            <w:tcBorders>
              <w:top w:val="nil"/>
              <w:left w:val="nil"/>
              <w:bottom w:val="nil"/>
              <w:right w:val="nil"/>
            </w:tcBorders>
            <w:vAlign w:val="center"/>
          </w:tcPr>
          <w:p w14:paraId="57E892CD">
            <w:pPr>
              <w:pStyle w:val="16"/>
              <w:spacing w:beforeLines="0" w:afterLines="0"/>
              <w:ind w:firstLine="0" w:firstLineChars="0"/>
              <w:jc w:val="center"/>
              <w:rPr>
                <w:rFonts w:cs="Times New Roman"/>
                <w:sz w:val="21"/>
                <w:szCs w:val="21"/>
              </w:rPr>
            </w:pPr>
            <w:r>
              <w:rPr>
                <w:rFonts w:cs="Times New Roman"/>
                <w:sz w:val="21"/>
                <w:szCs w:val="21"/>
              </w:rPr>
              <w:t>√</w:t>
            </w:r>
          </w:p>
        </w:tc>
        <w:tc>
          <w:tcPr>
            <w:tcW w:w="891" w:type="dxa"/>
            <w:gridSpan w:val="2"/>
            <w:tcBorders>
              <w:top w:val="nil"/>
              <w:left w:val="nil"/>
              <w:bottom w:val="nil"/>
              <w:right w:val="nil"/>
            </w:tcBorders>
            <w:vAlign w:val="center"/>
          </w:tcPr>
          <w:p w14:paraId="1054ABC0">
            <w:pPr>
              <w:pStyle w:val="16"/>
              <w:spacing w:beforeLines="0" w:afterLines="0"/>
              <w:ind w:firstLine="0" w:firstLineChars="0"/>
              <w:jc w:val="center"/>
              <w:rPr>
                <w:rFonts w:cs="Times New Roman"/>
                <w:sz w:val="21"/>
                <w:szCs w:val="21"/>
              </w:rPr>
            </w:pPr>
          </w:p>
        </w:tc>
        <w:tc>
          <w:tcPr>
            <w:tcW w:w="779" w:type="dxa"/>
            <w:gridSpan w:val="2"/>
            <w:tcBorders>
              <w:top w:val="nil"/>
              <w:left w:val="nil"/>
              <w:bottom w:val="nil"/>
              <w:right w:val="nil"/>
            </w:tcBorders>
            <w:vAlign w:val="center"/>
          </w:tcPr>
          <w:p w14:paraId="1B4DA019">
            <w:pPr>
              <w:pStyle w:val="16"/>
              <w:spacing w:beforeLines="0" w:afterLines="0"/>
              <w:ind w:firstLine="0" w:firstLineChars="0"/>
              <w:jc w:val="center"/>
              <w:rPr>
                <w:rFonts w:cs="Times New Roman"/>
                <w:sz w:val="21"/>
                <w:szCs w:val="21"/>
              </w:rPr>
            </w:pPr>
          </w:p>
        </w:tc>
        <w:tc>
          <w:tcPr>
            <w:tcW w:w="804" w:type="dxa"/>
            <w:tcBorders>
              <w:top w:val="nil"/>
              <w:left w:val="nil"/>
              <w:bottom w:val="nil"/>
            </w:tcBorders>
            <w:vAlign w:val="center"/>
          </w:tcPr>
          <w:p w14:paraId="0C038D2B">
            <w:pPr>
              <w:pStyle w:val="16"/>
              <w:spacing w:beforeLines="0" w:afterLines="0"/>
              <w:ind w:firstLine="0" w:firstLineChars="0"/>
              <w:jc w:val="center"/>
              <w:rPr>
                <w:rFonts w:cs="Times New Roman"/>
                <w:sz w:val="21"/>
                <w:szCs w:val="21"/>
              </w:rPr>
            </w:pPr>
          </w:p>
        </w:tc>
      </w:tr>
      <w:tr w14:paraId="32EF39D2">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jc w:val="center"/>
        </w:trPr>
        <w:tc>
          <w:tcPr>
            <w:tcW w:w="534" w:type="dxa"/>
            <w:tcBorders>
              <w:top w:val="nil"/>
              <w:bottom w:val="nil"/>
              <w:right w:val="nil"/>
            </w:tcBorders>
            <w:vAlign w:val="center"/>
          </w:tcPr>
          <w:p w14:paraId="07B96A07">
            <w:pPr>
              <w:pStyle w:val="16"/>
              <w:spacing w:before="31" w:after="31"/>
              <w:ind w:firstLine="0" w:firstLineChars="0"/>
              <w:jc w:val="center"/>
              <w:rPr>
                <w:rFonts w:cs="Times New Roman"/>
                <w:color w:val="000000"/>
                <w:sz w:val="21"/>
                <w:szCs w:val="21"/>
              </w:rPr>
            </w:pPr>
            <w:r>
              <w:rPr>
                <w:rFonts w:cs="Times New Roman"/>
                <w:color w:val="000000"/>
                <w:sz w:val="21"/>
                <w:szCs w:val="21"/>
              </w:rPr>
              <w:t>20</w:t>
            </w:r>
          </w:p>
        </w:tc>
        <w:tc>
          <w:tcPr>
            <w:tcW w:w="4363" w:type="dxa"/>
            <w:tcBorders>
              <w:top w:val="nil"/>
              <w:left w:val="nil"/>
              <w:bottom w:val="nil"/>
              <w:right w:val="nil"/>
            </w:tcBorders>
            <w:vAlign w:val="center"/>
          </w:tcPr>
          <w:p w14:paraId="6F2541DE">
            <w:pPr>
              <w:rPr>
                <w:color w:val="000000"/>
                <w:szCs w:val="21"/>
              </w:rPr>
            </w:pPr>
            <w:r>
              <w:rPr>
                <w:rFonts w:hint="eastAsia"/>
                <w:color w:val="000000"/>
                <w:szCs w:val="21"/>
              </w:rPr>
              <w:t>Corrosion perforation in constant top heat exchanger of three-distillation unit[31]</w:t>
            </w:r>
          </w:p>
        </w:tc>
        <w:tc>
          <w:tcPr>
            <w:tcW w:w="782" w:type="dxa"/>
            <w:gridSpan w:val="2"/>
            <w:tcBorders>
              <w:top w:val="nil"/>
              <w:left w:val="nil"/>
              <w:bottom w:val="nil"/>
              <w:right w:val="nil"/>
            </w:tcBorders>
            <w:vAlign w:val="center"/>
          </w:tcPr>
          <w:p w14:paraId="035CCBC0">
            <w:pPr>
              <w:pStyle w:val="16"/>
              <w:spacing w:beforeLines="0" w:afterLines="0"/>
              <w:ind w:firstLine="0" w:firstLineChars="0"/>
              <w:jc w:val="center"/>
              <w:rPr>
                <w:rFonts w:cs="Times New Roman"/>
                <w:sz w:val="21"/>
                <w:szCs w:val="21"/>
              </w:rPr>
            </w:pPr>
          </w:p>
        </w:tc>
        <w:tc>
          <w:tcPr>
            <w:tcW w:w="891" w:type="dxa"/>
            <w:gridSpan w:val="2"/>
            <w:tcBorders>
              <w:top w:val="nil"/>
              <w:left w:val="nil"/>
              <w:bottom w:val="nil"/>
              <w:right w:val="nil"/>
            </w:tcBorders>
            <w:vAlign w:val="center"/>
          </w:tcPr>
          <w:p w14:paraId="1A014005">
            <w:pPr>
              <w:pStyle w:val="16"/>
              <w:spacing w:beforeLines="0" w:afterLines="0"/>
              <w:ind w:firstLine="0" w:firstLineChars="0"/>
              <w:jc w:val="center"/>
              <w:rPr>
                <w:rFonts w:cs="Times New Roman"/>
                <w:sz w:val="21"/>
                <w:szCs w:val="21"/>
              </w:rPr>
            </w:pPr>
          </w:p>
        </w:tc>
        <w:tc>
          <w:tcPr>
            <w:tcW w:w="779" w:type="dxa"/>
            <w:gridSpan w:val="2"/>
            <w:tcBorders>
              <w:top w:val="nil"/>
              <w:left w:val="nil"/>
              <w:bottom w:val="nil"/>
              <w:right w:val="nil"/>
            </w:tcBorders>
            <w:vAlign w:val="center"/>
          </w:tcPr>
          <w:p w14:paraId="3D01CD4B">
            <w:pPr>
              <w:pStyle w:val="16"/>
              <w:spacing w:beforeLines="0" w:afterLines="0"/>
              <w:ind w:firstLine="0" w:firstLineChars="0"/>
              <w:jc w:val="center"/>
              <w:rPr>
                <w:rFonts w:cs="Times New Roman"/>
                <w:sz w:val="21"/>
                <w:szCs w:val="21"/>
              </w:rPr>
            </w:pPr>
          </w:p>
        </w:tc>
        <w:tc>
          <w:tcPr>
            <w:tcW w:w="804" w:type="dxa"/>
            <w:tcBorders>
              <w:top w:val="nil"/>
              <w:left w:val="nil"/>
              <w:bottom w:val="nil"/>
            </w:tcBorders>
            <w:vAlign w:val="center"/>
          </w:tcPr>
          <w:p w14:paraId="092D890C">
            <w:pPr>
              <w:pStyle w:val="16"/>
              <w:spacing w:beforeLines="0" w:afterLines="0"/>
              <w:ind w:firstLine="0" w:firstLineChars="0"/>
              <w:jc w:val="center"/>
              <w:rPr>
                <w:rFonts w:cs="Times New Roman"/>
                <w:sz w:val="21"/>
                <w:szCs w:val="21"/>
              </w:rPr>
            </w:pPr>
            <w:r>
              <w:rPr>
                <w:rFonts w:cs="Times New Roman"/>
                <w:sz w:val="21"/>
                <w:szCs w:val="21"/>
              </w:rPr>
              <w:t>√</w:t>
            </w:r>
          </w:p>
        </w:tc>
      </w:tr>
      <w:tr w14:paraId="74CE9143">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jc w:val="center"/>
        </w:trPr>
        <w:tc>
          <w:tcPr>
            <w:tcW w:w="534" w:type="dxa"/>
            <w:tcBorders>
              <w:top w:val="nil"/>
              <w:bottom w:val="nil"/>
              <w:right w:val="nil"/>
            </w:tcBorders>
            <w:vAlign w:val="center"/>
          </w:tcPr>
          <w:p w14:paraId="1E8A0A6D">
            <w:pPr>
              <w:pStyle w:val="16"/>
              <w:spacing w:before="31" w:after="31"/>
              <w:ind w:firstLine="0" w:firstLineChars="0"/>
              <w:jc w:val="center"/>
              <w:rPr>
                <w:rFonts w:cs="Times New Roman"/>
                <w:color w:val="000000"/>
                <w:sz w:val="21"/>
                <w:szCs w:val="21"/>
              </w:rPr>
            </w:pPr>
            <w:r>
              <w:rPr>
                <w:rFonts w:cs="Times New Roman"/>
                <w:color w:val="000000"/>
                <w:sz w:val="21"/>
                <w:szCs w:val="21"/>
              </w:rPr>
              <w:t>21</w:t>
            </w:r>
          </w:p>
        </w:tc>
        <w:tc>
          <w:tcPr>
            <w:tcW w:w="4363" w:type="dxa"/>
            <w:tcBorders>
              <w:top w:val="nil"/>
              <w:left w:val="nil"/>
              <w:bottom w:val="nil"/>
              <w:right w:val="nil"/>
            </w:tcBorders>
            <w:vAlign w:val="center"/>
          </w:tcPr>
          <w:p w14:paraId="30BEC8F9">
            <w:pPr>
              <w:rPr>
                <w:color w:val="000000"/>
                <w:szCs w:val="21"/>
              </w:rPr>
            </w:pPr>
            <w:r>
              <w:rPr>
                <w:rFonts w:hint="eastAsia"/>
                <w:color w:val="000000"/>
                <w:szCs w:val="21"/>
              </w:rPr>
              <w:t>Cracking of tube sheet in heavy oil slurry heat exchanger[33]</w:t>
            </w:r>
          </w:p>
        </w:tc>
        <w:tc>
          <w:tcPr>
            <w:tcW w:w="782" w:type="dxa"/>
            <w:gridSpan w:val="2"/>
            <w:tcBorders>
              <w:top w:val="nil"/>
              <w:left w:val="nil"/>
              <w:bottom w:val="nil"/>
              <w:right w:val="nil"/>
            </w:tcBorders>
            <w:vAlign w:val="center"/>
          </w:tcPr>
          <w:p w14:paraId="2230B5FA">
            <w:pPr>
              <w:pStyle w:val="16"/>
              <w:spacing w:beforeLines="0" w:afterLines="0"/>
              <w:ind w:firstLine="0" w:firstLineChars="0"/>
              <w:jc w:val="center"/>
              <w:rPr>
                <w:rFonts w:cs="Times New Roman"/>
                <w:sz w:val="21"/>
                <w:szCs w:val="21"/>
              </w:rPr>
            </w:pPr>
          </w:p>
        </w:tc>
        <w:tc>
          <w:tcPr>
            <w:tcW w:w="891" w:type="dxa"/>
            <w:gridSpan w:val="2"/>
            <w:tcBorders>
              <w:top w:val="nil"/>
              <w:left w:val="nil"/>
              <w:bottom w:val="nil"/>
              <w:right w:val="nil"/>
            </w:tcBorders>
            <w:vAlign w:val="center"/>
          </w:tcPr>
          <w:p w14:paraId="41C1F02B">
            <w:pPr>
              <w:pStyle w:val="16"/>
              <w:spacing w:beforeLines="0" w:afterLines="0"/>
              <w:ind w:firstLine="0" w:firstLineChars="0"/>
              <w:jc w:val="center"/>
              <w:rPr>
                <w:rFonts w:cs="Times New Roman"/>
                <w:sz w:val="21"/>
                <w:szCs w:val="21"/>
              </w:rPr>
            </w:pPr>
          </w:p>
        </w:tc>
        <w:tc>
          <w:tcPr>
            <w:tcW w:w="779" w:type="dxa"/>
            <w:gridSpan w:val="2"/>
            <w:tcBorders>
              <w:top w:val="nil"/>
              <w:left w:val="nil"/>
              <w:bottom w:val="nil"/>
              <w:right w:val="nil"/>
            </w:tcBorders>
            <w:vAlign w:val="center"/>
          </w:tcPr>
          <w:p w14:paraId="48276BE0">
            <w:pPr>
              <w:pStyle w:val="16"/>
              <w:spacing w:beforeLines="0" w:afterLines="0"/>
              <w:ind w:firstLine="0" w:firstLineChars="0"/>
              <w:jc w:val="center"/>
              <w:rPr>
                <w:rFonts w:cs="Times New Roman"/>
                <w:sz w:val="21"/>
                <w:szCs w:val="21"/>
              </w:rPr>
            </w:pPr>
          </w:p>
        </w:tc>
        <w:tc>
          <w:tcPr>
            <w:tcW w:w="804" w:type="dxa"/>
            <w:tcBorders>
              <w:top w:val="nil"/>
              <w:left w:val="nil"/>
              <w:bottom w:val="nil"/>
            </w:tcBorders>
            <w:vAlign w:val="center"/>
          </w:tcPr>
          <w:p w14:paraId="2B624A71">
            <w:pPr>
              <w:pStyle w:val="16"/>
              <w:spacing w:beforeLines="0" w:afterLines="0"/>
              <w:ind w:firstLine="0" w:firstLineChars="0"/>
              <w:jc w:val="center"/>
              <w:rPr>
                <w:rFonts w:cs="Times New Roman"/>
                <w:sz w:val="21"/>
                <w:szCs w:val="21"/>
              </w:rPr>
            </w:pPr>
            <w:r>
              <w:rPr>
                <w:rFonts w:cs="Times New Roman"/>
                <w:sz w:val="21"/>
                <w:szCs w:val="21"/>
              </w:rPr>
              <w:t>√</w:t>
            </w:r>
          </w:p>
        </w:tc>
      </w:tr>
      <w:tr w14:paraId="64AF8A68">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jc w:val="center"/>
        </w:trPr>
        <w:tc>
          <w:tcPr>
            <w:tcW w:w="534" w:type="dxa"/>
            <w:tcBorders>
              <w:top w:val="nil"/>
              <w:bottom w:val="nil"/>
              <w:right w:val="nil"/>
            </w:tcBorders>
            <w:vAlign w:val="center"/>
          </w:tcPr>
          <w:p w14:paraId="33A7AABB">
            <w:pPr>
              <w:pStyle w:val="16"/>
              <w:spacing w:before="31" w:after="31"/>
              <w:ind w:firstLine="0" w:firstLineChars="0"/>
              <w:jc w:val="center"/>
              <w:rPr>
                <w:rFonts w:cs="Times New Roman"/>
                <w:color w:val="000000"/>
                <w:sz w:val="21"/>
                <w:szCs w:val="21"/>
              </w:rPr>
            </w:pPr>
            <w:r>
              <w:rPr>
                <w:rFonts w:cs="Times New Roman"/>
                <w:color w:val="000000"/>
                <w:sz w:val="21"/>
                <w:szCs w:val="21"/>
              </w:rPr>
              <w:t>22</w:t>
            </w:r>
          </w:p>
        </w:tc>
        <w:tc>
          <w:tcPr>
            <w:tcW w:w="4363" w:type="dxa"/>
            <w:tcBorders>
              <w:top w:val="nil"/>
              <w:left w:val="nil"/>
              <w:bottom w:val="nil"/>
              <w:right w:val="nil"/>
            </w:tcBorders>
            <w:vAlign w:val="center"/>
          </w:tcPr>
          <w:p w14:paraId="424D9748">
            <w:pPr>
              <w:rPr>
                <w:color w:val="000000"/>
                <w:szCs w:val="21"/>
              </w:rPr>
            </w:pPr>
            <w:r>
              <w:rPr>
                <w:rFonts w:hint="eastAsia"/>
                <w:color w:val="000000"/>
                <w:szCs w:val="21"/>
              </w:rPr>
              <w:t>Boiler feedwater preheater outlet tube explosion in methanol conversion gas flow process[29]</w:t>
            </w:r>
          </w:p>
        </w:tc>
        <w:tc>
          <w:tcPr>
            <w:tcW w:w="782" w:type="dxa"/>
            <w:gridSpan w:val="2"/>
            <w:tcBorders>
              <w:top w:val="nil"/>
              <w:left w:val="nil"/>
              <w:bottom w:val="nil"/>
              <w:right w:val="nil"/>
            </w:tcBorders>
            <w:vAlign w:val="center"/>
          </w:tcPr>
          <w:p w14:paraId="35B18CB5">
            <w:pPr>
              <w:pStyle w:val="16"/>
              <w:spacing w:beforeLines="0" w:afterLines="0"/>
              <w:ind w:firstLine="0" w:firstLineChars="0"/>
              <w:jc w:val="center"/>
              <w:rPr>
                <w:rFonts w:cs="Times New Roman"/>
                <w:sz w:val="21"/>
                <w:szCs w:val="21"/>
              </w:rPr>
            </w:pPr>
          </w:p>
        </w:tc>
        <w:tc>
          <w:tcPr>
            <w:tcW w:w="891" w:type="dxa"/>
            <w:gridSpan w:val="2"/>
            <w:tcBorders>
              <w:top w:val="nil"/>
              <w:left w:val="nil"/>
              <w:bottom w:val="nil"/>
              <w:right w:val="nil"/>
            </w:tcBorders>
            <w:vAlign w:val="center"/>
          </w:tcPr>
          <w:p w14:paraId="776FD6A4">
            <w:pPr>
              <w:pStyle w:val="16"/>
              <w:spacing w:beforeLines="0" w:afterLines="0"/>
              <w:ind w:firstLine="0" w:firstLineChars="0"/>
              <w:jc w:val="center"/>
              <w:rPr>
                <w:rFonts w:cs="Times New Roman"/>
                <w:sz w:val="21"/>
                <w:szCs w:val="21"/>
              </w:rPr>
            </w:pPr>
          </w:p>
        </w:tc>
        <w:tc>
          <w:tcPr>
            <w:tcW w:w="779" w:type="dxa"/>
            <w:gridSpan w:val="2"/>
            <w:tcBorders>
              <w:top w:val="nil"/>
              <w:left w:val="nil"/>
              <w:bottom w:val="nil"/>
              <w:right w:val="nil"/>
            </w:tcBorders>
            <w:vAlign w:val="center"/>
          </w:tcPr>
          <w:p w14:paraId="188A3815">
            <w:pPr>
              <w:pStyle w:val="16"/>
              <w:spacing w:beforeLines="0" w:afterLines="0"/>
              <w:ind w:firstLine="0" w:firstLineChars="0"/>
              <w:jc w:val="center"/>
              <w:rPr>
                <w:rFonts w:cs="Times New Roman"/>
                <w:sz w:val="21"/>
                <w:szCs w:val="21"/>
              </w:rPr>
            </w:pPr>
            <w:r>
              <w:rPr>
                <w:rFonts w:cs="Times New Roman"/>
                <w:sz w:val="21"/>
                <w:szCs w:val="21"/>
              </w:rPr>
              <w:t>√</w:t>
            </w:r>
          </w:p>
        </w:tc>
        <w:tc>
          <w:tcPr>
            <w:tcW w:w="804" w:type="dxa"/>
            <w:tcBorders>
              <w:top w:val="nil"/>
              <w:left w:val="nil"/>
              <w:bottom w:val="nil"/>
            </w:tcBorders>
            <w:vAlign w:val="center"/>
          </w:tcPr>
          <w:p w14:paraId="099643B1">
            <w:pPr>
              <w:pStyle w:val="16"/>
              <w:spacing w:beforeLines="0" w:afterLines="0"/>
              <w:ind w:firstLine="0" w:firstLineChars="0"/>
              <w:jc w:val="center"/>
              <w:rPr>
                <w:rFonts w:cs="Times New Roman"/>
                <w:sz w:val="21"/>
                <w:szCs w:val="21"/>
              </w:rPr>
            </w:pPr>
          </w:p>
        </w:tc>
      </w:tr>
      <w:tr w14:paraId="20500C45">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jc w:val="center"/>
        </w:trPr>
        <w:tc>
          <w:tcPr>
            <w:tcW w:w="534" w:type="dxa"/>
            <w:tcBorders>
              <w:top w:val="nil"/>
              <w:bottom w:val="nil"/>
              <w:right w:val="nil"/>
            </w:tcBorders>
            <w:vAlign w:val="center"/>
          </w:tcPr>
          <w:p w14:paraId="3D5D9EF5">
            <w:pPr>
              <w:pStyle w:val="16"/>
              <w:spacing w:before="31" w:after="31"/>
              <w:ind w:firstLine="0" w:firstLineChars="0"/>
              <w:jc w:val="center"/>
              <w:rPr>
                <w:rFonts w:cs="Times New Roman"/>
                <w:color w:val="000000"/>
                <w:sz w:val="21"/>
                <w:szCs w:val="21"/>
              </w:rPr>
            </w:pPr>
            <w:r>
              <w:rPr>
                <w:rFonts w:cs="Times New Roman"/>
                <w:color w:val="000000"/>
                <w:sz w:val="21"/>
                <w:szCs w:val="21"/>
              </w:rPr>
              <w:t>23</w:t>
            </w:r>
          </w:p>
        </w:tc>
        <w:tc>
          <w:tcPr>
            <w:tcW w:w="4363" w:type="dxa"/>
            <w:tcBorders>
              <w:top w:val="nil"/>
              <w:left w:val="nil"/>
              <w:bottom w:val="nil"/>
              <w:right w:val="nil"/>
            </w:tcBorders>
            <w:vAlign w:val="center"/>
          </w:tcPr>
          <w:p w14:paraId="4BA7FB6A">
            <w:pPr>
              <w:rPr>
                <w:color w:val="000000"/>
                <w:szCs w:val="21"/>
              </w:rPr>
            </w:pPr>
            <w:r>
              <w:rPr>
                <w:rFonts w:hint="eastAsia"/>
                <w:color w:val="000000"/>
                <w:szCs w:val="21"/>
              </w:rPr>
              <w:t>Stress corrosion cracking in top pre-cooler steel tube</w:t>
            </w:r>
          </w:p>
        </w:tc>
        <w:tc>
          <w:tcPr>
            <w:tcW w:w="782" w:type="dxa"/>
            <w:gridSpan w:val="2"/>
            <w:tcBorders>
              <w:top w:val="nil"/>
              <w:left w:val="nil"/>
              <w:bottom w:val="nil"/>
              <w:right w:val="nil"/>
            </w:tcBorders>
            <w:vAlign w:val="center"/>
          </w:tcPr>
          <w:p w14:paraId="0664E641">
            <w:pPr>
              <w:pStyle w:val="16"/>
              <w:spacing w:beforeLines="0" w:afterLines="0"/>
              <w:ind w:firstLine="0" w:firstLineChars="0"/>
              <w:jc w:val="center"/>
              <w:rPr>
                <w:rFonts w:cs="Times New Roman"/>
                <w:sz w:val="21"/>
                <w:szCs w:val="21"/>
              </w:rPr>
            </w:pPr>
          </w:p>
        </w:tc>
        <w:tc>
          <w:tcPr>
            <w:tcW w:w="891" w:type="dxa"/>
            <w:gridSpan w:val="2"/>
            <w:tcBorders>
              <w:top w:val="nil"/>
              <w:left w:val="nil"/>
              <w:bottom w:val="nil"/>
              <w:right w:val="nil"/>
            </w:tcBorders>
            <w:vAlign w:val="center"/>
          </w:tcPr>
          <w:p w14:paraId="67E20FCC">
            <w:pPr>
              <w:pStyle w:val="16"/>
              <w:spacing w:beforeLines="0" w:afterLines="0"/>
              <w:ind w:firstLine="0" w:firstLineChars="0"/>
              <w:jc w:val="center"/>
              <w:rPr>
                <w:rFonts w:cs="Times New Roman"/>
                <w:sz w:val="21"/>
                <w:szCs w:val="21"/>
              </w:rPr>
            </w:pPr>
          </w:p>
        </w:tc>
        <w:tc>
          <w:tcPr>
            <w:tcW w:w="779" w:type="dxa"/>
            <w:gridSpan w:val="2"/>
            <w:tcBorders>
              <w:top w:val="nil"/>
              <w:left w:val="nil"/>
              <w:bottom w:val="nil"/>
              <w:right w:val="nil"/>
            </w:tcBorders>
            <w:vAlign w:val="center"/>
          </w:tcPr>
          <w:p w14:paraId="6684EA30">
            <w:pPr>
              <w:pStyle w:val="16"/>
              <w:spacing w:beforeLines="0" w:afterLines="0"/>
              <w:ind w:firstLine="0" w:firstLineChars="0"/>
              <w:jc w:val="center"/>
              <w:rPr>
                <w:rFonts w:cs="Times New Roman"/>
                <w:sz w:val="21"/>
                <w:szCs w:val="21"/>
              </w:rPr>
            </w:pPr>
          </w:p>
        </w:tc>
        <w:tc>
          <w:tcPr>
            <w:tcW w:w="804" w:type="dxa"/>
            <w:tcBorders>
              <w:top w:val="nil"/>
              <w:left w:val="nil"/>
              <w:bottom w:val="nil"/>
            </w:tcBorders>
            <w:vAlign w:val="center"/>
          </w:tcPr>
          <w:p w14:paraId="14190E8E">
            <w:pPr>
              <w:pStyle w:val="16"/>
              <w:spacing w:beforeLines="0" w:afterLines="0"/>
              <w:ind w:firstLine="0" w:firstLineChars="0"/>
              <w:jc w:val="center"/>
              <w:rPr>
                <w:rFonts w:cs="Times New Roman"/>
                <w:sz w:val="21"/>
                <w:szCs w:val="21"/>
              </w:rPr>
            </w:pPr>
            <w:r>
              <w:rPr>
                <w:rFonts w:cs="Times New Roman"/>
                <w:sz w:val="21"/>
                <w:szCs w:val="21"/>
              </w:rPr>
              <w:t>√</w:t>
            </w:r>
          </w:p>
        </w:tc>
      </w:tr>
      <w:tr w14:paraId="0D4CC0F1">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jc w:val="center"/>
        </w:trPr>
        <w:tc>
          <w:tcPr>
            <w:tcW w:w="534" w:type="dxa"/>
            <w:tcBorders>
              <w:top w:val="nil"/>
              <w:bottom w:val="nil"/>
              <w:right w:val="nil"/>
            </w:tcBorders>
            <w:vAlign w:val="center"/>
          </w:tcPr>
          <w:p w14:paraId="39F36CC3">
            <w:pPr>
              <w:pStyle w:val="16"/>
              <w:spacing w:before="31" w:after="31"/>
              <w:ind w:firstLine="0" w:firstLineChars="0"/>
              <w:jc w:val="center"/>
              <w:rPr>
                <w:rFonts w:cs="Times New Roman"/>
                <w:color w:val="000000"/>
                <w:sz w:val="21"/>
                <w:szCs w:val="21"/>
              </w:rPr>
            </w:pPr>
            <w:r>
              <w:rPr>
                <w:rFonts w:cs="Times New Roman"/>
                <w:color w:val="000000"/>
                <w:sz w:val="21"/>
                <w:szCs w:val="21"/>
              </w:rPr>
              <w:t>24</w:t>
            </w:r>
          </w:p>
        </w:tc>
        <w:tc>
          <w:tcPr>
            <w:tcW w:w="4363" w:type="dxa"/>
            <w:tcBorders>
              <w:top w:val="nil"/>
              <w:left w:val="nil"/>
              <w:bottom w:val="nil"/>
              <w:right w:val="nil"/>
            </w:tcBorders>
            <w:vAlign w:val="center"/>
          </w:tcPr>
          <w:p w14:paraId="4AA0496F">
            <w:pPr>
              <w:rPr>
                <w:color w:val="000000"/>
                <w:szCs w:val="21"/>
              </w:rPr>
            </w:pPr>
            <w:r>
              <w:rPr>
                <w:rFonts w:hint="eastAsia"/>
                <w:color w:val="000000"/>
                <w:szCs w:val="21"/>
              </w:rPr>
              <w:t>Rupture of corrugated tube in steam superheater[34]</w:t>
            </w:r>
          </w:p>
        </w:tc>
        <w:tc>
          <w:tcPr>
            <w:tcW w:w="782" w:type="dxa"/>
            <w:gridSpan w:val="2"/>
            <w:tcBorders>
              <w:top w:val="nil"/>
              <w:left w:val="nil"/>
              <w:bottom w:val="nil"/>
              <w:right w:val="nil"/>
            </w:tcBorders>
            <w:vAlign w:val="center"/>
          </w:tcPr>
          <w:p w14:paraId="022E03F1">
            <w:pPr>
              <w:pStyle w:val="16"/>
              <w:spacing w:beforeLines="0" w:afterLines="0"/>
              <w:ind w:firstLine="0" w:firstLineChars="0"/>
              <w:jc w:val="center"/>
              <w:rPr>
                <w:rFonts w:cs="Times New Roman"/>
                <w:sz w:val="21"/>
                <w:szCs w:val="21"/>
              </w:rPr>
            </w:pPr>
            <w:r>
              <w:rPr>
                <w:rFonts w:cs="Times New Roman"/>
                <w:sz w:val="21"/>
                <w:szCs w:val="21"/>
              </w:rPr>
              <w:t>√</w:t>
            </w:r>
          </w:p>
        </w:tc>
        <w:tc>
          <w:tcPr>
            <w:tcW w:w="891" w:type="dxa"/>
            <w:gridSpan w:val="2"/>
            <w:tcBorders>
              <w:top w:val="nil"/>
              <w:left w:val="nil"/>
              <w:bottom w:val="nil"/>
              <w:right w:val="nil"/>
            </w:tcBorders>
            <w:vAlign w:val="center"/>
          </w:tcPr>
          <w:p w14:paraId="3A59D525">
            <w:pPr>
              <w:pStyle w:val="16"/>
              <w:spacing w:beforeLines="0" w:afterLines="0"/>
              <w:ind w:firstLine="0" w:firstLineChars="0"/>
              <w:jc w:val="center"/>
              <w:rPr>
                <w:rFonts w:cs="Times New Roman"/>
                <w:sz w:val="21"/>
                <w:szCs w:val="21"/>
              </w:rPr>
            </w:pPr>
          </w:p>
        </w:tc>
        <w:tc>
          <w:tcPr>
            <w:tcW w:w="779" w:type="dxa"/>
            <w:gridSpan w:val="2"/>
            <w:tcBorders>
              <w:top w:val="nil"/>
              <w:left w:val="nil"/>
              <w:bottom w:val="nil"/>
              <w:right w:val="nil"/>
            </w:tcBorders>
            <w:vAlign w:val="center"/>
          </w:tcPr>
          <w:p w14:paraId="2352C6CF">
            <w:pPr>
              <w:pStyle w:val="16"/>
              <w:spacing w:beforeLines="0" w:afterLines="0"/>
              <w:ind w:firstLine="0" w:firstLineChars="0"/>
              <w:jc w:val="center"/>
              <w:rPr>
                <w:rFonts w:cs="Times New Roman"/>
                <w:sz w:val="21"/>
                <w:szCs w:val="21"/>
              </w:rPr>
            </w:pPr>
          </w:p>
        </w:tc>
        <w:tc>
          <w:tcPr>
            <w:tcW w:w="804" w:type="dxa"/>
            <w:tcBorders>
              <w:top w:val="nil"/>
              <w:left w:val="nil"/>
              <w:bottom w:val="nil"/>
            </w:tcBorders>
            <w:vAlign w:val="center"/>
          </w:tcPr>
          <w:p w14:paraId="39A1BFED">
            <w:pPr>
              <w:pStyle w:val="16"/>
              <w:spacing w:beforeLines="0" w:afterLines="0"/>
              <w:ind w:firstLine="0" w:firstLineChars="0"/>
              <w:jc w:val="center"/>
              <w:rPr>
                <w:rFonts w:cs="Times New Roman"/>
                <w:sz w:val="21"/>
                <w:szCs w:val="21"/>
              </w:rPr>
            </w:pPr>
            <w:r>
              <w:rPr>
                <w:rFonts w:cs="Times New Roman"/>
                <w:sz w:val="21"/>
                <w:szCs w:val="21"/>
              </w:rPr>
              <w:t>√</w:t>
            </w:r>
          </w:p>
        </w:tc>
      </w:tr>
      <w:tr w14:paraId="08CBD0D7">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jc w:val="center"/>
        </w:trPr>
        <w:tc>
          <w:tcPr>
            <w:tcW w:w="534" w:type="dxa"/>
            <w:tcBorders>
              <w:top w:val="nil"/>
              <w:bottom w:val="nil"/>
              <w:right w:val="nil"/>
            </w:tcBorders>
            <w:vAlign w:val="center"/>
          </w:tcPr>
          <w:p w14:paraId="549288DC">
            <w:pPr>
              <w:pStyle w:val="16"/>
              <w:spacing w:before="31" w:after="31"/>
              <w:ind w:firstLine="0" w:firstLineChars="0"/>
              <w:jc w:val="center"/>
              <w:rPr>
                <w:rFonts w:cs="Times New Roman"/>
                <w:color w:val="000000"/>
                <w:sz w:val="21"/>
                <w:szCs w:val="21"/>
              </w:rPr>
            </w:pPr>
            <w:r>
              <w:rPr>
                <w:rFonts w:cs="Times New Roman"/>
                <w:color w:val="000000"/>
                <w:sz w:val="21"/>
                <w:szCs w:val="21"/>
              </w:rPr>
              <w:t>25</w:t>
            </w:r>
          </w:p>
        </w:tc>
        <w:tc>
          <w:tcPr>
            <w:tcW w:w="4363" w:type="dxa"/>
            <w:tcBorders>
              <w:top w:val="nil"/>
              <w:left w:val="nil"/>
              <w:bottom w:val="nil"/>
              <w:right w:val="nil"/>
            </w:tcBorders>
            <w:vAlign w:val="center"/>
          </w:tcPr>
          <w:p w14:paraId="14993950">
            <w:pPr>
              <w:rPr>
                <w:color w:val="000000"/>
                <w:szCs w:val="21"/>
              </w:rPr>
            </w:pPr>
            <w:r>
              <w:rPr>
                <w:rFonts w:hint="eastAsia"/>
              </w:rPr>
              <w:t>Explosion of nitrobenzene primary and fractionation towers</w:t>
            </w:r>
          </w:p>
        </w:tc>
        <w:tc>
          <w:tcPr>
            <w:tcW w:w="782" w:type="dxa"/>
            <w:gridSpan w:val="2"/>
            <w:tcBorders>
              <w:top w:val="nil"/>
              <w:left w:val="nil"/>
              <w:bottom w:val="nil"/>
              <w:right w:val="nil"/>
            </w:tcBorders>
            <w:vAlign w:val="center"/>
          </w:tcPr>
          <w:p w14:paraId="55388049">
            <w:pPr>
              <w:pStyle w:val="16"/>
              <w:spacing w:beforeLines="0" w:afterLines="0"/>
              <w:ind w:firstLine="0" w:firstLineChars="0"/>
              <w:jc w:val="center"/>
              <w:rPr>
                <w:rFonts w:cs="Times New Roman"/>
                <w:sz w:val="21"/>
                <w:szCs w:val="21"/>
              </w:rPr>
            </w:pPr>
          </w:p>
        </w:tc>
        <w:tc>
          <w:tcPr>
            <w:tcW w:w="891" w:type="dxa"/>
            <w:gridSpan w:val="2"/>
            <w:tcBorders>
              <w:top w:val="nil"/>
              <w:left w:val="nil"/>
              <w:bottom w:val="nil"/>
              <w:right w:val="nil"/>
            </w:tcBorders>
            <w:vAlign w:val="center"/>
          </w:tcPr>
          <w:p w14:paraId="739E62A2">
            <w:pPr>
              <w:pStyle w:val="16"/>
              <w:spacing w:beforeLines="0" w:afterLines="0"/>
              <w:ind w:firstLine="0" w:firstLineChars="0"/>
              <w:jc w:val="center"/>
              <w:rPr>
                <w:rFonts w:cs="Times New Roman"/>
                <w:sz w:val="21"/>
                <w:szCs w:val="21"/>
              </w:rPr>
            </w:pPr>
            <w:r>
              <w:rPr>
                <w:rFonts w:cs="Times New Roman"/>
                <w:sz w:val="21"/>
                <w:szCs w:val="21"/>
              </w:rPr>
              <w:t>√</w:t>
            </w:r>
          </w:p>
        </w:tc>
        <w:tc>
          <w:tcPr>
            <w:tcW w:w="779" w:type="dxa"/>
            <w:gridSpan w:val="2"/>
            <w:tcBorders>
              <w:top w:val="nil"/>
              <w:left w:val="nil"/>
              <w:bottom w:val="nil"/>
              <w:right w:val="nil"/>
            </w:tcBorders>
            <w:vAlign w:val="center"/>
          </w:tcPr>
          <w:p w14:paraId="1E3AD332">
            <w:pPr>
              <w:pStyle w:val="16"/>
              <w:spacing w:beforeLines="0" w:afterLines="0"/>
              <w:ind w:firstLine="0" w:firstLineChars="0"/>
              <w:jc w:val="center"/>
              <w:rPr>
                <w:rFonts w:cs="Times New Roman"/>
                <w:sz w:val="21"/>
                <w:szCs w:val="21"/>
              </w:rPr>
            </w:pPr>
          </w:p>
        </w:tc>
        <w:tc>
          <w:tcPr>
            <w:tcW w:w="804" w:type="dxa"/>
            <w:tcBorders>
              <w:top w:val="nil"/>
              <w:left w:val="nil"/>
              <w:bottom w:val="nil"/>
            </w:tcBorders>
            <w:vAlign w:val="center"/>
          </w:tcPr>
          <w:p w14:paraId="51C4DFD5">
            <w:pPr>
              <w:pStyle w:val="16"/>
              <w:spacing w:beforeLines="0" w:afterLines="0"/>
              <w:ind w:firstLine="0" w:firstLineChars="0"/>
              <w:jc w:val="center"/>
              <w:rPr>
                <w:rFonts w:cs="Times New Roman"/>
                <w:sz w:val="21"/>
                <w:szCs w:val="21"/>
              </w:rPr>
            </w:pPr>
          </w:p>
        </w:tc>
      </w:tr>
      <w:tr w14:paraId="417B9028">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jc w:val="center"/>
        </w:trPr>
        <w:tc>
          <w:tcPr>
            <w:tcW w:w="534" w:type="dxa"/>
            <w:tcBorders>
              <w:top w:val="nil"/>
              <w:bottom w:val="nil"/>
              <w:right w:val="nil"/>
            </w:tcBorders>
            <w:vAlign w:val="center"/>
          </w:tcPr>
          <w:p w14:paraId="0E176F26">
            <w:pPr>
              <w:pStyle w:val="16"/>
              <w:spacing w:before="31" w:after="31"/>
              <w:ind w:firstLine="0" w:firstLineChars="0"/>
              <w:jc w:val="center"/>
              <w:rPr>
                <w:rFonts w:cs="Times New Roman"/>
                <w:color w:val="000000"/>
                <w:sz w:val="21"/>
                <w:szCs w:val="21"/>
              </w:rPr>
            </w:pPr>
            <w:r>
              <w:rPr>
                <w:rFonts w:cs="Times New Roman"/>
                <w:color w:val="000000"/>
                <w:sz w:val="21"/>
                <w:szCs w:val="21"/>
              </w:rPr>
              <w:t>26</w:t>
            </w:r>
          </w:p>
        </w:tc>
        <w:tc>
          <w:tcPr>
            <w:tcW w:w="4363" w:type="dxa"/>
            <w:tcBorders>
              <w:top w:val="nil"/>
              <w:left w:val="nil"/>
              <w:bottom w:val="nil"/>
              <w:right w:val="nil"/>
            </w:tcBorders>
            <w:vAlign w:val="center"/>
          </w:tcPr>
          <w:p w14:paraId="340FAA45">
            <w:r>
              <w:rPr>
                <w:rFonts w:hint="eastAsia"/>
              </w:rPr>
              <w:t>Rupture of outlet valve pipe section in bottom pump of depressurization tower</w:t>
            </w:r>
          </w:p>
        </w:tc>
        <w:tc>
          <w:tcPr>
            <w:tcW w:w="782" w:type="dxa"/>
            <w:gridSpan w:val="2"/>
            <w:tcBorders>
              <w:top w:val="nil"/>
              <w:left w:val="nil"/>
              <w:bottom w:val="nil"/>
              <w:right w:val="nil"/>
            </w:tcBorders>
            <w:vAlign w:val="center"/>
          </w:tcPr>
          <w:p w14:paraId="5803EC03">
            <w:pPr>
              <w:pStyle w:val="16"/>
              <w:spacing w:beforeLines="0" w:afterLines="0"/>
              <w:ind w:firstLine="0" w:firstLineChars="0"/>
              <w:jc w:val="center"/>
              <w:rPr>
                <w:rFonts w:cs="Times New Roman"/>
                <w:sz w:val="21"/>
                <w:szCs w:val="21"/>
              </w:rPr>
            </w:pPr>
          </w:p>
        </w:tc>
        <w:tc>
          <w:tcPr>
            <w:tcW w:w="891" w:type="dxa"/>
            <w:gridSpan w:val="2"/>
            <w:tcBorders>
              <w:top w:val="nil"/>
              <w:left w:val="nil"/>
              <w:bottom w:val="nil"/>
              <w:right w:val="nil"/>
            </w:tcBorders>
            <w:vAlign w:val="center"/>
          </w:tcPr>
          <w:p w14:paraId="29820BDA">
            <w:pPr>
              <w:pStyle w:val="16"/>
              <w:spacing w:beforeLines="0" w:afterLines="0"/>
              <w:ind w:firstLine="0" w:firstLineChars="0"/>
              <w:jc w:val="center"/>
              <w:rPr>
                <w:rFonts w:cs="Times New Roman"/>
                <w:sz w:val="21"/>
                <w:szCs w:val="21"/>
              </w:rPr>
            </w:pPr>
            <w:r>
              <w:rPr>
                <w:rFonts w:cs="Times New Roman"/>
                <w:sz w:val="21"/>
                <w:szCs w:val="21"/>
              </w:rPr>
              <w:t>√</w:t>
            </w:r>
          </w:p>
        </w:tc>
        <w:tc>
          <w:tcPr>
            <w:tcW w:w="779" w:type="dxa"/>
            <w:gridSpan w:val="2"/>
            <w:tcBorders>
              <w:top w:val="nil"/>
              <w:left w:val="nil"/>
              <w:bottom w:val="nil"/>
              <w:right w:val="nil"/>
            </w:tcBorders>
            <w:vAlign w:val="center"/>
          </w:tcPr>
          <w:p w14:paraId="7D0D7F16">
            <w:pPr>
              <w:pStyle w:val="16"/>
              <w:spacing w:beforeLines="0" w:afterLines="0"/>
              <w:ind w:firstLine="0" w:firstLineChars="0"/>
              <w:jc w:val="center"/>
              <w:rPr>
                <w:rFonts w:cs="Times New Roman"/>
                <w:sz w:val="21"/>
                <w:szCs w:val="21"/>
              </w:rPr>
            </w:pPr>
          </w:p>
        </w:tc>
        <w:tc>
          <w:tcPr>
            <w:tcW w:w="804" w:type="dxa"/>
            <w:tcBorders>
              <w:top w:val="nil"/>
              <w:left w:val="nil"/>
              <w:bottom w:val="nil"/>
            </w:tcBorders>
            <w:vAlign w:val="center"/>
          </w:tcPr>
          <w:p w14:paraId="09D1677B">
            <w:pPr>
              <w:pStyle w:val="16"/>
              <w:spacing w:beforeLines="0" w:afterLines="0"/>
              <w:ind w:firstLine="0" w:firstLineChars="0"/>
              <w:jc w:val="center"/>
              <w:rPr>
                <w:rFonts w:cs="Times New Roman"/>
                <w:sz w:val="21"/>
                <w:szCs w:val="21"/>
              </w:rPr>
            </w:pPr>
          </w:p>
        </w:tc>
      </w:tr>
      <w:tr w14:paraId="27DBD796">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jc w:val="center"/>
        </w:trPr>
        <w:tc>
          <w:tcPr>
            <w:tcW w:w="534" w:type="dxa"/>
            <w:tcBorders>
              <w:top w:val="nil"/>
              <w:right w:val="nil"/>
            </w:tcBorders>
            <w:vAlign w:val="center"/>
          </w:tcPr>
          <w:p w14:paraId="3C562A65">
            <w:pPr>
              <w:pStyle w:val="16"/>
              <w:spacing w:before="31" w:after="31"/>
              <w:ind w:firstLine="0" w:firstLineChars="0"/>
              <w:jc w:val="center"/>
              <w:rPr>
                <w:rFonts w:cs="Times New Roman"/>
                <w:color w:val="000000"/>
                <w:sz w:val="21"/>
                <w:szCs w:val="21"/>
              </w:rPr>
            </w:pPr>
            <w:r>
              <w:rPr>
                <w:rFonts w:cs="Times New Roman"/>
                <w:color w:val="000000"/>
                <w:sz w:val="21"/>
                <w:szCs w:val="21"/>
              </w:rPr>
              <w:t>27</w:t>
            </w:r>
          </w:p>
        </w:tc>
        <w:tc>
          <w:tcPr>
            <w:tcW w:w="4363" w:type="dxa"/>
            <w:tcBorders>
              <w:top w:val="nil"/>
              <w:left w:val="nil"/>
              <w:right w:val="nil"/>
            </w:tcBorders>
            <w:vAlign w:val="center"/>
          </w:tcPr>
          <w:p w14:paraId="50A532B1">
            <w:r>
              <w:rPr>
                <w:rFonts w:hint="eastAsia"/>
              </w:rPr>
              <w:t>Explosion and ignition of exhaust line from raw water tank in acidic water vaporization unit</w:t>
            </w:r>
          </w:p>
        </w:tc>
        <w:tc>
          <w:tcPr>
            <w:tcW w:w="782" w:type="dxa"/>
            <w:gridSpan w:val="2"/>
            <w:tcBorders>
              <w:top w:val="nil"/>
              <w:left w:val="nil"/>
              <w:right w:val="nil"/>
            </w:tcBorders>
            <w:vAlign w:val="center"/>
          </w:tcPr>
          <w:p w14:paraId="6C968D82">
            <w:pPr>
              <w:pStyle w:val="16"/>
              <w:spacing w:beforeLines="0" w:afterLines="0"/>
              <w:ind w:firstLine="0" w:firstLineChars="0"/>
              <w:jc w:val="center"/>
              <w:rPr>
                <w:rFonts w:cs="Times New Roman"/>
                <w:sz w:val="21"/>
                <w:szCs w:val="21"/>
              </w:rPr>
            </w:pPr>
          </w:p>
        </w:tc>
        <w:tc>
          <w:tcPr>
            <w:tcW w:w="891" w:type="dxa"/>
            <w:gridSpan w:val="2"/>
            <w:tcBorders>
              <w:top w:val="nil"/>
              <w:left w:val="nil"/>
              <w:right w:val="nil"/>
            </w:tcBorders>
            <w:vAlign w:val="center"/>
          </w:tcPr>
          <w:p w14:paraId="66BFB2EE">
            <w:pPr>
              <w:pStyle w:val="16"/>
              <w:spacing w:beforeLines="0" w:afterLines="0"/>
              <w:ind w:firstLine="0" w:firstLineChars="0"/>
              <w:jc w:val="center"/>
              <w:rPr>
                <w:rFonts w:cs="Times New Roman"/>
                <w:sz w:val="21"/>
                <w:szCs w:val="21"/>
              </w:rPr>
            </w:pPr>
            <w:r>
              <w:rPr>
                <w:rFonts w:cs="Times New Roman"/>
                <w:sz w:val="21"/>
                <w:szCs w:val="21"/>
              </w:rPr>
              <w:t>√</w:t>
            </w:r>
          </w:p>
        </w:tc>
        <w:tc>
          <w:tcPr>
            <w:tcW w:w="779" w:type="dxa"/>
            <w:gridSpan w:val="2"/>
            <w:tcBorders>
              <w:top w:val="nil"/>
              <w:left w:val="nil"/>
              <w:right w:val="nil"/>
            </w:tcBorders>
            <w:vAlign w:val="center"/>
          </w:tcPr>
          <w:p w14:paraId="6340344B">
            <w:pPr>
              <w:pStyle w:val="16"/>
              <w:spacing w:beforeLines="0" w:afterLines="0"/>
              <w:ind w:firstLine="0" w:firstLineChars="0"/>
              <w:jc w:val="center"/>
              <w:rPr>
                <w:rFonts w:cs="Times New Roman"/>
                <w:sz w:val="21"/>
                <w:szCs w:val="21"/>
              </w:rPr>
            </w:pPr>
          </w:p>
        </w:tc>
        <w:tc>
          <w:tcPr>
            <w:tcW w:w="804" w:type="dxa"/>
            <w:tcBorders>
              <w:top w:val="nil"/>
              <w:left w:val="nil"/>
            </w:tcBorders>
            <w:vAlign w:val="center"/>
          </w:tcPr>
          <w:p w14:paraId="3123074D">
            <w:pPr>
              <w:pStyle w:val="16"/>
              <w:spacing w:beforeLines="0" w:afterLines="0"/>
              <w:ind w:firstLine="0" w:firstLineChars="0"/>
              <w:jc w:val="center"/>
              <w:rPr>
                <w:rFonts w:cs="Times New Roman"/>
                <w:sz w:val="21"/>
                <w:szCs w:val="21"/>
              </w:rPr>
            </w:pPr>
          </w:p>
        </w:tc>
      </w:tr>
    </w:tbl>
    <w:p w14:paraId="37EA5B54">
      <w:pPr>
        <w:pStyle w:val="21"/>
        <w:numPr>
          <w:ilvl w:val="2"/>
          <w:numId w:val="0"/>
        </w:numPr>
        <w:rPr>
          <w:rFonts w:eastAsia="宋体"/>
        </w:rPr>
      </w:pPr>
      <w:r>
        <w:rPr>
          <w:rFonts w:hint="eastAsia" w:eastAsia="宋体"/>
        </w:rPr>
        <w:t>2.3.2 Current Status of Failure Investigation Work</w:t>
      </w:r>
    </w:p>
    <w:p w14:paraId="34BE6415">
      <w:pPr>
        <w:pStyle w:val="16"/>
        <w:spacing w:before="31" w:after="31"/>
        <w:ind w:firstLine="480"/>
        <w:rPr>
          <w:szCs w:val="24"/>
        </w:rPr>
      </w:pPr>
      <w:r>
        <w:rPr>
          <w:rFonts w:hint="eastAsia"/>
          <w:szCs w:val="24"/>
        </w:rPr>
        <w:t>The research on failure cases in the petroleum and petrochemical industry focused mainly on publicly available cases published in various publications. In general, most analyses of failure cases can effectively summarize and analyze the causes of component failures, providing effective preventive and improvement measures. The primary method of failure analysis in cases involves starting with the type of material, dimensions, and appearance of the component, briefly describing the operating environment of the component, analyzing the macroscopic and microscopic morphology of the failed component, and combining the results of component material composition analysis, mechanical properties, corrosion products, etc. Initially, the failure of the component is determined to be due to material reasons. Subsequently, through corrosion mechanisms and an overall evaluation of the operating environment of the component, the correlation between component failure and component service environment and loading is determined. Additionally, some cases analyze the overall reasons for component failure from the perspectives of component design, production construction, use operations, and production management.</w:t>
      </w:r>
    </w:p>
    <w:p w14:paraId="071246CF">
      <w:pPr>
        <w:pStyle w:val="16"/>
        <w:spacing w:before="31" w:after="31"/>
        <w:ind w:firstLine="480"/>
        <w:rPr>
          <w:szCs w:val="24"/>
        </w:rPr>
      </w:pPr>
      <w:r>
        <w:rPr>
          <w:rFonts w:hint="eastAsia"/>
          <w:szCs w:val="24"/>
        </w:rPr>
        <w:t>However, during the summary work of failure cases, the research project found that many cases, in their explanations of case analyses, merely listed or briefly described the main relevant parameters of component failure. They neglected the impact of secondary parameters in the component material and service environment, such as the ion content in crude oil transported through pipelines. Especially in cases not included in this report, there is a lack of essential failure analysis data.</w:t>
      </w:r>
    </w:p>
    <w:p w14:paraId="63332A1F">
      <w:pPr>
        <w:pStyle w:val="16"/>
        <w:spacing w:before="31" w:after="31"/>
        <w:ind w:firstLine="480"/>
        <w:rPr>
          <w:szCs w:val="24"/>
        </w:rPr>
      </w:pPr>
      <w:r>
        <w:rPr>
          <w:rFonts w:hint="eastAsia"/>
          <w:szCs w:val="24"/>
        </w:rPr>
        <w:t>In summary, the failure analysis of the petroleum and petrochemical industry in China faces several main issues:</w:t>
      </w:r>
    </w:p>
    <w:p w14:paraId="3CE3C692">
      <w:pPr>
        <w:pStyle w:val="16"/>
        <w:spacing w:before="31" w:after="31"/>
        <w:ind w:firstLine="480"/>
        <w:rPr>
          <w:szCs w:val="24"/>
        </w:rPr>
      </w:pPr>
      <w:r>
        <w:rPr>
          <w:rFonts w:hint="eastAsia"/>
          <w:szCs w:val="24"/>
        </w:rPr>
        <w:t>(1) Some cases have incomplete descriptions of the corrosion environment, providing only a qualitative description of the corrosion environment. They lack a quantitative characterization of the service environment, making it challenging to comprehensively and accurately understand the equipment's service conditions.</w:t>
      </w:r>
    </w:p>
    <w:p w14:paraId="0945AAAE">
      <w:pPr>
        <w:pStyle w:val="16"/>
        <w:spacing w:before="31" w:after="31"/>
        <w:ind w:firstLine="480"/>
        <w:rPr>
          <w:szCs w:val="24"/>
        </w:rPr>
      </w:pPr>
      <w:r>
        <w:rPr>
          <w:rFonts w:hint="eastAsia"/>
          <w:szCs w:val="24"/>
        </w:rPr>
        <w:t>(2) In many cases, there is a shortage of necessary failure analysis data. The explanations in case analyses often only list or briefly describe the main relevant parameters of component failure, overlooking the impact of secondary parameters in the component material and service environment. For example, the ion content in crude oil transported through pipelines is not adequately addressed.</w:t>
      </w:r>
    </w:p>
    <w:p w14:paraId="50B18E4E">
      <w:pPr>
        <w:pStyle w:val="16"/>
        <w:numPr>
          <w:ilvl w:val="0"/>
          <w:numId w:val="4"/>
        </w:numPr>
        <w:spacing w:before="31" w:after="31"/>
        <w:ind w:firstLine="480"/>
        <w:rPr>
          <w:szCs w:val="24"/>
        </w:rPr>
      </w:pPr>
      <w:r>
        <w:rPr>
          <w:rFonts w:hint="eastAsia"/>
          <w:szCs w:val="24"/>
        </w:rPr>
        <w:t>Many cases conduct material characteristic and morphology studies of components in laboratory settings. However, they overlook many special parameters and data of components during the service process. Moreover, many failure accidents do not retain on-site data from the time of the accident, making it difficult for accident investigators to identify the necessary data for failure analysis. The absence of valuable data that can only be obtained at the equipment's service site is not conducive to identifying problems in equipment processes and operations, and proposing improvement suggestions.</w:t>
      </w:r>
    </w:p>
    <w:p w14:paraId="46AD2FE9">
      <w:pPr>
        <w:pStyle w:val="16"/>
        <w:spacing w:before="31" w:after="31"/>
        <w:ind w:firstLine="480"/>
        <w:rPr>
          <w:szCs w:val="24"/>
        </w:rPr>
      </w:pPr>
      <w:r>
        <w:rPr>
          <w:rFonts w:hint="eastAsia"/>
          <w:szCs w:val="24"/>
        </w:rPr>
        <w:t>While some missing data may have a limited impact on the analysis of a particular case, the omission or lack of necessary data for analyzing similar failure cases may lead to a lack of reference and applicability in the results of case analyses. This becomes particularly problematic when similar accidents occur, and reference to the analysis results of these cases is necessary. The omission or lack of essential data for analyzing similar failure cases in many cases renders the reference significance of the case analysis results negligible, significantly reducing the significance of the failure analysis work itself.</w:t>
      </w:r>
    </w:p>
    <w:p w14:paraId="7D13D4DC">
      <w:pPr>
        <w:pStyle w:val="16"/>
        <w:spacing w:before="31" w:after="31"/>
        <w:ind w:firstLine="480"/>
        <w:rPr>
          <w:szCs w:val="24"/>
        </w:rPr>
      </w:pPr>
    </w:p>
    <w:p w14:paraId="7CD9E63E">
      <w:pPr>
        <w:pStyle w:val="18"/>
        <w:numPr>
          <w:ilvl w:val="0"/>
          <w:numId w:val="0"/>
        </w:numPr>
        <w:rPr>
          <w:color w:val="000000"/>
        </w:rPr>
      </w:pPr>
      <w:r>
        <w:rPr>
          <w:rFonts w:hint="eastAsia"/>
          <w:color w:val="000000"/>
        </w:rPr>
        <w:t>3 Summary of Failure Cases in Nuclear Power/Thermal Power Industries</w:t>
      </w:r>
    </w:p>
    <w:p w14:paraId="4E62CF22">
      <w:pPr>
        <w:pStyle w:val="16"/>
        <w:spacing w:before="31" w:after="31"/>
        <w:ind w:firstLine="480"/>
        <w:rPr>
          <w:szCs w:val="24"/>
        </w:rPr>
      </w:pPr>
      <w:r>
        <w:rPr>
          <w:rFonts w:hint="eastAsia"/>
          <w:szCs w:val="24"/>
        </w:rPr>
        <w:t>Nuclear power, as a safe, clean, efficient, and economical form of energy, has gained increasing importance in the current world power energy structure. Since the beginning of the 21st century, with rapid economic growth in China and the escalating demand for electricity, adjustments have been made to the national energy policy. Starting from 2005, China's nuclear power policy shifted from "moderate development" to "active development." The government regards nuclear power as a significant measure to address climate change, listing it as a strategic emerging industry. Currently, China has a total of 11 nuclear reactors, including those in Qinshan, Daya Bay, Ling'ao, and Tianwan nuclear power stations. In the next decade, China plans to build more than 6 large-scale nuclear power units with a capacity of one million kilowatts or more each year. By 2020, China's nuclear power units' scale and quantity are expected to lead the world.</w:t>
      </w:r>
    </w:p>
    <w:p w14:paraId="3FB139DF">
      <w:pPr>
        <w:pStyle w:val="16"/>
        <w:spacing w:before="31" w:after="31"/>
        <w:ind w:firstLine="480"/>
        <w:rPr>
          <w:szCs w:val="24"/>
        </w:rPr>
      </w:pPr>
      <w:r>
        <w:rPr>
          <w:rFonts w:hint="eastAsia"/>
          <w:szCs w:val="24"/>
        </w:rPr>
        <w:t>However, during the development and operation of nuclear power plants, corrosion failures of related equipment and materials can lead to production shutdowns, loss of electricity capacity, and even radioactive leaks, endangering personal safety and causing severe accidents. For example, the infamous Chernobyl nuclear power plant accident requires approximately 800 years to eliminate the aftermath of nuclear leakage, affecting around 2 billion people directly and indirectly and causing economic losses of up to 200 billion US dollars. Developed nuclear power countries such as the United States, France, Russia, Japan, and Canada have experienced many lessons from failure incidents.</w:t>
      </w:r>
    </w:p>
    <w:p w14:paraId="0D05F6C8">
      <w:pPr>
        <w:pStyle w:val="16"/>
        <w:spacing w:before="31" w:after="31"/>
        <w:ind w:firstLine="480"/>
        <w:rPr>
          <w:szCs w:val="24"/>
        </w:rPr>
      </w:pPr>
      <w:r>
        <w:rPr>
          <w:rFonts w:hint="eastAsia"/>
          <w:szCs w:val="24"/>
        </w:rPr>
        <w:t>Due to the late start of China's nuclear power industry, although some general failure incidents have occurred during operation, many in-service equipment and materials have not experienced widespread failure. There is a lack of critical safety service data and safety assessment methods regarding equipment and material failures. Consequently, long-term, safe, and effective operation of nuclear power plants in China may face serious threats.</w:t>
      </w:r>
    </w:p>
    <w:p w14:paraId="38D9172C">
      <w:pPr>
        <w:pStyle w:val="16"/>
        <w:spacing w:before="31" w:after="31"/>
        <w:ind w:firstLine="480"/>
        <w:rPr>
          <w:szCs w:val="24"/>
        </w:rPr>
      </w:pPr>
      <w:r>
        <w:rPr>
          <w:rFonts w:hint="eastAsia"/>
          <w:szCs w:val="24"/>
        </w:rPr>
        <w:t>Compared to the clean, efficient, and economical nature of nuclear power, the proportion of thermal power in the power structure in China has been gradually decreasing due to restrictions on the source and transportation of petrochemical fuels. However, in the short term, thermal power will still play a predominant role in China's power structure, and it remains the most traditional method of power generation. Nevertheless, the thermal power industry still faces prominent production failure incidents. In recent years, with the development of external water treatment technology, issues related to boiler scaling and turbine salt deposition have been effectively controlled. However, corrosion has become a significant problem, mainly manifesting as the corrosion of "four tubes" in boilers and condenser tubes. According to data from the North American Electric Reliability Corporation (NERC) Power Plant Availability Database System, a total of 40,533 boiler tube damage incidents were recorded over the past twenty years. These incidents primarily occurred in tubes such as water-cooled walls, superheaters, reheaters, economizers, and main steam pipes. Eighty percent of tube failures resulted in forced shutdowns of the units, increasing maintenance costs and reducing power generation, posing significant hazards to the safe operation of thermal power plants. Additionally, corrosion and leakage in condensers are crucial factors severely affecting the safe operation of high-parameter, large-capacity units.</w:t>
      </w:r>
    </w:p>
    <w:p w14:paraId="7B5AB584">
      <w:pPr>
        <w:pStyle w:val="16"/>
        <w:spacing w:before="31" w:after="31"/>
        <w:ind w:firstLine="480"/>
        <w:rPr>
          <w:szCs w:val="24"/>
        </w:rPr>
      </w:pPr>
      <w:r>
        <w:rPr>
          <w:rFonts w:hint="eastAsia"/>
          <w:szCs w:val="24"/>
        </w:rPr>
        <w:t>Against this background, this chapter primarily investigates corrosion failure issues in the nuclear power and thermal power industries. It focuses on the first-loop steam generators, pressure vessels, second-loop pipelines, pumps, etc., in the nuclear power industry, as well as boilers' "four tubes," main steam pipelines, and condenser tubes in the thermal power industry. Through preliminary investigations, a total of 32 nuclear power industry failure cases were collected, including 12 typical cases, and 26 thermal power industry failure cases were collected, including 12 typical cases. The specific outcomes are presented in Tables 3-1 and 3-2.</w:t>
      </w:r>
    </w:p>
    <w:p w14:paraId="61F2948B">
      <w:pPr>
        <w:pStyle w:val="20"/>
        <w:spacing w:before="468" w:after="156"/>
        <w:rPr>
          <w:color w:val="000000"/>
        </w:rPr>
      </w:pPr>
      <w:r>
        <w:rPr>
          <w:rFonts w:hint="eastAsia"/>
          <w:color w:val="000000"/>
        </w:rPr>
        <w:t>Table 3-1 Summary of Research Results on Failure Cases in the Nuclear Power Industry</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76"/>
        <w:gridCol w:w="1276"/>
        <w:gridCol w:w="1134"/>
        <w:gridCol w:w="1701"/>
        <w:gridCol w:w="851"/>
        <w:gridCol w:w="815"/>
      </w:tblGrid>
      <w:tr w14:paraId="185190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vMerge w:val="restart"/>
            <w:tcBorders>
              <w:top w:val="single" w:color="auto" w:sz="12" w:space="0"/>
              <w:left w:val="nil"/>
              <w:right w:val="nil"/>
            </w:tcBorders>
            <w:vAlign w:val="center"/>
          </w:tcPr>
          <w:p w14:paraId="3239819F">
            <w:pPr>
              <w:pStyle w:val="16"/>
              <w:spacing w:before="31" w:after="31"/>
              <w:ind w:firstLine="199" w:firstLineChars="95"/>
              <w:jc w:val="center"/>
              <w:rPr>
                <w:color w:val="000000"/>
                <w:sz w:val="21"/>
                <w:szCs w:val="21"/>
              </w:rPr>
            </w:pPr>
            <w:r>
              <w:rPr>
                <w:rFonts w:hint="eastAsia"/>
                <w:color w:val="000000"/>
                <w:sz w:val="21"/>
                <w:szCs w:val="21"/>
              </w:rPr>
              <w:t>Outcome</w:t>
            </w:r>
          </w:p>
        </w:tc>
        <w:tc>
          <w:tcPr>
            <w:tcW w:w="4962" w:type="dxa"/>
            <w:gridSpan w:val="4"/>
            <w:tcBorders>
              <w:top w:val="single" w:color="auto" w:sz="12" w:space="0"/>
              <w:left w:val="nil"/>
              <w:right w:val="nil"/>
            </w:tcBorders>
            <w:vAlign w:val="center"/>
          </w:tcPr>
          <w:p w14:paraId="632E8488">
            <w:pPr>
              <w:pStyle w:val="16"/>
              <w:spacing w:before="31" w:after="31"/>
              <w:ind w:firstLine="0" w:firstLineChars="0"/>
              <w:jc w:val="center"/>
              <w:rPr>
                <w:color w:val="000000"/>
                <w:sz w:val="21"/>
                <w:szCs w:val="21"/>
              </w:rPr>
            </w:pPr>
            <w:r>
              <w:rPr>
                <w:rFonts w:hint="eastAsia"/>
                <w:color w:val="000000"/>
                <w:sz w:val="21"/>
                <w:szCs w:val="21"/>
              </w:rPr>
              <w:t>Nuclear Power Industry</w:t>
            </w:r>
          </w:p>
        </w:tc>
        <w:tc>
          <w:tcPr>
            <w:tcW w:w="815" w:type="dxa"/>
            <w:vMerge w:val="restart"/>
            <w:tcBorders>
              <w:top w:val="single" w:color="auto" w:sz="12" w:space="0"/>
              <w:left w:val="nil"/>
              <w:right w:val="nil"/>
            </w:tcBorders>
            <w:vAlign w:val="center"/>
          </w:tcPr>
          <w:p w14:paraId="0A9F3219">
            <w:pPr>
              <w:pStyle w:val="16"/>
              <w:spacing w:before="31" w:after="31"/>
              <w:ind w:firstLine="0" w:firstLineChars="0"/>
              <w:jc w:val="center"/>
              <w:rPr>
                <w:color w:val="000000"/>
                <w:sz w:val="21"/>
                <w:szCs w:val="21"/>
              </w:rPr>
            </w:pPr>
            <w:r>
              <w:rPr>
                <w:rFonts w:hint="eastAsia"/>
                <w:color w:val="000000"/>
                <w:sz w:val="21"/>
                <w:szCs w:val="21"/>
              </w:rPr>
              <w:t>Total</w:t>
            </w:r>
          </w:p>
        </w:tc>
      </w:tr>
      <w:tr w14:paraId="17B89F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vMerge w:val="continue"/>
            <w:tcBorders>
              <w:left w:val="nil"/>
              <w:bottom w:val="single" w:color="auto" w:sz="12" w:space="0"/>
              <w:right w:val="nil"/>
            </w:tcBorders>
            <w:vAlign w:val="center"/>
          </w:tcPr>
          <w:p w14:paraId="0C26E030">
            <w:pPr>
              <w:pStyle w:val="16"/>
              <w:spacing w:before="31" w:after="31"/>
              <w:ind w:firstLine="0" w:firstLineChars="0"/>
              <w:jc w:val="center"/>
              <w:rPr>
                <w:color w:val="000000"/>
                <w:sz w:val="21"/>
                <w:szCs w:val="21"/>
              </w:rPr>
            </w:pPr>
          </w:p>
        </w:tc>
        <w:tc>
          <w:tcPr>
            <w:tcW w:w="1276" w:type="dxa"/>
            <w:tcBorders>
              <w:left w:val="nil"/>
              <w:bottom w:val="single" w:color="auto" w:sz="12" w:space="0"/>
              <w:right w:val="nil"/>
            </w:tcBorders>
            <w:vAlign w:val="center"/>
          </w:tcPr>
          <w:p w14:paraId="4A734789">
            <w:pPr>
              <w:pStyle w:val="16"/>
              <w:spacing w:before="31" w:after="31" w:line="240" w:lineRule="auto"/>
              <w:ind w:firstLine="0" w:firstLineChars="0"/>
              <w:jc w:val="center"/>
              <w:rPr>
                <w:color w:val="000000"/>
                <w:sz w:val="21"/>
                <w:szCs w:val="21"/>
              </w:rPr>
            </w:pPr>
            <w:r>
              <w:rPr>
                <w:rFonts w:hint="eastAsia"/>
                <w:color w:val="000000"/>
                <w:sz w:val="21"/>
                <w:szCs w:val="21"/>
              </w:rPr>
              <w:t>Steam Generators</w:t>
            </w:r>
          </w:p>
        </w:tc>
        <w:tc>
          <w:tcPr>
            <w:tcW w:w="1134" w:type="dxa"/>
            <w:tcBorders>
              <w:left w:val="nil"/>
              <w:bottom w:val="single" w:color="auto" w:sz="12" w:space="0"/>
              <w:right w:val="nil"/>
            </w:tcBorders>
            <w:vAlign w:val="center"/>
          </w:tcPr>
          <w:p w14:paraId="438C3227">
            <w:pPr>
              <w:pStyle w:val="16"/>
              <w:spacing w:before="31" w:after="31" w:line="240" w:lineRule="auto"/>
              <w:ind w:firstLine="0" w:firstLineChars="0"/>
              <w:jc w:val="center"/>
              <w:rPr>
                <w:color w:val="000000"/>
                <w:sz w:val="21"/>
                <w:szCs w:val="21"/>
              </w:rPr>
            </w:pPr>
            <w:r>
              <w:rPr>
                <w:rFonts w:hint="eastAsia"/>
                <w:color w:val="000000"/>
                <w:sz w:val="21"/>
                <w:szCs w:val="21"/>
              </w:rPr>
              <w:t>Pressure Vessels</w:t>
            </w:r>
          </w:p>
        </w:tc>
        <w:tc>
          <w:tcPr>
            <w:tcW w:w="1701" w:type="dxa"/>
            <w:tcBorders>
              <w:left w:val="nil"/>
              <w:bottom w:val="single" w:color="auto" w:sz="12" w:space="0"/>
              <w:right w:val="nil"/>
            </w:tcBorders>
            <w:vAlign w:val="center"/>
          </w:tcPr>
          <w:p w14:paraId="746CE4C5">
            <w:pPr>
              <w:pStyle w:val="16"/>
              <w:spacing w:before="31" w:after="31" w:line="240" w:lineRule="auto"/>
              <w:ind w:firstLine="0" w:firstLineChars="0"/>
              <w:jc w:val="center"/>
              <w:rPr>
                <w:color w:val="000000"/>
                <w:sz w:val="21"/>
                <w:szCs w:val="21"/>
              </w:rPr>
            </w:pPr>
            <w:r>
              <w:rPr>
                <w:rFonts w:hint="eastAsia"/>
                <w:color w:val="000000"/>
                <w:sz w:val="21"/>
                <w:szCs w:val="21"/>
              </w:rPr>
              <w:t>Second-Loop Pipelines and Pumps</w:t>
            </w:r>
          </w:p>
        </w:tc>
        <w:tc>
          <w:tcPr>
            <w:tcW w:w="851" w:type="dxa"/>
            <w:tcBorders>
              <w:left w:val="nil"/>
              <w:bottom w:val="single" w:color="auto" w:sz="12" w:space="0"/>
              <w:right w:val="nil"/>
            </w:tcBorders>
            <w:vAlign w:val="center"/>
          </w:tcPr>
          <w:p w14:paraId="10915B45">
            <w:pPr>
              <w:pStyle w:val="16"/>
              <w:spacing w:before="31" w:after="31" w:line="240" w:lineRule="auto"/>
              <w:ind w:firstLine="0" w:firstLineChars="0"/>
              <w:jc w:val="center"/>
              <w:rPr>
                <w:color w:val="000000"/>
                <w:sz w:val="21"/>
                <w:szCs w:val="21"/>
              </w:rPr>
            </w:pPr>
            <w:r>
              <w:rPr>
                <w:rFonts w:hint="eastAsia"/>
                <w:color w:val="000000"/>
                <w:sz w:val="21"/>
                <w:szCs w:val="21"/>
              </w:rPr>
              <w:t>Others</w:t>
            </w:r>
          </w:p>
        </w:tc>
        <w:tc>
          <w:tcPr>
            <w:tcW w:w="815" w:type="dxa"/>
            <w:vMerge w:val="continue"/>
            <w:tcBorders>
              <w:left w:val="nil"/>
              <w:bottom w:val="single" w:color="auto" w:sz="12" w:space="0"/>
              <w:right w:val="nil"/>
            </w:tcBorders>
            <w:vAlign w:val="center"/>
          </w:tcPr>
          <w:p w14:paraId="336729BA">
            <w:pPr>
              <w:pStyle w:val="16"/>
              <w:spacing w:before="31" w:after="31"/>
              <w:ind w:firstLine="0" w:firstLineChars="0"/>
              <w:jc w:val="center"/>
              <w:rPr>
                <w:color w:val="000000"/>
                <w:sz w:val="21"/>
                <w:szCs w:val="21"/>
              </w:rPr>
            </w:pPr>
          </w:p>
        </w:tc>
      </w:tr>
      <w:tr w14:paraId="042401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tcBorders>
              <w:top w:val="single" w:color="auto" w:sz="12" w:space="0"/>
              <w:left w:val="nil"/>
              <w:bottom w:val="nil"/>
              <w:right w:val="nil"/>
            </w:tcBorders>
            <w:vAlign w:val="center"/>
          </w:tcPr>
          <w:p w14:paraId="20C19265">
            <w:pPr>
              <w:pStyle w:val="16"/>
              <w:spacing w:before="31" w:after="31" w:line="240" w:lineRule="auto"/>
              <w:ind w:firstLine="0" w:firstLineChars="0"/>
              <w:jc w:val="center"/>
              <w:rPr>
                <w:color w:val="000000"/>
                <w:sz w:val="21"/>
                <w:szCs w:val="21"/>
              </w:rPr>
            </w:pPr>
            <w:r>
              <w:rPr>
                <w:rFonts w:hint="eastAsia" w:cs="Times New Roman"/>
                <w:sz w:val="21"/>
                <w:szCs w:val="21"/>
              </w:rPr>
              <w:t>Number of cases not included in the report</w:t>
            </w:r>
          </w:p>
        </w:tc>
        <w:tc>
          <w:tcPr>
            <w:tcW w:w="1276" w:type="dxa"/>
            <w:tcBorders>
              <w:top w:val="single" w:color="auto" w:sz="12" w:space="0"/>
              <w:left w:val="nil"/>
              <w:bottom w:val="nil"/>
              <w:right w:val="nil"/>
            </w:tcBorders>
            <w:vAlign w:val="center"/>
          </w:tcPr>
          <w:p w14:paraId="3D19FF1D">
            <w:pPr>
              <w:pStyle w:val="16"/>
              <w:spacing w:before="31" w:after="31"/>
              <w:ind w:firstLine="0" w:firstLineChars="0"/>
              <w:jc w:val="center"/>
              <w:rPr>
                <w:color w:val="000000"/>
                <w:sz w:val="21"/>
                <w:szCs w:val="21"/>
              </w:rPr>
            </w:pPr>
          </w:p>
        </w:tc>
        <w:tc>
          <w:tcPr>
            <w:tcW w:w="1134" w:type="dxa"/>
            <w:tcBorders>
              <w:top w:val="single" w:color="auto" w:sz="12" w:space="0"/>
              <w:left w:val="nil"/>
              <w:bottom w:val="nil"/>
              <w:right w:val="nil"/>
            </w:tcBorders>
            <w:vAlign w:val="center"/>
          </w:tcPr>
          <w:p w14:paraId="295CCDE2">
            <w:pPr>
              <w:pStyle w:val="16"/>
              <w:spacing w:before="31" w:after="31"/>
              <w:ind w:firstLine="0" w:firstLineChars="0"/>
              <w:jc w:val="center"/>
              <w:rPr>
                <w:color w:val="000000"/>
                <w:sz w:val="21"/>
                <w:szCs w:val="21"/>
              </w:rPr>
            </w:pPr>
          </w:p>
        </w:tc>
        <w:tc>
          <w:tcPr>
            <w:tcW w:w="1701" w:type="dxa"/>
            <w:tcBorders>
              <w:top w:val="single" w:color="auto" w:sz="12" w:space="0"/>
              <w:left w:val="nil"/>
              <w:bottom w:val="nil"/>
              <w:right w:val="nil"/>
            </w:tcBorders>
            <w:vAlign w:val="center"/>
          </w:tcPr>
          <w:p w14:paraId="6853227A">
            <w:pPr>
              <w:pStyle w:val="16"/>
              <w:spacing w:before="31" w:after="31"/>
              <w:ind w:firstLine="0" w:firstLineChars="0"/>
              <w:jc w:val="center"/>
              <w:rPr>
                <w:color w:val="000000"/>
                <w:sz w:val="21"/>
                <w:szCs w:val="21"/>
              </w:rPr>
            </w:pPr>
          </w:p>
        </w:tc>
        <w:tc>
          <w:tcPr>
            <w:tcW w:w="851" w:type="dxa"/>
            <w:tcBorders>
              <w:top w:val="single" w:color="auto" w:sz="12" w:space="0"/>
              <w:left w:val="nil"/>
              <w:bottom w:val="nil"/>
              <w:right w:val="nil"/>
            </w:tcBorders>
            <w:vAlign w:val="center"/>
          </w:tcPr>
          <w:p w14:paraId="585E982E">
            <w:pPr>
              <w:pStyle w:val="16"/>
              <w:spacing w:before="31" w:after="31"/>
              <w:ind w:firstLine="0" w:firstLineChars="0"/>
              <w:jc w:val="center"/>
              <w:rPr>
                <w:color w:val="000000"/>
                <w:sz w:val="21"/>
                <w:szCs w:val="21"/>
              </w:rPr>
            </w:pPr>
          </w:p>
        </w:tc>
        <w:tc>
          <w:tcPr>
            <w:tcW w:w="815" w:type="dxa"/>
            <w:tcBorders>
              <w:top w:val="single" w:color="auto" w:sz="12" w:space="0"/>
              <w:left w:val="nil"/>
              <w:bottom w:val="nil"/>
              <w:right w:val="nil"/>
            </w:tcBorders>
            <w:vAlign w:val="center"/>
          </w:tcPr>
          <w:p w14:paraId="40011233">
            <w:pPr>
              <w:pStyle w:val="16"/>
              <w:spacing w:before="31" w:after="31"/>
              <w:ind w:firstLine="0" w:firstLineChars="0"/>
              <w:jc w:val="center"/>
              <w:rPr>
                <w:color w:val="000000"/>
                <w:sz w:val="21"/>
                <w:szCs w:val="21"/>
              </w:rPr>
            </w:pPr>
          </w:p>
        </w:tc>
      </w:tr>
      <w:tr w14:paraId="6D39DE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tcBorders>
              <w:top w:val="nil"/>
              <w:left w:val="nil"/>
              <w:bottom w:val="nil"/>
              <w:right w:val="nil"/>
            </w:tcBorders>
            <w:vAlign w:val="center"/>
          </w:tcPr>
          <w:p w14:paraId="744DDC3C">
            <w:pPr>
              <w:pStyle w:val="16"/>
              <w:spacing w:before="31" w:after="31" w:line="240" w:lineRule="auto"/>
              <w:ind w:firstLine="0" w:firstLineChars="0"/>
              <w:jc w:val="center"/>
              <w:rPr>
                <w:color w:val="000000"/>
                <w:sz w:val="21"/>
                <w:szCs w:val="21"/>
              </w:rPr>
            </w:pPr>
            <w:r>
              <w:rPr>
                <w:rFonts w:hint="eastAsia" w:cs="Times New Roman"/>
                <w:sz w:val="21"/>
                <w:szCs w:val="21"/>
              </w:rPr>
              <w:t>Number of cases included in the report</w:t>
            </w:r>
          </w:p>
        </w:tc>
        <w:tc>
          <w:tcPr>
            <w:tcW w:w="1276" w:type="dxa"/>
            <w:tcBorders>
              <w:top w:val="nil"/>
              <w:left w:val="nil"/>
              <w:bottom w:val="nil"/>
              <w:right w:val="nil"/>
            </w:tcBorders>
            <w:vAlign w:val="center"/>
          </w:tcPr>
          <w:p w14:paraId="6A06CF2C">
            <w:pPr>
              <w:pStyle w:val="16"/>
              <w:spacing w:before="31" w:after="31"/>
              <w:ind w:firstLine="0" w:firstLineChars="0"/>
              <w:jc w:val="center"/>
              <w:rPr>
                <w:color w:val="000000"/>
                <w:sz w:val="21"/>
                <w:szCs w:val="21"/>
              </w:rPr>
            </w:pPr>
          </w:p>
        </w:tc>
        <w:tc>
          <w:tcPr>
            <w:tcW w:w="1134" w:type="dxa"/>
            <w:tcBorders>
              <w:top w:val="nil"/>
              <w:left w:val="nil"/>
              <w:bottom w:val="nil"/>
              <w:right w:val="nil"/>
            </w:tcBorders>
            <w:vAlign w:val="center"/>
          </w:tcPr>
          <w:p w14:paraId="2246C20C">
            <w:pPr>
              <w:pStyle w:val="16"/>
              <w:spacing w:before="31" w:after="31"/>
              <w:ind w:firstLine="0" w:firstLineChars="0"/>
              <w:jc w:val="center"/>
              <w:rPr>
                <w:color w:val="000000"/>
                <w:sz w:val="21"/>
                <w:szCs w:val="21"/>
              </w:rPr>
            </w:pPr>
            <w:r>
              <w:rPr>
                <w:rFonts w:hint="eastAsia"/>
                <w:color w:val="000000"/>
                <w:sz w:val="21"/>
                <w:szCs w:val="21"/>
              </w:rPr>
              <w:t>2</w:t>
            </w:r>
          </w:p>
        </w:tc>
        <w:tc>
          <w:tcPr>
            <w:tcW w:w="1701" w:type="dxa"/>
            <w:tcBorders>
              <w:top w:val="nil"/>
              <w:left w:val="nil"/>
              <w:bottom w:val="nil"/>
              <w:right w:val="nil"/>
            </w:tcBorders>
            <w:vAlign w:val="center"/>
          </w:tcPr>
          <w:p w14:paraId="0F8F11E4">
            <w:pPr>
              <w:pStyle w:val="16"/>
              <w:spacing w:before="31" w:after="31"/>
              <w:ind w:firstLine="0" w:firstLineChars="0"/>
              <w:jc w:val="center"/>
              <w:rPr>
                <w:color w:val="000000"/>
                <w:sz w:val="21"/>
                <w:szCs w:val="21"/>
              </w:rPr>
            </w:pPr>
          </w:p>
        </w:tc>
        <w:tc>
          <w:tcPr>
            <w:tcW w:w="851" w:type="dxa"/>
            <w:tcBorders>
              <w:top w:val="nil"/>
              <w:left w:val="nil"/>
              <w:bottom w:val="nil"/>
              <w:right w:val="nil"/>
            </w:tcBorders>
            <w:vAlign w:val="center"/>
          </w:tcPr>
          <w:p w14:paraId="7EAE0EE6">
            <w:pPr>
              <w:pStyle w:val="16"/>
              <w:spacing w:before="31" w:after="31"/>
              <w:ind w:firstLine="0" w:firstLineChars="0"/>
              <w:jc w:val="center"/>
              <w:rPr>
                <w:color w:val="000000"/>
                <w:sz w:val="21"/>
                <w:szCs w:val="21"/>
              </w:rPr>
            </w:pPr>
          </w:p>
        </w:tc>
        <w:tc>
          <w:tcPr>
            <w:tcW w:w="815" w:type="dxa"/>
            <w:tcBorders>
              <w:top w:val="nil"/>
              <w:left w:val="nil"/>
              <w:bottom w:val="nil"/>
              <w:right w:val="nil"/>
            </w:tcBorders>
            <w:vAlign w:val="center"/>
          </w:tcPr>
          <w:p w14:paraId="767E7ACC">
            <w:pPr>
              <w:pStyle w:val="16"/>
              <w:spacing w:before="31" w:after="31"/>
              <w:ind w:firstLine="0" w:firstLineChars="0"/>
              <w:jc w:val="center"/>
              <w:rPr>
                <w:color w:val="000000"/>
                <w:sz w:val="21"/>
                <w:szCs w:val="21"/>
              </w:rPr>
            </w:pPr>
          </w:p>
        </w:tc>
      </w:tr>
      <w:tr w14:paraId="35C147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tcBorders>
              <w:top w:val="nil"/>
              <w:left w:val="nil"/>
              <w:bottom w:val="nil"/>
              <w:right w:val="nil"/>
            </w:tcBorders>
            <w:vAlign w:val="center"/>
          </w:tcPr>
          <w:p w14:paraId="60072DAC">
            <w:pPr>
              <w:pStyle w:val="16"/>
              <w:spacing w:before="31" w:after="31" w:line="240" w:lineRule="auto"/>
              <w:ind w:firstLine="0" w:firstLineChars="0"/>
              <w:jc w:val="center"/>
              <w:rPr>
                <w:color w:val="000000"/>
                <w:sz w:val="21"/>
                <w:szCs w:val="21"/>
              </w:rPr>
            </w:pPr>
            <w:r>
              <w:rPr>
                <w:rFonts w:hint="eastAsia"/>
                <w:color w:val="000000"/>
                <w:sz w:val="21"/>
                <w:szCs w:val="21"/>
              </w:rPr>
              <w:t>Image Data</w:t>
            </w:r>
          </w:p>
        </w:tc>
        <w:tc>
          <w:tcPr>
            <w:tcW w:w="1276" w:type="dxa"/>
            <w:tcBorders>
              <w:top w:val="nil"/>
              <w:left w:val="nil"/>
              <w:bottom w:val="nil"/>
              <w:right w:val="nil"/>
            </w:tcBorders>
            <w:vAlign w:val="center"/>
          </w:tcPr>
          <w:p w14:paraId="0E7000D2">
            <w:pPr>
              <w:pStyle w:val="16"/>
              <w:spacing w:before="31" w:after="31"/>
              <w:ind w:firstLine="0" w:firstLineChars="0"/>
              <w:jc w:val="center"/>
              <w:rPr>
                <w:color w:val="000000"/>
                <w:sz w:val="21"/>
                <w:szCs w:val="21"/>
              </w:rPr>
            </w:pPr>
            <w:r>
              <w:rPr>
                <w:rFonts w:hint="eastAsia"/>
                <w:color w:val="000000"/>
                <w:sz w:val="21"/>
                <w:szCs w:val="21"/>
              </w:rPr>
              <w:t>1</w:t>
            </w:r>
          </w:p>
        </w:tc>
        <w:tc>
          <w:tcPr>
            <w:tcW w:w="1134" w:type="dxa"/>
            <w:tcBorders>
              <w:top w:val="nil"/>
              <w:left w:val="nil"/>
              <w:bottom w:val="nil"/>
              <w:right w:val="nil"/>
            </w:tcBorders>
            <w:vAlign w:val="center"/>
          </w:tcPr>
          <w:p w14:paraId="79DC29E3">
            <w:pPr>
              <w:pStyle w:val="16"/>
              <w:spacing w:before="31" w:after="31"/>
              <w:ind w:firstLine="0" w:firstLineChars="0"/>
              <w:jc w:val="center"/>
              <w:rPr>
                <w:color w:val="000000"/>
                <w:sz w:val="21"/>
                <w:szCs w:val="21"/>
              </w:rPr>
            </w:pPr>
            <w:r>
              <w:rPr>
                <w:rFonts w:hint="eastAsia"/>
                <w:color w:val="000000"/>
                <w:sz w:val="21"/>
                <w:szCs w:val="21"/>
              </w:rPr>
              <w:t>1</w:t>
            </w:r>
          </w:p>
        </w:tc>
        <w:tc>
          <w:tcPr>
            <w:tcW w:w="1701" w:type="dxa"/>
            <w:tcBorders>
              <w:top w:val="nil"/>
              <w:left w:val="nil"/>
              <w:bottom w:val="nil"/>
              <w:right w:val="nil"/>
            </w:tcBorders>
            <w:vAlign w:val="center"/>
          </w:tcPr>
          <w:p w14:paraId="0E3FF31D">
            <w:pPr>
              <w:pStyle w:val="16"/>
              <w:spacing w:before="31" w:after="31"/>
              <w:ind w:firstLine="0" w:firstLineChars="0"/>
              <w:jc w:val="center"/>
              <w:rPr>
                <w:color w:val="000000"/>
                <w:sz w:val="21"/>
                <w:szCs w:val="21"/>
              </w:rPr>
            </w:pPr>
            <w:r>
              <w:rPr>
                <w:rFonts w:hint="eastAsia"/>
                <w:color w:val="000000"/>
                <w:sz w:val="21"/>
                <w:szCs w:val="21"/>
              </w:rPr>
              <w:t>15</w:t>
            </w:r>
          </w:p>
        </w:tc>
        <w:tc>
          <w:tcPr>
            <w:tcW w:w="851" w:type="dxa"/>
            <w:tcBorders>
              <w:top w:val="nil"/>
              <w:left w:val="nil"/>
              <w:bottom w:val="nil"/>
              <w:right w:val="nil"/>
            </w:tcBorders>
            <w:vAlign w:val="center"/>
          </w:tcPr>
          <w:p w14:paraId="465E4693">
            <w:pPr>
              <w:pStyle w:val="16"/>
              <w:spacing w:before="31" w:after="31"/>
              <w:ind w:firstLine="0" w:firstLineChars="0"/>
              <w:jc w:val="center"/>
              <w:rPr>
                <w:color w:val="000000"/>
                <w:sz w:val="21"/>
                <w:szCs w:val="21"/>
              </w:rPr>
            </w:pPr>
            <w:r>
              <w:rPr>
                <w:rFonts w:hint="eastAsia"/>
                <w:color w:val="000000"/>
                <w:sz w:val="21"/>
                <w:szCs w:val="21"/>
              </w:rPr>
              <w:t>23</w:t>
            </w:r>
          </w:p>
        </w:tc>
        <w:tc>
          <w:tcPr>
            <w:tcW w:w="815" w:type="dxa"/>
            <w:tcBorders>
              <w:top w:val="nil"/>
              <w:left w:val="nil"/>
              <w:bottom w:val="nil"/>
              <w:right w:val="nil"/>
            </w:tcBorders>
            <w:vAlign w:val="center"/>
          </w:tcPr>
          <w:p w14:paraId="29C6413B">
            <w:pPr>
              <w:pStyle w:val="16"/>
              <w:spacing w:before="31" w:after="31"/>
              <w:ind w:firstLine="0" w:firstLineChars="0"/>
              <w:jc w:val="center"/>
              <w:rPr>
                <w:color w:val="000000"/>
                <w:sz w:val="21"/>
                <w:szCs w:val="21"/>
              </w:rPr>
            </w:pPr>
            <w:r>
              <w:rPr>
                <w:rFonts w:hint="eastAsia"/>
                <w:color w:val="000000"/>
                <w:sz w:val="21"/>
                <w:szCs w:val="21"/>
              </w:rPr>
              <w:t>40</w:t>
            </w:r>
          </w:p>
        </w:tc>
      </w:tr>
      <w:tr w14:paraId="49510E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tcBorders>
              <w:top w:val="nil"/>
              <w:left w:val="nil"/>
              <w:bottom w:val="single" w:color="auto" w:sz="12" w:space="0"/>
              <w:right w:val="nil"/>
            </w:tcBorders>
            <w:vAlign w:val="center"/>
          </w:tcPr>
          <w:p w14:paraId="52DC3100">
            <w:pPr>
              <w:pStyle w:val="16"/>
              <w:spacing w:before="31" w:after="31" w:line="240" w:lineRule="auto"/>
              <w:ind w:firstLine="0" w:firstLineChars="0"/>
              <w:jc w:val="center"/>
              <w:rPr>
                <w:color w:val="000000"/>
                <w:sz w:val="21"/>
                <w:szCs w:val="21"/>
              </w:rPr>
            </w:pPr>
            <w:r>
              <w:rPr>
                <w:rFonts w:hint="eastAsia"/>
                <w:color w:val="000000"/>
                <w:sz w:val="21"/>
                <w:szCs w:val="21"/>
              </w:rPr>
              <w:t>Number of references</w:t>
            </w:r>
          </w:p>
        </w:tc>
        <w:tc>
          <w:tcPr>
            <w:tcW w:w="1276" w:type="dxa"/>
            <w:tcBorders>
              <w:top w:val="nil"/>
              <w:left w:val="nil"/>
              <w:bottom w:val="single" w:color="auto" w:sz="12" w:space="0"/>
              <w:right w:val="nil"/>
            </w:tcBorders>
            <w:vAlign w:val="center"/>
          </w:tcPr>
          <w:p w14:paraId="6450A1E4">
            <w:pPr>
              <w:pStyle w:val="16"/>
              <w:spacing w:before="31" w:after="31"/>
              <w:ind w:firstLine="0" w:firstLineChars="0"/>
              <w:jc w:val="center"/>
              <w:rPr>
                <w:color w:val="000000"/>
                <w:sz w:val="21"/>
                <w:szCs w:val="21"/>
              </w:rPr>
            </w:pPr>
          </w:p>
        </w:tc>
        <w:tc>
          <w:tcPr>
            <w:tcW w:w="1134" w:type="dxa"/>
            <w:tcBorders>
              <w:top w:val="nil"/>
              <w:left w:val="nil"/>
              <w:bottom w:val="single" w:color="auto" w:sz="12" w:space="0"/>
              <w:right w:val="nil"/>
            </w:tcBorders>
            <w:vAlign w:val="center"/>
          </w:tcPr>
          <w:p w14:paraId="045FA051">
            <w:pPr>
              <w:pStyle w:val="16"/>
              <w:spacing w:before="31" w:after="31"/>
              <w:ind w:firstLine="0" w:firstLineChars="0"/>
              <w:jc w:val="center"/>
              <w:rPr>
                <w:color w:val="000000"/>
                <w:sz w:val="21"/>
                <w:szCs w:val="21"/>
              </w:rPr>
            </w:pPr>
          </w:p>
        </w:tc>
        <w:tc>
          <w:tcPr>
            <w:tcW w:w="1701" w:type="dxa"/>
            <w:tcBorders>
              <w:top w:val="nil"/>
              <w:left w:val="nil"/>
              <w:bottom w:val="single" w:color="auto" w:sz="12" w:space="0"/>
              <w:right w:val="nil"/>
            </w:tcBorders>
            <w:vAlign w:val="center"/>
          </w:tcPr>
          <w:p w14:paraId="6395F9E6">
            <w:pPr>
              <w:pStyle w:val="16"/>
              <w:spacing w:before="31" w:after="31"/>
              <w:ind w:firstLine="0" w:firstLineChars="0"/>
              <w:jc w:val="center"/>
              <w:rPr>
                <w:color w:val="000000"/>
                <w:sz w:val="21"/>
                <w:szCs w:val="21"/>
              </w:rPr>
            </w:pPr>
          </w:p>
        </w:tc>
        <w:tc>
          <w:tcPr>
            <w:tcW w:w="851" w:type="dxa"/>
            <w:tcBorders>
              <w:top w:val="nil"/>
              <w:left w:val="nil"/>
              <w:bottom w:val="single" w:color="auto" w:sz="12" w:space="0"/>
              <w:right w:val="nil"/>
            </w:tcBorders>
            <w:vAlign w:val="center"/>
          </w:tcPr>
          <w:p w14:paraId="0BA0C86C">
            <w:pPr>
              <w:pStyle w:val="16"/>
              <w:spacing w:before="31" w:after="31"/>
              <w:ind w:firstLine="0" w:firstLineChars="0"/>
              <w:jc w:val="center"/>
              <w:rPr>
                <w:color w:val="000000"/>
                <w:sz w:val="21"/>
                <w:szCs w:val="21"/>
              </w:rPr>
            </w:pPr>
          </w:p>
        </w:tc>
        <w:tc>
          <w:tcPr>
            <w:tcW w:w="815" w:type="dxa"/>
            <w:tcBorders>
              <w:top w:val="nil"/>
              <w:left w:val="nil"/>
              <w:bottom w:val="single" w:color="auto" w:sz="12" w:space="0"/>
              <w:right w:val="nil"/>
            </w:tcBorders>
            <w:vAlign w:val="center"/>
          </w:tcPr>
          <w:p w14:paraId="32357EDF">
            <w:pPr>
              <w:pStyle w:val="16"/>
              <w:spacing w:before="31" w:after="31"/>
              <w:ind w:firstLine="0" w:firstLineChars="0"/>
              <w:jc w:val="center"/>
              <w:rPr>
                <w:color w:val="000000"/>
                <w:sz w:val="21"/>
                <w:szCs w:val="21"/>
              </w:rPr>
            </w:pPr>
          </w:p>
        </w:tc>
      </w:tr>
    </w:tbl>
    <w:p w14:paraId="459B790C">
      <w:pPr>
        <w:pStyle w:val="20"/>
        <w:spacing w:before="468" w:after="156"/>
        <w:rPr>
          <w:color w:val="000000"/>
        </w:rPr>
      </w:pPr>
      <w:r>
        <w:rPr>
          <w:rFonts w:hint="eastAsia"/>
          <w:color w:val="000000"/>
        </w:rPr>
        <w:t>Table 3-2 Summary of Research Results on Boiler Failure Cases in the Thermal Power Industry</w:t>
      </w:r>
    </w:p>
    <w:tbl>
      <w:tblPr>
        <w:tblStyle w:val="9"/>
        <w:tblW w:w="0" w:type="auto"/>
        <w:tblInd w:w="-459"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49"/>
        <w:gridCol w:w="1338"/>
        <w:gridCol w:w="1219"/>
        <w:gridCol w:w="994"/>
        <w:gridCol w:w="1231"/>
        <w:gridCol w:w="881"/>
        <w:gridCol w:w="1115"/>
        <w:gridCol w:w="854"/>
      </w:tblGrid>
      <w:tr w14:paraId="3583BB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8" w:type="dxa"/>
            <w:vMerge w:val="restart"/>
            <w:tcBorders>
              <w:top w:val="single" w:color="auto" w:sz="12" w:space="0"/>
              <w:bottom w:val="nil"/>
            </w:tcBorders>
            <w:vAlign w:val="center"/>
          </w:tcPr>
          <w:p w14:paraId="787FA11D">
            <w:pPr>
              <w:pStyle w:val="16"/>
              <w:spacing w:before="31" w:after="31"/>
              <w:ind w:firstLine="199" w:firstLineChars="95"/>
              <w:jc w:val="center"/>
              <w:rPr>
                <w:color w:val="000000"/>
                <w:sz w:val="21"/>
                <w:szCs w:val="21"/>
              </w:rPr>
            </w:pPr>
            <w:r>
              <w:rPr>
                <w:rFonts w:hint="eastAsia"/>
                <w:color w:val="000000"/>
                <w:sz w:val="21"/>
                <w:szCs w:val="21"/>
              </w:rPr>
              <w:t>Outcome</w:t>
            </w:r>
          </w:p>
        </w:tc>
        <w:tc>
          <w:tcPr>
            <w:tcW w:w="6114" w:type="dxa"/>
            <w:gridSpan w:val="6"/>
            <w:tcBorders>
              <w:top w:val="single" w:color="auto" w:sz="12" w:space="0"/>
              <w:bottom w:val="nil"/>
            </w:tcBorders>
            <w:vAlign w:val="center"/>
          </w:tcPr>
          <w:p w14:paraId="5354DAFB">
            <w:pPr>
              <w:pStyle w:val="16"/>
              <w:spacing w:before="31" w:after="31"/>
              <w:ind w:firstLine="0" w:firstLineChars="0"/>
              <w:jc w:val="center"/>
              <w:rPr>
                <w:color w:val="000000"/>
                <w:sz w:val="21"/>
                <w:szCs w:val="21"/>
              </w:rPr>
            </w:pPr>
            <w:r>
              <w:rPr>
                <w:rFonts w:hint="eastAsia"/>
              </w:rPr>
              <w:t>Thermal Power Industry</w:t>
            </w:r>
          </w:p>
        </w:tc>
        <w:tc>
          <w:tcPr>
            <w:tcW w:w="1020" w:type="dxa"/>
            <w:vMerge w:val="restart"/>
            <w:tcBorders>
              <w:top w:val="single" w:color="auto" w:sz="12" w:space="0"/>
            </w:tcBorders>
            <w:vAlign w:val="center"/>
          </w:tcPr>
          <w:p w14:paraId="7961BC5A">
            <w:pPr>
              <w:pStyle w:val="16"/>
              <w:spacing w:before="31" w:after="31"/>
              <w:ind w:firstLine="0" w:firstLineChars="0"/>
              <w:jc w:val="center"/>
              <w:rPr>
                <w:color w:val="000000"/>
                <w:sz w:val="21"/>
                <w:szCs w:val="21"/>
              </w:rPr>
            </w:pPr>
            <w:r>
              <w:rPr>
                <w:rFonts w:hint="eastAsia"/>
                <w:color w:val="000000"/>
                <w:sz w:val="21"/>
                <w:szCs w:val="21"/>
              </w:rPr>
              <w:t>Total</w:t>
            </w:r>
          </w:p>
        </w:tc>
      </w:tr>
      <w:tr w14:paraId="4C4D9E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8" w:type="dxa"/>
            <w:vMerge w:val="continue"/>
            <w:tcBorders>
              <w:top w:val="nil"/>
              <w:bottom w:val="single" w:color="auto" w:sz="12" w:space="0"/>
            </w:tcBorders>
            <w:vAlign w:val="center"/>
          </w:tcPr>
          <w:p w14:paraId="19BC6861">
            <w:pPr>
              <w:pStyle w:val="16"/>
              <w:spacing w:before="31" w:after="31"/>
              <w:ind w:firstLine="0" w:firstLineChars="0"/>
              <w:jc w:val="center"/>
              <w:rPr>
                <w:color w:val="000000"/>
                <w:sz w:val="21"/>
                <w:szCs w:val="21"/>
              </w:rPr>
            </w:pPr>
          </w:p>
        </w:tc>
        <w:tc>
          <w:tcPr>
            <w:tcW w:w="1019" w:type="dxa"/>
            <w:tcBorders>
              <w:top w:val="nil"/>
              <w:bottom w:val="single" w:color="auto" w:sz="12" w:space="0"/>
            </w:tcBorders>
            <w:vAlign w:val="center"/>
          </w:tcPr>
          <w:p w14:paraId="6BFD0D07">
            <w:pPr>
              <w:pStyle w:val="16"/>
              <w:spacing w:before="31" w:after="31" w:line="240" w:lineRule="auto"/>
              <w:ind w:firstLine="0" w:firstLineChars="0"/>
              <w:jc w:val="center"/>
              <w:rPr>
                <w:color w:val="000000"/>
                <w:sz w:val="21"/>
                <w:szCs w:val="21"/>
              </w:rPr>
            </w:pPr>
            <w:r>
              <w:rPr>
                <w:rFonts w:hint="eastAsia"/>
                <w:color w:val="000000"/>
                <w:sz w:val="21"/>
                <w:szCs w:val="21"/>
              </w:rPr>
              <w:t>Water-cooled wall tubes</w:t>
            </w:r>
          </w:p>
        </w:tc>
        <w:tc>
          <w:tcPr>
            <w:tcW w:w="1019" w:type="dxa"/>
            <w:tcBorders>
              <w:top w:val="nil"/>
              <w:bottom w:val="single" w:color="auto" w:sz="12" w:space="0"/>
            </w:tcBorders>
            <w:vAlign w:val="center"/>
          </w:tcPr>
          <w:p w14:paraId="65E9C3CC">
            <w:pPr>
              <w:pStyle w:val="16"/>
              <w:spacing w:before="31" w:after="31" w:line="240" w:lineRule="auto"/>
              <w:ind w:firstLine="0" w:firstLineChars="0"/>
              <w:jc w:val="center"/>
              <w:rPr>
                <w:color w:val="000000"/>
                <w:sz w:val="21"/>
                <w:szCs w:val="21"/>
              </w:rPr>
            </w:pPr>
            <w:r>
              <w:rPr>
                <w:rFonts w:hint="eastAsia"/>
                <w:color w:val="000000"/>
                <w:sz w:val="21"/>
                <w:szCs w:val="21"/>
              </w:rPr>
              <w:t>Superheater tubes</w:t>
            </w:r>
          </w:p>
        </w:tc>
        <w:tc>
          <w:tcPr>
            <w:tcW w:w="1019" w:type="dxa"/>
            <w:tcBorders>
              <w:top w:val="nil"/>
              <w:bottom w:val="single" w:color="auto" w:sz="12" w:space="0"/>
            </w:tcBorders>
            <w:vAlign w:val="center"/>
          </w:tcPr>
          <w:p w14:paraId="5409457F">
            <w:pPr>
              <w:pStyle w:val="16"/>
              <w:spacing w:before="31" w:after="31" w:line="240" w:lineRule="auto"/>
              <w:ind w:firstLine="0" w:firstLineChars="0"/>
              <w:jc w:val="center"/>
              <w:rPr>
                <w:color w:val="000000"/>
                <w:sz w:val="21"/>
                <w:szCs w:val="21"/>
              </w:rPr>
            </w:pPr>
            <w:r>
              <w:rPr>
                <w:rFonts w:hint="eastAsia"/>
                <w:color w:val="000000"/>
                <w:sz w:val="21"/>
                <w:szCs w:val="21"/>
              </w:rPr>
              <w:t>Reheater tubes</w:t>
            </w:r>
          </w:p>
        </w:tc>
        <w:tc>
          <w:tcPr>
            <w:tcW w:w="1019" w:type="dxa"/>
            <w:tcBorders>
              <w:top w:val="nil"/>
              <w:bottom w:val="single" w:color="auto" w:sz="12" w:space="0"/>
            </w:tcBorders>
            <w:vAlign w:val="center"/>
          </w:tcPr>
          <w:p w14:paraId="02BBF18E">
            <w:pPr>
              <w:pStyle w:val="16"/>
              <w:spacing w:before="31" w:after="31" w:line="240" w:lineRule="auto"/>
              <w:ind w:firstLine="0" w:firstLineChars="0"/>
              <w:jc w:val="center"/>
              <w:rPr>
                <w:color w:val="000000"/>
                <w:sz w:val="21"/>
                <w:szCs w:val="21"/>
              </w:rPr>
            </w:pPr>
            <w:r>
              <w:rPr>
                <w:rFonts w:hint="eastAsia"/>
                <w:color w:val="000000"/>
                <w:sz w:val="21"/>
                <w:szCs w:val="21"/>
              </w:rPr>
              <w:t>Economizer tubes</w:t>
            </w:r>
          </w:p>
        </w:tc>
        <w:tc>
          <w:tcPr>
            <w:tcW w:w="1019" w:type="dxa"/>
            <w:tcBorders>
              <w:top w:val="nil"/>
              <w:bottom w:val="single" w:color="auto" w:sz="12" w:space="0"/>
            </w:tcBorders>
            <w:vAlign w:val="center"/>
          </w:tcPr>
          <w:p w14:paraId="7F2E94F2">
            <w:pPr>
              <w:pStyle w:val="16"/>
              <w:spacing w:before="31" w:after="31" w:line="240" w:lineRule="auto"/>
              <w:ind w:firstLine="0" w:firstLineChars="0"/>
              <w:jc w:val="center"/>
              <w:rPr>
                <w:color w:val="000000"/>
                <w:sz w:val="21"/>
                <w:szCs w:val="21"/>
              </w:rPr>
            </w:pPr>
            <w:r>
              <w:rPr>
                <w:rFonts w:hint="eastAsia"/>
                <w:color w:val="000000"/>
                <w:sz w:val="21"/>
                <w:szCs w:val="21"/>
              </w:rPr>
              <w:t>Main steam pipes</w:t>
            </w:r>
          </w:p>
        </w:tc>
        <w:tc>
          <w:tcPr>
            <w:tcW w:w="1019" w:type="dxa"/>
            <w:tcBorders>
              <w:top w:val="nil"/>
              <w:bottom w:val="single" w:color="auto" w:sz="12" w:space="0"/>
            </w:tcBorders>
            <w:vAlign w:val="center"/>
          </w:tcPr>
          <w:p w14:paraId="3915093E">
            <w:pPr>
              <w:pStyle w:val="16"/>
              <w:spacing w:before="31" w:after="31" w:line="240" w:lineRule="auto"/>
              <w:ind w:firstLine="0" w:firstLineChars="0"/>
              <w:jc w:val="center"/>
              <w:rPr>
                <w:color w:val="000000"/>
                <w:sz w:val="21"/>
                <w:szCs w:val="21"/>
              </w:rPr>
            </w:pPr>
            <w:r>
              <w:rPr>
                <w:rFonts w:hint="eastAsia"/>
                <w:color w:val="000000"/>
                <w:sz w:val="21"/>
                <w:szCs w:val="21"/>
              </w:rPr>
              <w:t>Condenser tubes</w:t>
            </w:r>
          </w:p>
        </w:tc>
        <w:tc>
          <w:tcPr>
            <w:tcW w:w="1020" w:type="dxa"/>
            <w:vMerge w:val="continue"/>
            <w:tcBorders>
              <w:bottom w:val="single" w:color="auto" w:sz="12" w:space="0"/>
            </w:tcBorders>
            <w:vAlign w:val="center"/>
          </w:tcPr>
          <w:p w14:paraId="77106DB5">
            <w:pPr>
              <w:pStyle w:val="16"/>
              <w:spacing w:before="31" w:after="31"/>
              <w:ind w:firstLine="0" w:firstLineChars="0"/>
              <w:jc w:val="center"/>
              <w:rPr>
                <w:color w:val="000000"/>
                <w:sz w:val="21"/>
                <w:szCs w:val="21"/>
              </w:rPr>
            </w:pPr>
          </w:p>
        </w:tc>
      </w:tr>
      <w:tr w14:paraId="6F2664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8" w:type="dxa"/>
            <w:vAlign w:val="center"/>
          </w:tcPr>
          <w:p w14:paraId="58D7ED8D">
            <w:pPr>
              <w:pStyle w:val="16"/>
              <w:spacing w:before="31" w:after="31" w:line="240" w:lineRule="auto"/>
              <w:ind w:firstLine="0" w:firstLineChars="0"/>
              <w:jc w:val="center"/>
              <w:rPr>
                <w:color w:val="000000"/>
                <w:sz w:val="21"/>
                <w:szCs w:val="21"/>
              </w:rPr>
            </w:pPr>
            <w:r>
              <w:rPr>
                <w:rFonts w:hint="eastAsia" w:cs="Times New Roman"/>
                <w:sz w:val="21"/>
                <w:szCs w:val="21"/>
              </w:rPr>
              <w:t>Number of cases not included in the report</w:t>
            </w:r>
          </w:p>
        </w:tc>
        <w:tc>
          <w:tcPr>
            <w:tcW w:w="1019" w:type="dxa"/>
            <w:vAlign w:val="center"/>
          </w:tcPr>
          <w:p w14:paraId="6EC11E2D">
            <w:pPr>
              <w:pStyle w:val="16"/>
              <w:spacing w:before="31" w:after="31"/>
              <w:ind w:firstLine="0" w:firstLineChars="0"/>
              <w:jc w:val="center"/>
              <w:rPr>
                <w:color w:val="000000"/>
                <w:sz w:val="21"/>
                <w:szCs w:val="21"/>
              </w:rPr>
            </w:pPr>
            <w:r>
              <w:rPr>
                <w:rFonts w:hint="eastAsia"/>
                <w:color w:val="000000"/>
                <w:sz w:val="21"/>
                <w:szCs w:val="21"/>
              </w:rPr>
              <w:t>3</w:t>
            </w:r>
          </w:p>
        </w:tc>
        <w:tc>
          <w:tcPr>
            <w:tcW w:w="1019" w:type="dxa"/>
            <w:vAlign w:val="center"/>
          </w:tcPr>
          <w:p w14:paraId="01AF8A08">
            <w:pPr>
              <w:pStyle w:val="16"/>
              <w:spacing w:before="31" w:after="31"/>
              <w:ind w:firstLine="0" w:firstLineChars="0"/>
              <w:jc w:val="center"/>
              <w:rPr>
                <w:color w:val="000000"/>
                <w:sz w:val="21"/>
                <w:szCs w:val="21"/>
              </w:rPr>
            </w:pPr>
            <w:r>
              <w:rPr>
                <w:rFonts w:hint="eastAsia"/>
                <w:color w:val="000000"/>
                <w:sz w:val="21"/>
                <w:szCs w:val="21"/>
              </w:rPr>
              <w:t>2</w:t>
            </w:r>
          </w:p>
        </w:tc>
        <w:tc>
          <w:tcPr>
            <w:tcW w:w="1019" w:type="dxa"/>
            <w:vAlign w:val="center"/>
          </w:tcPr>
          <w:p w14:paraId="464EF4C0">
            <w:pPr>
              <w:pStyle w:val="16"/>
              <w:spacing w:before="31" w:after="31"/>
              <w:ind w:firstLine="0" w:firstLineChars="0"/>
              <w:jc w:val="center"/>
              <w:rPr>
                <w:color w:val="000000"/>
                <w:sz w:val="21"/>
                <w:szCs w:val="21"/>
              </w:rPr>
            </w:pPr>
            <w:r>
              <w:rPr>
                <w:rFonts w:hint="eastAsia"/>
                <w:color w:val="000000"/>
                <w:sz w:val="21"/>
                <w:szCs w:val="21"/>
              </w:rPr>
              <w:t>2</w:t>
            </w:r>
          </w:p>
        </w:tc>
        <w:tc>
          <w:tcPr>
            <w:tcW w:w="1019" w:type="dxa"/>
            <w:vAlign w:val="center"/>
          </w:tcPr>
          <w:p w14:paraId="5E104B28">
            <w:pPr>
              <w:pStyle w:val="16"/>
              <w:spacing w:before="31" w:after="31"/>
              <w:ind w:firstLine="0" w:firstLineChars="0"/>
              <w:jc w:val="center"/>
              <w:rPr>
                <w:color w:val="000000"/>
                <w:sz w:val="21"/>
                <w:szCs w:val="21"/>
              </w:rPr>
            </w:pPr>
            <w:r>
              <w:rPr>
                <w:rFonts w:hint="eastAsia"/>
                <w:color w:val="000000"/>
                <w:sz w:val="21"/>
                <w:szCs w:val="21"/>
              </w:rPr>
              <w:t>2</w:t>
            </w:r>
          </w:p>
        </w:tc>
        <w:tc>
          <w:tcPr>
            <w:tcW w:w="1019" w:type="dxa"/>
            <w:vAlign w:val="center"/>
          </w:tcPr>
          <w:p w14:paraId="32203378">
            <w:pPr>
              <w:pStyle w:val="16"/>
              <w:spacing w:before="31" w:after="31"/>
              <w:ind w:firstLine="0" w:firstLineChars="0"/>
              <w:jc w:val="center"/>
              <w:rPr>
                <w:color w:val="000000"/>
                <w:sz w:val="21"/>
                <w:szCs w:val="21"/>
              </w:rPr>
            </w:pPr>
            <w:r>
              <w:rPr>
                <w:rFonts w:hint="eastAsia"/>
                <w:color w:val="000000"/>
                <w:sz w:val="21"/>
                <w:szCs w:val="21"/>
              </w:rPr>
              <w:t>3</w:t>
            </w:r>
          </w:p>
        </w:tc>
        <w:tc>
          <w:tcPr>
            <w:tcW w:w="1019" w:type="dxa"/>
            <w:vAlign w:val="center"/>
          </w:tcPr>
          <w:p w14:paraId="186358B0">
            <w:pPr>
              <w:pStyle w:val="16"/>
              <w:spacing w:before="31" w:after="31"/>
              <w:ind w:firstLine="0" w:firstLineChars="0"/>
              <w:jc w:val="center"/>
              <w:rPr>
                <w:color w:val="000000"/>
                <w:sz w:val="21"/>
                <w:szCs w:val="21"/>
              </w:rPr>
            </w:pPr>
            <w:r>
              <w:rPr>
                <w:rFonts w:hint="eastAsia"/>
                <w:color w:val="000000"/>
                <w:sz w:val="21"/>
                <w:szCs w:val="21"/>
              </w:rPr>
              <w:t>2</w:t>
            </w:r>
          </w:p>
        </w:tc>
        <w:tc>
          <w:tcPr>
            <w:tcW w:w="1020" w:type="dxa"/>
            <w:vAlign w:val="center"/>
          </w:tcPr>
          <w:p w14:paraId="364E2677">
            <w:pPr>
              <w:pStyle w:val="16"/>
              <w:spacing w:before="31" w:after="31"/>
              <w:ind w:firstLine="0" w:firstLineChars="0"/>
              <w:jc w:val="center"/>
              <w:rPr>
                <w:color w:val="000000"/>
                <w:sz w:val="21"/>
                <w:szCs w:val="21"/>
              </w:rPr>
            </w:pPr>
            <w:r>
              <w:rPr>
                <w:rFonts w:hint="eastAsia"/>
                <w:color w:val="000000"/>
                <w:sz w:val="21"/>
                <w:szCs w:val="21"/>
              </w:rPr>
              <w:t>14</w:t>
            </w:r>
          </w:p>
        </w:tc>
      </w:tr>
      <w:tr w14:paraId="21F934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8" w:type="dxa"/>
            <w:vAlign w:val="center"/>
          </w:tcPr>
          <w:p w14:paraId="2EEA17A2">
            <w:pPr>
              <w:pStyle w:val="16"/>
              <w:spacing w:before="31" w:after="31" w:line="240" w:lineRule="auto"/>
              <w:ind w:firstLine="0" w:firstLineChars="0"/>
              <w:jc w:val="center"/>
              <w:rPr>
                <w:color w:val="000000"/>
                <w:sz w:val="21"/>
                <w:szCs w:val="21"/>
              </w:rPr>
            </w:pPr>
            <w:r>
              <w:rPr>
                <w:rFonts w:hint="eastAsia" w:cs="Times New Roman"/>
                <w:sz w:val="21"/>
                <w:szCs w:val="21"/>
              </w:rPr>
              <w:t>Number of cases included in the report</w:t>
            </w:r>
          </w:p>
        </w:tc>
        <w:tc>
          <w:tcPr>
            <w:tcW w:w="1019" w:type="dxa"/>
            <w:vAlign w:val="center"/>
          </w:tcPr>
          <w:p w14:paraId="65995E04">
            <w:pPr>
              <w:pStyle w:val="16"/>
              <w:spacing w:before="31" w:after="31"/>
              <w:ind w:firstLine="0" w:firstLineChars="0"/>
              <w:jc w:val="center"/>
              <w:rPr>
                <w:color w:val="000000"/>
                <w:sz w:val="21"/>
                <w:szCs w:val="21"/>
              </w:rPr>
            </w:pPr>
            <w:r>
              <w:rPr>
                <w:rFonts w:hint="eastAsia"/>
                <w:color w:val="000000"/>
                <w:sz w:val="21"/>
                <w:szCs w:val="21"/>
              </w:rPr>
              <w:t>2</w:t>
            </w:r>
          </w:p>
        </w:tc>
        <w:tc>
          <w:tcPr>
            <w:tcW w:w="1019" w:type="dxa"/>
            <w:vAlign w:val="center"/>
          </w:tcPr>
          <w:p w14:paraId="47B8BA2F">
            <w:pPr>
              <w:pStyle w:val="16"/>
              <w:spacing w:before="31" w:after="31"/>
              <w:ind w:firstLine="0" w:firstLineChars="0"/>
              <w:jc w:val="center"/>
              <w:rPr>
                <w:color w:val="000000"/>
                <w:sz w:val="21"/>
                <w:szCs w:val="21"/>
              </w:rPr>
            </w:pPr>
            <w:r>
              <w:rPr>
                <w:rFonts w:hint="eastAsia"/>
                <w:color w:val="000000"/>
                <w:sz w:val="21"/>
                <w:szCs w:val="21"/>
              </w:rPr>
              <w:t>3</w:t>
            </w:r>
          </w:p>
        </w:tc>
        <w:tc>
          <w:tcPr>
            <w:tcW w:w="1019" w:type="dxa"/>
            <w:vAlign w:val="center"/>
          </w:tcPr>
          <w:p w14:paraId="14CB8B26">
            <w:pPr>
              <w:pStyle w:val="16"/>
              <w:spacing w:before="31" w:after="31"/>
              <w:ind w:firstLine="0" w:firstLineChars="0"/>
              <w:jc w:val="center"/>
              <w:rPr>
                <w:color w:val="000000"/>
                <w:sz w:val="21"/>
                <w:szCs w:val="21"/>
              </w:rPr>
            </w:pPr>
            <w:r>
              <w:rPr>
                <w:rFonts w:hint="eastAsia"/>
                <w:color w:val="000000"/>
                <w:sz w:val="21"/>
                <w:szCs w:val="21"/>
              </w:rPr>
              <w:t>3</w:t>
            </w:r>
          </w:p>
        </w:tc>
        <w:tc>
          <w:tcPr>
            <w:tcW w:w="1019" w:type="dxa"/>
            <w:vAlign w:val="center"/>
          </w:tcPr>
          <w:p w14:paraId="5FA5DDC3">
            <w:pPr>
              <w:pStyle w:val="16"/>
              <w:spacing w:before="31" w:after="31"/>
              <w:ind w:firstLine="0" w:firstLineChars="0"/>
              <w:jc w:val="center"/>
              <w:rPr>
                <w:color w:val="000000"/>
                <w:sz w:val="21"/>
                <w:szCs w:val="21"/>
              </w:rPr>
            </w:pPr>
            <w:r>
              <w:rPr>
                <w:rFonts w:hint="eastAsia"/>
                <w:color w:val="000000"/>
                <w:sz w:val="21"/>
                <w:szCs w:val="21"/>
              </w:rPr>
              <w:t>1</w:t>
            </w:r>
          </w:p>
        </w:tc>
        <w:tc>
          <w:tcPr>
            <w:tcW w:w="1019" w:type="dxa"/>
            <w:vAlign w:val="center"/>
          </w:tcPr>
          <w:p w14:paraId="79395B14">
            <w:pPr>
              <w:pStyle w:val="16"/>
              <w:spacing w:before="31" w:after="31"/>
              <w:ind w:firstLine="0" w:firstLineChars="0"/>
              <w:jc w:val="center"/>
              <w:rPr>
                <w:color w:val="000000"/>
                <w:sz w:val="21"/>
                <w:szCs w:val="21"/>
              </w:rPr>
            </w:pPr>
            <w:r>
              <w:rPr>
                <w:rFonts w:hint="eastAsia"/>
                <w:color w:val="000000"/>
                <w:sz w:val="21"/>
                <w:szCs w:val="21"/>
              </w:rPr>
              <w:t>1</w:t>
            </w:r>
          </w:p>
        </w:tc>
        <w:tc>
          <w:tcPr>
            <w:tcW w:w="1019" w:type="dxa"/>
            <w:vAlign w:val="center"/>
          </w:tcPr>
          <w:p w14:paraId="2867F4EB">
            <w:pPr>
              <w:pStyle w:val="16"/>
              <w:spacing w:before="31" w:after="31"/>
              <w:ind w:firstLine="0" w:firstLineChars="0"/>
              <w:jc w:val="center"/>
              <w:rPr>
                <w:color w:val="000000"/>
                <w:sz w:val="21"/>
                <w:szCs w:val="21"/>
              </w:rPr>
            </w:pPr>
            <w:r>
              <w:rPr>
                <w:rFonts w:hint="eastAsia"/>
                <w:color w:val="000000"/>
                <w:sz w:val="21"/>
                <w:szCs w:val="21"/>
              </w:rPr>
              <w:t>2</w:t>
            </w:r>
          </w:p>
        </w:tc>
        <w:tc>
          <w:tcPr>
            <w:tcW w:w="1020" w:type="dxa"/>
            <w:vAlign w:val="center"/>
          </w:tcPr>
          <w:p w14:paraId="372BAF84">
            <w:pPr>
              <w:pStyle w:val="16"/>
              <w:spacing w:before="31" w:after="31"/>
              <w:ind w:firstLine="0" w:firstLineChars="0"/>
              <w:jc w:val="center"/>
              <w:rPr>
                <w:color w:val="000000"/>
                <w:sz w:val="21"/>
                <w:szCs w:val="21"/>
              </w:rPr>
            </w:pPr>
            <w:r>
              <w:rPr>
                <w:rFonts w:hint="eastAsia"/>
                <w:color w:val="000000"/>
                <w:sz w:val="21"/>
                <w:szCs w:val="21"/>
              </w:rPr>
              <w:t>12</w:t>
            </w:r>
          </w:p>
        </w:tc>
      </w:tr>
      <w:tr w14:paraId="586356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8" w:type="dxa"/>
            <w:vAlign w:val="center"/>
          </w:tcPr>
          <w:p w14:paraId="70514294">
            <w:pPr>
              <w:pStyle w:val="16"/>
              <w:spacing w:before="31" w:after="31" w:line="240" w:lineRule="auto"/>
              <w:ind w:firstLine="0" w:firstLineChars="0"/>
              <w:jc w:val="center"/>
              <w:rPr>
                <w:color w:val="000000"/>
                <w:sz w:val="21"/>
                <w:szCs w:val="21"/>
              </w:rPr>
            </w:pPr>
            <w:r>
              <w:rPr>
                <w:rFonts w:hint="eastAsia"/>
                <w:color w:val="000000"/>
                <w:sz w:val="21"/>
                <w:szCs w:val="21"/>
              </w:rPr>
              <w:t>Image Data</w:t>
            </w:r>
          </w:p>
        </w:tc>
        <w:tc>
          <w:tcPr>
            <w:tcW w:w="1019" w:type="dxa"/>
            <w:vAlign w:val="center"/>
          </w:tcPr>
          <w:p w14:paraId="7874263E">
            <w:pPr>
              <w:pStyle w:val="16"/>
              <w:spacing w:before="31" w:after="31"/>
              <w:ind w:firstLine="0" w:firstLineChars="0"/>
              <w:jc w:val="center"/>
              <w:rPr>
                <w:color w:val="000000"/>
                <w:sz w:val="21"/>
                <w:szCs w:val="21"/>
              </w:rPr>
            </w:pPr>
            <w:r>
              <w:rPr>
                <w:rFonts w:hint="eastAsia"/>
                <w:color w:val="000000"/>
                <w:sz w:val="21"/>
                <w:szCs w:val="21"/>
              </w:rPr>
              <w:t>6</w:t>
            </w:r>
          </w:p>
        </w:tc>
        <w:tc>
          <w:tcPr>
            <w:tcW w:w="1019" w:type="dxa"/>
            <w:vAlign w:val="center"/>
          </w:tcPr>
          <w:p w14:paraId="1AEC09BE">
            <w:pPr>
              <w:pStyle w:val="16"/>
              <w:spacing w:before="31" w:after="31"/>
              <w:ind w:firstLine="0" w:firstLineChars="0"/>
              <w:jc w:val="center"/>
              <w:rPr>
                <w:color w:val="000000"/>
                <w:sz w:val="21"/>
                <w:szCs w:val="21"/>
              </w:rPr>
            </w:pPr>
            <w:r>
              <w:rPr>
                <w:rFonts w:hint="eastAsia"/>
                <w:color w:val="000000"/>
                <w:sz w:val="21"/>
                <w:szCs w:val="21"/>
              </w:rPr>
              <w:t>5</w:t>
            </w:r>
          </w:p>
        </w:tc>
        <w:tc>
          <w:tcPr>
            <w:tcW w:w="1019" w:type="dxa"/>
            <w:vAlign w:val="center"/>
          </w:tcPr>
          <w:p w14:paraId="6C3E832E">
            <w:pPr>
              <w:pStyle w:val="16"/>
              <w:spacing w:before="31" w:after="31"/>
              <w:ind w:firstLine="0" w:firstLineChars="0"/>
              <w:jc w:val="center"/>
              <w:rPr>
                <w:color w:val="000000"/>
                <w:sz w:val="21"/>
                <w:szCs w:val="21"/>
              </w:rPr>
            </w:pPr>
            <w:r>
              <w:rPr>
                <w:rFonts w:hint="eastAsia"/>
                <w:color w:val="000000"/>
                <w:sz w:val="21"/>
                <w:szCs w:val="21"/>
              </w:rPr>
              <w:t>9</w:t>
            </w:r>
          </w:p>
        </w:tc>
        <w:tc>
          <w:tcPr>
            <w:tcW w:w="1019" w:type="dxa"/>
            <w:vAlign w:val="center"/>
          </w:tcPr>
          <w:p w14:paraId="353B6EA7">
            <w:pPr>
              <w:pStyle w:val="16"/>
              <w:spacing w:before="31" w:after="31"/>
              <w:ind w:firstLine="0" w:firstLineChars="0"/>
              <w:jc w:val="center"/>
              <w:rPr>
                <w:color w:val="000000"/>
                <w:sz w:val="21"/>
                <w:szCs w:val="21"/>
              </w:rPr>
            </w:pPr>
            <w:r>
              <w:rPr>
                <w:rFonts w:hint="eastAsia"/>
                <w:color w:val="000000"/>
                <w:sz w:val="21"/>
                <w:szCs w:val="21"/>
              </w:rPr>
              <w:t>1</w:t>
            </w:r>
          </w:p>
        </w:tc>
        <w:tc>
          <w:tcPr>
            <w:tcW w:w="1019" w:type="dxa"/>
            <w:vAlign w:val="center"/>
          </w:tcPr>
          <w:p w14:paraId="4410C8B8">
            <w:pPr>
              <w:pStyle w:val="16"/>
              <w:spacing w:before="31" w:after="31"/>
              <w:ind w:firstLine="0" w:firstLineChars="0"/>
              <w:jc w:val="center"/>
              <w:rPr>
                <w:color w:val="000000"/>
                <w:sz w:val="21"/>
                <w:szCs w:val="21"/>
              </w:rPr>
            </w:pPr>
            <w:r>
              <w:rPr>
                <w:rFonts w:hint="eastAsia"/>
                <w:color w:val="000000"/>
                <w:sz w:val="21"/>
                <w:szCs w:val="21"/>
              </w:rPr>
              <w:t>5</w:t>
            </w:r>
          </w:p>
        </w:tc>
        <w:tc>
          <w:tcPr>
            <w:tcW w:w="1019" w:type="dxa"/>
            <w:vAlign w:val="center"/>
          </w:tcPr>
          <w:p w14:paraId="52F122B2">
            <w:pPr>
              <w:pStyle w:val="16"/>
              <w:spacing w:before="31" w:after="31"/>
              <w:ind w:firstLine="0" w:firstLineChars="0"/>
              <w:jc w:val="center"/>
              <w:rPr>
                <w:color w:val="000000"/>
                <w:sz w:val="21"/>
                <w:szCs w:val="21"/>
              </w:rPr>
            </w:pPr>
            <w:r>
              <w:rPr>
                <w:rFonts w:hint="eastAsia"/>
                <w:color w:val="000000"/>
                <w:sz w:val="21"/>
                <w:szCs w:val="21"/>
              </w:rPr>
              <w:t>-----</w:t>
            </w:r>
          </w:p>
        </w:tc>
        <w:tc>
          <w:tcPr>
            <w:tcW w:w="1020" w:type="dxa"/>
            <w:vAlign w:val="center"/>
          </w:tcPr>
          <w:p w14:paraId="07CCD711">
            <w:pPr>
              <w:pStyle w:val="16"/>
              <w:spacing w:before="31" w:after="31"/>
              <w:ind w:firstLine="0" w:firstLineChars="0"/>
              <w:jc w:val="center"/>
              <w:rPr>
                <w:color w:val="000000"/>
                <w:sz w:val="21"/>
                <w:szCs w:val="21"/>
              </w:rPr>
            </w:pPr>
            <w:r>
              <w:rPr>
                <w:rFonts w:hint="eastAsia"/>
                <w:color w:val="000000"/>
                <w:sz w:val="21"/>
                <w:szCs w:val="21"/>
              </w:rPr>
              <w:t>26</w:t>
            </w:r>
          </w:p>
        </w:tc>
      </w:tr>
      <w:tr w14:paraId="374184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8" w:type="dxa"/>
            <w:tcBorders>
              <w:bottom w:val="single" w:color="auto" w:sz="12" w:space="0"/>
            </w:tcBorders>
            <w:vAlign w:val="center"/>
          </w:tcPr>
          <w:p w14:paraId="7606F0EF">
            <w:pPr>
              <w:pStyle w:val="16"/>
              <w:spacing w:before="31" w:after="31" w:line="240" w:lineRule="auto"/>
              <w:ind w:firstLine="0" w:firstLineChars="0"/>
              <w:jc w:val="center"/>
              <w:rPr>
                <w:color w:val="000000"/>
                <w:sz w:val="21"/>
                <w:szCs w:val="21"/>
              </w:rPr>
            </w:pPr>
            <w:r>
              <w:rPr>
                <w:rFonts w:hint="eastAsia"/>
                <w:color w:val="000000"/>
                <w:sz w:val="21"/>
                <w:szCs w:val="21"/>
              </w:rPr>
              <w:t>Number of references</w:t>
            </w:r>
          </w:p>
        </w:tc>
        <w:tc>
          <w:tcPr>
            <w:tcW w:w="1019" w:type="dxa"/>
            <w:tcBorders>
              <w:bottom w:val="single" w:color="auto" w:sz="12" w:space="0"/>
            </w:tcBorders>
            <w:vAlign w:val="center"/>
          </w:tcPr>
          <w:p w14:paraId="0355EC93">
            <w:pPr>
              <w:pStyle w:val="16"/>
              <w:spacing w:before="31" w:after="31"/>
              <w:ind w:firstLine="0" w:firstLineChars="0"/>
              <w:jc w:val="center"/>
              <w:rPr>
                <w:color w:val="000000"/>
                <w:sz w:val="21"/>
                <w:szCs w:val="21"/>
              </w:rPr>
            </w:pPr>
            <w:r>
              <w:rPr>
                <w:rFonts w:hint="eastAsia"/>
                <w:color w:val="000000"/>
                <w:sz w:val="21"/>
                <w:szCs w:val="21"/>
              </w:rPr>
              <w:t>5</w:t>
            </w:r>
          </w:p>
        </w:tc>
        <w:tc>
          <w:tcPr>
            <w:tcW w:w="1019" w:type="dxa"/>
            <w:tcBorders>
              <w:bottom w:val="single" w:color="auto" w:sz="12" w:space="0"/>
            </w:tcBorders>
            <w:vAlign w:val="center"/>
          </w:tcPr>
          <w:p w14:paraId="12617EAC">
            <w:pPr>
              <w:pStyle w:val="16"/>
              <w:spacing w:before="31" w:after="31"/>
              <w:ind w:firstLine="0" w:firstLineChars="0"/>
              <w:jc w:val="center"/>
              <w:rPr>
                <w:color w:val="000000"/>
                <w:sz w:val="21"/>
                <w:szCs w:val="21"/>
              </w:rPr>
            </w:pPr>
            <w:r>
              <w:rPr>
                <w:rFonts w:hint="eastAsia"/>
                <w:color w:val="000000"/>
                <w:sz w:val="21"/>
                <w:szCs w:val="21"/>
              </w:rPr>
              <w:t>5</w:t>
            </w:r>
          </w:p>
        </w:tc>
        <w:tc>
          <w:tcPr>
            <w:tcW w:w="1019" w:type="dxa"/>
            <w:tcBorders>
              <w:bottom w:val="single" w:color="auto" w:sz="12" w:space="0"/>
            </w:tcBorders>
            <w:vAlign w:val="center"/>
          </w:tcPr>
          <w:p w14:paraId="414559F6">
            <w:pPr>
              <w:pStyle w:val="16"/>
              <w:spacing w:before="31" w:after="31"/>
              <w:ind w:firstLine="0" w:firstLineChars="0"/>
              <w:jc w:val="center"/>
              <w:rPr>
                <w:color w:val="000000"/>
                <w:sz w:val="21"/>
                <w:szCs w:val="21"/>
              </w:rPr>
            </w:pPr>
            <w:r>
              <w:rPr>
                <w:rFonts w:hint="eastAsia"/>
                <w:color w:val="000000"/>
                <w:sz w:val="21"/>
                <w:szCs w:val="21"/>
              </w:rPr>
              <w:t>5</w:t>
            </w:r>
          </w:p>
        </w:tc>
        <w:tc>
          <w:tcPr>
            <w:tcW w:w="1019" w:type="dxa"/>
            <w:tcBorders>
              <w:bottom w:val="single" w:color="auto" w:sz="12" w:space="0"/>
            </w:tcBorders>
            <w:vAlign w:val="center"/>
          </w:tcPr>
          <w:p w14:paraId="1C99052A">
            <w:pPr>
              <w:pStyle w:val="16"/>
              <w:spacing w:before="31" w:after="31"/>
              <w:ind w:firstLine="0" w:firstLineChars="0"/>
              <w:jc w:val="center"/>
              <w:rPr>
                <w:color w:val="000000"/>
                <w:sz w:val="21"/>
                <w:szCs w:val="21"/>
              </w:rPr>
            </w:pPr>
            <w:r>
              <w:rPr>
                <w:rFonts w:hint="eastAsia"/>
                <w:color w:val="000000"/>
                <w:sz w:val="21"/>
                <w:szCs w:val="21"/>
              </w:rPr>
              <w:t>3</w:t>
            </w:r>
          </w:p>
        </w:tc>
        <w:tc>
          <w:tcPr>
            <w:tcW w:w="1019" w:type="dxa"/>
            <w:tcBorders>
              <w:bottom w:val="single" w:color="auto" w:sz="12" w:space="0"/>
            </w:tcBorders>
            <w:vAlign w:val="center"/>
          </w:tcPr>
          <w:p w14:paraId="3567EB15">
            <w:pPr>
              <w:pStyle w:val="16"/>
              <w:spacing w:before="31" w:after="31"/>
              <w:ind w:firstLine="0" w:firstLineChars="0"/>
              <w:jc w:val="center"/>
              <w:rPr>
                <w:color w:val="000000"/>
                <w:sz w:val="21"/>
                <w:szCs w:val="21"/>
              </w:rPr>
            </w:pPr>
            <w:r>
              <w:rPr>
                <w:rFonts w:hint="eastAsia"/>
                <w:color w:val="000000"/>
                <w:sz w:val="21"/>
                <w:szCs w:val="21"/>
              </w:rPr>
              <w:t>------</w:t>
            </w:r>
          </w:p>
        </w:tc>
        <w:tc>
          <w:tcPr>
            <w:tcW w:w="1019" w:type="dxa"/>
            <w:tcBorders>
              <w:bottom w:val="single" w:color="auto" w:sz="12" w:space="0"/>
            </w:tcBorders>
            <w:vAlign w:val="center"/>
          </w:tcPr>
          <w:p w14:paraId="6EB261C3">
            <w:pPr>
              <w:pStyle w:val="16"/>
              <w:spacing w:before="31" w:after="31"/>
              <w:ind w:firstLine="0" w:firstLineChars="0"/>
              <w:jc w:val="center"/>
              <w:rPr>
                <w:color w:val="000000"/>
                <w:sz w:val="21"/>
                <w:szCs w:val="21"/>
              </w:rPr>
            </w:pPr>
            <w:r>
              <w:rPr>
                <w:rFonts w:hint="eastAsia"/>
                <w:color w:val="000000"/>
                <w:sz w:val="21"/>
                <w:szCs w:val="21"/>
              </w:rPr>
              <w:t>4</w:t>
            </w:r>
          </w:p>
        </w:tc>
        <w:tc>
          <w:tcPr>
            <w:tcW w:w="1020" w:type="dxa"/>
            <w:tcBorders>
              <w:bottom w:val="single" w:color="auto" w:sz="12" w:space="0"/>
            </w:tcBorders>
            <w:vAlign w:val="center"/>
          </w:tcPr>
          <w:p w14:paraId="4C5D6D93">
            <w:pPr>
              <w:pStyle w:val="16"/>
              <w:spacing w:before="31" w:after="31"/>
              <w:ind w:firstLine="0" w:firstLineChars="0"/>
              <w:jc w:val="center"/>
              <w:rPr>
                <w:color w:val="000000"/>
                <w:sz w:val="21"/>
                <w:szCs w:val="21"/>
              </w:rPr>
            </w:pPr>
            <w:r>
              <w:rPr>
                <w:rFonts w:hint="eastAsia"/>
                <w:color w:val="000000"/>
                <w:sz w:val="21"/>
                <w:szCs w:val="21"/>
              </w:rPr>
              <w:t>22</w:t>
            </w:r>
          </w:p>
        </w:tc>
      </w:tr>
    </w:tbl>
    <w:p w14:paraId="67825C9B">
      <w:pPr>
        <w:pStyle w:val="19"/>
        <w:numPr>
          <w:ilvl w:val="1"/>
          <w:numId w:val="0"/>
        </w:numPr>
        <w:rPr>
          <w:sz w:val="24"/>
          <w:szCs w:val="24"/>
        </w:rPr>
      </w:pPr>
      <w:r>
        <w:rPr>
          <w:rFonts w:hint="eastAsia" w:eastAsia="宋体"/>
          <w:color w:val="000000"/>
        </w:rPr>
        <w:t>3.1 Common Failure Locations in the Nuclear Power Industry</w:t>
      </w:r>
    </w:p>
    <w:p w14:paraId="0F278EB0">
      <w:pPr>
        <w:pStyle w:val="16"/>
        <w:spacing w:before="31" w:after="31"/>
        <w:ind w:firstLine="480"/>
        <w:rPr>
          <w:szCs w:val="24"/>
        </w:rPr>
      </w:pPr>
      <w:r>
        <w:rPr>
          <w:rFonts w:hint="eastAsia"/>
          <w:szCs w:val="24"/>
        </w:rPr>
        <w:t>Currently, most commercial nuclear power plants worldwide are pressurized water reactor (PWR) stations, accounting for approximately 65% of all types of nuclear reactors. Based on the working principle of PWR nuclear power stations (Figure 3-0), the station's system can be divided into the primary loop system and the secondary loop system. The primary loop system includes the nuclear reactor pressure vessel, control rod drive system, and pressurizer. The secondary loop system includes the steam turbine generator and condenser, among others. The steam generator, serving as the connection between the primary and secondary loops, holds a crucial position and function in PWR nuclear power stations. While there are various components in PWR nuclear power stations that may experience failure, some key equipment has garnered widespread attention due to their significance. These include the reactor pressure vessel [4], internal components [1-2, 5], steam generators [6-14], condensers [15], main pipes, and other auxiliary devices [16-23]. This chapter primarily investigates failures related to these critical components. Through case studies, a total of 32 cases were collected. However, due to incomplete descriptions or information in some cases, only 12 typical failure cases in the nuclear power industry are presented below.</w:t>
      </w:r>
    </w:p>
    <w:p w14:paraId="512A777F">
      <w:pPr>
        <w:pStyle w:val="16"/>
        <w:spacing w:before="31" w:after="31"/>
        <w:ind w:firstLine="0" w:firstLineChars="0"/>
        <w:jc w:val="center"/>
        <w:rPr>
          <w:szCs w:val="24"/>
        </w:rPr>
      </w:pPr>
      <w:r>
        <w:rPr>
          <w:rFonts w:hint="eastAsia" w:hAnsi="宋体"/>
          <w:b/>
          <w:color w:val="000000"/>
          <w:sz w:val="21"/>
          <w:szCs w:val="21"/>
        </w:rPr>
        <w:t>Figure 3-0 Schematic Diagram of a Pressurized Water Reactor (PWR) Nuclear Power Station</w:t>
      </w:r>
    </w:p>
    <w:p w14:paraId="653733C1">
      <w:pPr>
        <w:pStyle w:val="19"/>
        <w:numPr>
          <w:ilvl w:val="1"/>
          <w:numId w:val="0"/>
        </w:numPr>
        <w:rPr>
          <w:rFonts w:eastAsia="宋体"/>
          <w:color w:val="000000"/>
        </w:rPr>
      </w:pPr>
      <w:r>
        <w:rPr>
          <w:rFonts w:hint="eastAsia" w:eastAsia="宋体"/>
          <w:color w:val="000000"/>
        </w:rPr>
        <w:t>3.2 Nuclear Power Industry Failure Cases</w:t>
      </w:r>
    </w:p>
    <w:p w14:paraId="11C94D2E">
      <w:pPr>
        <w:pStyle w:val="21"/>
        <w:numPr>
          <w:ilvl w:val="2"/>
          <w:numId w:val="0"/>
        </w:numPr>
        <w:rPr>
          <w:sz w:val="24"/>
          <w:szCs w:val="24"/>
        </w:rPr>
      </w:pPr>
      <w:r>
        <w:rPr>
          <w:rFonts w:hint="eastAsia" w:eastAsia="宋体"/>
          <w:color w:val="000000"/>
        </w:rPr>
        <w:t>3.2.1 Case 3-1: CRDM Failure in Ling'ao Nuclear Power Plant Unit 1</w:t>
      </w:r>
    </w:p>
    <w:p w14:paraId="72A29DEC">
      <w:pPr>
        <w:pStyle w:val="16"/>
        <w:spacing w:before="31" w:after="31"/>
        <w:ind w:firstLine="0" w:firstLineChars="0"/>
        <w:rPr>
          <w:szCs w:val="24"/>
        </w:rPr>
      </w:pPr>
      <w:r>
        <w:rPr>
          <w:rFonts w:hint="eastAsia"/>
          <w:szCs w:val="24"/>
        </w:rPr>
        <w:t>(1) Case Name</w:t>
      </w:r>
    </w:p>
    <w:p w14:paraId="63915A1F">
      <w:pPr>
        <w:pStyle w:val="16"/>
        <w:spacing w:before="31" w:after="31"/>
        <w:ind w:firstLine="480"/>
        <w:rPr>
          <w:szCs w:val="24"/>
        </w:rPr>
      </w:pPr>
      <w:r>
        <w:rPr>
          <w:rFonts w:hint="eastAsia"/>
          <w:szCs w:val="24"/>
        </w:rPr>
        <w:t>CRDM Failure in Ling'ao Nuclear Power Plant Unit 1</w:t>
      </w:r>
    </w:p>
    <w:p w14:paraId="5A3B4CF9">
      <w:pPr>
        <w:pStyle w:val="16"/>
        <w:spacing w:before="31" w:after="31"/>
        <w:ind w:firstLine="480"/>
        <w:rPr>
          <w:szCs w:val="24"/>
        </w:rPr>
      </w:pPr>
    </w:p>
    <w:p w14:paraId="3004D402">
      <w:pPr>
        <w:pStyle w:val="16"/>
        <w:spacing w:before="31" w:after="31"/>
        <w:ind w:firstLine="0" w:firstLineChars="0"/>
        <w:rPr>
          <w:szCs w:val="24"/>
        </w:rPr>
      </w:pPr>
      <w:r>
        <w:rPr>
          <w:rFonts w:hint="eastAsia"/>
          <w:szCs w:val="24"/>
        </w:rPr>
        <w:t>(2) Description of Failure Process</w:t>
      </w:r>
    </w:p>
    <w:p w14:paraId="44462B9D">
      <w:pPr>
        <w:pStyle w:val="16"/>
        <w:spacing w:before="31" w:after="31"/>
        <w:ind w:firstLine="480"/>
        <w:rPr>
          <w:szCs w:val="24"/>
        </w:rPr>
      </w:pPr>
      <w:r>
        <w:rPr>
          <w:rFonts w:hint="eastAsia"/>
          <w:szCs w:val="24"/>
        </w:rPr>
        <w:t>In 2005, during the third refueling and major overhaul outage of Ling'ao Nuclear Power Plant Unit 1, when the reactor pressure vessel head was opened, visual inspection revealed boron crystals beneath the upper Ω seal ring of CRDM-P10. Subsequently, a liquid penetration test was conducted on the area near the upper Ω seal weld of CRDM-P10, and four distinct point indications were found in the arc zone of the upper Ω seal weld, confirming a boron water leak in the primary loop.</w:t>
      </w:r>
    </w:p>
    <w:p w14:paraId="53040C89">
      <w:pPr>
        <w:pStyle w:val="16"/>
        <w:spacing w:before="31" w:after="31"/>
        <w:ind w:firstLine="480"/>
        <w:rPr>
          <w:szCs w:val="24"/>
        </w:rPr>
      </w:pPr>
      <w:r>
        <w:rPr>
          <w:rFonts w:hint="eastAsia"/>
          <w:szCs w:val="24"/>
        </w:rPr>
        <w:t>In 2006, during the fourth refueling and major overhaul outage of Ling'ao Nuclear Power Plant Unit 1, visual inspection of CRDM revealed boron crystals in the upper Ω seal ring area of CRDM-K14. Subsequent liquid penetration testing confirmed the leakage point on the parent material beneath the lower edge of the upper Ω seal ring of CRDM-K14.</w:t>
      </w:r>
    </w:p>
    <w:p w14:paraId="5D61D030">
      <w:pPr>
        <w:pStyle w:val="16"/>
        <w:spacing w:before="31" w:after="31"/>
        <w:ind w:firstLine="480"/>
        <w:rPr>
          <w:szCs w:val="24"/>
        </w:rPr>
      </w:pPr>
      <w:r>
        <w:rPr>
          <w:rFonts w:hint="eastAsia"/>
          <w:szCs w:val="24"/>
        </w:rPr>
        <w:t>In 2007, before opening the reactor pressure vessel head, a visual inspection under hot conditions was conducted on the control rod drive mechanism above the head, revealing boron crystal deposits beneath the upper Ω seal ring of CRDM-H14. This indicated a boron water leak in the primary loop near the Ω seal ring. Subsequently, a liquid penetration test was performed on the area near the upper Ω seal ring of CRDM-H14, preliminarily determining the leakage point in the parent material below the lower edge of the Ω seal weld. However, the liquid penetration test did not provide a definite indication of the leakage point. A total of six CRDMs were found to exhibit boron water leakage, with leakage locations all situated on the upper Ω seal weld or in the vicinity of the Ω seal weld on the parent material.</w:t>
      </w:r>
    </w:p>
    <w:p w14:paraId="0C7CBB46">
      <w:pPr>
        <w:pStyle w:val="16"/>
        <w:spacing w:before="31" w:after="31"/>
        <w:ind w:firstLine="480"/>
        <w:rPr>
          <w:szCs w:val="24"/>
        </w:rPr>
      </w:pPr>
    </w:p>
    <w:p w14:paraId="28292D3F">
      <w:pPr>
        <w:pStyle w:val="16"/>
        <w:spacing w:before="31" w:after="31"/>
        <w:ind w:firstLine="0" w:firstLineChars="0"/>
        <w:rPr>
          <w:szCs w:val="24"/>
        </w:rPr>
      </w:pPr>
      <w:r>
        <w:rPr>
          <w:rFonts w:hint="eastAsia"/>
          <w:szCs w:val="24"/>
        </w:rPr>
        <w:t>(3) Service Environment</w:t>
      </w:r>
    </w:p>
    <w:p w14:paraId="4EB981EF">
      <w:pPr>
        <w:pStyle w:val="16"/>
        <w:spacing w:before="31" w:after="31"/>
        <w:ind w:firstLine="480"/>
        <w:rPr>
          <w:szCs w:val="24"/>
        </w:rPr>
      </w:pPr>
      <w:r>
        <w:rPr>
          <w:rFonts w:hint="eastAsia"/>
          <w:szCs w:val="24"/>
        </w:rPr>
        <w:t>The seal weld structure of the control rod drive mechanism is subjected to a low-pH environment, moderately high temperature, and the presence of chloride ions and dissolved oxygen.</w:t>
      </w:r>
    </w:p>
    <w:p w14:paraId="3DBA8292">
      <w:pPr>
        <w:pStyle w:val="16"/>
        <w:spacing w:before="31" w:after="31"/>
        <w:ind w:firstLine="480"/>
        <w:rPr>
          <w:szCs w:val="24"/>
        </w:rPr>
      </w:pPr>
    </w:p>
    <w:p w14:paraId="372FDF3A">
      <w:pPr>
        <w:pStyle w:val="16"/>
        <w:spacing w:before="31" w:after="31"/>
        <w:ind w:firstLine="0" w:firstLineChars="0"/>
        <w:rPr>
          <w:szCs w:val="24"/>
        </w:rPr>
      </w:pPr>
      <w:r>
        <w:rPr>
          <w:rFonts w:hint="eastAsia"/>
          <w:szCs w:val="24"/>
        </w:rPr>
        <w:t>(4) Failed Components and Materials</w:t>
      </w:r>
    </w:p>
    <w:p w14:paraId="429372C9">
      <w:pPr>
        <w:pStyle w:val="16"/>
        <w:spacing w:before="31" w:after="31"/>
        <w:ind w:firstLine="480"/>
        <w:rPr>
          <w:szCs w:val="24"/>
        </w:rPr>
      </w:pPr>
      <w:r>
        <w:rPr>
          <w:rFonts w:hint="eastAsia"/>
          <w:szCs w:val="24"/>
        </w:rPr>
        <w:t>CRDM-P10, CRDM-K14, and CRDM-H14 in Ling'ao Nuclear Power Plant Unit 1, all made of stainless steel, utilize the seal weld structure.</w:t>
      </w:r>
    </w:p>
    <w:p w14:paraId="2DA76422">
      <w:pPr>
        <w:pStyle w:val="16"/>
        <w:spacing w:before="31" w:after="31"/>
        <w:ind w:firstLine="480"/>
        <w:rPr>
          <w:szCs w:val="24"/>
        </w:rPr>
      </w:pPr>
    </w:p>
    <w:p w14:paraId="09B94166">
      <w:pPr>
        <w:pStyle w:val="16"/>
        <w:spacing w:before="31" w:after="31"/>
        <w:ind w:firstLine="0" w:firstLineChars="0"/>
        <w:rPr>
          <w:szCs w:val="24"/>
        </w:rPr>
      </w:pPr>
      <w:r>
        <w:rPr>
          <w:rFonts w:hint="eastAsia"/>
          <w:szCs w:val="24"/>
        </w:rPr>
        <w:t>(5) Component Failure Morphology</w:t>
      </w:r>
    </w:p>
    <w:p w14:paraId="230E9FC0">
      <w:pPr>
        <w:pStyle w:val="16"/>
        <w:spacing w:before="31" w:after="31"/>
        <w:ind w:firstLine="420" w:firstLineChars="0"/>
        <w:rPr>
          <w:szCs w:val="24"/>
        </w:rPr>
      </w:pPr>
      <w:r>
        <w:rPr>
          <w:rFonts w:hint="eastAsia"/>
          <w:szCs w:val="24"/>
        </w:rPr>
        <w:t>Null</w:t>
      </w:r>
    </w:p>
    <w:p w14:paraId="03135D59">
      <w:pPr>
        <w:pStyle w:val="16"/>
        <w:spacing w:before="31" w:after="31"/>
        <w:ind w:firstLine="0" w:firstLineChars="0"/>
        <w:rPr>
          <w:szCs w:val="24"/>
        </w:rPr>
      </w:pPr>
    </w:p>
    <w:p w14:paraId="18F0D595">
      <w:pPr>
        <w:pStyle w:val="16"/>
        <w:spacing w:before="31" w:after="31"/>
        <w:ind w:firstLine="0" w:firstLineChars="0"/>
        <w:rPr>
          <w:szCs w:val="24"/>
        </w:rPr>
      </w:pPr>
      <w:r>
        <w:rPr>
          <w:rFonts w:hint="eastAsia"/>
          <w:szCs w:val="24"/>
        </w:rPr>
        <w:t>(6) Failure Analysis</w:t>
      </w:r>
    </w:p>
    <w:p w14:paraId="6A3E7C16">
      <w:pPr>
        <w:pStyle w:val="16"/>
        <w:spacing w:before="31" w:after="31"/>
        <w:ind w:firstLine="480"/>
        <w:rPr>
          <w:szCs w:val="24"/>
        </w:rPr>
      </w:pPr>
      <w:r>
        <w:rPr>
          <w:rFonts w:hint="eastAsia"/>
          <w:szCs w:val="24"/>
        </w:rPr>
        <w:t>The accidents were caused by pitting and stress corrosion resulting in internal boron water leakage. The initial crack formation may be attributed to pitting and stress corrosion. Pitting corrosion in stainless steel is prone to occur in water environments with chloride, dissolved oxygen, moderate temperature, and low pH, precisely the conditions inside the Ω seal of CRDM. The combined effect of chloride ions and dissolved oxygen led to stress corrosion in the Ω weld of the control rod drive mechanism made of stainless steel.</w:t>
      </w:r>
    </w:p>
    <w:p w14:paraId="7A2B495B">
      <w:pPr>
        <w:pStyle w:val="16"/>
        <w:spacing w:before="31" w:after="31"/>
        <w:ind w:firstLine="480"/>
        <w:rPr>
          <w:szCs w:val="24"/>
        </w:rPr>
      </w:pPr>
    </w:p>
    <w:p w14:paraId="69AA2171">
      <w:pPr>
        <w:pStyle w:val="16"/>
        <w:spacing w:before="31" w:after="31"/>
        <w:ind w:firstLine="0" w:firstLineChars="0"/>
        <w:rPr>
          <w:szCs w:val="24"/>
        </w:rPr>
      </w:pPr>
      <w:r>
        <w:rPr>
          <w:rFonts w:hint="eastAsia"/>
          <w:szCs w:val="24"/>
        </w:rPr>
        <w:t>(7) Impact and Harm Caused</w:t>
      </w:r>
    </w:p>
    <w:p w14:paraId="3ED1CFC8">
      <w:pPr>
        <w:pStyle w:val="16"/>
        <w:spacing w:before="31" w:after="31"/>
        <w:ind w:firstLine="480"/>
        <w:rPr>
          <w:szCs w:val="24"/>
        </w:rPr>
      </w:pPr>
      <w:r>
        <w:rPr>
          <w:rFonts w:hint="eastAsia"/>
          <w:szCs w:val="24"/>
        </w:rPr>
        <w:t>Such accidents may lead to coolant leakage, and the boron water in the coolant can cause severe corrosion.</w:t>
      </w:r>
    </w:p>
    <w:p w14:paraId="121CFC6F">
      <w:pPr>
        <w:pStyle w:val="16"/>
        <w:spacing w:before="31" w:after="31"/>
        <w:ind w:firstLine="480"/>
        <w:rPr>
          <w:szCs w:val="24"/>
        </w:rPr>
      </w:pPr>
    </w:p>
    <w:p w14:paraId="7D0CDA74">
      <w:pPr>
        <w:pStyle w:val="16"/>
        <w:spacing w:before="31" w:after="31"/>
        <w:ind w:firstLine="0" w:firstLineChars="0"/>
        <w:rPr>
          <w:szCs w:val="24"/>
        </w:rPr>
      </w:pPr>
      <w:r>
        <w:rPr>
          <w:rFonts w:hint="eastAsia"/>
          <w:szCs w:val="24"/>
        </w:rPr>
        <w:t>(8) Conclusions and Improvement Measures</w:t>
      </w:r>
    </w:p>
    <w:p w14:paraId="712593D1">
      <w:pPr>
        <w:pStyle w:val="16"/>
        <w:spacing w:before="31" w:after="31"/>
        <w:ind w:firstLine="480"/>
        <w:rPr>
          <w:szCs w:val="24"/>
        </w:rPr>
      </w:pPr>
      <w:r>
        <w:rPr>
          <w:rFonts w:hint="eastAsia"/>
          <w:szCs w:val="24"/>
        </w:rPr>
        <w:t>After the accidents, the U.S. WSI Company conducted stack welding repairs. Theoretical analysis and calculations indicated that the stack welding layer could meet the requirements for safe operation during the unit's service life.</w:t>
      </w:r>
    </w:p>
    <w:p w14:paraId="49A4A68C">
      <w:pPr>
        <w:pStyle w:val="16"/>
        <w:spacing w:before="31" w:after="31"/>
        <w:ind w:firstLine="480"/>
        <w:rPr>
          <w:szCs w:val="24"/>
        </w:rPr>
      </w:pPr>
      <w:r>
        <w:rPr>
          <w:rFonts w:hint="eastAsia"/>
          <w:szCs w:val="24"/>
        </w:rPr>
        <w:t>As a protective measure, the design of the reactor pressure vessel head replacement scheme should eliminate Ω seal welds. For existing structures, efforts should be made to ensure a reducing environment when the reactor is started. Additionally, inspections (especially using boron crystals as a critical indicator) should be strengthened to ensure reliability.</w:t>
      </w:r>
    </w:p>
    <w:p w14:paraId="4C9618CF">
      <w:pPr>
        <w:pStyle w:val="16"/>
        <w:spacing w:before="31" w:after="31"/>
        <w:ind w:firstLine="480"/>
        <w:rPr>
          <w:szCs w:val="24"/>
        </w:rPr>
      </w:pPr>
    </w:p>
    <w:p w14:paraId="35428FC5">
      <w:pPr>
        <w:pStyle w:val="16"/>
        <w:spacing w:before="31" w:after="31"/>
        <w:ind w:firstLine="480"/>
        <w:rPr>
          <w:szCs w:val="24"/>
        </w:rPr>
      </w:pPr>
    </w:p>
    <w:p w14:paraId="559258D9">
      <w:pPr>
        <w:pStyle w:val="21"/>
        <w:numPr>
          <w:ilvl w:val="2"/>
          <w:numId w:val="0"/>
        </w:numPr>
        <w:rPr>
          <w:sz w:val="24"/>
          <w:szCs w:val="24"/>
        </w:rPr>
      </w:pPr>
      <w:r>
        <w:rPr>
          <w:rFonts w:hint="eastAsia" w:eastAsia="宋体"/>
          <w:color w:val="000000"/>
        </w:rPr>
        <w:t>3.2.2 Case 3-2: Failure of Penetration Nozzle in the Top Head of the Davis-Besse Nuclear Power Plant</w:t>
      </w:r>
    </w:p>
    <w:p w14:paraId="6A676654">
      <w:pPr>
        <w:pStyle w:val="16"/>
        <w:spacing w:before="31" w:after="31"/>
        <w:ind w:firstLine="0" w:firstLineChars="0"/>
        <w:rPr>
          <w:szCs w:val="24"/>
        </w:rPr>
      </w:pPr>
      <w:r>
        <w:rPr>
          <w:rFonts w:hint="eastAsia"/>
          <w:szCs w:val="24"/>
        </w:rPr>
        <w:t>(1) Case Name</w:t>
      </w:r>
    </w:p>
    <w:p w14:paraId="1BCD9B21">
      <w:pPr>
        <w:pStyle w:val="16"/>
        <w:spacing w:before="31" w:after="31"/>
        <w:ind w:firstLine="480"/>
        <w:rPr>
          <w:szCs w:val="24"/>
        </w:rPr>
      </w:pPr>
      <w:r>
        <w:rPr>
          <w:rFonts w:hint="eastAsia"/>
          <w:szCs w:val="24"/>
        </w:rPr>
        <w:t>Failure of Penetration Nozzle in the Top Head of the Davis-Besse Nuclear Power Plant</w:t>
      </w:r>
    </w:p>
    <w:p w14:paraId="39C50912">
      <w:pPr>
        <w:pStyle w:val="16"/>
        <w:spacing w:before="31" w:after="31"/>
        <w:ind w:firstLine="480"/>
        <w:rPr>
          <w:szCs w:val="24"/>
        </w:rPr>
      </w:pPr>
    </w:p>
    <w:p w14:paraId="56F9C756">
      <w:pPr>
        <w:pStyle w:val="16"/>
        <w:spacing w:before="31" w:after="31"/>
        <w:ind w:firstLine="0" w:firstLineChars="0"/>
        <w:rPr>
          <w:szCs w:val="24"/>
        </w:rPr>
      </w:pPr>
      <w:r>
        <w:rPr>
          <w:rFonts w:hint="eastAsia"/>
          <w:szCs w:val="24"/>
        </w:rPr>
        <w:t>(2) Description of Failure Process</w:t>
      </w:r>
    </w:p>
    <w:p w14:paraId="4761193D">
      <w:pPr>
        <w:pStyle w:val="16"/>
        <w:spacing w:before="31" w:after="31"/>
        <w:ind w:firstLine="480"/>
        <w:rPr>
          <w:szCs w:val="24"/>
        </w:rPr>
      </w:pPr>
      <w:r>
        <w:rPr>
          <w:rFonts w:hint="eastAsia"/>
          <w:szCs w:val="24"/>
        </w:rPr>
        <w:t>In 2002, during an inspection of the penetration nozzle seats on the pressure vessel head at the Davis-Besse nuclear power station, three Control Rod Drive Mechanism (CRDM) nozzle seats were found to exhibit crack signals. The nozzle seats with crack signals were all located in the central part of the top head. After repairing the nozzle seats, when removing the machining tools from the seats, one of the seats exhibited movement. To identify the cause, the nozzle seats were removed, and after removing the boric acid deposited on the top head, a visual inspection revealed a cavity in nozzle seat number 3. Using ultrasonic methods, it was determined that the cavity had a bag-like shape with a wider part measuring approximately 10-12.5 cm and a depth of about 18 cm. The minimum remaining thickness of the top head in the thinned area was only 1 cm, while the normal thickness of the stainless steel overlay on the inner surface of the top head was 1 cm.</w:t>
      </w:r>
    </w:p>
    <w:p w14:paraId="731221AF">
      <w:pPr>
        <w:pStyle w:val="16"/>
        <w:spacing w:before="31" w:after="31"/>
        <w:ind w:firstLine="480"/>
        <w:rPr>
          <w:szCs w:val="24"/>
        </w:rPr>
      </w:pPr>
    </w:p>
    <w:p w14:paraId="19A31F54">
      <w:pPr>
        <w:pStyle w:val="16"/>
        <w:spacing w:before="31" w:after="31"/>
        <w:ind w:firstLine="0" w:firstLineChars="0"/>
        <w:rPr>
          <w:szCs w:val="24"/>
        </w:rPr>
      </w:pPr>
      <w:r>
        <w:rPr>
          <w:rFonts w:hint="eastAsia"/>
          <w:szCs w:val="24"/>
        </w:rPr>
        <w:t>(3) Service Environment</w:t>
      </w:r>
    </w:p>
    <w:p w14:paraId="21F58A99">
      <w:pPr>
        <w:pStyle w:val="16"/>
        <w:spacing w:before="31" w:after="31"/>
        <w:ind w:firstLine="420" w:firstLineChars="0"/>
        <w:rPr>
          <w:szCs w:val="24"/>
        </w:rPr>
      </w:pPr>
      <w:r>
        <w:rPr>
          <w:rFonts w:hint="eastAsia"/>
          <w:szCs w:val="24"/>
        </w:rPr>
        <w:t>Null</w:t>
      </w:r>
    </w:p>
    <w:p w14:paraId="63D2C215">
      <w:pPr>
        <w:pStyle w:val="16"/>
        <w:spacing w:before="31" w:after="31"/>
        <w:ind w:firstLine="0" w:firstLineChars="0"/>
        <w:rPr>
          <w:szCs w:val="24"/>
        </w:rPr>
      </w:pPr>
    </w:p>
    <w:p w14:paraId="276C89CE">
      <w:pPr>
        <w:pStyle w:val="16"/>
        <w:spacing w:before="31" w:after="31"/>
        <w:ind w:firstLine="0" w:firstLineChars="0"/>
        <w:rPr>
          <w:szCs w:val="24"/>
        </w:rPr>
      </w:pPr>
      <w:r>
        <w:rPr>
          <w:rFonts w:hint="eastAsia"/>
          <w:szCs w:val="24"/>
        </w:rPr>
        <w:t>(4) Failed Components and Materials</w:t>
      </w:r>
    </w:p>
    <w:p w14:paraId="09EF6614">
      <w:pPr>
        <w:pStyle w:val="16"/>
        <w:spacing w:before="31" w:after="31"/>
        <w:ind w:firstLine="480"/>
        <w:rPr>
          <w:szCs w:val="24"/>
        </w:rPr>
      </w:pPr>
      <w:r>
        <w:rPr>
          <w:rFonts w:hint="eastAsia"/>
          <w:szCs w:val="24"/>
        </w:rPr>
        <w:t>The penetration nozzles in the top head of the nuclear power plant are made of stainless steel and employ Ω seal weld structures.</w:t>
      </w:r>
    </w:p>
    <w:p w14:paraId="402BB042">
      <w:pPr>
        <w:pStyle w:val="16"/>
        <w:spacing w:before="31" w:after="31"/>
        <w:ind w:firstLine="480"/>
        <w:rPr>
          <w:szCs w:val="24"/>
        </w:rPr>
      </w:pPr>
    </w:p>
    <w:p w14:paraId="6715A725">
      <w:pPr>
        <w:pStyle w:val="16"/>
        <w:spacing w:before="31" w:after="31"/>
        <w:ind w:firstLine="0" w:firstLineChars="0"/>
        <w:rPr>
          <w:szCs w:val="24"/>
        </w:rPr>
      </w:pPr>
      <w:r>
        <w:rPr>
          <w:rFonts w:hint="eastAsia"/>
          <w:szCs w:val="24"/>
        </w:rPr>
        <w:t>(5) Appearance of Component Failure</w:t>
      </w:r>
    </w:p>
    <w:p w14:paraId="44BA281C">
      <w:pPr>
        <w:pStyle w:val="16"/>
        <w:spacing w:before="31" w:after="31"/>
        <w:ind w:firstLine="480"/>
        <w:rPr>
          <w:szCs w:val="24"/>
        </w:rPr>
      </w:pPr>
      <w:r>
        <w:rPr>
          <w:rFonts w:hint="eastAsia"/>
          <w:szCs w:val="24"/>
        </w:rPr>
        <w:t>The specific corroded areas and the cavity after corrosion in the CRDM are shown in Figure 3-2.1 [2].</w:t>
      </w:r>
    </w:p>
    <w:p w14:paraId="332006A3">
      <w:pPr>
        <w:pStyle w:val="22"/>
        <w:spacing w:before="156" w:after="468" w:line="312" w:lineRule="auto"/>
        <w:rPr>
          <w:sz w:val="24"/>
        </w:rPr>
      </w:pPr>
      <w:r>
        <w:rPr>
          <w:rFonts w:hint="eastAsia"/>
          <w:color w:val="000000"/>
        </w:rPr>
        <w:t>Figure 3-2.1 Corrosion Pit on the Top Head of the Pressure Vessel at the Davis-Besse Nuclear Power Plant</w:t>
      </w:r>
    </w:p>
    <w:p w14:paraId="6EAB6D7C">
      <w:pPr>
        <w:pStyle w:val="16"/>
        <w:spacing w:before="31" w:after="31"/>
        <w:ind w:firstLine="0" w:firstLineChars="0"/>
        <w:rPr>
          <w:szCs w:val="24"/>
        </w:rPr>
      </w:pPr>
      <w:r>
        <w:rPr>
          <w:rFonts w:hint="eastAsia"/>
          <w:szCs w:val="24"/>
        </w:rPr>
        <w:t>(6) Failure Cause Analysis</w:t>
      </w:r>
    </w:p>
    <w:p w14:paraId="419418D2">
      <w:pPr>
        <w:pStyle w:val="16"/>
        <w:spacing w:before="31" w:after="31"/>
        <w:ind w:firstLine="480"/>
        <w:rPr>
          <w:szCs w:val="24"/>
        </w:rPr>
      </w:pPr>
      <w:r>
        <w:rPr>
          <w:rFonts w:hint="eastAsia"/>
          <w:szCs w:val="24"/>
        </w:rPr>
        <w:t>The analysis results indicated that pitting perforation in the seal weld caused boron water leakage, resulting in a serious accident.</w:t>
      </w:r>
    </w:p>
    <w:p w14:paraId="698903FB">
      <w:pPr>
        <w:pStyle w:val="16"/>
        <w:spacing w:before="31" w:after="31"/>
        <w:ind w:firstLine="480"/>
        <w:rPr>
          <w:szCs w:val="24"/>
        </w:rPr>
      </w:pPr>
    </w:p>
    <w:p w14:paraId="486AB044">
      <w:pPr>
        <w:pStyle w:val="16"/>
        <w:spacing w:before="31" w:after="31"/>
        <w:ind w:firstLine="0" w:firstLineChars="0"/>
        <w:rPr>
          <w:szCs w:val="24"/>
        </w:rPr>
      </w:pPr>
      <w:r>
        <w:rPr>
          <w:rFonts w:hint="eastAsia"/>
          <w:szCs w:val="24"/>
        </w:rPr>
        <w:t>(7) Impact and Harm Caused</w:t>
      </w:r>
    </w:p>
    <w:p w14:paraId="3FF8F2C0">
      <w:pPr>
        <w:pStyle w:val="16"/>
        <w:spacing w:before="31" w:after="31"/>
        <w:ind w:firstLine="420" w:firstLineChars="0"/>
        <w:rPr>
          <w:szCs w:val="24"/>
        </w:rPr>
      </w:pPr>
      <w:r>
        <w:rPr>
          <w:rFonts w:hint="eastAsia"/>
          <w:szCs w:val="24"/>
        </w:rPr>
        <w:t>Null</w:t>
      </w:r>
    </w:p>
    <w:p w14:paraId="4C85859E">
      <w:pPr>
        <w:pStyle w:val="16"/>
        <w:spacing w:before="31" w:after="31"/>
        <w:ind w:firstLine="0" w:firstLineChars="0"/>
        <w:rPr>
          <w:szCs w:val="24"/>
        </w:rPr>
      </w:pPr>
    </w:p>
    <w:p w14:paraId="3963DE62">
      <w:pPr>
        <w:pStyle w:val="16"/>
        <w:spacing w:before="31" w:after="31"/>
        <w:ind w:firstLine="0" w:firstLineChars="0"/>
        <w:rPr>
          <w:szCs w:val="24"/>
        </w:rPr>
      </w:pPr>
      <w:r>
        <w:rPr>
          <w:rFonts w:hint="eastAsia"/>
          <w:szCs w:val="24"/>
        </w:rPr>
        <w:t>(8) Conclusions and Improvement Measures</w:t>
      </w:r>
    </w:p>
    <w:p w14:paraId="4757233A">
      <w:pPr>
        <w:pStyle w:val="16"/>
        <w:spacing w:before="31" w:after="31"/>
        <w:ind w:firstLine="480"/>
        <w:rPr>
          <w:szCs w:val="24"/>
        </w:rPr>
      </w:pPr>
      <w:r>
        <w:rPr>
          <w:rFonts w:hint="eastAsia"/>
          <w:szCs w:val="24"/>
        </w:rPr>
        <w:t>The failed components are to be repaired by stack welding or replaced.</w:t>
      </w:r>
    </w:p>
    <w:p w14:paraId="74EF48CD">
      <w:pPr>
        <w:pStyle w:val="16"/>
        <w:spacing w:before="31" w:after="31"/>
        <w:ind w:firstLine="480"/>
        <w:rPr>
          <w:szCs w:val="24"/>
        </w:rPr>
      </w:pPr>
    </w:p>
    <w:p w14:paraId="1AC8CD6C">
      <w:pPr>
        <w:pStyle w:val="16"/>
        <w:spacing w:before="31" w:after="31"/>
        <w:ind w:firstLine="480"/>
        <w:rPr>
          <w:szCs w:val="24"/>
        </w:rPr>
      </w:pPr>
    </w:p>
    <w:p w14:paraId="247D5FE8">
      <w:pPr>
        <w:pStyle w:val="21"/>
        <w:numPr>
          <w:ilvl w:val="2"/>
          <w:numId w:val="0"/>
        </w:numPr>
        <w:rPr>
          <w:sz w:val="24"/>
          <w:szCs w:val="24"/>
        </w:rPr>
      </w:pPr>
      <w:r>
        <w:rPr>
          <w:rFonts w:hint="eastAsia" w:eastAsia="宋体"/>
          <w:color w:val="000000"/>
        </w:rPr>
        <w:t>3.2.3 Case 3-3: Failure of Carbon Steel Pipes in the Secondary Loop at Unit 3 of the Mihama Nuclear Power Plant in Japan</w:t>
      </w:r>
    </w:p>
    <w:p w14:paraId="78D51F8B">
      <w:pPr>
        <w:pStyle w:val="16"/>
        <w:spacing w:before="31" w:after="31"/>
        <w:ind w:firstLine="0" w:firstLineChars="0"/>
        <w:rPr>
          <w:szCs w:val="24"/>
        </w:rPr>
      </w:pPr>
      <w:r>
        <w:rPr>
          <w:rFonts w:hint="eastAsia"/>
          <w:szCs w:val="24"/>
        </w:rPr>
        <w:t>(1) Case Name</w:t>
      </w:r>
    </w:p>
    <w:p w14:paraId="232816A7">
      <w:pPr>
        <w:pStyle w:val="16"/>
        <w:spacing w:before="31" w:after="31"/>
        <w:ind w:firstLine="480"/>
        <w:rPr>
          <w:szCs w:val="24"/>
        </w:rPr>
      </w:pPr>
      <w:r>
        <w:rPr>
          <w:rFonts w:hint="eastAsia"/>
          <w:szCs w:val="24"/>
        </w:rPr>
        <w:t>Failure of Carbon Steel Pipes in the Secondary Loop [14,26-28]</w:t>
      </w:r>
    </w:p>
    <w:p w14:paraId="53F9C195">
      <w:pPr>
        <w:pStyle w:val="16"/>
        <w:spacing w:before="31" w:after="31"/>
        <w:ind w:firstLine="480"/>
        <w:rPr>
          <w:szCs w:val="24"/>
        </w:rPr>
      </w:pPr>
    </w:p>
    <w:p w14:paraId="2F8464D2">
      <w:pPr>
        <w:pStyle w:val="16"/>
        <w:spacing w:before="31" w:after="31"/>
        <w:ind w:firstLine="0" w:firstLineChars="0"/>
        <w:rPr>
          <w:szCs w:val="24"/>
        </w:rPr>
      </w:pPr>
      <w:r>
        <w:rPr>
          <w:rFonts w:hint="eastAsia"/>
          <w:szCs w:val="24"/>
        </w:rPr>
        <w:t>(2) Description of Failure Process</w:t>
      </w:r>
    </w:p>
    <w:p w14:paraId="051C9127">
      <w:pPr>
        <w:pStyle w:val="16"/>
        <w:spacing w:before="31" w:after="31"/>
        <w:ind w:firstLine="480"/>
        <w:rPr>
          <w:szCs w:val="24"/>
        </w:rPr>
      </w:pPr>
      <w:r>
        <w:rPr>
          <w:rFonts w:hint="eastAsia"/>
          <w:szCs w:val="24"/>
        </w:rPr>
        <w:t>Accident Description: In 2004, at Unit 3 of the Mihama Nuclear Power Plant in Japan, a sudden rupture occurred in the carbon steel pipes with a diameter of 560 mm, leading from the outlet of four low-pressure heaters to the deaerator in the secondary loop condensate water system. A large opening resulted in hot water with a temperature of 140°C, pressure of 0.95 MPa, and a flow rate of approximately 1700 m3/h pouring into the plant, causing an estimated 800 tons of water to flood the facility.</w:t>
      </w:r>
    </w:p>
    <w:p w14:paraId="33F935DF">
      <w:pPr>
        <w:pStyle w:val="16"/>
        <w:spacing w:before="31" w:after="31"/>
        <w:ind w:firstLine="480"/>
        <w:rPr>
          <w:szCs w:val="24"/>
        </w:rPr>
      </w:pPr>
    </w:p>
    <w:p w14:paraId="7A948865">
      <w:pPr>
        <w:pStyle w:val="16"/>
        <w:spacing w:before="31" w:after="31"/>
        <w:ind w:firstLine="0" w:firstLineChars="0"/>
        <w:rPr>
          <w:szCs w:val="24"/>
        </w:rPr>
      </w:pPr>
      <w:r>
        <w:rPr>
          <w:rFonts w:hint="eastAsia"/>
          <w:szCs w:val="24"/>
        </w:rPr>
        <w:t>(3) Service Environment</w:t>
      </w:r>
    </w:p>
    <w:p w14:paraId="2F418979">
      <w:pPr>
        <w:pStyle w:val="16"/>
        <w:spacing w:before="31" w:after="31"/>
        <w:ind w:firstLine="420" w:firstLineChars="0"/>
        <w:rPr>
          <w:szCs w:val="24"/>
        </w:rPr>
      </w:pPr>
      <w:r>
        <w:rPr>
          <w:rFonts w:hint="eastAsia"/>
          <w:szCs w:val="24"/>
        </w:rPr>
        <w:t>Null</w:t>
      </w:r>
    </w:p>
    <w:p w14:paraId="0043A753">
      <w:pPr>
        <w:pStyle w:val="16"/>
        <w:spacing w:before="31" w:after="31"/>
        <w:ind w:firstLine="0" w:firstLineChars="0"/>
        <w:rPr>
          <w:szCs w:val="24"/>
        </w:rPr>
      </w:pPr>
    </w:p>
    <w:p w14:paraId="3E76CFC1">
      <w:pPr>
        <w:pStyle w:val="16"/>
        <w:spacing w:before="31" w:after="31"/>
        <w:ind w:firstLine="0" w:firstLineChars="0"/>
        <w:rPr>
          <w:szCs w:val="24"/>
        </w:rPr>
      </w:pPr>
      <w:r>
        <w:rPr>
          <w:rFonts w:hint="eastAsia"/>
          <w:szCs w:val="24"/>
        </w:rPr>
        <w:t>(4) Failed Components and Materials</w:t>
      </w:r>
    </w:p>
    <w:p w14:paraId="6F0CE638">
      <w:pPr>
        <w:pStyle w:val="16"/>
        <w:spacing w:before="31" w:after="31"/>
        <w:ind w:firstLine="480"/>
        <w:rPr>
          <w:szCs w:val="24"/>
        </w:rPr>
      </w:pPr>
      <w:r>
        <w:rPr>
          <w:rFonts w:hint="eastAsia"/>
          <w:szCs w:val="24"/>
        </w:rPr>
        <w:t>Carbon steel pipes in the secondary loop condensate water system. The original wall thickness of the pipes was 10 mm, designed for a maximum working temperature of 195°C and a maximum working pressure of 1.27 MPa. Under these design conditions, the minimum required wall thickness for the pipes was 4.7 mm. However, at the rupture site, the thickness had reduced to 1.4 mm. The Unit 3 reactor, a 826 MW pressurized water reactor, began operation in December 1976. Neglecting wall thickness inspections at this location for 27 years contributed to the failure.</w:t>
      </w:r>
    </w:p>
    <w:p w14:paraId="5CE8E907">
      <w:pPr>
        <w:pStyle w:val="16"/>
        <w:spacing w:before="31" w:after="31"/>
        <w:ind w:firstLine="480"/>
        <w:rPr>
          <w:szCs w:val="24"/>
        </w:rPr>
      </w:pPr>
    </w:p>
    <w:p w14:paraId="6E40A6F4">
      <w:pPr>
        <w:pStyle w:val="16"/>
        <w:spacing w:before="31" w:after="31"/>
        <w:ind w:firstLine="0" w:firstLineChars="0"/>
        <w:rPr>
          <w:szCs w:val="24"/>
        </w:rPr>
      </w:pPr>
      <w:r>
        <w:rPr>
          <w:rFonts w:hint="eastAsia"/>
          <w:szCs w:val="24"/>
        </w:rPr>
        <w:t>(5) Appearance of Component Failure</w:t>
      </w:r>
    </w:p>
    <w:p w14:paraId="4151D0AF">
      <w:pPr>
        <w:pStyle w:val="16"/>
        <w:spacing w:before="31" w:after="31"/>
        <w:ind w:firstLine="480"/>
        <w:rPr>
          <w:szCs w:val="24"/>
        </w:rPr>
      </w:pPr>
      <w:r>
        <w:rPr>
          <w:rFonts w:hint="eastAsia"/>
          <w:szCs w:val="24"/>
        </w:rPr>
        <w:t>Figure 3-3.1 shows the fractured pipe after the accident [14].</w:t>
      </w:r>
    </w:p>
    <w:p w14:paraId="7ABF8EBB">
      <w:pPr>
        <w:pStyle w:val="16"/>
        <w:spacing w:before="31" w:after="31"/>
        <w:ind w:firstLine="480"/>
        <w:rPr>
          <w:szCs w:val="24"/>
        </w:rPr>
      </w:pPr>
    </w:p>
    <w:p w14:paraId="21D38EE0">
      <w:pPr>
        <w:pStyle w:val="16"/>
        <w:spacing w:before="31" w:after="31"/>
        <w:ind w:firstLine="0" w:firstLineChars="0"/>
        <w:rPr>
          <w:szCs w:val="24"/>
        </w:rPr>
      </w:pPr>
      <w:r>
        <w:rPr>
          <w:rFonts w:hint="eastAsia"/>
          <w:szCs w:val="24"/>
        </w:rPr>
        <w:t>(6) Failure Cause Analysis</w:t>
      </w:r>
    </w:p>
    <w:p w14:paraId="4C1CF36D">
      <w:pPr>
        <w:pStyle w:val="16"/>
        <w:spacing w:before="31" w:after="31"/>
        <w:ind w:firstLine="480"/>
        <w:rPr>
          <w:szCs w:val="24"/>
        </w:rPr>
      </w:pPr>
      <w:r>
        <w:rPr>
          <w:rFonts w:hint="eastAsia"/>
          <w:szCs w:val="24"/>
        </w:rPr>
        <w:t>Flow-accelerated corrosion led to the rupture of the pipes, and operational neglect over the 27-year period was also a significant contributing factor.</w:t>
      </w:r>
    </w:p>
    <w:p w14:paraId="0DB38474">
      <w:pPr>
        <w:pStyle w:val="16"/>
        <w:spacing w:before="31" w:after="31"/>
        <w:ind w:firstLine="480"/>
        <w:rPr>
          <w:szCs w:val="24"/>
        </w:rPr>
      </w:pPr>
    </w:p>
    <w:p w14:paraId="3AED002D">
      <w:pPr>
        <w:pStyle w:val="16"/>
        <w:spacing w:before="31" w:after="31"/>
        <w:ind w:firstLine="0" w:firstLineChars="0"/>
        <w:rPr>
          <w:szCs w:val="24"/>
        </w:rPr>
      </w:pPr>
      <w:r>
        <w:rPr>
          <w:rFonts w:hint="eastAsia"/>
          <w:szCs w:val="24"/>
        </w:rPr>
        <w:t>(7) Impact and Harm Caused</w:t>
      </w:r>
    </w:p>
    <w:p w14:paraId="312C945E">
      <w:pPr>
        <w:pStyle w:val="16"/>
        <w:spacing w:before="31" w:after="31"/>
        <w:ind w:firstLine="480"/>
        <w:rPr>
          <w:szCs w:val="24"/>
        </w:rPr>
      </w:pPr>
      <w:r>
        <w:rPr>
          <w:rFonts w:hint="eastAsia"/>
          <w:szCs w:val="24"/>
        </w:rPr>
        <w:t>The accident resulted in four fatalities, seven individuals scalded by steam, and significant damage to plant equipment.</w:t>
      </w:r>
    </w:p>
    <w:p w14:paraId="1644A1B5">
      <w:pPr>
        <w:pStyle w:val="16"/>
        <w:spacing w:before="31" w:after="31"/>
        <w:ind w:firstLine="480"/>
        <w:rPr>
          <w:szCs w:val="24"/>
        </w:rPr>
      </w:pPr>
    </w:p>
    <w:p w14:paraId="61FC6223">
      <w:pPr>
        <w:pStyle w:val="16"/>
        <w:spacing w:before="31" w:after="31"/>
        <w:ind w:firstLine="0" w:firstLineChars="0"/>
        <w:rPr>
          <w:szCs w:val="24"/>
        </w:rPr>
      </w:pPr>
      <w:r>
        <w:rPr>
          <w:rFonts w:hint="eastAsia"/>
          <w:szCs w:val="24"/>
        </w:rPr>
        <w:t>(8) Conclusions and Improvement Measures</w:t>
      </w:r>
    </w:p>
    <w:p w14:paraId="2A4DBA33">
      <w:pPr>
        <w:pStyle w:val="16"/>
        <w:spacing w:before="31" w:after="31"/>
        <w:ind w:firstLine="480"/>
        <w:rPr>
          <w:szCs w:val="24"/>
        </w:rPr>
      </w:pPr>
      <w:r>
        <w:rPr>
          <w:rFonts w:hint="eastAsia"/>
          <w:szCs w:val="24"/>
        </w:rPr>
        <w:t>The only solution for dealing with the accident was to replace the entire pipeline.</w:t>
      </w:r>
    </w:p>
    <w:p w14:paraId="57A8C536">
      <w:pPr>
        <w:pStyle w:val="22"/>
        <w:spacing w:before="156" w:after="468"/>
        <w:rPr>
          <w:color w:val="000000"/>
        </w:rPr>
      </w:pPr>
      <w:r>
        <w:rPr>
          <w:rFonts w:hint="eastAsia"/>
          <w:color w:val="000000"/>
        </w:rPr>
        <w:t>Figure 3-3.1 Fractured pipe after the accident at the Mihama Plant</w:t>
      </w:r>
    </w:p>
    <w:p w14:paraId="00A29D10">
      <w:pPr>
        <w:pStyle w:val="16"/>
        <w:spacing w:before="31" w:after="31"/>
        <w:ind w:firstLine="480"/>
        <w:rPr>
          <w:szCs w:val="24"/>
        </w:rPr>
      </w:pPr>
    </w:p>
    <w:p w14:paraId="79701D44">
      <w:pPr>
        <w:pStyle w:val="16"/>
        <w:spacing w:before="31" w:after="31"/>
        <w:ind w:firstLine="480"/>
        <w:rPr>
          <w:szCs w:val="24"/>
        </w:rPr>
      </w:pPr>
    </w:p>
    <w:p w14:paraId="5D1FAB38">
      <w:pPr>
        <w:pStyle w:val="21"/>
        <w:numPr>
          <w:ilvl w:val="2"/>
          <w:numId w:val="0"/>
        </w:numPr>
        <w:rPr>
          <w:sz w:val="24"/>
          <w:szCs w:val="24"/>
        </w:rPr>
      </w:pPr>
      <w:r>
        <w:rPr>
          <w:rFonts w:hint="eastAsia" w:eastAsia="宋体"/>
          <w:color w:val="000000"/>
        </w:rPr>
        <w:t>3.2.4 Case 3-4: Rupture of the Feedwater System Pipeline at Pleasant Prairie Fossil Nuclear Power Plant</w:t>
      </w:r>
    </w:p>
    <w:p w14:paraId="22F86FEB">
      <w:pPr>
        <w:pStyle w:val="16"/>
        <w:spacing w:before="31" w:after="31"/>
        <w:ind w:firstLine="0" w:firstLineChars="0"/>
        <w:rPr>
          <w:szCs w:val="24"/>
        </w:rPr>
      </w:pPr>
      <w:r>
        <w:rPr>
          <w:rFonts w:hint="eastAsia"/>
          <w:szCs w:val="24"/>
        </w:rPr>
        <w:t>(1) Case Name</w:t>
      </w:r>
    </w:p>
    <w:p w14:paraId="2FEA456A">
      <w:pPr>
        <w:pStyle w:val="16"/>
        <w:spacing w:before="31" w:after="31"/>
        <w:ind w:firstLine="420" w:firstLineChars="0"/>
        <w:rPr>
          <w:szCs w:val="24"/>
        </w:rPr>
      </w:pPr>
      <w:r>
        <w:rPr>
          <w:rFonts w:hint="eastAsia"/>
          <w:szCs w:val="24"/>
        </w:rPr>
        <w:t>Rupture of the Feedwater System Pipeline at Pleasant Prairie Fossil Nuclear Power Plant</w:t>
      </w:r>
    </w:p>
    <w:p w14:paraId="4975D271">
      <w:pPr>
        <w:pStyle w:val="16"/>
        <w:spacing w:before="31" w:after="31"/>
        <w:ind w:firstLine="0" w:firstLineChars="0"/>
        <w:rPr>
          <w:szCs w:val="24"/>
        </w:rPr>
      </w:pPr>
    </w:p>
    <w:p w14:paraId="48171836">
      <w:pPr>
        <w:pStyle w:val="16"/>
        <w:spacing w:before="31" w:after="31"/>
        <w:ind w:firstLine="0" w:firstLineChars="0"/>
        <w:rPr>
          <w:szCs w:val="24"/>
        </w:rPr>
      </w:pPr>
      <w:r>
        <w:rPr>
          <w:rFonts w:hint="eastAsia"/>
          <w:szCs w:val="24"/>
        </w:rPr>
        <w:t>(2) Description of Failure Process</w:t>
      </w:r>
    </w:p>
    <w:p w14:paraId="39089D52">
      <w:pPr>
        <w:pStyle w:val="16"/>
        <w:spacing w:before="31" w:after="31"/>
        <w:ind w:firstLine="420" w:firstLineChars="0"/>
        <w:rPr>
          <w:szCs w:val="24"/>
        </w:rPr>
      </w:pPr>
      <w:r>
        <w:rPr>
          <w:rFonts w:hint="eastAsia"/>
          <w:szCs w:val="24"/>
        </w:rPr>
        <w:t>In February 1995, a serious rupture occurred in the seamless straight pipe downstream of the T-joint in the feedwater system at the Pleasant Prairie Fossil Nuclear Power Plant.</w:t>
      </w:r>
    </w:p>
    <w:p w14:paraId="1A881421">
      <w:pPr>
        <w:pStyle w:val="16"/>
        <w:spacing w:before="31" w:after="31"/>
        <w:ind w:firstLine="0" w:firstLineChars="0"/>
        <w:rPr>
          <w:szCs w:val="24"/>
        </w:rPr>
      </w:pPr>
    </w:p>
    <w:p w14:paraId="7178F872">
      <w:pPr>
        <w:pStyle w:val="16"/>
        <w:spacing w:before="31" w:after="31"/>
        <w:ind w:firstLine="0" w:firstLineChars="0"/>
        <w:rPr>
          <w:szCs w:val="24"/>
        </w:rPr>
      </w:pPr>
      <w:r>
        <w:rPr>
          <w:rFonts w:hint="eastAsia"/>
          <w:szCs w:val="24"/>
        </w:rPr>
        <w:t>(3) Operating Environment</w:t>
      </w:r>
    </w:p>
    <w:p w14:paraId="48E03209">
      <w:pPr>
        <w:pStyle w:val="16"/>
        <w:spacing w:before="31" w:after="31"/>
        <w:ind w:firstLine="420" w:firstLineChars="0"/>
        <w:rPr>
          <w:szCs w:val="24"/>
        </w:rPr>
      </w:pPr>
      <w:r>
        <w:rPr>
          <w:rFonts w:hint="eastAsia"/>
          <w:szCs w:val="24"/>
        </w:rPr>
        <w:t>Post-incident investigations revealed a water chemistry environment consisting of low-pH ammonia water and ammonium hydroxide.</w:t>
      </w:r>
    </w:p>
    <w:p w14:paraId="5BEC7097">
      <w:pPr>
        <w:pStyle w:val="16"/>
        <w:spacing w:before="31" w:after="31"/>
        <w:ind w:firstLine="0" w:firstLineChars="0"/>
        <w:rPr>
          <w:szCs w:val="24"/>
        </w:rPr>
      </w:pPr>
    </w:p>
    <w:p w14:paraId="18A82B39">
      <w:pPr>
        <w:pStyle w:val="16"/>
        <w:spacing w:before="31" w:after="31"/>
        <w:ind w:firstLine="0" w:firstLineChars="0"/>
        <w:rPr>
          <w:szCs w:val="24"/>
        </w:rPr>
      </w:pPr>
      <w:r>
        <w:rPr>
          <w:rFonts w:hint="eastAsia"/>
          <w:szCs w:val="24"/>
        </w:rPr>
        <w:t>(4) Failed Components and Materials</w:t>
      </w:r>
    </w:p>
    <w:p w14:paraId="068EDF6F">
      <w:pPr>
        <w:pStyle w:val="16"/>
        <w:spacing w:before="31" w:after="31"/>
        <w:ind w:firstLine="420" w:firstLineChars="0"/>
        <w:rPr>
          <w:szCs w:val="24"/>
        </w:rPr>
      </w:pPr>
      <w:r>
        <w:rPr>
          <w:rFonts w:hint="eastAsia"/>
          <w:szCs w:val="24"/>
        </w:rPr>
        <w:t>The failure occurred in the downstream pipe of the high-pressure discharge pipe T-joint, and the material used was low-alloy steel. Component analysis showed that the pipe had a Cr content of 0.03%, while the T-joint had a Cr content of 0.12%.</w:t>
      </w:r>
    </w:p>
    <w:p w14:paraId="321E61DE">
      <w:pPr>
        <w:pStyle w:val="16"/>
        <w:spacing w:before="31" w:after="31"/>
        <w:ind w:firstLine="0" w:firstLineChars="0"/>
        <w:rPr>
          <w:szCs w:val="24"/>
        </w:rPr>
      </w:pPr>
    </w:p>
    <w:p w14:paraId="529D527F">
      <w:pPr>
        <w:pStyle w:val="16"/>
        <w:spacing w:before="31" w:after="31"/>
        <w:ind w:firstLine="0" w:firstLineChars="0"/>
        <w:rPr>
          <w:szCs w:val="24"/>
        </w:rPr>
      </w:pPr>
      <w:r>
        <w:rPr>
          <w:rFonts w:hint="eastAsia"/>
          <w:szCs w:val="24"/>
        </w:rPr>
        <w:t>(5) Appearance of Component Failure</w:t>
      </w:r>
    </w:p>
    <w:p w14:paraId="7872AB99">
      <w:pPr>
        <w:pStyle w:val="16"/>
        <w:spacing w:before="31" w:after="31"/>
        <w:ind w:firstLine="420" w:firstLineChars="0"/>
        <w:rPr>
          <w:szCs w:val="24"/>
        </w:rPr>
      </w:pPr>
      <w:r>
        <w:rPr>
          <w:rFonts w:hint="eastAsia"/>
          <w:szCs w:val="24"/>
        </w:rPr>
        <w:t>The ruptured pipe's appearance is shown in Figure 3-4.1.</w:t>
      </w:r>
    </w:p>
    <w:p w14:paraId="1AFB14C9">
      <w:pPr>
        <w:pStyle w:val="22"/>
        <w:spacing w:before="156" w:after="468"/>
        <w:rPr>
          <w:color w:val="000000"/>
        </w:rPr>
      </w:pPr>
      <w:r>
        <w:rPr>
          <w:rFonts w:hint="eastAsia"/>
          <w:color w:val="000000"/>
        </w:rPr>
        <w:t>Figure 3-4.1 Seamless straight pipe downstream of the T-joint in the feedwater system</w:t>
      </w:r>
    </w:p>
    <w:p w14:paraId="2D593657">
      <w:pPr>
        <w:pStyle w:val="16"/>
        <w:spacing w:before="31" w:after="31"/>
        <w:ind w:firstLine="0" w:firstLineChars="0"/>
        <w:rPr>
          <w:szCs w:val="24"/>
        </w:rPr>
      </w:pPr>
    </w:p>
    <w:p w14:paraId="528680D8">
      <w:pPr>
        <w:pStyle w:val="16"/>
        <w:spacing w:before="31" w:after="31"/>
        <w:ind w:firstLine="0" w:firstLineChars="0"/>
        <w:rPr>
          <w:szCs w:val="24"/>
        </w:rPr>
      </w:pPr>
      <w:r>
        <w:rPr>
          <w:rFonts w:hint="eastAsia"/>
          <w:szCs w:val="24"/>
        </w:rPr>
        <w:t>(6) Failure Cause Analysis</w:t>
      </w:r>
    </w:p>
    <w:p w14:paraId="0D09C520">
      <w:pPr>
        <w:pStyle w:val="16"/>
        <w:spacing w:before="31" w:after="31"/>
        <w:ind w:firstLine="420" w:firstLineChars="0"/>
        <w:rPr>
          <w:szCs w:val="24"/>
        </w:rPr>
      </w:pPr>
      <w:r>
        <w:rPr>
          <w:rFonts w:hint="eastAsia"/>
          <w:szCs w:val="24"/>
        </w:rPr>
        <w:t>Analysis of the incident indicated that the significant difference in Cr content facilitated flow-accelerated corrosion, leading to a severe failure and rupture of the pipe in a corrosive environment.</w:t>
      </w:r>
    </w:p>
    <w:p w14:paraId="4ADC0A42">
      <w:pPr>
        <w:pStyle w:val="16"/>
        <w:spacing w:before="31" w:after="31"/>
        <w:ind w:firstLine="0" w:firstLineChars="0"/>
        <w:rPr>
          <w:szCs w:val="24"/>
        </w:rPr>
      </w:pPr>
    </w:p>
    <w:p w14:paraId="76825134">
      <w:pPr>
        <w:pStyle w:val="16"/>
        <w:spacing w:before="31" w:after="31"/>
        <w:ind w:firstLine="0" w:firstLineChars="0"/>
        <w:rPr>
          <w:szCs w:val="24"/>
        </w:rPr>
      </w:pPr>
      <w:r>
        <w:rPr>
          <w:rFonts w:hint="eastAsia"/>
          <w:szCs w:val="24"/>
        </w:rPr>
        <w:t>(7) Impact and Harm Caused</w:t>
      </w:r>
    </w:p>
    <w:p w14:paraId="00721FD2">
      <w:pPr>
        <w:pStyle w:val="16"/>
        <w:spacing w:before="31" w:after="31"/>
        <w:ind w:firstLine="420" w:firstLineChars="0"/>
        <w:rPr>
          <w:szCs w:val="24"/>
        </w:rPr>
      </w:pPr>
      <w:r>
        <w:rPr>
          <w:rFonts w:hint="eastAsia"/>
          <w:szCs w:val="24"/>
        </w:rPr>
        <w:t>The accident resulted in the serious consequences of two fatalities.</w:t>
      </w:r>
    </w:p>
    <w:p w14:paraId="353B6C5E">
      <w:pPr>
        <w:pStyle w:val="16"/>
        <w:spacing w:before="31" w:after="31"/>
        <w:ind w:firstLine="0" w:firstLineChars="0"/>
        <w:rPr>
          <w:szCs w:val="24"/>
        </w:rPr>
      </w:pPr>
    </w:p>
    <w:p w14:paraId="43B92B04">
      <w:pPr>
        <w:pStyle w:val="16"/>
        <w:spacing w:before="31" w:after="31"/>
        <w:ind w:firstLine="0" w:firstLineChars="0"/>
        <w:rPr>
          <w:szCs w:val="24"/>
        </w:rPr>
      </w:pPr>
      <w:r>
        <w:rPr>
          <w:rFonts w:hint="eastAsia"/>
          <w:szCs w:val="24"/>
        </w:rPr>
        <w:t>(8) Conclusions and Improvement Measures</w:t>
      </w:r>
    </w:p>
    <w:p w14:paraId="31B407C4">
      <w:pPr>
        <w:pStyle w:val="16"/>
        <w:spacing w:before="31" w:after="31"/>
        <w:ind w:firstLine="420" w:firstLineChars="0"/>
        <w:rPr>
          <w:szCs w:val="24"/>
        </w:rPr>
      </w:pPr>
      <w:r>
        <w:rPr>
          <w:rFonts w:hint="eastAsia"/>
          <w:szCs w:val="24"/>
        </w:rPr>
        <w:t>The main cause of the incident was the compositional difference in the pipe, which promoted flow-accelerated corrosion.</w:t>
      </w:r>
    </w:p>
    <w:p w14:paraId="629ABB20">
      <w:pPr>
        <w:pStyle w:val="16"/>
        <w:spacing w:before="31" w:after="31"/>
        <w:ind w:firstLine="0" w:firstLineChars="0"/>
        <w:rPr>
          <w:szCs w:val="24"/>
        </w:rPr>
      </w:pPr>
    </w:p>
    <w:p w14:paraId="65099B0E">
      <w:pPr>
        <w:pStyle w:val="16"/>
        <w:spacing w:before="31" w:after="31"/>
        <w:ind w:firstLine="0" w:firstLineChars="0"/>
        <w:rPr>
          <w:szCs w:val="24"/>
        </w:rPr>
      </w:pPr>
    </w:p>
    <w:p w14:paraId="3C8E5F86">
      <w:pPr>
        <w:pStyle w:val="21"/>
        <w:numPr>
          <w:ilvl w:val="2"/>
          <w:numId w:val="0"/>
        </w:numPr>
        <w:rPr>
          <w:sz w:val="24"/>
          <w:szCs w:val="24"/>
        </w:rPr>
      </w:pPr>
      <w:r>
        <w:rPr>
          <w:rFonts w:hint="eastAsia" w:eastAsia="宋体"/>
          <w:color w:val="000000"/>
        </w:rPr>
        <w:t>3.2.5 Case 3-5: Failure of the Drain Pipe Downstream of the Reheater at Callaway Plant</w:t>
      </w:r>
    </w:p>
    <w:p w14:paraId="3CF35FB0">
      <w:pPr>
        <w:pStyle w:val="16"/>
        <w:spacing w:before="31" w:after="31"/>
        <w:ind w:firstLine="0" w:firstLineChars="0"/>
        <w:rPr>
          <w:szCs w:val="24"/>
        </w:rPr>
      </w:pPr>
      <w:r>
        <w:rPr>
          <w:rFonts w:hint="eastAsia"/>
          <w:szCs w:val="24"/>
        </w:rPr>
        <w:t>(1) Case Name</w:t>
      </w:r>
    </w:p>
    <w:p w14:paraId="5FAAABC4">
      <w:pPr>
        <w:pStyle w:val="16"/>
        <w:spacing w:before="31" w:after="31"/>
        <w:ind w:firstLine="420" w:firstLineChars="0"/>
        <w:rPr>
          <w:szCs w:val="24"/>
        </w:rPr>
      </w:pPr>
      <w:r>
        <w:rPr>
          <w:rFonts w:hint="eastAsia"/>
          <w:szCs w:val="24"/>
        </w:rPr>
        <w:t>Failure of the Drain Pipe Downstream of the Reheater at Callaway Plant</w:t>
      </w:r>
    </w:p>
    <w:p w14:paraId="318C6D53">
      <w:pPr>
        <w:pStyle w:val="16"/>
        <w:spacing w:before="31" w:after="31"/>
        <w:ind w:firstLine="0" w:firstLineChars="0"/>
        <w:rPr>
          <w:szCs w:val="24"/>
        </w:rPr>
      </w:pPr>
    </w:p>
    <w:p w14:paraId="734ACAF0">
      <w:pPr>
        <w:pStyle w:val="16"/>
        <w:spacing w:before="31" w:after="31"/>
        <w:ind w:firstLine="0" w:firstLineChars="0"/>
        <w:rPr>
          <w:szCs w:val="24"/>
        </w:rPr>
      </w:pPr>
      <w:r>
        <w:rPr>
          <w:rFonts w:hint="eastAsia"/>
          <w:szCs w:val="24"/>
        </w:rPr>
        <w:t>(2) Description of Failure Process</w:t>
      </w:r>
    </w:p>
    <w:p w14:paraId="17584576">
      <w:pPr>
        <w:pStyle w:val="16"/>
        <w:spacing w:before="31" w:after="31"/>
        <w:ind w:firstLine="420" w:firstLineChars="0"/>
        <w:rPr>
          <w:szCs w:val="24"/>
        </w:rPr>
      </w:pPr>
      <w:r>
        <w:rPr>
          <w:rFonts w:hint="eastAsia"/>
          <w:szCs w:val="24"/>
        </w:rPr>
        <w:t>In 1999, a portion measuring 380x530mm was ground out of the downstream drain pipe with a diameter of 170mm in the first-stage reheater, during the horizontal operation of the Callaway Plant.</w:t>
      </w:r>
    </w:p>
    <w:p w14:paraId="306D857A">
      <w:pPr>
        <w:pStyle w:val="16"/>
        <w:spacing w:before="31" w:after="31"/>
        <w:ind w:firstLine="0" w:firstLineChars="0"/>
        <w:rPr>
          <w:szCs w:val="24"/>
        </w:rPr>
      </w:pPr>
    </w:p>
    <w:p w14:paraId="74A66957">
      <w:pPr>
        <w:pStyle w:val="16"/>
        <w:spacing w:before="31" w:after="31"/>
        <w:ind w:firstLine="0" w:firstLineChars="0"/>
        <w:rPr>
          <w:szCs w:val="24"/>
        </w:rPr>
      </w:pPr>
      <w:r>
        <w:rPr>
          <w:rFonts w:hint="eastAsia"/>
          <w:szCs w:val="24"/>
        </w:rPr>
        <w:t>(3) Operating Environment</w:t>
      </w:r>
    </w:p>
    <w:p w14:paraId="2F242E82">
      <w:pPr>
        <w:pStyle w:val="16"/>
        <w:spacing w:before="31" w:after="31"/>
        <w:ind w:firstLine="420" w:firstLineChars="0"/>
        <w:rPr>
          <w:szCs w:val="24"/>
        </w:rPr>
      </w:pPr>
      <w:r>
        <w:rPr>
          <w:rFonts w:hint="eastAsia"/>
          <w:szCs w:val="24"/>
        </w:rPr>
        <w:t>The pipeline conditions are unclear, with a quality of approximately 4.5 at 215°C and a gas content of about 55%. Generally, two-phase pipelines in nuclear power plants are close to 1 or 0.</w:t>
      </w:r>
    </w:p>
    <w:p w14:paraId="1A190D77">
      <w:pPr>
        <w:pStyle w:val="16"/>
        <w:spacing w:before="31" w:after="31"/>
        <w:ind w:firstLine="0" w:firstLineChars="0"/>
        <w:rPr>
          <w:szCs w:val="24"/>
        </w:rPr>
      </w:pPr>
    </w:p>
    <w:p w14:paraId="4E2658B5">
      <w:pPr>
        <w:pStyle w:val="16"/>
        <w:spacing w:before="31" w:after="31"/>
        <w:ind w:firstLine="0" w:firstLineChars="0"/>
        <w:rPr>
          <w:szCs w:val="24"/>
        </w:rPr>
      </w:pPr>
      <w:r>
        <w:rPr>
          <w:rFonts w:hint="eastAsia"/>
          <w:szCs w:val="24"/>
        </w:rPr>
        <w:t>(4) Failed Components and Materials</w:t>
      </w:r>
    </w:p>
    <w:p w14:paraId="302606B9">
      <w:pPr>
        <w:pStyle w:val="16"/>
        <w:spacing w:before="31" w:after="31"/>
        <w:ind w:firstLine="420" w:firstLineChars="0"/>
        <w:rPr>
          <w:szCs w:val="24"/>
        </w:rPr>
      </w:pPr>
      <w:r>
        <w:rPr>
          <w:rFonts w:hint="eastAsia"/>
          <w:szCs w:val="24"/>
        </w:rPr>
        <w:t>The failed pipe was the downstream carbon steel drain pipe of the reheater.</w:t>
      </w:r>
    </w:p>
    <w:p w14:paraId="3DDCC16C">
      <w:pPr>
        <w:pStyle w:val="16"/>
        <w:spacing w:before="31" w:after="31"/>
        <w:ind w:firstLine="0" w:firstLineChars="0"/>
        <w:rPr>
          <w:szCs w:val="24"/>
        </w:rPr>
      </w:pPr>
    </w:p>
    <w:p w14:paraId="58F51A62">
      <w:pPr>
        <w:pStyle w:val="16"/>
        <w:spacing w:before="31" w:after="31"/>
        <w:ind w:firstLine="0" w:firstLineChars="0"/>
        <w:rPr>
          <w:szCs w:val="24"/>
        </w:rPr>
      </w:pPr>
      <w:r>
        <w:rPr>
          <w:rFonts w:hint="eastAsia"/>
          <w:szCs w:val="24"/>
        </w:rPr>
        <w:t>(5) Appearance of Component Failure</w:t>
      </w:r>
    </w:p>
    <w:p w14:paraId="4E020CC0">
      <w:pPr>
        <w:pStyle w:val="16"/>
        <w:spacing w:before="31" w:after="31"/>
        <w:ind w:firstLine="420" w:firstLineChars="0"/>
        <w:rPr>
          <w:szCs w:val="24"/>
        </w:rPr>
      </w:pPr>
      <w:r>
        <w:rPr>
          <w:rFonts w:hint="eastAsia"/>
          <w:szCs w:val="24"/>
        </w:rPr>
        <w:t>The appearance of the failure site is shown in Figure 3-5.1.</w:t>
      </w:r>
    </w:p>
    <w:p w14:paraId="5BDDF257">
      <w:pPr>
        <w:pStyle w:val="22"/>
        <w:spacing w:before="156" w:after="468"/>
        <w:rPr>
          <w:sz w:val="24"/>
        </w:rPr>
      </w:pPr>
      <w:r>
        <w:rPr>
          <w:rFonts w:hint="eastAsia"/>
          <w:color w:val="000000"/>
        </w:rPr>
        <w:t>Figure 3-5.1 Failure of the downstream drain pipe of the reheater</w:t>
      </w:r>
    </w:p>
    <w:p w14:paraId="6CA6CBA5">
      <w:pPr>
        <w:pStyle w:val="16"/>
        <w:spacing w:before="31" w:after="31"/>
        <w:ind w:firstLine="0" w:firstLineChars="0"/>
        <w:rPr>
          <w:szCs w:val="24"/>
        </w:rPr>
      </w:pPr>
      <w:r>
        <w:rPr>
          <w:rFonts w:hint="eastAsia"/>
          <w:szCs w:val="24"/>
        </w:rPr>
        <w:t>(6) Failure Cause Analysis</w:t>
      </w:r>
    </w:p>
    <w:p w14:paraId="55DF6330">
      <w:pPr>
        <w:pStyle w:val="16"/>
        <w:spacing w:before="31" w:after="31"/>
        <w:ind w:firstLine="420" w:firstLineChars="0"/>
        <w:rPr>
          <w:szCs w:val="24"/>
        </w:rPr>
      </w:pPr>
      <w:r>
        <w:rPr>
          <w:rFonts w:hint="eastAsia"/>
          <w:szCs w:val="24"/>
        </w:rPr>
        <w:t>Post-incident investigations revealed unclear pipeline conditions. The water level control valve, usually located downstream, may cause more severe flow-accelerated corrosion. Additionally, the use of gaskets in the pipeline promoted wear.</w:t>
      </w:r>
    </w:p>
    <w:p w14:paraId="75ED1827">
      <w:pPr>
        <w:pStyle w:val="16"/>
        <w:spacing w:before="31" w:after="31"/>
        <w:ind w:firstLine="0" w:firstLineChars="0"/>
        <w:rPr>
          <w:szCs w:val="24"/>
        </w:rPr>
      </w:pPr>
    </w:p>
    <w:p w14:paraId="23C489B4">
      <w:pPr>
        <w:pStyle w:val="16"/>
        <w:spacing w:before="31" w:after="31"/>
        <w:ind w:firstLine="0" w:firstLineChars="0"/>
        <w:rPr>
          <w:szCs w:val="24"/>
        </w:rPr>
      </w:pPr>
      <w:r>
        <w:rPr>
          <w:rFonts w:hint="eastAsia"/>
          <w:szCs w:val="24"/>
        </w:rPr>
        <w:t>(7) Impact and Harm Caused</w:t>
      </w:r>
    </w:p>
    <w:p w14:paraId="45E389D8">
      <w:pPr>
        <w:pStyle w:val="16"/>
        <w:spacing w:before="31" w:after="31"/>
        <w:ind w:firstLine="420" w:firstLineChars="0"/>
        <w:rPr>
          <w:szCs w:val="24"/>
        </w:rPr>
      </w:pPr>
      <w:r>
        <w:rPr>
          <w:rFonts w:hint="eastAsia"/>
          <w:szCs w:val="24"/>
        </w:rPr>
        <w:t>Null</w:t>
      </w:r>
    </w:p>
    <w:p w14:paraId="452BF9F0">
      <w:pPr>
        <w:pStyle w:val="16"/>
        <w:spacing w:before="31" w:after="31"/>
        <w:ind w:firstLine="0" w:firstLineChars="0"/>
        <w:rPr>
          <w:szCs w:val="24"/>
        </w:rPr>
      </w:pPr>
    </w:p>
    <w:p w14:paraId="43203731">
      <w:pPr>
        <w:pStyle w:val="16"/>
        <w:spacing w:before="31" w:after="31"/>
        <w:ind w:firstLine="0" w:firstLineChars="0"/>
        <w:rPr>
          <w:szCs w:val="24"/>
        </w:rPr>
      </w:pPr>
      <w:r>
        <w:rPr>
          <w:rFonts w:hint="eastAsia"/>
          <w:szCs w:val="24"/>
        </w:rPr>
        <w:t>(8) Conclusions and Improvement Measures</w:t>
      </w:r>
    </w:p>
    <w:p w14:paraId="45F225D2">
      <w:pPr>
        <w:pStyle w:val="16"/>
        <w:spacing w:before="31" w:after="31"/>
        <w:ind w:firstLine="420" w:firstLineChars="0"/>
        <w:rPr>
          <w:szCs w:val="24"/>
        </w:rPr>
      </w:pPr>
      <w:r>
        <w:rPr>
          <w:rFonts w:hint="eastAsia"/>
          <w:szCs w:val="24"/>
        </w:rPr>
        <w:t>Flow-accelerated corrosion is the main cause. Unclear operating conditions, installation errors, and the use of gaskets that promote wear have contributed to the occurrence of corrosion to some extent.</w:t>
      </w:r>
    </w:p>
    <w:p w14:paraId="75A1CD04">
      <w:pPr>
        <w:pStyle w:val="16"/>
        <w:spacing w:before="31" w:after="31"/>
        <w:ind w:firstLine="0" w:firstLineChars="0"/>
        <w:rPr>
          <w:szCs w:val="24"/>
        </w:rPr>
      </w:pPr>
    </w:p>
    <w:p w14:paraId="5B430996">
      <w:pPr>
        <w:pStyle w:val="16"/>
        <w:spacing w:before="31" w:after="31"/>
        <w:ind w:firstLine="0" w:firstLineChars="0"/>
        <w:rPr>
          <w:szCs w:val="24"/>
        </w:rPr>
      </w:pPr>
    </w:p>
    <w:p w14:paraId="35D3B881">
      <w:pPr>
        <w:pStyle w:val="21"/>
        <w:numPr>
          <w:ilvl w:val="2"/>
          <w:numId w:val="0"/>
        </w:numPr>
        <w:rPr>
          <w:sz w:val="24"/>
          <w:szCs w:val="24"/>
        </w:rPr>
      </w:pPr>
      <w:r>
        <w:rPr>
          <w:rFonts w:hint="eastAsia" w:eastAsia="宋体"/>
          <w:color w:val="000000"/>
        </w:rPr>
        <w:t>3.2.6 Case 3-6: Corrosion of Circulating Cooling Water Pump at Jiangsu Tianwan</w:t>
      </w:r>
    </w:p>
    <w:p w14:paraId="1659EDC1">
      <w:pPr>
        <w:pStyle w:val="16"/>
        <w:spacing w:before="31" w:after="31"/>
        <w:ind w:firstLine="0" w:firstLineChars="0"/>
        <w:rPr>
          <w:szCs w:val="24"/>
        </w:rPr>
      </w:pPr>
      <w:r>
        <w:rPr>
          <w:rFonts w:hint="eastAsia"/>
          <w:szCs w:val="24"/>
        </w:rPr>
        <w:t>(1) Case Name</w:t>
      </w:r>
    </w:p>
    <w:p w14:paraId="1302C422">
      <w:pPr>
        <w:pStyle w:val="16"/>
        <w:spacing w:before="31" w:after="31"/>
        <w:ind w:firstLine="420" w:firstLineChars="0"/>
        <w:rPr>
          <w:szCs w:val="24"/>
        </w:rPr>
      </w:pPr>
      <w:r>
        <w:rPr>
          <w:rFonts w:hint="eastAsia"/>
          <w:szCs w:val="24"/>
        </w:rPr>
        <w:t>Corrosion of the Circulating Cooling Water Pump at Jiangsu Tianwan</w:t>
      </w:r>
    </w:p>
    <w:p w14:paraId="6C2AF69C">
      <w:pPr>
        <w:pStyle w:val="16"/>
        <w:spacing w:before="31" w:after="31"/>
        <w:ind w:firstLine="0" w:firstLineChars="0"/>
        <w:rPr>
          <w:szCs w:val="24"/>
        </w:rPr>
      </w:pPr>
    </w:p>
    <w:p w14:paraId="4743A998">
      <w:pPr>
        <w:pStyle w:val="16"/>
        <w:spacing w:before="31" w:after="31"/>
        <w:ind w:firstLine="0" w:firstLineChars="0"/>
        <w:rPr>
          <w:szCs w:val="24"/>
        </w:rPr>
      </w:pPr>
      <w:r>
        <w:rPr>
          <w:rFonts w:hint="eastAsia"/>
          <w:szCs w:val="24"/>
        </w:rPr>
        <w:t>(2) Description of Failure Process</w:t>
      </w:r>
    </w:p>
    <w:p w14:paraId="09CE0DDB">
      <w:pPr>
        <w:pStyle w:val="16"/>
        <w:spacing w:before="31" w:after="31"/>
        <w:ind w:firstLine="420" w:firstLineChars="0"/>
        <w:rPr>
          <w:szCs w:val="24"/>
        </w:rPr>
      </w:pPr>
      <w:r>
        <w:rPr>
          <w:rFonts w:hint="eastAsia"/>
          <w:szCs w:val="24"/>
        </w:rPr>
        <w:t>During the commissioning phase of Units 1 and 2 at Jiangsu Tianwan Nuclear Power Station, the circulating cooling water pumps experienced severe corrosion. The pump shaft was particularly affected, with corrosion occurring in four areas: the corrosion and wear in the pump body's upper cover region, the sealing packing region, the water chamber region, and the bearing region.</w:t>
      </w:r>
    </w:p>
    <w:p w14:paraId="40F631AC">
      <w:pPr>
        <w:pStyle w:val="16"/>
        <w:spacing w:before="31" w:after="31"/>
        <w:ind w:firstLine="0" w:firstLineChars="0"/>
        <w:rPr>
          <w:szCs w:val="24"/>
        </w:rPr>
      </w:pPr>
    </w:p>
    <w:p w14:paraId="3FDC6648">
      <w:pPr>
        <w:pStyle w:val="16"/>
        <w:spacing w:before="31" w:after="31"/>
        <w:ind w:firstLine="0" w:firstLineChars="0"/>
        <w:rPr>
          <w:szCs w:val="24"/>
        </w:rPr>
      </w:pPr>
      <w:r>
        <w:rPr>
          <w:rFonts w:hint="eastAsia"/>
          <w:szCs w:val="24"/>
        </w:rPr>
        <w:t>(3) Operating Environment</w:t>
      </w:r>
    </w:p>
    <w:p w14:paraId="054CA6FC">
      <w:pPr>
        <w:pStyle w:val="16"/>
        <w:spacing w:before="31" w:after="31"/>
        <w:ind w:firstLine="420" w:firstLineChars="0"/>
        <w:rPr>
          <w:szCs w:val="24"/>
        </w:rPr>
      </w:pPr>
      <w:r>
        <w:rPr>
          <w:rFonts w:hint="eastAsia"/>
          <w:szCs w:val="24"/>
        </w:rPr>
        <w:t>The internal environment mainly consists of seawater for circulating cooling, creating a predominantly salty and humid seawater environment with the presence of sand and microorganisms.</w:t>
      </w:r>
    </w:p>
    <w:p w14:paraId="68AEC851">
      <w:pPr>
        <w:pStyle w:val="16"/>
        <w:spacing w:before="31" w:after="31"/>
        <w:ind w:firstLine="0" w:firstLineChars="0"/>
        <w:rPr>
          <w:szCs w:val="24"/>
        </w:rPr>
      </w:pPr>
    </w:p>
    <w:p w14:paraId="1447C32A">
      <w:pPr>
        <w:pStyle w:val="16"/>
        <w:spacing w:before="31" w:after="31"/>
        <w:ind w:firstLine="0" w:firstLineChars="0"/>
        <w:rPr>
          <w:szCs w:val="24"/>
        </w:rPr>
      </w:pPr>
      <w:r>
        <w:rPr>
          <w:rFonts w:hint="eastAsia"/>
          <w:szCs w:val="24"/>
        </w:rPr>
        <w:t>(4) Failed Components and Materials</w:t>
      </w:r>
    </w:p>
    <w:p w14:paraId="2016DFC7">
      <w:pPr>
        <w:pStyle w:val="16"/>
        <w:spacing w:before="31" w:after="31"/>
        <w:ind w:firstLine="420" w:firstLineChars="0"/>
        <w:rPr>
          <w:szCs w:val="24"/>
        </w:rPr>
      </w:pPr>
      <w:r>
        <w:rPr>
          <w:rFonts w:hint="eastAsia"/>
          <w:szCs w:val="24"/>
        </w:rPr>
        <w:t>Circulating cooling water pump shaft (upper cover region, sealing packing region, water chamber region, and bearing region). Gaps exist between the upper cover and the shaft, as well as between the shaft and the bearing. Sealing packing uses graphite or asbestos yarn.</w:t>
      </w:r>
    </w:p>
    <w:p w14:paraId="28938DA4">
      <w:pPr>
        <w:pStyle w:val="16"/>
        <w:spacing w:before="31" w:after="31"/>
        <w:ind w:firstLine="0" w:firstLineChars="0"/>
        <w:rPr>
          <w:szCs w:val="24"/>
        </w:rPr>
      </w:pPr>
    </w:p>
    <w:p w14:paraId="3FAD96D5">
      <w:pPr>
        <w:pStyle w:val="16"/>
        <w:spacing w:before="31" w:after="31"/>
        <w:ind w:firstLine="0" w:firstLineChars="0"/>
        <w:rPr>
          <w:szCs w:val="24"/>
        </w:rPr>
      </w:pPr>
      <w:r>
        <w:rPr>
          <w:rFonts w:hint="eastAsia"/>
          <w:szCs w:val="24"/>
        </w:rPr>
        <w:t>(5) Appearance of Component Failure</w:t>
      </w:r>
    </w:p>
    <w:p w14:paraId="01804372">
      <w:pPr>
        <w:pStyle w:val="16"/>
        <w:spacing w:before="31" w:after="31"/>
        <w:ind w:firstLine="420" w:firstLineChars="0"/>
        <w:rPr>
          <w:szCs w:val="24"/>
        </w:rPr>
      </w:pPr>
      <w:r>
        <w:rPr>
          <w:rFonts w:hint="eastAsia"/>
          <w:szCs w:val="24"/>
        </w:rPr>
        <w:t>Different regions of the pump shaft exhibited varying degrees and types of corrosion. The damage morphology in the pump body's upper cover region is shown in Figure 3-6.1, the corrosion morphology in the sealing packing region is depicted in Figure 3-6.2, corrosion in the water chamber area mainly occurred above the labyrinth seal face of the rubber bearing and presented a groove-like shape. Corrosion in the water chamber area of Tianwan Nuclear Power Station is shown in Figure 3-6.3, and the corrosion in the bearing region features typical crevice corrosion characteristics, with traces on the surface contacting the rubber bearing corresponding to the length of the bearing. Corrosion in the bearing region of the Tianwan Nuclear Power Station pump shaft is illustrated in Figure 3-6.4.</w:t>
      </w:r>
    </w:p>
    <w:p w14:paraId="30A82CA1">
      <w:pPr>
        <w:pStyle w:val="16"/>
        <w:spacing w:before="31" w:after="31"/>
        <w:ind w:firstLine="0" w:firstLineChars="0"/>
        <w:rPr>
          <w:szCs w:val="24"/>
        </w:rPr>
      </w:pPr>
    </w:p>
    <w:p w14:paraId="3EC4E984">
      <w:pPr>
        <w:pStyle w:val="16"/>
        <w:spacing w:before="31" w:after="31"/>
        <w:ind w:firstLine="0" w:firstLineChars="0"/>
        <w:rPr>
          <w:szCs w:val="24"/>
        </w:rPr>
      </w:pPr>
      <w:r>
        <w:rPr>
          <w:rFonts w:hint="eastAsia"/>
          <w:szCs w:val="24"/>
        </w:rPr>
        <w:t>(6) Failure Cause Analysis</w:t>
      </w:r>
    </w:p>
    <w:p w14:paraId="233F47CE">
      <w:pPr>
        <w:pStyle w:val="16"/>
        <w:spacing w:before="31" w:after="31"/>
        <w:ind w:firstLine="420" w:firstLineChars="0"/>
        <w:rPr>
          <w:szCs w:val="24"/>
        </w:rPr>
      </w:pPr>
      <w:r>
        <w:rPr>
          <w:rFonts w:hint="eastAsia"/>
          <w:szCs w:val="24"/>
        </w:rPr>
        <w:t>The post-failure analysis indicates that in the upper cover region, the main cause is the abrasion caused by the entry of sediment from seawater into the gap between the upper cover and the shaft. In static conditions, the combination of sediment and microorganisms in seawater forms a wet saline environment, leading to pitting corrosion and crevice corrosion. The localized stress and damage during the heat treatment and processing of the pump shaft contribute to stress corrosion in the intergranular regions.</w:t>
      </w:r>
    </w:p>
    <w:p w14:paraId="4DB279B6">
      <w:pPr>
        <w:pStyle w:val="16"/>
        <w:spacing w:before="31" w:after="31"/>
        <w:ind w:firstLine="420" w:firstLineChars="0"/>
        <w:rPr>
          <w:szCs w:val="24"/>
        </w:rPr>
      </w:pPr>
      <w:r>
        <w:rPr>
          <w:rFonts w:hint="eastAsia"/>
          <w:szCs w:val="24"/>
        </w:rPr>
        <w:t>The use of graphite or asbestos gland packing in the sealing material is another factor. Asbestos, being a hygroscopic material, retains the wet saline environment for an extended period after seawater discharge. This environment leads to the breakdown of the passivation layer on the stainless steel surface, resulting in galvanic corrosion between graphite and stainless steel. Additionally, pitting corrosion may be involved.</w:t>
      </w:r>
    </w:p>
    <w:p w14:paraId="52F406B8">
      <w:pPr>
        <w:pStyle w:val="16"/>
        <w:spacing w:before="31" w:after="31"/>
        <w:ind w:firstLine="420" w:firstLineChars="0"/>
        <w:rPr>
          <w:szCs w:val="24"/>
        </w:rPr>
      </w:pPr>
      <w:r>
        <w:rPr>
          <w:rFonts w:hint="eastAsia"/>
          <w:szCs w:val="24"/>
        </w:rPr>
        <w:t>The corrosion in the water chamber area is attributed to the hindrance of oxygen diffusion caused by the accumulation of sediment. This results in crevice corrosion in a specific sediment environment. It also includes stress corrosion in the intergranular regions induced by stress factors such as thermal stress and mechanical force in the presence of chloride ions.</w:t>
      </w:r>
    </w:p>
    <w:p w14:paraId="76B2A53F">
      <w:pPr>
        <w:pStyle w:val="16"/>
        <w:spacing w:before="31" w:after="31"/>
        <w:ind w:firstLine="420" w:firstLineChars="0"/>
        <w:rPr>
          <w:szCs w:val="24"/>
        </w:rPr>
      </w:pPr>
      <w:r>
        <w:rPr>
          <w:rFonts w:hint="eastAsia"/>
          <w:szCs w:val="24"/>
        </w:rPr>
        <w:t>The corrosion in the bearing area is related to the pump's structural inadequacies, extended downtime, and the long-term exposure of the gap between the shaft and the bearing to a wet saline environment. The bearing area may also involve stress corrosion in the intergranular regions induced by stress in the presence of chloride ions.</w:t>
      </w:r>
    </w:p>
    <w:p w14:paraId="749C85EF">
      <w:pPr>
        <w:pStyle w:val="22"/>
        <w:spacing w:before="156" w:after="468" w:line="312" w:lineRule="auto"/>
        <w:rPr>
          <w:color w:val="000000"/>
        </w:rPr>
      </w:pPr>
      <w:r>
        <w:rPr>
          <w:rFonts w:hint="eastAsia"/>
          <w:color w:val="000000"/>
        </w:rPr>
        <w:t>Figure 3-6.1 - Corrosion of the shaft in the upper cover region</w:t>
      </w:r>
    </w:p>
    <w:p w14:paraId="0E9E09A4">
      <w:pPr>
        <w:pStyle w:val="22"/>
        <w:spacing w:before="156" w:after="468" w:line="312" w:lineRule="auto"/>
        <w:rPr>
          <w:color w:val="000000"/>
        </w:rPr>
      </w:pPr>
      <w:r>
        <w:rPr>
          <w:rFonts w:hint="eastAsia"/>
          <w:color w:val="000000"/>
        </w:rPr>
        <w:t>Figure 3-6.2 - Corrosion in the sealing filler region</w:t>
      </w:r>
    </w:p>
    <w:p w14:paraId="5F78D443">
      <w:pPr>
        <w:pStyle w:val="22"/>
        <w:spacing w:before="156" w:after="468" w:line="312" w:lineRule="auto"/>
        <w:rPr>
          <w:color w:val="000000"/>
        </w:rPr>
      </w:pPr>
      <w:r>
        <w:rPr>
          <w:rFonts w:hint="eastAsia"/>
          <w:color w:val="000000"/>
        </w:rPr>
        <w:t>Figure 3-6.3 - Corrosion of the shaft in the water chamber region</w:t>
      </w:r>
    </w:p>
    <w:p w14:paraId="3239B4DF">
      <w:pPr>
        <w:pStyle w:val="22"/>
        <w:spacing w:before="156" w:after="468" w:line="312" w:lineRule="auto"/>
        <w:rPr>
          <w:color w:val="000000"/>
        </w:rPr>
      </w:pPr>
      <w:r>
        <w:rPr>
          <w:rFonts w:hint="eastAsia"/>
          <w:color w:val="000000"/>
        </w:rPr>
        <w:t>Figure 3-6.4 - Corrosion in the bearing region of the shaft</w:t>
      </w:r>
    </w:p>
    <w:p w14:paraId="6ADC95E4">
      <w:pPr>
        <w:pStyle w:val="16"/>
        <w:spacing w:before="31" w:after="31"/>
        <w:ind w:firstLine="0" w:firstLineChars="0"/>
        <w:rPr>
          <w:szCs w:val="24"/>
        </w:rPr>
      </w:pPr>
      <w:r>
        <w:rPr>
          <w:rFonts w:hint="eastAsia"/>
          <w:szCs w:val="24"/>
        </w:rPr>
        <w:t>(7) Impact and Harm Caused</w:t>
      </w:r>
    </w:p>
    <w:p w14:paraId="2B6F4597">
      <w:pPr>
        <w:pStyle w:val="16"/>
        <w:spacing w:before="31" w:after="31"/>
        <w:ind w:firstLine="420" w:firstLineChars="0"/>
        <w:rPr>
          <w:szCs w:val="24"/>
        </w:rPr>
      </w:pPr>
      <w:r>
        <w:rPr>
          <w:rFonts w:hint="eastAsia"/>
          <w:szCs w:val="24"/>
        </w:rPr>
        <w:t>Null</w:t>
      </w:r>
    </w:p>
    <w:p w14:paraId="66CD6BC6">
      <w:pPr>
        <w:pStyle w:val="16"/>
        <w:spacing w:before="31" w:after="31"/>
        <w:ind w:firstLine="0" w:firstLineChars="0"/>
        <w:rPr>
          <w:szCs w:val="24"/>
        </w:rPr>
      </w:pPr>
    </w:p>
    <w:p w14:paraId="71AC746D">
      <w:pPr>
        <w:pStyle w:val="16"/>
        <w:spacing w:before="31" w:after="31"/>
        <w:ind w:firstLine="0" w:firstLineChars="0"/>
        <w:rPr>
          <w:szCs w:val="24"/>
        </w:rPr>
      </w:pPr>
      <w:r>
        <w:rPr>
          <w:rFonts w:hint="eastAsia"/>
          <w:szCs w:val="24"/>
        </w:rPr>
        <w:t>(8) Conclusions and Improvement Measures</w:t>
      </w:r>
    </w:p>
    <w:p w14:paraId="7FFB7035">
      <w:pPr>
        <w:pStyle w:val="16"/>
        <w:spacing w:before="31" w:after="31"/>
        <w:ind w:firstLine="420" w:firstLineChars="0"/>
        <w:rPr>
          <w:szCs w:val="24"/>
        </w:rPr>
      </w:pPr>
      <w:r>
        <w:rPr>
          <w:rFonts w:hint="eastAsia"/>
          <w:szCs w:val="24"/>
        </w:rPr>
        <w:t>The main reasons for the failure were the unreasonable structure of the pump, which resulted in corrosion, wear, and various types of failure due to existing gaps. The use of graphite or asbestos sealing packing promoted corrosion in the presence of moisture. To address these issues, measures such as replacing the sealing packing material with a moisture-resistant material, installing a fresh water flushing device to flush out residual seawater and sediment from the packing gap before startup and after pump shutdown, adding sacrificial anode protection to the pump shaft, and using micro-area pulse point welding + electro-brushing plating were recommended. This involves using micro-area pulse point welding to fill the corroded areas, restoring the pump shaft's outer dimensions, and then electro-brushing plating the surface to ensure wear resistance and corrosion resistance.</w:t>
      </w:r>
    </w:p>
    <w:p w14:paraId="6C0C8FC5">
      <w:pPr>
        <w:pStyle w:val="16"/>
        <w:spacing w:before="31" w:after="31"/>
        <w:ind w:firstLine="420" w:firstLineChars="0"/>
        <w:rPr>
          <w:szCs w:val="24"/>
        </w:rPr>
      </w:pPr>
    </w:p>
    <w:p w14:paraId="38F475C6">
      <w:pPr>
        <w:pStyle w:val="16"/>
        <w:spacing w:before="31" w:after="31"/>
        <w:ind w:firstLine="420" w:firstLineChars="0"/>
        <w:rPr>
          <w:szCs w:val="24"/>
        </w:rPr>
      </w:pPr>
    </w:p>
    <w:p w14:paraId="1556F47D">
      <w:pPr>
        <w:pStyle w:val="21"/>
        <w:numPr>
          <w:ilvl w:val="2"/>
          <w:numId w:val="0"/>
        </w:numPr>
        <w:rPr>
          <w:sz w:val="24"/>
          <w:szCs w:val="24"/>
        </w:rPr>
      </w:pPr>
      <w:r>
        <w:rPr>
          <w:rFonts w:hint="eastAsia" w:eastAsia="宋体"/>
          <w:color w:val="000000"/>
        </w:rPr>
        <w:t>3.2.7 Case 3-7 Qinshan Nuclear Power Plant Failure of Raw Service Water (RSW) Pump Impeller</w:t>
      </w:r>
    </w:p>
    <w:p w14:paraId="43EE24CB">
      <w:pPr>
        <w:pStyle w:val="16"/>
        <w:spacing w:before="31" w:after="31"/>
        <w:ind w:firstLine="0" w:firstLineChars="0"/>
        <w:rPr>
          <w:szCs w:val="24"/>
        </w:rPr>
      </w:pPr>
      <w:r>
        <w:rPr>
          <w:rFonts w:hint="eastAsia"/>
          <w:szCs w:val="24"/>
        </w:rPr>
        <w:t>(1) Case Name</w:t>
      </w:r>
    </w:p>
    <w:p w14:paraId="2206613B">
      <w:pPr>
        <w:pStyle w:val="16"/>
        <w:spacing w:before="31" w:after="31"/>
        <w:ind w:firstLine="420" w:firstLineChars="0"/>
        <w:rPr>
          <w:szCs w:val="24"/>
        </w:rPr>
      </w:pPr>
      <w:r>
        <w:rPr>
          <w:rFonts w:hint="eastAsia"/>
          <w:szCs w:val="24"/>
        </w:rPr>
        <w:t>Failure of Raw Service Water System (RSW) Pump Impeller at Qinshan Nuclear Power Plant [29]</w:t>
      </w:r>
    </w:p>
    <w:p w14:paraId="69CCD3F8">
      <w:pPr>
        <w:pStyle w:val="16"/>
        <w:spacing w:before="31" w:after="31"/>
        <w:ind w:firstLine="420" w:firstLineChars="0"/>
        <w:rPr>
          <w:szCs w:val="24"/>
        </w:rPr>
      </w:pPr>
    </w:p>
    <w:p w14:paraId="71ECD27E">
      <w:pPr>
        <w:pStyle w:val="16"/>
        <w:spacing w:before="31" w:after="31"/>
        <w:ind w:firstLine="0" w:firstLineChars="0"/>
        <w:rPr>
          <w:szCs w:val="24"/>
        </w:rPr>
      </w:pPr>
      <w:r>
        <w:rPr>
          <w:rFonts w:hint="eastAsia"/>
          <w:szCs w:val="24"/>
        </w:rPr>
        <w:t>(2) Failure Process Description</w:t>
      </w:r>
    </w:p>
    <w:p w14:paraId="25542037">
      <w:pPr>
        <w:pStyle w:val="16"/>
        <w:spacing w:before="31" w:after="31"/>
        <w:ind w:firstLine="420" w:firstLineChars="0"/>
        <w:rPr>
          <w:szCs w:val="24"/>
        </w:rPr>
      </w:pPr>
      <w:r>
        <w:rPr>
          <w:rFonts w:hint="eastAsia"/>
          <w:szCs w:val="24"/>
        </w:rPr>
        <w:t>During equipment operation, it was observed that the outlet water pressure of the pump decreased from the initial 2.4 kgf/cm2 to 1.8 kgf/cm2 later on. The impeller, in use for 10-12 months, suffered severe damage and required replacement.</w:t>
      </w:r>
    </w:p>
    <w:p w14:paraId="27649BF3">
      <w:pPr>
        <w:pStyle w:val="16"/>
        <w:spacing w:before="31" w:after="31"/>
        <w:ind w:firstLine="420" w:firstLineChars="0"/>
        <w:rPr>
          <w:szCs w:val="24"/>
        </w:rPr>
      </w:pPr>
    </w:p>
    <w:p w14:paraId="59BF7512">
      <w:pPr>
        <w:pStyle w:val="16"/>
        <w:spacing w:before="31" w:after="31"/>
        <w:ind w:firstLine="0" w:firstLineChars="0"/>
        <w:rPr>
          <w:szCs w:val="24"/>
        </w:rPr>
      </w:pPr>
      <w:r>
        <w:rPr>
          <w:rFonts w:hint="eastAsia"/>
          <w:szCs w:val="24"/>
        </w:rPr>
        <w:t>(3) Service Environment</w:t>
      </w:r>
    </w:p>
    <w:p w14:paraId="20FB0B6F">
      <w:pPr>
        <w:pStyle w:val="16"/>
        <w:spacing w:before="31" w:after="31"/>
        <w:ind w:firstLine="420" w:firstLineChars="0"/>
        <w:rPr>
          <w:szCs w:val="24"/>
        </w:rPr>
      </w:pPr>
      <w:r>
        <w:rPr>
          <w:rFonts w:hint="eastAsia"/>
          <w:szCs w:val="24"/>
        </w:rPr>
        <w:t>The cooling water at Qinshan Nuclear Power Plant is seawater from Hangzhou Bay, with a salt content only about 1/3-1/2 of regular seawater, a pH value around 8.0, and a suspended particle content mainly consisting of viscous fine particles and sand with a concentration of 2.18-4.4 kg/m3. The sand particles are predominantly lamellar plagioclase and quartz with a hardness of HV930-1120 and a particle size of 10-25 μm. The seabed mud sediment has particle sizes ranging from 37-44 μm, with the majority being lamellar.</w:t>
      </w:r>
    </w:p>
    <w:p w14:paraId="59F25745">
      <w:pPr>
        <w:pStyle w:val="16"/>
        <w:spacing w:before="31" w:after="31"/>
        <w:ind w:firstLine="420" w:firstLineChars="0"/>
        <w:rPr>
          <w:szCs w:val="24"/>
        </w:rPr>
      </w:pPr>
    </w:p>
    <w:p w14:paraId="410AE9E1">
      <w:pPr>
        <w:pStyle w:val="16"/>
        <w:spacing w:before="31" w:after="31"/>
        <w:ind w:firstLine="0" w:firstLineChars="0"/>
        <w:rPr>
          <w:szCs w:val="24"/>
        </w:rPr>
      </w:pPr>
      <w:r>
        <w:rPr>
          <w:rFonts w:hint="eastAsia"/>
          <w:szCs w:val="24"/>
        </w:rPr>
        <w:t>(4) Failed Component and Material</w:t>
      </w:r>
    </w:p>
    <w:p w14:paraId="5ABB2139">
      <w:pPr>
        <w:pStyle w:val="16"/>
        <w:spacing w:before="31" w:after="31"/>
        <w:ind w:firstLine="420" w:firstLineChars="0"/>
        <w:rPr>
          <w:szCs w:val="24"/>
        </w:rPr>
      </w:pPr>
      <w:r>
        <w:rPr>
          <w:rFonts w:hint="eastAsia"/>
          <w:szCs w:val="24"/>
        </w:rPr>
        <w:t>The failed component is the impeller of the Raw Service Water System (RSW) pump at Qinshan Nuclear Power Plant. The pump is a vertical double-suction pump made of CF8M casting, with an inner diameter of φ237 mm at the inlet side of the impeller, an outer diameter of φ675 mm, and an outer diameter of φ832 mm at the outlet side. The thickness of the impeller blades is 14 mm.</w:t>
      </w:r>
    </w:p>
    <w:p w14:paraId="57F6624B">
      <w:pPr>
        <w:pStyle w:val="16"/>
        <w:spacing w:before="31" w:after="31"/>
        <w:ind w:firstLine="420" w:firstLineChars="0"/>
        <w:rPr>
          <w:szCs w:val="24"/>
        </w:rPr>
      </w:pPr>
    </w:p>
    <w:p w14:paraId="2225C83D">
      <w:pPr>
        <w:pStyle w:val="16"/>
        <w:spacing w:before="31" w:after="31"/>
        <w:ind w:firstLine="0" w:firstLineChars="0"/>
        <w:rPr>
          <w:szCs w:val="24"/>
        </w:rPr>
      </w:pPr>
      <w:r>
        <w:rPr>
          <w:rFonts w:hint="eastAsia"/>
          <w:szCs w:val="24"/>
        </w:rPr>
        <w:t>(5) Failure Appearance</w:t>
      </w:r>
    </w:p>
    <w:p w14:paraId="1E7FA2B4">
      <w:pPr>
        <w:pStyle w:val="16"/>
        <w:spacing w:before="31" w:after="31"/>
        <w:ind w:firstLine="420" w:firstLineChars="0"/>
        <w:rPr>
          <w:szCs w:val="24"/>
        </w:rPr>
      </w:pPr>
      <w:r>
        <w:rPr>
          <w:rFonts w:hint="eastAsia"/>
          <w:szCs w:val="24"/>
        </w:rPr>
        <w:t>Inlet side of the blades: The leading edge of the blades is rounded due to wear, with numerous gradually opening grooves on the front side and occasional dot-like damage on the backside. Perforations larger than 20 mm in diameter are found on the blades at the connection with the cover plate, with smooth inner walls. The cover plate exhibits deep pitting damage (see Figure 3-7.1). Flow-guiding section of the blades: Severe thinning is observed in the impeller's flow-guiding section, with a reduction of 4-6 mm. Both sides have fish scale patterns, with larger and deeper patterns on the front side and smaller and shallower patterns on the backside. The front side of the blades exhibits plow marks (see Figure 3-7.2). Outlet side of the blades: Severe thinning and irregular edges are observed on the tails and baffles, with sporadic perforations larger than 10 mm in diameter. Numerous shallow and wide plow marks with large intervals between fish scale patterns are found on the front side, while the backside shows fish scale patterns gradually deepening into dense horseshoe-shaped deep pits and elongated plow marks. The pit (groove) walls are smooth, and the tops are blade-shaped; the perforations are small and round on the front side and have larger diameters on the backside, with smooth hole walls (see Figure 3-7.2).</w:t>
      </w:r>
    </w:p>
    <w:p w14:paraId="6B81AFAF">
      <w:pPr>
        <w:pStyle w:val="22"/>
        <w:spacing w:before="156" w:after="468"/>
        <w:rPr>
          <w:color w:val="000000"/>
        </w:rPr>
      </w:pPr>
      <w:r>
        <w:rPr>
          <w:rFonts w:hint="eastAsia"/>
          <w:color w:val="000000"/>
        </w:rPr>
        <w:t>Figure 3-7.1: Inlet side of the blades</w:t>
      </w:r>
    </w:p>
    <w:p w14:paraId="7EAFD075">
      <w:pPr>
        <w:pStyle w:val="22"/>
        <w:spacing w:before="156" w:after="468"/>
        <w:rPr>
          <w:sz w:val="24"/>
        </w:rPr>
      </w:pPr>
      <w:r>
        <w:rPr>
          <w:rFonts w:hint="eastAsia"/>
          <w:color w:val="000000"/>
        </w:rPr>
        <w:t>Figure 3-7.2: Backside of the flow-guiding section and outlet side of the blades</w:t>
      </w:r>
    </w:p>
    <w:p w14:paraId="39DD231F">
      <w:pPr>
        <w:pStyle w:val="16"/>
        <w:spacing w:before="31" w:after="31"/>
        <w:ind w:firstLine="0" w:firstLineChars="0"/>
        <w:rPr>
          <w:szCs w:val="24"/>
        </w:rPr>
      </w:pPr>
      <w:r>
        <w:rPr>
          <w:rFonts w:hint="eastAsia"/>
          <w:szCs w:val="24"/>
        </w:rPr>
        <w:t>(6) Failure Cause Analysis</w:t>
      </w:r>
    </w:p>
    <w:p w14:paraId="73993799">
      <w:pPr>
        <w:pStyle w:val="16"/>
        <w:spacing w:before="31" w:after="31"/>
        <w:ind w:firstLine="420" w:firstLineChars="0"/>
        <w:rPr>
          <w:szCs w:val="24"/>
        </w:rPr>
      </w:pPr>
      <w:r>
        <w:rPr>
          <w:rFonts w:hint="eastAsia"/>
          <w:szCs w:val="24"/>
        </w:rPr>
        <w:t>The investigation revealed that the mechanical damage rate of the impeller was much higher than the corrosion rate, with three main damage zones: the grinding zone, impact zone, and cavitation-accelerated impact grinding zone.</w:t>
      </w:r>
    </w:p>
    <w:p w14:paraId="57F6D288">
      <w:pPr>
        <w:pStyle w:val="16"/>
        <w:spacing w:before="31" w:after="31"/>
        <w:ind w:firstLine="420" w:firstLineChars="0"/>
        <w:rPr>
          <w:szCs w:val="24"/>
        </w:rPr>
      </w:pPr>
      <w:r>
        <w:rPr>
          <w:rFonts w:hint="eastAsia"/>
          <w:szCs w:val="24"/>
        </w:rPr>
        <w:t>Grinding zone: Primarily located in the flow-guiding section and perforated area of the impeller, the damage is characterized by uniform thinning of the blades, fish scale patterns, and smooth hole and groove walls. This is mainly caused by the micro-cutting and extrusion of sheet-like and spherical sand particles on the austenite during pump operation.Impact zone: Mainly observed at the leading edge of the impeller's inlet side, this damage is characterized by severe material loss in the area where the blades connect with the front cover plate. Direct impact of water with sand content causes surface micro-cracks, which then propagate along the grains into fatigue cracks, leading to grain fatigue spalling. Cavitation-accelerated impact grinding zone: This zone results in rapid thinning, shortening, and numerous perforations and deep grooves on the impeller. Cavitation accelerates the development and expansion of fatigue cracks, leading to the formation of numerous early pitting cavities. Simultaneously, sand particles accelerate and act on the metal surface, causing abrasion and impact damage.</w:t>
      </w:r>
    </w:p>
    <w:p w14:paraId="32F77F41">
      <w:pPr>
        <w:pStyle w:val="16"/>
        <w:spacing w:before="31" w:after="31"/>
        <w:ind w:firstLine="420" w:firstLineChars="0"/>
        <w:rPr>
          <w:szCs w:val="24"/>
        </w:rPr>
      </w:pPr>
      <w:r>
        <w:rPr>
          <w:rFonts w:hint="eastAsia"/>
          <w:szCs w:val="24"/>
        </w:rPr>
        <w:t>From the perspective of overall impeller failure, the damage to the inlet side blades and the connection with the cover plate, as well as the shortening and thinning of the outlet side blades, are not sufficient to warrant scrapping the impeller. However, severe thinning of the blades in the flow-guiding section reduces the impeller's strength, posing a risk of sudden fracture. Therefore, the thinning of the blades in the flow-guiding section is the most important and direct reason for scrapping the impeller.</w:t>
      </w:r>
    </w:p>
    <w:p w14:paraId="5BD99DE7">
      <w:pPr>
        <w:pStyle w:val="16"/>
        <w:spacing w:before="31" w:after="31"/>
        <w:ind w:firstLine="420" w:firstLineChars="0"/>
        <w:rPr>
          <w:szCs w:val="24"/>
        </w:rPr>
      </w:pPr>
    </w:p>
    <w:p w14:paraId="468B9716">
      <w:pPr>
        <w:pStyle w:val="16"/>
        <w:spacing w:before="31" w:after="31"/>
        <w:ind w:firstLine="0" w:firstLineChars="0"/>
        <w:rPr>
          <w:szCs w:val="24"/>
        </w:rPr>
      </w:pPr>
      <w:r>
        <w:rPr>
          <w:rFonts w:hint="eastAsia"/>
          <w:szCs w:val="24"/>
        </w:rPr>
        <w:t>(7) Consequences and Hazards</w:t>
      </w:r>
    </w:p>
    <w:p w14:paraId="742FFD9B">
      <w:pPr>
        <w:pStyle w:val="16"/>
        <w:spacing w:before="31" w:after="31"/>
        <w:ind w:firstLine="420" w:firstLineChars="0"/>
        <w:rPr>
          <w:szCs w:val="24"/>
        </w:rPr>
      </w:pPr>
      <w:r>
        <w:rPr>
          <w:rFonts w:hint="eastAsia"/>
          <w:szCs w:val="24"/>
        </w:rPr>
        <w:t>The failure resulted in severe damage to the impeller, rendering it unable to fulfill its function and necessitating its replacement.</w:t>
      </w:r>
    </w:p>
    <w:p w14:paraId="7021229C">
      <w:pPr>
        <w:pStyle w:val="16"/>
        <w:spacing w:before="31" w:after="31"/>
        <w:ind w:firstLine="420" w:firstLineChars="0"/>
        <w:rPr>
          <w:szCs w:val="24"/>
        </w:rPr>
      </w:pPr>
    </w:p>
    <w:p w14:paraId="4239ABE4">
      <w:pPr>
        <w:pStyle w:val="16"/>
        <w:spacing w:before="31" w:after="31"/>
        <w:ind w:firstLine="0" w:firstLineChars="0"/>
        <w:rPr>
          <w:szCs w:val="24"/>
        </w:rPr>
      </w:pPr>
      <w:r>
        <w:rPr>
          <w:rFonts w:hint="eastAsia"/>
          <w:szCs w:val="24"/>
        </w:rPr>
        <w:t>(8) Conclusion and Improvement Measures</w:t>
      </w:r>
    </w:p>
    <w:p w14:paraId="39840EFD">
      <w:pPr>
        <w:pStyle w:val="16"/>
        <w:spacing w:before="31" w:after="31"/>
        <w:ind w:firstLine="420" w:firstLineChars="0"/>
        <w:rPr>
          <w:szCs w:val="24"/>
        </w:rPr>
      </w:pPr>
      <w:r>
        <w:rPr>
          <w:rFonts w:hint="eastAsia"/>
          <w:szCs w:val="24"/>
        </w:rPr>
        <w:t>For the occurred failure incident, remedial measures suggested include using materials with good wear resistance to manufacture the impeller or applying surface protection to economically viable materials for repeated use. Through practical comparison of the effectiveness, the power plant determined to prioritize the latter approach.</w:t>
      </w:r>
    </w:p>
    <w:p w14:paraId="1A3FCC7D">
      <w:pPr>
        <w:pStyle w:val="16"/>
        <w:spacing w:before="31" w:after="31"/>
        <w:ind w:firstLine="420" w:firstLineChars="0"/>
        <w:rPr>
          <w:szCs w:val="24"/>
        </w:rPr>
      </w:pPr>
    </w:p>
    <w:p w14:paraId="1C94A351">
      <w:pPr>
        <w:pStyle w:val="16"/>
        <w:spacing w:before="31" w:after="31"/>
        <w:ind w:firstLine="420" w:firstLineChars="0"/>
        <w:rPr>
          <w:szCs w:val="24"/>
        </w:rPr>
      </w:pPr>
    </w:p>
    <w:p w14:paraId="0D4A0DFB">
      <w:pPr>
        <w:pStyle w:val="21"/>
        <w:numPr>
          <w:ilvl w:val="2"/>
          <w:numId w:val="0"/>
        </w:numPr>
        <w:rPr>
          <w:rFonts w:eastAsia="宋体"/>
          <w:color w:val="000000"/>
        </w:rPr>
      </w:pPr>
      <w:r>
        <w:rPr>
          <w:rFonts w:hint="eastAsia" w:eastAsia="宋体"/>
          <w:color w:val="000000"/>
        </w:rPr>
        <w:t>3.2.8 Case 3-8 Failure of Closed-loop Circulating Water Heat Exchanger at Qinshan Nuclear Power Plant</w:t>
      </w:r>
    </w:p>
    <w:p w14:paraId="6D070875">
      <w:pPr>
        <w:pStyle w:val="16"/>
        <w:spacing w:before="31" w:after="31"/>
        <w:ind w:firstLine="0" w:firstLineChars="0"/>
        <w:rPr>
          <w:szCs w:val="24"/>
        </w:rPr>
      </w:pPr>
      <w:r>
        <w:rPr>
          <w:rFonts w:hint="eastAsia"/>
          <w:szCs w:val="24"/>
        </w:rPr>
        <w:t>(1) Case Name</w:t>
      </w:r>
    </w:p>
    <w:p w14:paraId="41DC6C23">
      <w:pPr>
        <w:pStyle w:val="16"/>
        <w:spacing w:before="31" w:after="31"/>
        <w:ind w:firstLine="420" w:firstLineChars="0"/>
        <w:rPr>
          <w:szCs w:val="24"/>
        </w:rPr>
      </w:pPr>
      <w:r>
        <w:rPr>
          <w:rFonts w:hint="eastAsia"/>
          <w:szCs w:val="24"/>
        </w:rPr>
        <w:t>Failure of Closed-loop Circulating Water Heat Exchanger at Qinshan Nuclear Power Plant [30]</w:t>
      </w:r>
    </w:p>
    <w:p w14:paraId="402D4977">
      <w:pPr>
        <w:pStyle w:val="16"/>
        <w:spacing w:before="31" w:after="31"/>
        <w:ind w:firstLine="420" w:firstLineChars="0"/>
        <w:rPr>
          <w:szCs w:val="24"/>
        </w:rPr>
      </w:pPr>
    </w:p>
    <w:p w14:paraId="24683066">
      <w:pPr>
        <w:pStyle w:val="16"/>
        <w:spacing w:before="31" w:after="31"/>
        <w:ind w:firstLine="0" w:firstLineChars="0"/>
        <w:rPr>
          <w:szCs w:val="24"/>
        </w:rPr>
      </w:pPr>
      <w:r>
        <w:rPr>
          <w:rFonts w:hint="eastAsia"/>
          <w:szCs w:val="24"/>
        </w:rPr>
        <w:t>(2) Failure Process Description</w:t>
      </w:r>
    </w:p>
    <w:p w14:paraId="4C158E8C">
      <w:pPr>
        <w:pStyle w:val="16"/>
        <w:spacing w:before="31" w:after="31"/>
        <w:ind w:firstLine="420" w:firstLineChars="0"/>
        <w:rPr>
          <w:szCs w:val="24"/>
        </w:rPr>
      </w:pPr>
      <w:r>
        <w:rPr>
          <w:rFonts w:hint="eastAsia"/>
          <w:szCs w:val="24"/>
        </w:rPr>
        <w:t>The closed-loop circulating water heat exchanger at Qinshan Nuclear Power Plant was put into operation in 2002. Before 2005, individual heat exchange tubes showed thinning and perforation. From 2005 to 2006, the damage to the heat exchanger intensified, with the most severe damage observed in the No. 4 heat exchanger. Two-thirds of the defects in the heat transfer tubes were within 10 cm from the inlet edge, and one-third was in the range of 10-20 cm from the edge. Some defects were found in other areas. The main manifestations of the damage included tube plate damage, thinning or perforation of heat transfer tubes, mouth damage, and extensive tearing and detachment of the chamber lining.</w:t>
      </w:r>
    </w:p>
    <w:p w14:paraId="720A745D">
      <w:pPr>
        <w:pStyle w:val="16"/>
        <w:spacing w:before="31" w:after="31"/>
        <w:ind w:firstLine="420" w:firstLineChars="0"/>
        <w:rPr>
          <w:szCs w:val="24"/>
        </w:rPr>
      </w:pPr>
    </w:p>
    <w:p w14:paraId="161EF605">
      <w:pPr>
        <w:pStyle w:val="16"/>
        <w:spacing w:before="31" w:after="31"/>
        <w:ind w:firstLine="0" w:firstLineChars="0"/>
        <w:rPr>
          <w:szCs w:val="24"/>
        </w:rPr>
      </w:pPr>
      <w:r>
        <w:rPr>
          <w:rFonts w:hint="eastAsia"/>
          <w:szCs w:val="24"/>
        </w:rPr>
        <w:t>(3) Service Environment</w:t>
      </w:r>
    </w:p>
    <w:p w14:paraId="3CD0D663">
      <w:pPr>
        <w:pStyle w:val="16"/>
        <w:spacing w:before="31" w:after="31"/>
        <w:ind w:firstLine="420" w:firstLineChars="0"/>
        <w:rPr>
          <w:szCs w:val="24"/>
        </w:rPr>
      </w:pPr>
      <w:r>
        <w:rPr>
          <w:rFonts w:hint="eastAsia"/>
          <w:szCs w:val="24"/>
        </w:rPr>
        <w:t>The tube-shell circulating water heat exchanger had seawater on the tube side at 0.2 MPa and desalinated water on the shell side at 0.7 MPa. The salt content of the Hangzhou Bay seawater used as cooling water was only about 1/3-1/2 of regular seawater, with a pH value around 8.0. The suspended particle content consisted mainly of viscous fine particles and sand with a concentration of 2.18-4.4 kg/m3. The sand particles were predominantly lamellar plagioclase and quartz with a hardness of HV930-1120 and a particle size of 10-25 μm. The seabed mud sediment had particle sizes ranging from 37-44 μm, with the majority being lamellar. The design flow velocity of the tubes was 2.7 m/s, with an actual height of 10% to 25%.</w:t>
      </w:r>
    </w:p>
    <w:p w14:paraId="32BD7320">
      <w:pPr>
        <w:pStyle w:val="16"/>
        <w:spacing w:before="31" w:after="31"/>
        <w:ind w:firstLine="420" w:firstLineChars="0"/>
        <w:rPr>
          <w:szCs w:val="24"/>
        </w:rPr>
      </w:pPr>
    </w:p>
    <w:p w14:paraId="28F66054">
      <w:pPr>
        <w:pStyle w:val="16"/>
        <w:spacing w:before="31" w:after="31"/>
        <w:ind w:firstLine="0" w:firstLineChars="0"/>
        <w:rPr>
          <w:szCs w:val="24"/>
        </w:rPr>
      </w:pPr>
      <w:r>
        <w:rPr>
          <w:rFonts w:hint="eastAsia"/>
          <w:szCs w:val="24"/>
        </w:rPr>
        <w:t>(4) Failed Component and Material</w:t>
      </w:r>
    </w:p>
    <w:p w14:paraId="0EDA37DB">
      <w:pPr>
        <w:pStyle w:val="16"/>
        <w:spacing w:before="31" w:after="31"/>
        <w:ind w:firstLine="420" w:firstLineChars="0"/>
        <w:rPr>
          <w:szCs w:val="24"/>
        </w:rPr>
      </w:pPr>
      <w:r>
        <w:rPr>
          <w:rFonts w:hint="eastAsia"/>
          <w:szCs w:val="24"/>
        </w:rPr>
        <w:t>The closed-loop circulating water heat exchanger at Qinshan Nuclear Power Plant was a single-pass shell-and-tube type. The heat transfer tubes were welded titanium tubes with a diameter of Φ19.05, a length of 14.63 m, and a thickness of 0.71 mm. The tube plate was a titanium-carbon steel composite plate, and the tube plate and titanium tubes were connected by expansion joint with an expansion rate of 80%. Designed and manufactured by YUBA in the United States, the design life was 40 years.</w:t>
      </w:r>
    </w:p>
    <w:p w14:paraId="649D8F05">
      <w:pPr>
        <w:pStyle w:val="16"/>
        <w:spacing w:before="31" w:after="31"/>
        <w:ind w:firstLine="420" w:firstLineChars="0"/>
        <w:rPr>
          <w:szCs w:val="24"/>
        </w:rPr>
      </w:pPr>
    </w:p>
    <w:p w14:paraId="0B849114">
      <w:pPr>
        <w:pStyle w:val="16"/>
        <w:spacing w:before="31" w:after="31"/>
        <w:ind w:firstLine="0" w:firstLineChars="0"/>
        <w:rPr>
          <w:szCs w:val="24"/>
        </w:rPr>
      </w:pPr>
      <w:r>
        <w:rPr>
          <w:rFonts w:hint="eastAsia"/>
          <w:szCs w:val="24"/>
        </w:rPr>
        <w:t>(5) Failure Appearance</w:t>
      </w:r>
    </w:p>
    <w:p w14:paraId="77BE7312">
      <w:pPr>
        <w:pStyle w:val="16"/>
        <w:spacing w:before="31" w:after="31"/>
        <w:ind w:firstLine="420" w:firstLineChars="0"/>
        <w:rPr>
          <w:szCs w:val="24"/>
        </w:rPr>
      </w:pPr>
      <w:r>
        <w:rPr>
          <w:rFonts w:hint="eastAsia"/>
          <w:szCs w:val="24"/>
        </w:rPr>
        <w:t>A large number of horseshoe-shaped pits and linear grooves were observed on the inlet tube plate of the heat exchanger (Figure 3-8.1). Numerous perforations of the titanium tubes were found at the elevated part of the inlet end of the tubes above the tube plate. Eddy current inspection revealed that the ruptures and thinning areas of the heat transfer tubes were all point-like. Observation with an endoscope and scanning electron microscope (SEM) showed that the perforation areas exhibited horseshoe-shaped depressions outwardly (Figure 3-8.2). The perforation morphology indicated that there was a severe erosion phenomenon in the local area before the perforation. All heat exchanger linings were single-layered and applied in a single installation with an overlap joint of 3-5 cm. It was found that the lining suffered severe tearing and peeling, presenting strip-like tears with smooth edges. In addition to the overall peeling, there were also instances of layered separation, with layer thicknesses ranging from 0.1 mm to 0.5 mm.</w:t>
      </w:r>
    </w:p>
    <w:p w14:paraId="2EB5B6D9">
      <w:pPr>
        <w:pStyle w:val="22"/>
        <w:spacing w:before="156" w:after="468"/>
        <w:rPr>
          <w:color w:val="000000"/>
        </w:rPr>
      </w:pPr>
      <w:r>
        <w:rPr>
          <w:rFonts w:hint="eastAsia"/>
          <w:color w:val="000000"/>
        </w:rPr>
        <w:t>Figure 3-8.1: Defects on the inlet tube plate</w:t>
      </w:r>
    </w:p>
    <w:p w14:paraId="501EF804">
      <w:pPr>
        <w:pStyle w:val="22"/>
        <w:spacing w:before="156" w:after="468"/>
        <w:rPr>
          <w:color w:val="000000"/>
        </w:rPr>
      </w:pPr>
      <w:r>
        <w:rPr>
          <w:rFonts w:hint="eastAsia"/>
          <w:color w:val="000000"/>
        </w:rPr>
        <w:t>Figure 3-8.2: Larger perforation in titanium tube observed with an endoscope</w:t>
      </w:r>
    </w:p>
    <w:p w14:paraId="3BD469A7">
      <w:pPr>
        <w:pStyle w:val="22"/>
        <w:spacing w:before="156" w:after="468"/>
        <w:rPr>
          <w:color w:val="000000"/>
        </w:rPr>
      </w:pPr>
      <w:r>
        <w:rPr>
          <w:rFonts w:hint="eastAsia"/>
          <w:color w:val="000000"/>
        </w:rPr>
        <w:t>Figure 3-8.3: Tearing and peeling of the chamber lining in the No. 4 heat exchanger</w:t>
      </w:r>
    </w:p>
    <w:p w14:paraId="5EE5F027">
      <w:pPr>
        <w:pStyle w:val="16"/>
        <w:spacing w:before="31" w:after="31"/>
        <w:ind w:firstLine="0" w:firstLineChars="0"/>
        <w:rPr>
          <w:szCs w:val="24"/>
        </w:rPr>
      </w:pPr>
      <w:r>
        <w:rPr>
          <w:rFonts w:hint="eastAsia"/>
          <w:szCs w:val="24"/>
        </w:rPr>
        <w:t>(6) Failure Cause Analysis</w:t>
      </w:r>
    </w:p>
    <w:p w14:paraId="363AE2C2">
      <w:pPr>
        <w:pStyle w:val="16"/>
        <w:spacing w:before="31" w:after="31"/>
        <w:ind w:firstLine="420" w:firstLineChars="0"/>
        <w:rPr>
          <w:szCs w:val="24"/>
        </w:rPr>
      </w:pPr>
      <w:r>
        <w:rPr>
          <w:rFonts w:hint="eastAsia"/>
          <w:szCs w:val="24"/>
        </w:rPr>
        <w:t>The analysis of the failure incident revealed that the sudden damage of a large number of heat transfer tubes was primarily due to turbulent erosion in the inlet area. Foreign objects such as detached linings caused turbulence in the inlet pipe section, leading to localized erosion thinning and ruptures in the titanium heat transfer tubes.</w:t>
      </w:r>
    </w:p>
    <w:p w14:paraId="0C19F71C">
      <w:pPr>
        <w:pStyle w:val="16"/>
        <w:spacing w:before="31" w:after="31"/>
        <w:ind w:firstLine="420" w:firstLineChars="0"/>
        <w:rPr>
          <w:szCs w:val="24"/>
        </w:rPr>
      </w:pPr>
      <w:r>
        <w:rPr>
          <w:rFonts w:hint="eastAsia"/>
          <w:szCs w:val="24"/>
        </w:rPr>
        <w:t>The concentration of damage to the tube plate in the inlet area indicated that there was crevice corrosion in the joint area between the heat transfer tube and the tube plate. The volume expansion of corrosion products could cause individual heat transfer tubes to rupture and damage the tube plate. Additionally, the close correspondence between the damaged area and the detachment area of the lining indicated that the local erosion caused by the peeling of the lining also resulted in severe damage to the tube plate in that specific area. The fundamental reason for the detachment and peeling of the rubber lining was the excessively low quality of the original lining. Moreover, the lining process, using a one-time installation, had difficulty ensuring the compaction level, the adhesion between the lining and the metal did not meet the minimum requirements, and unprocessed seams were prone to water infiltration, among other factors.</w:t>
      </w:r>
    </w:p>
    <w:p w14:paraId="5B299D59">
      <w:pPr>
        <w:pStyle w:val="16"/>
        <w:spacing w:before="31" w:after="31"/>
        <w:ind w:firstLine="0" w:firstLineChars="0"/>
        <w:rPr>
          <w:szCs w:val="24"/>
        </w:rPr>
      </w:pPr>
    </w:p>
    <w:p w14:paraId="668657AA">
      <w:pPr>
        <w:pStyle w:val="16"/>
        <w:spacing w:before="31" w:after="31"/>
        <w:ind w:firstLine="0" w:firstLineChars="0"/>
        <w:rPr>
          <w:szCs w:val="24"/>
        </w:rPr>
      </w:pPr>
      <w:r>
        <w:rPr>
          <w:rFonts w:hint="eastAsia"/>
          <w:szCs w:val="24"/>
        </w:rPr>
        <w:t>(7) Impact and Harm Caused</w:t>
      </w:r>
    </w:p>
    <w:p w14:paraId="4ADE0A05">
      <w:pPr>
        <w:pStyle w:val="16"/>
        <w:spacing w:before="31" w:after="31"/>
        <w:ind w:firstLine="420" w:firstLineChars="0"/>
        <w:rPr>
          <w:szCs w:val="24"/>
        </w:rPr>
      </w:pPr>
      <w:r>
        <w:rPr>
          <w:rFonts w:hint="eastAsia"/>
          <w:szCs w:val="24"/>
        </w:rPr>
        <w:t>Null</w:t>
      </w:r>
    </w:p>
    <w:p w14:paraId="433345EC">
      <w:pPr>
        <w:pStyle w:val="16"/>
        <w:spacing w:before="31" w:after="31"/>
        <w:ind w:firstLine="0" w:firstLineChars="0"/>
        <w:rPr>
          <w:szCs w:val="24"/>
        </w:rPr>
      </w:pPr>
    </w:p>
    <w:p w14:paraId="210E3BFD">
      <w:pPr>
        <w:pStyle w:val="16"/>
        <w:spacing w:before="31" w:after="31"/>
        <w:ind w:firstLine="0" w:firstLineChars="0"/>
        <w:rPr>
          <w:szCs w:val="24"/>
        </w:rPr>
      </w:pPr>
      <w:r>
        <w:rPr>
          <w:rFonts w:hint="eastAsia"/>
          <w:szCs w:val="24"/>
        </w:rPr>
        <w:t>(8) Conclusion and Improvement Measures</w:t>
      </w:r>
    </w:p>
    <w:p w14:paraId="3A2016CD">
      <w:pPr>
        <w:pStyle w:val="16"/>
        <w:spacing w:before="31" w:after="31"/>
        <w:ind w:firstLine="420" w:firstLineChars="0"/>
        <w:rPr>
          <w:szCs w:val="24"/>
        </w:rPr>
      </w:pPr>
      <w:r>
        <w:rPr>
          <w:rFonts w:hint="eastAsia"/>
          <w:szCs w:val="24"/>
        </w:rPr>
        <w:t>In response to the identified causes of damage, the power plant spent a significant amount of funds to carry out comprehensive repairs on the heat exchanger. Flow restriction measures were implemented on the seawater entering the heat exchanger to reduce the actual seawater flow velocity within the heat transfer tubes to the design velocity. The damaged heat transfer tubes were replaced to reduce the defect rate, and the mouths of the newly replaced tubes were sealed by welding. Wear-resistant coating corrosion protection was applied to the inlet tube plates of all heat exchangers. A new process was adopted to reapply the lining to the heat exchanger. Subsequent follow-up inspections after the repairs indicated a reduced rate of occurrence and development of heat exchanger damage.</w:t>
      </w:r>
    </w:p>
    <w:p w14:paraId="7C1791A8">
      <w:pPr>
        <w:pStyle w:val="16"/>
        <w:spacing w:before="31" w:after="31"/>
        <w:ind w:firstLine="420" w:firstLineChars="0"/>
        <w:rPr>
          <w:szCs w:val="24"/>
        </w:rPr>
      </w:pPr>
    </w:p>
    <w:p w14:paraId="2F3BDC68">
      <w:pPr>
        <w:pStyle w:val="16"/>
        <w:spacing w:before="31" w:after="31"/>
        <w:ind w:firstLine="420" w:firstLineChars="0"/>
        <w:rPr>
          <w:szCs w:val="24"/>
        </w:rPr>
      </w:pPr>
    </w:p>
    <w:p w14:paraId="26835DB8">
      <w:pPr>
        <w:pStyle w:val="21"/>
        <w:numPr>
          <w:ilvl w:val="2"/>
          <w:numId w:val="0"/>
        </w:numPr>
        <w:rPr>
          <w:sz w:val="24"/>
          <w:szCs w:val="24"/>
        </w:rPr>
      </w:pPr>
      <w:r>
        <w:rPr>
          <w:rFonts w:hint="eastAsia" w:eastAsia="宋体"/>
          <w:color w:val="000000"/>
        </w:rPr>
        <w:t>3.2.9 Case 3-9 Analysis of Failure in the Intake Valve Guide Tube of Ling'ao Nuclear Power Station Emergency Diesel Engine</w:t>
      </w:r>
    </w:p>
    <w:p w14:paraId="18AF30D1">
      <w:pPr>
        <w:pStyle w:val="16"/>
        <w:spacing w:before="31" w:after="31"/>
        <w:ind w:firstLine="0" w:firstLineChars="0"/>
        <w:rPr>
          <w:szCs w:val="24"/>
        </w:rPr>
      </w:pPr>
      <w:r>
        <w:rPr>
          <w:rFonts w:hint="eastAsia"/>
          <w:szCs w:val="24"/>
        </w:rPr>
        <w:t>(1) Case Name</w:t>
      </w:r>
    </w:p>
    <w:p w14:paraId="13F074A8">
      <w:pPr>
        <w:pStyle w:val="16"/>
        <w:spacing w:before="31" w:after="31"/>
        <w:ind w:firstLine="420" w:firstLineChars="0"/>
        <w:rPr>
          <w:szCs w:val="24"/>
        </w:rPr>
      </w:pPr>
      <w:r>
        <w:rPr>
          <w:rFonts w:hint="eastAsia"/>
          <w:szCs w:val="24"/>
        </w:rPr>
        <w:t>Analysis of Failure in the Intake Valve Guide Tube of Ling'ao Nuclear Power Station Emergency Diesel Engine [31]</w:t>
      </w:r>
    </w:p>
    <w:p w14:paraId="0AB80363">
      <w:pPr>
        <w:pStyle w:val="16"/>
        <w:spacing w:before="31" w:after="31"/>
        <w:ind w:firstLine="420" w:firstLineChars="0"/>
        <w:rPr>
          <w:szCs w:val="24"/>
        </w:rPr>
      </w:pPr>
    </w:p>
    <w:p w14:paraId="5066A2D6">
      <w:pPr>
        <w:pStyle w:val="16"/>
        <w:spacing w:before="31" w:after="31"/>
        <w:ind w:firstLine="0" w:firstLineChars="0"/>
        <w:rPr>
          <w:szCs w:val="24"/>
        </w:rPr>
      </w:pPr>
      <w:r>
        <w:rPr>
          <w:rFonts w:hint="eastAsia"/>
          <w:szCs w:val="24"/>
        </w:rPr>
        <w:t>(2) Failure Process Description</w:t>
      </w:r>
    </w:p>
    <w:p w14:paraId="0C81DC96">
      <w:pPr>
        <w:pStyle w:val="16"/>
        <w:spacing w:before="31" w:after="31"/>
        <w:ind w:firstLine="420" w:firstLineChars="0"/>
        <w:rPr>
          <w:szCs w:val="24"/>
        </w:rPr>
      </w:pPr>
      <w:r>
        <w:rPr>
          <w:rFonts w:hint="eastAsia"/>
          <w:szCs w:val="24"/>
        </w:rPr>
        <w:t>In 2007, during the L204 overhaul of Ling'ao Nuclear Power Station, the emergency diesel engine L2LHQ experienced a cylinder pulling event in cylinder A3 during the running-in test after the 6C inspection. In the subsequent investigation, it was determined that the direct cause of the cylinder pulling failure was the fracture of the intake valve guide tube entering the cylinder. In 2008, during the L205 overhaul at Ling'ao Nuclear Power Station, visual and non-destructive testing revealed the existence of a crack at the bottom end of the intake valve guide tubes in cylinders A4 of 001MO and B4 of 002MO.</w:t>
      </w:r>
    </w:p>
    <w:p w14:paraId="6CF82F18">
      <w:pPr>
        <w:pStyle w:val="16"/>
        <w:spacing w:before="31" w:after="31"/>
        <w:ind w:firstLine="420" w:firstLineChars="0"/>
        <w:rPr>
          <w:szCs w:val="24"/>
        </w:rPr>
      </w:pPr>
    </w:p>
    <w:p w14:paraId="0833AC4D">
      <w:pPr>
        <w:pStyle w:val="16"/>
        <w:spacing w:before="31" w:after="31"/>
        <w:ind w:firstLine="0" w:firstLineChars="0"/>
        <w:rPr>
          <w:szCs w:val="24"/>
        </w:rPr>
      </w:pPr>
      <w:r>
        <w:rPr>
          <w:rFonts w:hint="eastAsia"/>
          <w:szCs w:val="24"/>
        </w:rPr>
        <w:t>(3) Service Environment</w:t>
      </w:r>
    </w:p>
    <w:p w14:paraId="4165ADC3">
      <w:pPr>
        <w:pStyle w:val="16"/>
        <w:spacing w:before="31" w:after="31"/>
        <w:ind w:firstLine="420" w:firstLineChars="0"/>
        <w:rPr>
          <w:szCs w:val="24"/>
        </w:rPr>
      </w:pPr>
      <w:r>
        <w:rPr>
          <w:rFonts w:hint="eastAsia"/>
          <w:szCs w:val="24"/>
        </w:rPr>
        <w:t>Null</w:t>
      </w:r>
    </w:p>
    <w:p w14:paraId="74C7D69F">
      <w:pPr>
        <w:pStyle w:val="16"/>
        <w:spacing w:before="31" w:after="31"/>
        <w:ind w:firstLine="0" w:firstLineChars="0"/>
        <w:rPr>
          <w:szCs w:val="24"/>
        </w:rPr>
      </w:pPr>
    </w:p>
    <w:p w14:paraId="31818839">
      <w:pPr>
        <w:pStyle w:val="16"/>
        <w:spacing w:before="31" w:after="31"/>
        <w:ind w:firstLine="0" w:firstLineChars="0"/>
        <w:rPr>
          <w:szCs w:val="24"/>
        </w:rPr>
      </w:pPr>
      <w:r>
        <w:rPr>
          <w:rFonts w:hint="eastAsia"/>
          <w:szCs w:val="24"/>
        </w:rPr>
        <w:t>(4) Failed Component and Material</w:t>
      </w:r>
    </w:p>
    <w:p w14:paraId="5153D34A">
      <w:pPr>
        <w:pStyle w:val="16"/>
        <w:spacing w:before="31" w:after="31"/>
        <w:ind w:firstLine="420" w:firstLineChars="0"/>
        <w:rPr>
          <w:szCs w:val="24"/>
        </w:rPr>
      </w:pPr>
      <w:r>
        <w:rPr>
          <w:rFonts w:hint="eastAsia"/>
          <w:szCs w:val="24"/>
        </w:rPr>
        <w:t>The failed component was the intake valve guide tube of the emergency diesel engine. The material of the diesel engine's intake valve guide tube was gray cast iron, and its chemical composition was: C (3.33%), Si (2.02%), Mn (0.68%), S (0.058%), P (0.72%), Fe (92.57%).</w:t>
      </w:r>
    </w:p>
    <w:p w14:paraId="17DD9CE5">
      <w:pPr>
        <w:pStyle w:val="16"/>
        <w:spacing w:before="31" w:after="31"/>
        <w:ind w:firstLine="420" w:firstLineChars="0"/>
        <w:rPr>
          <w:szCs w:val="24"/>
        </w:rPr>
      </w:pPr>
    </w:p>
    <w:p w14:paraId="2BD8BCF5">
      <w:pPr>
        <w:pStyle w:val="16"/>
        <w:spacing w:before="31" w:after="31"/>
        <w:ind w:firstLine="0" w:firstLineChars="0"/>
        <w:rPr>
          <w:szCs w:val="24"/>
        </w:rPr>
      </w:pPr>
      <w:r>
        <w:rPr>
          <w:rFonts w:hint="eastAsia"/>
          <w:szCs w:val="24"/>
        </w:rPr>
        <w:t>(5) Failure Appearance</w:t>
      </w:r>
    </w:p>
    <w:p w14:paraId="34D5CC96">
      <w:pPr>
        <w:pStyle w:val="16"/>
        <w:spacing w:before="31" w:after="31"/>
        <w:ind w:firstLine="420" w:firstLineChars="0"/>
        <w:rPr>
          <w:szCs w:val="24"/>
        </w:rPr>
      </w:pPr>
      <w:r>
        <w:rPr>
          <w:rFonts w:hint="eastAsia"/>
          <w:szCs w:val="24"/>
        </w:rPr>
        <w:t>Cracks originated from the tail end of the guide tube and extended at an angle of 45° to the axial direction, approximately 38 mm in length, as shown in Figure 3-9.1. The top crack surface had more visible products than the surface away from the top, indicating a longer exposure time. This location should be considered the initial crack site.</w:t>
      </w:r>
    </w:p>
    <w:p w14:paraId="3942A832">
      <w:pPr>
        <w:pStyle w:val="22"/>
        <w:spacing w:before="156" w:after="468"/>
        <w:rPr>
          <w:color w:val="000000"/>
        </w:rPr>
      </w:pPr>
      <w:r>
        <w:rPr>
          <w:rFonts w:hint="eastAsia"/>
          <w:color w:val="000000"/>
        </w:rPr>
        <w:t>Figure 3-9.1: Appearance of the failed intake valve guide tube</w:t>
      </w:r>
    </w:p>
    <w:p w14:paraId="4D3B4FD1">
      <w:pPr>
        <w:pStyle w:val="16"/>
        <w:spacing w:before="31" w:after="31"/>
        <w:ind w:firstLine="420" w:firstLineChars="0"/>
        <w:rPr>
          <w:szCs w:val="24"/>
        </w:rPr>
      </w:pPr>
      <w:r>
        <w:rPr>
          <w:rFonts w:hint="eastAsia"/>
          <w:szCs w:val="24"/>
        </w:rPr>
        <w:t>The thickest part of the crack was located on the outer surface of the tail end of the guide tube, as shown in Figure 3-9.2, indicating that the crack originated from the end face of the guide tube. The internal edge at the crack location was intact, showing no trumpet-shaped opening. The internal diameter showed no elliptical shape compared to other sections of the tube.</w:t>
      </w:r>
    </w:p>
    <w:p w14:paraId="7771F3F7">
      <w:pPr>
        <w:pStyle w:val="16"/>
        <w:spacing w:before="31" w:after="31"/>
        <w:ind w:firstLine="420" w:firstLineChars="0"/>
        <w:rPr>
          <w:szCs w:val="24"/>
        </w:rPr>
      </w:pPr>
      <w:r>
        <w:rPr>
          <w:rFonts w:hint="eastAsia"/>
          <w:szCs w:val="24"/>
        </w:rPr>
        <w:t>The crack surface exhibited characteristics of brittle fracture, with no clear signs of fatigue features. The fracture was mainly transgranular. Near the top crack surface of the intake valve guide tube, there were signs of crack initiation along the grain boundaries, and the fracture surface generally showed numerous secondary cracks and voids. The material structure was particularly loose, as shown in Figure 3-9.3.</w:t>
      </w:r>
    </w:p>
    <w:p w14:paraId="1FC637E6">
      <w:pPr>
        <w:pStyle w:val="22"/>
        <w:spacing w:before="156" w:after="468" w:line="312" w:lineRule="auto"/>
        <w:rPr>
          <w:color w:val="000000"/>
        </w:rPr>
      </w:pPr>
      <w:r>
        <w:rPr>
          <w:rFonts w:hint="eastAsia"/>
          <w:color w:val="000000"/>
        </w:rPr>
        <w:t>Figure 3-9.2: Crack in the failed intake valve guide tube</w:t>
      </w:r>
    </w:p>
    <w:p w14:paraId="51808807">
      <w:pPr>
        <w:pStyle w:val="22"/>
        <w:spacing w:before="156" w:after="468" w:line="312" w:lineRule="auto"/>
        <w:rPr>
          <w:sz w:val="24"/>
        </w:rPr>
      </w:pPr>
      <w:r>
        <w:rPr>
          <w:rFonts w:hint="eastAsia"/>
          <w:color w:val="000000"/>
        </w:rPr>
        <w:t>Figure 3-9.3: Analysis of the crack cross-section</w:t>
      </w:r>
    </w:p>
    <w:p w14:paraId="4AEF672F">
      <w:pPr>
        <w:pStyle w:val="16"/>
        <w:spacing w:before="31" w:after="31"/>
        <w:ind w:firstLine="420" w:firstLineChars="0"/>
        <w:rPr>
          <w:szCs w:val="24"/>
        </w:rPr>
      </w:pPr>
      <w:r>
        <w:rPr>
          <w:rFonts w:hint="eastAsia"/>
          <w:szCs w:val="24"/>
        </w:rPr>
        <w:t>A metallographic sample was prepared from the end face of the guide tube and observed under a metallographic microscope. Before etching, graphite appeared flaky but unevenly distributed, as shown in Figure 3-9.4 (a). After etching, the metallographic structure consisted of flaky graphite + pearlite + phosphorus eutectic, as shown in Figure 3-9.4 (b), with phosphide eutectic distributed along the grain boundaries. The graphite content was relatively high, with flaky Type B graphite, approximately Grade 4 in length, belonging to medium length. The graphite flakes were fine, with a width of about 5-10 μm, and the graphite flakes were interconnected, forming a network-like structure. The etched sample surface had a large amount of flaky graphite, and the cracks mainly propagated along the ends of the flaky graphite. Large-sized graphite was present around the crack, indicating a coarse phenomenon.</w:t>
      </w:r>
    </w:p>
    <w:p w14:paraId="52C05BA1">
      <w:pPr>
        <w:pStyle w:val="16"/>
        <w:numPr>
          <w:ilvl w:val="0"/>
          <w:numId w:val="5"/>
        </w:numPr>
        <w:spacing w:before="31" w:after="31"/>
        <w:ind w:firstLine="420" w:firstLineChars="0"/>
        <w:jc w:val="center"/>
        <w:rPr>
          <w:szCs w:val="24"/>
        </w:rPr>
      </w:pPr>
      <w:r>
        <w:rPr>
          <w:rFonts w:hint="eastAsia"/>
          <w:szCs w:val="24"/>
        </w:rPr>
        <w:t xml:space="preserve">                           (b)</w:t>
      </w:r>
    </w:p>
    <w:p w14:paraId="388806A1">
      <w:pPr>
        <w:pStyle w:val="22"/>
        <w:spacing w:before="156" w:after="468" w:line="312" w:lineRule="auto"/>
        <w:rPr>
          <w:color w:val="000000"/>
        </w:rPr>
      </w:pPr>
      <w:r>
        <w:rPr>
          <w:rFonts w:hint="eastAsia"/>
          <w:color w:val="000000"/>
        </w:rPr>
        <w:t>Figure 3-9.4: Metallographic photos of the failed guide tube (a) before etching; (b) after etching</w:t>
      </w:r>
    </w:p>
    <w:p w14:paraId="557331D8">
      <w:pPr>
        <w:pStyle w:val="16"/>
        <w:spacing w:before="31" w:after="31"/>
        <w:ind w:firstLine="0" w:firstLineChars="0"/>
        <w:rPr>
          <w:szCs w:val="24"/>
        </w:rPr>
      </w:pPr>
      <w:r>
        <w:rPr>
          <w:rFonts w:hint="eastAsia"/>
          <w:szCs w:val="24"/>
        </w:rPr>
        <w:t>(6) Failure Cause Analysis</w:t>
      </w:r>
    </w:p>
    <w:p w14:paraId="3F4BFFC3">
      <w:pPr>
        <w:pStyle w:val="16"/>
        <w:spacing w:before="31" w:after="31"/>
        <w:ind w:firstLine="420" w:firstLineChars="0"/>
        <w:rPr>
          <w:szCs w:val="24"/>
        </w:rPr>
      </w:pPr>
      <w:r>
        <w:rPr>
          <w:rFonts w:hint="eastAsia"/>
          <w:szCs w:val="24"/>
        </w:rPr>
        <w:t>Comprehensive analysis revealed several aspects contributing to the failure of the intake valve guide tube:</w:t>
      </w:r>
    </w:p>
    <w:p w14:paraId="619FC2F0">
      <w:pPr>
        <w:pStyle w:val="16"/>
        <w:spacing w:before="31" w:after="31"/>
        <w:ind w:firstLine="420" w:firstLineChars="0"/>
        <w:rPr>
          <w:szCs w:val="24"/>
        </w:rPr>
      </w:pPr>
      <w:r>
        <w:rPr>
          <w:rFonts w:hint="eastAsia"/>
          <w:szCs w:val="24"/>
        </w:rPr>
        <w:t>(a) The exposed design of the intake valve guide tube objectively created conditions for external impact, posing a risk for tube fracture entering the cylinder and causing a secondary pulling fault.</w:t>
      </w:r>
    </w:p>
    <w:p w14:paraId="49066EFE">
      <w:pPr>
        <w:pStyle w:val="16"/>
        <w:spacing w:before="31" w:after="31"/>
        <w:ind w:firstLine="420" w:firstLineChars="0"/>
        <w:rPr>
          <w:szCs w:val="24"/>
        </w:rPr>
      </w:pPr>
      <w:r>
        <w:rPr>
          <w:rFonts w:hint="eastAsia"/>
          <w:szCs w:val="24"/>
        </w:rPr>
        <w:t>(b) The design of the intake valve guide tube using brittle high-phosphorus cast iron material created conditions for the initiation of tube cracks.</w:t>
      </w:r>
    </w:p>
    <w:p w14:paraId="16DCDF24">
      <w:pPr>
        <w:pStyle w:val="16"/>
        <w:spacing w:before="31" w:after="31"/>
        <w:ind w:firstLine="420" w:firstLineChars="0"/>
        <w:rPr>
          <w:szCs w:val="24"/>
        </w:rPr>
      </w:pPr>
      <w:r>
        <w:rPr>
          <w:rFonts w:hint="eastAsia"/>
          <w:szCs w:val="24"/>
        </w:rPr>
        <w:t>(c) The specialized tool for valve grinding used a conical positioning with the guide tube and employed a conical surface for centering. The conical surface applied external expansion to the guide tube, inevitably subjecting it to external tensile stress.</w:t>
      </w:r>
    </w:p>
    <w:p w14:paraId="32692BE4">
      <w:pPr>
        <w:pStyle w:val="16"/>
        <w:spacing w:before="31" w:after="31"/>
        <w:ind w:firstLine="420" w:firstLineChars="0"/>
        <w:rPr>
          <w:szCs w:val="24"/>
        </w:rPr>
      </w:pPr>
      <w:r>
        <w:rPr>
          <w:rFonts w:hint="eastAsia"/>
          <w:szCs w:val="24"/>
        </w:rPr>
        <w:t>(d) The installation process of the specialized tool for valve seat grinding lacked effective means to control its speed and displacement, with no means to avoid the impact force acting on the intake valve guide tube.</w:t>
      </w:r>
    </w:p>
    <w:p w14:paraId="07C58C12">
      <w:pPr>
        <w:pStyle w:val="16"/>
        <w:spacing w:before="31" w:after="31"/>
        <w:ind w:firstLine="420" w:firstLineChars="0"/>
        <w:rPr>
          <w:szCs w:val="24"/>
        </w:rPr>
      </w:pPr>
      <w:r>
        <w:rPr>
          <w:rFonts w:hint="eastAsia"/>
          <w:szCs w:val="24"/>
        </w:rPr>
        <w:t>(e) After grinding the valve seat, there was no means of controlling the speed and displacement of the specialized tool, and no means of inspecting the guide tube for cracks.</w:t>
      </w:r>
    </w:p>
    <w:p w14:paraId="409B3188">
      <w:pPr>
        <w:pStyle w:val="16"/>
        <w:spacing w:before="31" w:after="31"/>
        <w:ind w:firstLine="420" w:firstLineChars="0"/>
        <w:rPr>
          <w:szCs w:val="24"/>
        </w:rPr>
      </w:pPr>
    </w:p>
    <w:p w14:paraId="1CC80194">
      <w:pPr>
        <w:pStyle w:val="16"/>
        <w:spacing w:before="31" w:after="31"/>
        <w:ind w:firstLine="0" w:firstLineChars="0"/>
        <w:rPr>
          <w:szCs w:val="24"/>
        </w:rPr>
      </w:pPr>
      <w:r>
        <w:rPr>
          <w:rFonts w:hint="eastAsia"/>
          <w:szCs w:val="24"/>
        </w:rPr>
        <w:t>(7) Impact and Harm Caused</w:t>
      </w:r>
    </w:p>
    <w:p w14:paraId="3FF15612">
      <w:pPr>
        <w:pStyle w:val="16"/>
        <w:spacing w:before="31" w:after="31"/>
        <w:ind w:firstLine="420" w:firstLineChars="0"/>
        <w:rPr>
          <w:szCs w:val="24"/>
        </w:rPr>
      </w:pPr>
      <w:r>
        <w:rPr>
          <w:rFonts w:hint="eastAsia"/>
          <w:szCs w:val="24"/>
        </w:rPr>
        <w:t>Null</w:t>
      </w:r>
    </w:p>
    <w:p w14:paraId="287FB912">
      <w:pPr>
        <w:pStyle w:val="16"/>
        <w:spacing w:before="31" w:after="31"/>
        <w:ind w:firstLine="0" w:firstLineChars="0"/>
        <w:rPr>
          <w:szCs w:val="24"/>
        </w:rPr>
      </w:pPr>
    </w:p>
    <w:p w14:paraId="46EBBAC9">
      <w:pPr>
        <w:pStyle w:val="16"/>
        <w:spacing w:before="31" w:after="31"/>
        <w:ind w:firstLine="0" w:firstLineChars="0"/>
        <w:rPr>
          <w:szCs w:val="24"/>
        </w:rPr>
      </w:pPr>
      <w:r>
        <w:rPr>
          <w:rFonts w:hint="eastAsia"/>
          <w:szCs w:val="24"/>
        </w:rPr>
        <w:t>(8) Conclusion and Improvement Measures</w:t>
      </w:r>
    </w:p>
    <w:p w14:paraId="5C69834A">
      <w:pPr>
        <w:pStyle w:val="16"/>
        <w:spacing w:before="31" w:after="31"/>
        <w:ind w:firstLine="420" w:firstLineChars="0"/>
        <w:rPr>
          <w:szCs w:val="24"/>
        </w:rPr>
      </w:pPr>
      <w:r>
        <w:rPr>
          <w:rFonts w:hint="eastAsia"/>
          <w:szCs w:val="24"/>
        </w:rPr>
        <w:t>Improvement measures proposed for possible reasons are as follows:</w:t>
      </w:r>
    </w:p>
    <w:p w14:paraId="56DE98A8">
      <w:pPr>
        <w:pStyle w:val="16"/>
        <w:spacing w:before="31" w:after="31"/>
        <w:ind w:firstLine="420" w:firstLineChars="0"/>
        <w:rPr>
          <w:szCs w:val="24"/>
        </w:rPr>
      </w:pPr>
      <w:r>
        <w:rPr>
          <w:rFonts w:hint="eastAsia"/>
          <w:szCs w:val="24"/>
        </w:rPr>
        <w:t>(a) Changing the design material of the intake valve guide tube would require a complete change in the cylinder head structure and experimental verification. The conical centering of the specialized tool for valve grinding with the guide tube is a widely used and effective structural form, and there is limited space for improvement. Therefore, these methods are not recommended.</w:t>
      </w:r>
    </w:p>
    <w:p w14:paraId="349338A7">
      <w:pPr>
        <w:pStyle w:val="16"/>
        <w:spacing w:before="31" w:after="31"/>
        <w:ind w:firstLine="420" w:firstLineChars="0"/>
        <w:rPr>
          <w:szCs w:val="24"/>
        </w:rPr>
      </w:pPr>
      <w:r>
        <w:rPr>
          <w:rFonts w:hint="eastAsia"/>
          <w:szCs w:val="24"/>
        </w:rPr>
        <w:t>(b) Improving the control of the speed and displacement during the installation process of the specialized tool for valve seat grinding to avoid the impact force on the intake valve guide tube is currently a feasible direction. This can be achieved by using a crane in conjunction with a buffer reducer to control the movement and lifting of the specialized tool.</w:t>
      </w:r>
    </w:p>
    <w:p w14:paraId="0EF12D6C">
      <w:pPr>
        <w:pStyle w:val="16"/>
        <w:spacing w:before="31" w:after="31"/>
        <w:ind w:firstLine="420" w:firstLineChars="0"/>
        <w:rPr>
          <w:szCs w:val="24"/>
        </w:rPr>
      </w:pPr>
      <w:r>
        <w:rPr>
          <w:rFonts w:hint="eastAsia"/>
          <w:szCs w:val="24"/>
        </w:rPr>
        <w:t>(c) After the valve seat grinding is completed, perform non-destructive testing (NDT) on the intake valve guide tube to prevent damaged guide tubes from being installed on the equipment.</w:t>
      </w:r>
    </w:p>
    <w:p w14:paraId="5568380A">
      <w:pPr>
        <w:pStyle w:val="16"/>
        <w:spacing w:before="31" w:after="31"/>
        <w:ind w:firstLine="420" w:firstLineChars="0"/>
        <w:rPr>
          <w:szCs w:val="24"/>
        </w:rPr>
      </w:pPr>
    </w:p>
    <w:p w14:paraId="1A3AAD21">
      <w:pPr>
        <w:pStyle w:val="16"/>
        <w:spacing w:before="31" w:after="31"/>
        <w:ind w:firstLine="420" w:firstLineChars="0"/>
        <w:rPr>
          <w:szCs w:val="24"/>
        </w:rPr>
      </w:pPr>
    </w:p>
    <w:p w14:paraId="58108821">
      <w:pPr>
        <w:pStyle w:val="21"/>
        <w:numPr>
          <w:ilvl w:val="2"/>
          <w:numId w:val="0"/>
        </w:numPr>
        <w:rPr>
          <w:rFonts w:eastAsia="宋体"/>
          <w:color w:val="000000"/>
        </w:rPr>
      </w:pPr>
      <w:r>
        <w:rPr>
          <w:rFonts w:hint="eastAsia" w:eastAsia="宋体"/>
          <w:color w:val="000000"/>
        </w:rPr>
        <w:t>3.2.10 Case 3-10 Corrosion of Valves Near SEC System Heat Exchanger</w:t>
      </w:r>
    </w:p>
    <w:p w14:paraId="0D433C39">
      <w:pPr>
        <w:pStyle w:val="16"/>
        <w:spacing w:before="31" w:after="31"/>
        <w:ind w:firstLine="0" w:firstLineChars="0"/>
        <w:rPr>
          <w:szCs w:val="24"/>
        </w:rPr>
      </w:pPr>
      <w:r>
        <w:rPr>
          <w:rFonts w:hint="eastAsia"/>
          <w:szCs w:val="24"/>
        </w:rPr>
        <w:t>(1) Case Name</w:t>
      </w:r>
    </w:p>
    <w:p w14:paraId="676A0F33">
      <w:pPr>
        <w:pStyle w:val="16"/>
        <w:spacing w:before="31" w:after="31"/>
        <w:ind w:firstLine="420" w:firstLineChars="0"/>
        <w:rPr>
          <w:szCs w:val="24"/>
        </w:rPr>
      </w:pPr>
      <w:r>
        <w:rPr>
          <w:rFonts w:hint="eastAsia"/>
          <w:szCs w:val="24"/>
        </w:rPr>
        <w:t>Corrosion of Valves Near SEC/RRI Heat Exchanger in the SEC System [32]</w:t>
      </w:r>
    </w:p>
    <w:p w14:paraId="6AD61614">
      <w:pPr>
        <w:pStyle w:val="16"/>
        <w:spacing w:before="31" w:after="31"/>
        <w:ind w:firstLine="420" w:firstLineChars="0"/>
        <w:rPr>
          <w:szCs w:val="24"/>
        </w:rPr>
      </w:pPr>
    </w:p>
    <w:p w14:paraId="3219F574">
      <w:pPr>
        <w:pStyle w:val="16"/>
        <w:spacing w:before="31" w:after="31"/>
        <w:ind w:firstLine="0" w:firstLineChars="0"/>
        <w:rPr>
          <w:szCs w:val="24"/>
        </w:rPr>
      </w:pPr>
      <w:r>
        <w:rPr>
          <w:rFonts w:hint="eastAsia"/>
          <w:szCs w:val="24"/>
        </w:rPr>
        <w:t>(2) Failure Process Description</w:t>
      </w:r>
    </w:p>
    <w:p w14:paraId="28EA241B">
      <w:pPr>
        <w:pStyle w:val="16"/>
        <w:spacing w:before="31" w:after="31"/>
        <w:ind w:firstLine="420" w:firstLineChars="0"/>
        <w:rPr>
          <w:szCs w:val="24"/>
        </w:rPr>
      </w:pPr>
      <w:r>
        <w:rPr>
          <w:rFonts w:hint="eastAsia"/>
          <w:szCs w:val="24"/>
        </w:rPr>
        <w:t>In 2004, severe corrosion occurred in one cycle of the drain valve L2SEC055-058VE valve disc on the SEC side of the titanium heat exchanger upstream pipeline. During the D210 overhaul, when cleaning the RRI (equipment cooling water system) heat exchanger, it was discovered that drainage was not possible. Upon dismantling and inspecting the D2SEC-056-VE valve, it was found that the valve disc was corroded to a minimal extent. During the D111 overhaul, upon dismantling and inspecting the AMRI butterfly valve D1SEC017/019VE, it was found that the valve disc was severely corroded, perforated, thinned, and the sealing surface was penetrated. Subsequently, upon dismantling and inspecting the 1SEC013/015VE, it was also found that the valve disc was severely corroded.</w:t>
      </w:r>
    </w:p>
    <w:p w14:paraId="3977E5CB">
      <w:pPr>
        <w:pStyle w:val="16"/>
        <w:spacing w:before="31" w:after="31"/>
        <w:ind w:firstLine="420" w:firstLineChars="0"/>
        <w:rPr>
          <w:szCs w:val="24"/>
        </w:rPr>
      </w:pPr>
    </w:p>
    <w:p w14:paraId="47B7693F">
      <w:pPr>
        <w:pStyle w:val="16"/>
        <w:spacing w:before="31" w:after="31"/>
        <w:ind w:firstLine="0" w:firstLineChars="0"/>
        <w:rPr>
          <w:szCs w:val="24"/>
        </w:rPr>
      </w:pPr>
      <w:r>
        <w:rPr>
          <w:rFonts w:hint="eastAsia"/>
          <w:szCs w:val="24"/>
        </w:rPr>
        <w:t>(3) Service Environment</w:t>
      </w:r>
    </w:p>
    <w:p w14:paraId="624D812F">
      <w:pPr>
        <w:pStyle w:val="16"/>
        <w:spacing w:before="31" w:after="31"/>
        <w:ind w:firstLine="420" w:firstLineChars="0"/>
        <w:rPr>
          <w:szCs w:val="24"/>
        </w:rPr>
      </w:pPr>
      <w:r>
        <w:rPr>
          <w:rFonts w:hint="eastAsia"/>
          <w:szCs w:val="24"/>
        </w:rPr>
        <w:t>Null</w:t>
      </w:r>
    </w:p>
    <w:p w14:paraId="5261C61C">
      <w:pPr>
        <w:pStyle w:val="16"/>
        <w:spacing w:before="31" w:after="31"/>
        <w:ind w:firstLine="0" w:firstLineChars="0"/>
        <w:rPr>
          <w:szCs w:val="24"/>
        </w:rPr>
      </w:pPr>
    </w:p>
    <w:p w14:paraId="0BF9F871">
      <w:pPr>
        <w:pStyle w:val="16"/>
        <w:spacing w:before="31" w:after="31"/>
        <w:ind w:firstLine="0" w:firstLineChars="0"/>
        <w:rPr>
          <w:szCs w:val="24"/>
        </w:rPr>
      </w:pPr>
      <w:r>
        <w:rPr>
          <w:rFonts w:hint="eastAsia"/>
          <w:szCs w:val="24"/>
        </w:rPr>
        <w:t>(4) Failed Component and Material</w:t>
      </w:r>
    </w:p>
    <w:p w14:paraId="0FBCB97B">
      <w:pPr>
        <w:pStyle w:val="16"/>
        <w:spacing w:before="31" w:after="31"/>
        <w:ind w:firstLine="420" w:firstLineChars="0"/>
        <w:rPr>
          <w:szCs w:val="24"/>
        </w:rPr>
      </w:pPr>
      <w:r>
        <w:rPr>
          <w:rFonts w:hint="eastAsia"/>
          <w:szCs w:val="24"/>
        </w:rPr>
        <w:t>The valves near the SEC/RRI heat exchanger are made of aluminum bronze.</w:t>
      </w:r>
    </w:p>
    <w:p w14:paraId="56246086">
      <w:pPr>
        <w:pStyle w:val="16"/>
        <w:spacing w:before="31" w:after="31"/>
        <w:ind w:firstLine="420" w:firstLineChars="0"/>
        <w:rPr>
          <w:szCs w:val="24"/>
        </w:rPr>
      </w:pPr>
    </w:p>
    <w:p w14:paraId="4C97E166">
      <w:pPr>
        <w:pStyle w:val="16"/>
        <w:spacing w:before="31" w:after="31"/>
        <w:ind w:firstLine="0" w:firstLineChars="0"/>
        <w:rPr>
          <w:szCs w:val="24"/>
        </w:rPr>
      </w:pPr>
      <w:r>
        <w:rPr>
          <w:rFonts w:hint="eastAsia"/>
          <w:szCs w:val="24"/>
        </w:rPr>
        <w:t>(5) Failure Appearance</w:t>
      </w:r>
    </w:p>
    <w:p w14:paraId="79AEF565">
      <w:pPr>
        <w:pStyle w:val="16"/>
        <w:spacing w:before="31" w:after="31"/>
        <w:ind w:firstLine="420" w:firstLineChars="0"/>
        <w:rPr>
          <w:szCs w:val="24"/>
        </w:rPr>
      </w:pPr>
      <w:r>
        <w:rPr>
          <w:rFonts w:hint="eastAsia"/>
          <w:szCs w:val="24"/>
        </w:rPr>
        <w:t>The typical corrosion appearance of the valve discs for D2SEC-056-VE and D1SEC017/019VE is shown in Figures 3-10.1 and 3-10.2.</w:t>
      </w:r>
    </w:p>
    <w:p w14:paraId="213A1F5F">
      <w:pPr>
        <w:pStyle w:val="22"/>
        <w:spacing w:before="156" w:after="468"/>
        <w:rPr>
          <w:color w:val="000000"/>
        </w:rPr>
      </w:pPr>
      <w:r>
        <w:rPr>
          <w:rFonts w:hint="eastAsia"/>
          <w:color w:val="000000"/>
        </w:rPr>
        <w:t>Figure 3-10.1: Corrosion appearance of D2SEC-056-VE valve disc</w:t>
      </w:r>
    </w:p>
    <w:p w14:paraId="17E61873">
      <w:pPr>
        <w:pStyle w:val="22"/>
        <w:spacing w:before="156" w:after="468"/>
        <w:rPr>
          <w:sz w:val="24"/>
        </w:rPr>
      </w:pPr>
      <w:r>
        <w:rPr>
          <w:rFonts w:hint="eastAsia"/>
          <w:color w:val="000000"/>
        </w:rPr>
        <w:t>Figure 3-10.2: Corrosion appearance of D1SEC017/019VE valve disc</w:t>
      </w:r>
    </w:p>
    <w:p w14:paraId="7144BA5B">
      <w:pPr>
        <w:pStyle w:val="16"/>
        <w:spacing w:before="31" w:after="31"/>
        <w:ind w:firstLine="0" w:firstLineChars="0"/>
        <w:rPr>
          <w:szCs w:val="24"/>
        </w:rPr>
      </w:pPr>
      <w:r>
        <w:rPr>
          <w:rFonts w:hint="eastAsia"/>
          <w:szCs w:val="24"/>
        </w:rPr>
        <w:t>(6) Failure Cause Analysis</w:t>
      </w:r>
    </w:p>
    <w:p w14:paraId="74AE394E">
      <w:pPr>
        <w:pStyle w:val="16"/>
        <w:spacing w:before="31" w:after="31"/>
        <w:ind w:firstLine="420" w:firstLineChars="0"/>
        <w:rPr>
          <w:szCs w:val="24"/>
        </w:rPr>
      </w:pPr>
      <w:r>
        <w:rPr>
          <w:rFonts w:hint="eastAsia"/>
          <w:szCs w:val="24"/>
        </w:rPr>
        <w:t>There is galvanic corrosion on the valve discs of the heat exchanger and nearby valves. The corrosion protection design of the SEC system did not consider the mutual influence between equipment and did not account for galvanic corrosion issues, indicating a significant design error.</w:t>
      </w:r>
    </w:p>
    <w:p w14:paraId="5AD9561A">
      <w:pPr>
        <w:pStyle w:val="16"/>
        <w:spacing w:before="31" w:after="31"/>
        <w:ind w:firstLine="420" w:firstLineChars="0"/>
        <w:rPr>
          <w:szCs w:val="24"/>
        </w:rPr>
      </w:pPr>
    </w:p>
    <w:p w14:paraId="5EC90B85">
      <w:pPr>
        <w:pStyle w:val="16"/>
        <w:spacing w:before="31" w:after="31"/>
        <w:ind w:firstLine="0" w:firstLineChars="0"/>
        <w:rPr>
          <w:szCs w:val="24"/>
        </w:rPr>
      </w:pPr>
      <w:r>
        <w:rPr>
          <w:rFonts w:hint="eastAsia"/>
          <w:szCs w:val="24"/>
        </w:rPr>
        <w:t>(7) Impact and Harm Caused</w:t>
      </w:r>
    </w:p>
    <w:p w14:paraId="61CBD29E">
      <w:pPr>
        <w:pStyle w:val="16"/>
        <w:spacing w:before="31" w:after="31"/>
        <w:ind w:firstLine="420" w:firstLineChars="0"/>
        <w:rPr>
          <w:szCs w:val="24"/>
        </w:rPr>
      </w:pPr>
      <w:r>
        <w:rPr>
          <w:rFonts w:hint="eastAsia"/>
          <w:szCs w:val="24"/>
        </w:rPr>
        <w:t>Null</w:t>
      </w:r>
    </w:p>
    <w:p w14:paraId="635BE76A">
      <w:pPr>
        <w:pStyle w:val="16"/>
        <w:spacing w:before="31" w:after="31"/>
        <w:ind w:firstLine="0" w:firstLineChars="0"/>
        <w:rPr>
          <w:szCs w:val="24"/>
        </w:rPr>
      </w:pPr>
    </w:p>
    <w:p w14:paraId="57C9BC8D">
      <w:pPr>
        <w:pStyle w:val="16"/>
        <w:spacing w:before="31" w:after="31"/>
        <w:ind w:firstLine="0" w:firstLineChars="0"/>
        <w:rPr>
          <w:szCs w:val="24"/>
        </w:rPr>
      </w:pPr>
      <w:r>
        <w:rPr>
          <w:rFonts w:hint="eastAsia"/>
          <w:szCs w:val="24"/>
        </w:rPr>
        <w:t>(8) Conclusion and Improvement Measures</w:t>
      </w:r>
    </w:p>
    <w:p w14:paraId="71534E67">
      <w:pPr>
        <w:pStyle w:val="16"/>
        <w:spacing w:before="31" w:after="31"/>
        <w:ind w:firstLine="420" w:firstLineChars="0"/>
        <w:rPr>
          <w:szCs w:val="24"/>
        </w:rPr>
      </w:pPr>
      <w:r>
        <w:rPr>
          <w:rFonts w:hint="eastAsia"/>
          <w:szCs w:val="24"/>
        </w:rPr>
        <w:t>To prevent galvanic corrosion, insulate the electrical connection between isolation valves, drain valves near the SEC/RRI heat exchanger, and the titanium plates of the heat exchanger.</w:t>
      </w:r>
    </w:p>
    <w:p w14:paraId="23F3B5D0">
      <w:pPr>
        <w:pStyle w:val="16"/>
        <w:spacing w:before="31" w:after="31"/>
        <w:ind w:firstLine="420" w:firstLineChars="0"/>
        <w:rPr>
          <w:szCs w:val="24"/>
        </w:rPr>
      </w:pPr>
    </w:p>
    <w:p w14:paraId="5792B1B8">
      <w:pPr>
        <w:pStyle w:val="16"/>
        <w:spacing w:before="31" w:after="31"/>
        <w:ind w:firstLine="420" w:firstLineChars="0"/>
        <w:rPr>
          <w:szCs w:val="24"/>
        </w:rPr>
      </w:pPr>
    </w:p>
    <w:p w14:paraId="31B8D2C9">
      <w:pPr>
        <w:pStyle w:val="21"/>
        <w:numPr>
          <w:ilvl w:val="2"/>
          <w:numId w:val="0"/>
        </w:numPr>
        <w:rPr>
          <w:sz w:val="24"/>
          <w:szCs w:val="24"/>
        </w:rPr>
      </w:pPr>
      <w:r>
        <w:rPr>
          <w:rFonts w:hint="eastAsia" w:eastAsia="宋体"/>
          <w:color w:val="000000"/>
        </w:rPr>
        <w:t>3.2.11 Case 3-11: Leakage Failure of Plate Heat Exchanger at a Coastal Nuclear Power Station</w:t>
      </w:r>
    </w:p>
    <w:p w14:paraId="1A7B34ED">
      <w:pPr>
        <w:pStyle w:val="16"/>
        <w:spacing w:before="31" w:after="31"/>
        <w:ind w:firstLine="0" w:firstLineChars="0"/>
        <w:rPr>
          <w:szCs w:val="24"/>
        </w:rPr>
      </w:pPr>
      <w:r>
        <w:rPr>
          <w:rFonts w:hint="eastAsia"/>
          <w:szCs w:val="24"/>
        </w:rPr>
        <w:t>(1) Case Title</w:t>
      </w:r>
    </w:p>
    <w:p w14:paraId="03AA1BA7">
      <w:pPr>
        <w:pStyle w:val="16"/>
        <w:spacing w:before="31" w:after="31"/>
        <w:ind w:firstLine="420" w:firstLineChars="0"/>
        <w:rPr>
          <w:szCs w:val="24"/>
        </w:rPr>
      </w:pPr>
      <w:r>
        <w:rPr>
          <w:rFonts w:hint="eastAsia"/>
          <w:szCs w:val="24"/>
        </w:rPr>
        <w:t>Leakage failure of slot-shaped titanium plate heat exchanger at a coastal nuclear power station[33]</w:t>
      </w:r>
    </w:p>
    <w:p w14:paraId="2FF387F2">
      <w:pPr>
        <w:pStyle w:val="16"/>
        <w:spacing w:before="31" w:after="31"/>
        <w:ind w:firstLine="420" w:firstLineChars="0"/>
        <w:rPr>
          <w:szCs w:val="24"/>
        </w:rPr>
      </w:pPr>
    </w:p>
    <w:p w14:paraId="2CB3242F">
      <w:pPr>
        <w:pStyle w:val="16"/>
        <w:spacing w:before="31" w:after="31"/>
        <w:ind w:firstLine="0" w:firstLineChars="0"/>
        <w:rPr>
          <w:szCs w:val="24"/>
        </w:rPr>
      </w:pPr>
      <w:r>
        <w:rPr>
          <w:rFonts w:hint="eastAsia"/>
          <w:szCs w:val="24"/>
        </w:rPr>
        <w:t>(2) Failure Process Description</w:t>
      </w:r>
    </w:p>
    <w:p w14:paraId="6F7FEDAC">
      <w:pPr>
        <w:pStyle w:val="16"/>
        <w:spacing w:before="31" w:after="31"/>
        <w:ind w:firstLine="420" w:firstLineChars="0"/>
        <w:rPr>
          <w:szCs w:val="24"/>
        </w:rPr>
      </w:pPr>
      <w:r>
        <w:rPr>
          <w:rFonts w:hint="eastAsia"/>
          <w:szCs w:val="24"/>
        </w:rPr>
        <w:t>After 5 years of operation, a coastal nuclear power station observed slight water leakage from some slot-shaped plates in the heat exchanger. However, after replacing these plates with newly purchased ones, leakage failure occurred again within a few months.</w:t>
      </w:r>
    </w:p>
    <w:p w14:paraId="19CDCE15">
      <w:pPr>
        <w:pStyle w:val="16"/>
        <w:spacing w:before="31" w:after="31"/>
        <w:ind w:firstLine="420" w:firstLineChars="0"/>
        <w:rPr>
          <w:szCs w:val="24"/>
        </w:rPr>
      </w:pPr>
    </w:p>
    <w:p w14:paraId="0767B301">
      <w:pPr>
        <w:pStyle w:val="16"/>
        <w:spacing w:before="31" w:after="31"/>
        <w:ind w:firstLine="0" w:firstLineChars="0"/>
        <w:rPr>
          <w:szCs w:val="24"/>
        </w:rPr>
      </w:pPr>
      <w:r>
        <w:rPr>
          <w:rFonts w:hint="eastAsia"/>
          <w:szCs w:val="24"/>
        </w:rPr>
        <w:t>(3) Operating Environment</w:t>
      </w:r>
    </w:p>
    <w:p w14:paraId="304AE9C2">
      <w:pPr>
        <w:pStyle w:val="16"/>
        <w:spacing w:before="31" w:after="31"/>
        <w:ind w:firstLine="420" w:firstLineChars="0"/>
        <w:rPr>
          <w:szCs w:val="24"/>
        </w:rPr>
      </w:pPr>
      <w:r>
        <w:rPr>
          <w:rFonts w:hint="eastAsia"/>
          <w:szCs w:val="24"/>
        </w:rPr>
        <w:t>During heat exchanger operation, desalinated water and seawater flow through the heat exchanger via their respective inlets, undergoing heat exchange through the slot-shaped heat exchange plates. Operating parameters include a seawater pressure of 0.6 MPa, desalinated water pressure of 0.15 MPa, and a maximum desalinated water temperature of 39°C.</w:t>
      </w:r>
    </w:p>
    <w:p w14:paraId="44F67A63">
      <w:pPr>
        <w:pStyle w:val="16"/>
        <w:spacing w:before="31" w:after="31"/>
        <w:ind w:firstLine="420" w:firstLineChars="0"/>
        <w:rPr>
          <w:szCs w:val="24"/>
        </w:rPr>
      </w:pPr>
    </w:p>
    <w:p w14:paraId="3EC209AC">
      <w:pPr>
        <w:pStyle w:val="16"/>
        <w:spacing w:before="31" w:after="31"/>
        <w:ind w:firstLine="0" w:firstLineChars="0"/>
        <w:rPr>
          <w:szCs w:val="24"/>
        </w:rPr>
      </w:pPr>
      <w:r>
        <w:rPr>
          <w:rFonts w:hint="eastAsia"/>
          <w:szCs w:val="24"/>
        </w:rPr>
        <w:t>(4) Failed Component and Material</w:t>
      </w:r>
    </w:p>
    <w:p w14:paraId="34F9DFEE">
      <w:pPr>
        <w:pStyle w:val="16"/>
        <w:spacing w:before="31" w:after="31"/>
        <w:ind w:firstLine="420" w:firstLineChars="0"/>
        <w:rPr>
          <w:szCs w:val="24"/>
        </w:rPr>
      </w:pPr>
      <w:r>
        <w:rPr>
          <w:rFonts w:hint="eastAsia"/>
          <w:szCs w:val="24"/>
        </w:rPr>
        <w:t>The failed component is the slot-shaped titanium plate in the plate heat exchanger, constructed using industrial pure titanium. It consists of fixed plates, heat exchange plate pieces, slot-shaped plates, suspension beams, tension bolts, movable clamping plates, guide rods, and fixed supports, as illustrated in Figure 3-11.1[34]. Composition analysis confirmed the use of industrial pure titanium, meeting the requirements of the pressurized heavy water reactor (PHWR) mechanical equipment design and construction code[35] for M4401 titanium and titanium alloys. The metallographic structure of the original and replacement plates is shown in Figure 3-11.2.</w:t>
      </w:r>
    </w:p>
    <w:p w14:paraId="207719EB">
      <w:pPr>
        <w:pStyle w:val="22"/>
        <w:spacing w:before="156" w:after="468"/>
        <w:rPr>
          <w:color w:val="000000"/>
        </w:rPr>
      </w:pPr>
      <w:r>
        <w:rPr>
          <w:rFonts w:hint="eastAsia"/>
          <w:color w:val="000000"/>
        </w:rPr>
        <w:t>Figure 3-11.1 Plate Heat Exchanger Plate Illustration</w:t>
      </w:r>
    </w:p>
    <w:p w14:paraId="2A4339C4">
      <w:pPr>
        <w:pStyle w:val="22"/>
        <w:spacing w:before="156" w:afterLines="0"/>
        <w:rPr>
          <w:color w:val="000000"/>
        </w:rPr>
      </w:pPr>
      <w:r>
        <w:rPr>
          <w:rFonts w:hint="eastAsia"/>
          <w:color w:val="000000"/>
        </w:rPr>
        <w:t>(a) Original Plate          (b) Replacement Plate</w:t>
      </w:r>
    </w:p>
    <w:p w14:paraId="700BCF78">
      <w:pPr>
        <w:pStyle w:val="22"/>
        <w:spacing w:before="156" w:afterLines="0"/>
        <w:rPr>
          <w:sz w:val="24"/>
        </w:rPr>
      </w:pPr>
      <w:r>
        <w:rPr>
          <w:rFonts w:hint="eastAsia"/>
          <w:color w:val="000000"/>
        </w:rPr>
        <w:t>Figure 3-11.2 Metallographic Structure of Heat Exchange Plate Material</w:t>
      </w:r>
    </w:p>
    <w:p w14:paraId="10232270">
      <w:pPr>
        <w:pStyle w:val="16"/>
        <w:spacing w:before="31" w:after="31"/>
        <w:ind w:firstLine="0" w:firstLineChars="0"/>
        <w:rPr>
          <w:szCs w:val="24"/>
        </w:rPr>
      </w:pPr>
    </w:p>
    <w:p w14:paraId="2EECCF45">
      <w:pPr>
        <w:pStyle w:val="16"/>
        <w:spacing w:before="31" w:after="31"/>
        <w:ind w:firstLine="0" w:firstLineChars="0"/>
        <w:rPr>
          <w:szCs w:val="24"/>
        </w:rPr>
      </w:pPr>
      <w:r>
        <w:rPr>
          <w:rFonts w:hint="eastAsia"/>
          <w:szCs w:val="24"/>
        </w:rPr>
        <w:t>(5) Failed Component Morphology</w:t>
      </w:r>
    </w:p>
    <w:p w14:paraId="4DD866D4">
      <w:pPr>
        <w:pStyle w:val="16"/>
        <w:spacing w:before="31" w:after="31"/>
        <w:ind w:firstLine="420" w:firstLineChars="0"/>
        <w:rPr>
          <w:szCs w:val="24"/>
        </w:rPr>
      </w:pPr>
      <w:r>
        <w:rPr>
          <w:rFonts w:hint="eastAsia"/>
          <w:szCs w:val="24"/>
        </w:rPr>
        <w:t>The macroscopic morphology of the original and replacement plates is depicted in Figure 3-11.3. Irregular cracks appeared in the slot area of the original plate, with a small hole in the middle of the crack. The crack did not exhibit macroscopic deformation or opening, was roughly perpendicular to the surface, and followed the edge of the main wide slot, located on the deformed surface of the slot edge, as indicated by the arrow in Figure 3-11.3 (a). Penetrating perforations occurred near the seawater inlet edge of the original plate, forming elliptical holes aligned with the seawater inlet direction, as shown in Figure 3-11.3 (b). Besides penetrating holes, numerous pits with similar orientations to the small holes were observed on the seawater-facing surface. No similar pits were observed on the desalinated water-facing surface, indicating that hole formation originated from seawater-side surface erosion.</w:t>
      </w:r>
    </w:p>
    <w:p w14:paraId="01EDA7EA">
      <w:pPr>
        <w:pStyle w:val="16"/>
        <w:spacing w:before="31" w:after="31"/>
        <w:ind w:firstLine="420" w:firstLineChars="0"/>
        <w:rPr>
          <w:szCs w:val="24"/>
        </w:rPr>
      </w:pPr>
      <w:r>
        <w:rPr>
          <w:rFonts w:hint="eastAsia"/>
          <w:szCs w:val="24"/>
        </w:rPr>
        <w:t>The replacement plate exhibited large cracks at the edges, as indicated by the arrows in Figure 3-11.3. The cracks followed the edge of the wide slot, located on the deformed surface of the slot edge. Some local deformation was present near the crack, and the crack's local orientation followed the high-deformation zone formed during plate shaping, resulting in a wavy appearance when viewed in the cross-section. Its macroscopic appearance exhibited characteristics of strain damage leading to cracking.</w:t>
      </w:r>
    </w:p>
    <w:p w14:paraId="224CA70B">
      <w:pPr>
        <w:pStyle w:val="22"/>
        <w:spacing w:before="156" w:afterLines="0"/>
        <w:rPr>
          <w:color w:val="000000"/>
        </w:rPr>
      </w:pPr>
      <w:r>
        <w:rPr>
          <w:rFonts w:hint="eastAsia"/>
          <w:color w:val="000000"/>
        </w:rPr>
        <w:t>Figure 3-11.3 Heat Exchange Plate Failure Morphology</w:t>
      </w:r>
    </w:p>
    <w:p w14:paraId="71B11D7F">
      <w:pPr>
        <w:pStyle w:val="22"/>
        <w:spacing w:before="156" w:afterLines="0"/>
        <w:rPr>
          <w:color w:val="000000"/>
        </w:rPr>
      </w:pPr>
      <w:r>
        <w:rPr>
          <w:rFonts w:hint="eastAsia"/>
          <w:color w:val="000000"/>
        </w:rPr>
        <w:t>(a) Original Plate Cracks; (b) Original Plate Perforation; (c) Replacement Plate Cracks</w:t>
      </w:r>
    </w:p>
    <w:p w14:paraId="32C57C6F">
      <w:pPr>
        <w:pStyle w:val="16"/>
        <w:spacing w:before="31" w:after="31"/>
        <w:ind w:firstLine="420" w:firstLineChars="0"/>
        <w:rPr>
          <w:szCs w:val="24"/>
        </w:rPr>
      </w:pPr>
      <w:r>
        <w:rPr>
          <w:rFonts w:hint="eastAsia"/>
          <w:szCs w:val="24"/>
        </w:rPr>
        <w:t>Figure 3-11.4 shows the morphology of the seawater-facing surface in the perforation area of the original plate, revealing dense micro or sub-micron-level micropits formed by particle erosion. Figure 3-11.5 depicts the microscopic features of the surface and fracture of the original plate's crack failure area. The low-magnification fracture surface appeared relatively flat, indicative of low-stress fracture features. At high magnification, the main fracture surface exhibited transgranular fatigue fracture, as shown in Figure 3-11.5 (a). Numerous deformation-induced damage cracks were observed near the surface, as shown in Figures 3-11.5 (b) and (c). The cracks displayed some directional characteristics, with some crack tips extending into fine microcracks, as seen in Figure 3-11.5 (d). This is a typical fatigue crack nucleation from damage-induced defects.</w:t>
      </w:r>
    </w:p>
    <w:p w14:paraId="036C7DB1">
      <w:pPr>
        <w:pStyle w:val="22"/>
        <w:spacing w:before="156" w:afterLines="0"/>
        <w:rPr>
          <w:color w:val="000000"/>
        </w:rPr>
      </w:pPr>
      <w:r>
        <w:rPr>
          <w:rFonts w:hint="eastAsia"/>
          <w:color w:val="000000"/>
        </w:rPr>
        <w:t>Figure 3-11.4 Original Plate Seawater-Facing Surface Morphology</w:t>
      </w:r>
    </w:p>
    <w:p w14:paraId="741EA1BA">
      <w:pPr>
        <w:pStyle w:val="22"/>
        <w:spacing w:before="156" w:afterLines="0"/>
        <w:rPr>
          <w:color w:val="000000"/>
        </w:rPr>
      </w:pPr>
      <w:r>
        <w:rPr>
          <w:rFonts w:hint="eastAsia"/>
          <w:color w:val="000000"/>
        </w:rPr>
        <w:t>(a) Micropit Surface Erosion Morphology; (b) Surface Morphology of Particle Erosion</w:t>
      </w:r>
    </w:p>
    <w:p w14:paraId="6DAE7BA6">
      <w:pPr>
        <w:pStyle w:val="22"/>
        <w:spacing w:before="156" w:afterLines="0"/>
        <w:rPr>
          <w:color w:val="000000"/>
        </w:rPr>
      </w:pPr>
      <w:r>
        <w:rPr>
          <w:rFonts w:hint="eastAsia"/>
          <w:color w:val="000000"/>
        </w:rPr>
        <w:t>Figure 3-11.5 Original Plate Fracture and Surface Morphology</w:t>
      </w:r>
    </w:p>
    <w:p w14:paraId="59CA7EA6">
      <w:pPr>
        <w:pStyle w:val="22"/>
        <w:spacing w:before="156" w:afterLines="0"/>
        <w:rPr>
          <w:sz w:val="24"/>
        </w:rPr>
      </w:pPr>
      <w:r>
        <w:rPr>
          <w:rFonts w:hint="eastAsia"/>
          <w:color w:val="000000"/>
        </w:rPr>
        <w:t>(a) Fatigue Fracture; (b) Deformation Damage; (c) Surface Morphology Undulation; (d) Fatigue Crack Nucleation at Damage-Induced Defects</w:t>
      </w:r>
    </w:p>
    <w:p w14:paraId="48697D25">
      <w:pPr>
        <w:pStyle w:val="16"/>
        <w:spacing w:before="31" w:after="31"/>
        <w:ind w:firstLine="420" w:firstLineChars="0"/>
        <w:rPr>
          <w:szCs w:val="24"/>
        </w:rPr>
      </w:pPr>
      <w:r>
        <w:rPr>
          <w:rFonts w:hint="eastAsia"/>
          <w:szCs w:val="24"/>
        </w:rPr>
        <w:t>Figure 3-11.6 shows the fracture morphology and nearby surface morphology of the replacement plate. On the cross-section, typical fatigue expansion-formed transgranular features are visible, as indicated by the arrows in Figure 3-11.6 (b). The surface near the fracture exhibits damage defects formed during the manufacture of the titanium plate.</w:t>
      </w:r>
    </w:p>
    <w:p w14:paraId="2DDFEF4D">
      <w:pPr>
        <w:pStyle w:val="22"/>
        <w:spacing w:before="156" w:afterLines="0"/>
        <w:rPr>
          <w:color w:val="000000"/>
        </w:rPr>
      </w:pPr>
      <w:r>
        <w:rPr>
          <w:rFonts w:hint="eastAsia"/>
          <w:color w:val="000000"/>
        </w:rPr>
        <w:t>Figure 3-11.6 Replacement Plate Fracture and Surface Morphology</w:t>
      </w:r>
    </w:p>
    <w:p w14:paraId="02EC1C37">
      <w:pPr>
        <w:pStyle w:val="22"/>
        <w:spacing w:before="156" w:afterLines="0"/>
        <w:rPr>
          <w:sz w:val="24"/>
        </w:rPr>
      </w:pPr>
      <w:r>
        <w:rPr>
          <w:rFonts w:hint="eastAsia"/>
          <w:color w:val="000000"/>
        </w:rPr>
        <w:t>(a) Deformation Damage Crack Defects; (b) Transgranular Fatigue Fracture</w:t>
      </w:r>
    </w:p>
    <w:p w14:paraId="37032925">
      <w:pPr>
        <w:pStyle w:val="16"/>
        <w:spacing w:before="31" w:after="31"/>
        <w:ind w:firstLine="420" w:firstLineChars="0"/>
        <w:rPr>
          <w:szCs w:val="24"/>
        </w:rPr>
      </w:pPr>
      <w:r>
        <w:rPr>
          <w:rFonts w:hint="eastAsia"/>
          <w:szCs w:val="24"/>
        </w:rPr>
        <w:t>(6) Failure Cause Analysis</w:t>
      </w:r>
    </w:p>
    <w:p w14:paraId="0F4E4F02">
      <w:pPr>
        <w:pStyle w:val="16"/>
        <w:spacing w:before="31" w:after="31"/>
        <w:ind w:firstLine="420" w:firstLineChars="0"/>
        <w:rPr>
          <w:szCs w:val="24"/>
        </w:rPr>
      </w:pPr>
      <w:r>
        <w:rPr>
          <w:rFonts w:hint="eastAsia"/>
          <w:szCs w:val="24"/>
        </w:rPr>
        <w:t>Investigation results indicate that material chemical composition and metallographic structure were normal. Two failure modes of titanium plates were identified: erosion-induced perforation failure at the seawater inlet edge area and fatigue crack failure. Therefore, damage microcracks are one of the significant reasons for fatigue crack failure in titanium plates. Additionally, assembly stress and fatigue loads generated during the operation process's vibration and impact are crucial factors contributing to early fatigue crack failure in titanium plates, and the rapid failure of replaced titanium plates is significantly influenced by assembly stress.</w:t>
      </w:r>
    </w:p>
    <w:p w14:paraId="4A39ACAF">
      <w:pPr>
        <w:pStyle w:val="16"/>
        <w:spacing w:before="31" w:after="31"/>
        <w:ind w:firstLine="420" w:firstLineChars="0"/>
        <w:rPr>
          <w:szCs w:val="24"/>
        </w:rPr>
      </w:pPr>
    </w:p>
    <w:p w14:paraId="21A28ED1">
      <w:pPr>
        <w:pStyle w:val="16"/>
        <w:spacing w:before="31" w:after="31"/>
        <w:ind w:firstLine="0" w:firstLineChars="0"/>
        <w:rPr>
          <w:szCs w:val="24"/>
        </w:rPr>
      </w:pPr>
      <w:r>
        <w:rPr>
          <w:rFonts w:hint="eastAsia"/>
          <w:szCs w:val="24"/>
        </w:rPr>
        <w:t>(7) Impact and Hazards</w:t>
      </w:r>
    </w:p>
    <w:p w14:paraId="744DA836">
      <w:pPr>
        <w:pStyle w:val="16"/>
        <w:spacing w:before="31" w:after="31"/>
        <w:ind w:firstLine="420" w:firstLineChars="0"/>
        <w:rPr>
          <w:szCs w:val="24"/>
        </w:rPr>
      </w:pPr>
      <w:r>
        <w:rPr>
          <w:rFonts w:hint="eastAsia"/>
          <w:szCs w:val="24"/>
        </w:rPr>
        <w:t>Null</w:t>
      </w:r>
    </w:p>
    <w:p w14:paraId="623B19F9">
      <w:pPr>
        <w:pStyle w:val="16"/>
        <w:spacing w:before="31" w:after="31"/>
        <w:ind w:firstLine="0" w:firstLineChars="0"/>
        <w:rPr>
          <w:szCs w:val="24"/>
        </w:rPr>
      </w:pPr>
    </w:p>
    <w:p w14:paraId="10605720">
      <w:pPr>
        <w:pStyle w:val="16"/>
        <w:spacing w:before="31" w:after="31"/>
        <w:ind w:firstLine="0" w:firstLineChars="0"/>
        <w:rPr>
          <w:szCs w:val="24"/>
        </w:rPr>
      </w:pPr>
      <w:r>
        <w:rPr>
          <w:rFonts w:hint="eastAsia"/>
          <w:szCs w:val="24"/>
        </w:rPr>
        <w:t>(8) Conclusion and Improvement Measures</w:t>
      </w:r>
    </w:p>
    <w:p w14:paraId="5AFB2F27">
      <w:pPr>
        <w:pStyle w:val="16"/>
        <w:spacing w:before="31" w:after="31"/>
        <w:ind w:firstLine="420" w:firstLineChars="0"/>
        <w:rPr>
          <w:szCs w:val="24"/>
        </w:rPr>
      </w:pPr>
      <w:r>
        <w:rPr>
          <w:rFonts w:hint="eastAsia"/>
          <w:szCs w:val="24"/>
        </w:rPr>
        <w:t>Filtration of microparticles from seawater is an effective measure to extend the lifespan of titanium plates. The quality department should employ microscopic observation to inspect the surface quality of strongly deformed areas on titanium plates. During the installation process, strict adherence to operational procedures is essential to avoid excessive assembly stress.</w:t>
      </w:r>
    </w:p>
    <w:p w14:paraId="714CE4C6">
      <w:pPr>
        <w:pStyle w:val="16"/>
        <w:spacing w:before="31" w:after="31"/>
        <w:ind w:firstLine="420" w:firstLineChars="0"/>
        <w:rPr>
          <w:szCs w:val="24"/>
        </w:rPr>
      </w:pPr>
    </w:p>
    <w:p w14:paraId="2DF17891">
      <w:pPr>
        <w:pStyle w:val="16"/>
        <w:spacing w:before="31" w:after="31"/>
        <w:ind w:firstLine="420" w:firstLineChars="0"/>
        <w:rPr>
          <w:szCs w:val="24"/>
        </w:rPr>
      </w:pPr>
    </w:p>
    <w:p w14:paraId="23AB173D">
      <w:pPr>
        <w:pStyle w:val="21"/>
        <w:numPr>
          <w:ilvl w:val="2"/>
          <w:numId w:val="0"/>
        </w:numPr>
        <w:rPr>
          <w:sz w:val="24"/>
          <w:szCs w:val="24"/>
        </w:rPr>
      </w:pPr>
      <w:r>
        <w:rPr>
          <w:rFonts w:hint="eastAsia" w:eastAsia="宋体"/>
          <w:color w:val="000000"/>
        </w:rPr>
        <w:t>3.2.12 Case 3-12: Failure of BR Type Heat Exchanger in a Factory</w:t>
      </w:r>
    </w:p>
    <w:p w14:paraId="75A73A5A">
      <w:pPr>
        <w:pStyle w:val="16"/>
        <w:spacing w:before="31" w:after="31"/>
        <w:ind w:firstLine="0" w:firstLineChars="0"/>
        <w:rPr>
          <w:szCs w:val="24"/>
        </w:rPr>
      </w:pPr>
      <w:r>
        <w:rPr>
          <w:rFonts w:hint="eastAsia"/>
          <w:szCs w:val="24"/>
        </w:rPr>
        <w:t>(1) Case Title</w:t>
      </w:r>
    </w:p>
    <w:p w14:paraId="2B767B91">
      <w:pPr>
        <w:pStyle w:val="16"/>
        <w:spacing w:before="31" w:after="31"/>
        <w:ind w:firstLine="420" w:firstLineChars="0"/>
        <w:rPr>
          <w:szCs w:val="24"/>
        </w:rPr>
      </w:pPr>
      <w:r>
        <w:rPr>
          <w:rFonts w:hint="eastAsia"/>
          <w:szCs w:val="24"/>
        </w:rPr>
        <w:t>Failure of BR type plate heat exchanger in a factory[34]</w:t>
      </w:r>
    </w:p>
    <w:p w14:paraId="7B6F40AA">
      <w:pPr>
        <w:pStyle w:val="16"/>
        <w:spacing w:before="31" w:after="31"/>
        <w:ind w:firstLine="420" w:firstLineChars="0"/>
        <w:rPr>
          <w:szCs w:val="24"/>
        </w:rPr>
      </w:pPr>
    </w:p>
    <w:p w14:paraId="7610B589">
      <w:pPr>
        <w:pStyle w:val="16"/>
        <w:spacing w:before="31" w:after="31"/>
        <w:ind w:firstLine="0" w:firstLineChars="0"/>
        <w:rPr>
          <w:szCs w:val="24"/>
        </w:rPr>
      </w:pPr>
      <w:r>
        <w:rPr>
          <w:rFonts w:hint="eastAsia"/>
          <w:szCs w:val="24"/>
        </w:rPr>
        <w:t>(2) Failure Process Description</w:t>
      </w:r>
    </w:p>
    <w:p w14:paraId="7A114BAB">
      <w:pPr>
        <w:pStyle w:val="16"/>
        <w:spacing w:before="31" w:after="31"/>
        <w:ind w:firstLine="420" w:firstLineChars="0"/>
        <w:rPr>
          <w:szCs w:val="24"/>
        </w:rPr>
      </w:pPr>
      <w:r>
        <w:rPr>
          <w:rFonts w:hint="eastAsia"/>
          <w:szCs w:val="24"/>
        </w:rPr>
        <w:t>The BR type plate heat exchanger was installed and commissioned in 1995. During the first disassembly inspection in 2006, it was observed that most of the corrugated raised portions of the plates exhibited localized point or block-like damage, with a certain regular pattern in their distribution. Penetrant testing revealed leakage at some damaged points.</w:t>
      </w:r>
    </w:p>
    <w:p w14:paraId="0490C58D">
      <w:pPr>
        <w:pStyle w:val="16"/>
        <w:spacing w:before="31" w:after="31"/>
        <w:ind w:firstLine="420" w:firstLineChars="0"/>
        <w:rPr>
          <w:szCs w:val="24"/>
        </w:rPr>
      </w:pPr>
    </w:p>
    <w:p w14:paraId="40F77163">
      <w:pPr>
        <w:pStyle w:val="16"/>
        <w:spacing w:before="31" w:after="31"/>
        <w:ind w:firstLine="0" w:firstLineChars="0"/>
        <w:rPr>
          <w:szCs w:val="24"/>
        </w:rPr>
      </w:pPr>
      <w:r>
        <w:rPr>
          <w:rFonts w:hint="eastAsia"/>
          <w:szCs w:val="24"/>
        </w:rPr>
        <w:t>(3) Service Environment</w:t>
      </w:r>
    </w:p>
    <w:p w14:paraId="6FC5C186">
      <w:pPr>
        <w:pStyle w:val="16"/>
        <w:spacing w:before="31" w:after="31"/>
        <w:ind w:firstLine="420" w:firstLineChars="0"/>
        <w:rPr>
          <w:szCs w:val="24"/>
        </w:rPr>
      </w:pPr>
      <w:r>
        <w:rPr>
          <w:rFonts w:hint="eastAsia"/>
          <w:szCs w:val="24"/>
        </w:rPr>
        <w:t>Null</w:t>
      </w:r>
    </w:p>
    <w:p w14:paraId="109E145D">
      <w:pPr>
        <w:pStyle w:val="16"/>
        <w:spacing w:before="31" w:after="31"/>
        <w:ind w:firstLine="0" w:firstLineChars="0"/>
        <w:rPr>
          <w:szCs w:val="24"/>
        </w:rPr>
      </w:pPr>
    </w:p>
    <w:p w14:paraId="1B7FEFCE">
      <w:pPr>
        <w:pStyle w:val="16"/>
        <w:spacing w:before="31" w:after="31"/>
        <w:ind w:firstLine="0" w:firstLineChars="0"/>
        <w:rPr>
          <w:szCs w:val="24"/>
        </w:rPr>
      </w:pPr>
      <w:r>
        <w:rPr>
          <w:rFonts w:hint="eastAsia"/>
          <w:szCs w:val="24"/>
        </w:rPr>
        <w:t>(4) Failed Component and Material</w:t>
      </w:r>
    </w:p>
    <w:p w14:paraId="161F7845">
      <w:pPr>
        <w:pStyle w:val="16"/>
        <w:spacing w:before="31" w:after="31"/>
        <w:ind w:firstLine="420" w:firstLineChars="0"/>
        <w:rPr>
          <w:szCs w:val="24"/>
        </w:rPr>
      </w:pPr>
      <w:r>
        <w:rPr>
          <w:rFonts w:hint="eastAsia"/>
          <w:szCs w:val="24"/>
        </w:rPr>
        <w:t>The failed component is the BR type plate in the plate heat exchanger. The BR type plate heat exchanger is a heat exchange device composed of W-shaped or zigzag-shaped plates pressed from stainless steel and titanium alloy plates. The assembly structure of the plate heat exchanger, with adjacent plates installed in an inverted manner, forms a multitude of contact points in a staggered and evenly distributed pattern, providing high heat exchange efficiency and load-bearing capacity. The assembly structure is illustrated in Figure 3-12.1.</w:t>
      </w:r>
    </w:p>
    <w:p w14:paraId="048DCF07">
      <w:pPr>
        <w:pStyle w:val="22"/>
        <w:spacing w:before="156" w:after="468"/>
        <w:rPr>
          <w:sz w:val="24"/>
        </w:rPr>
      </w:pPr>
      <w:r>
        <w:rPr>
          <w:rFonts w:hint="eastAsia"/>
          <w:color w:val="000000"/>
        </w:rPr>
        <w:t>Figure 3-12.1 Schematic Diagram of Plate Assembly</w:t>
      </w:r>
    </w:p>
    <w:p w14:paraId="4F4BF976">
      <w:pPr>
        <w:pStyle w:val="16"/>
        <w:spacing w:before="31" w:after="31"/>
        <w:ind w:firstLine="0" w:firstLineChars="0"/>
        <w:rPr>
          <w:szCs w:val="24"/>
        </w:rPr>
      </w:pPr>
      <w:r>
        <w:rPr>
          <w:rFonts w:hint="eastAsia"/>
          <w:szCs w:val="24"/>
        </w:rPr>
        <w:t>(5) Component Failure Morphology</w:t>
      </w:r>
    </w:p>
    <w:p w14:paraId="30AE0D5E">
      <w:pPr>
        <w:pStyle w:val="16"/>
        <w:spacing w:before="31" w:after="31"/>
        <w:ind w:firstLine="420" w:firstLineChars="0"/>
        <w:rPr>
          <w:szCs w:val="24"/>
        </w:rPr>
      </w:pPr>
      <w:r>
        <w:rPr>
          <w:rFonts w:hint="eastAsia"/>
          <w:szCs w:val="24"/>
        </w:rPr>
        <w:t>The damaged areas of the plates appear as point-like or elongated, all occurring at the corrugated protrusions of the heat exchange plates. The damaged points are distributed in straight lines, with longitude and latitude lines perpendicular to each other. The macroscopic morphology of the damaged areas is shown in Figure 3-12.2.</w:t>
      </w:r>
    </w:p>
    <w:p w14:paraId="5D46D422">
      <w:pPr>
        <w:pStyle w:val="22"/>
        <w:spacing w:before="156" w:after="468"/>
        <w:rPr>
          <w:sz w:val="24"/>
        </w:rPr>
      </w:pPr>
      <w:r>
        <w:rPr>
          <w:rFonts w:hint="eastAsia"/>
          <w:color w:val="000000"/>
        </w:rPr>
        <w:t>Figure 3-12.2 Damage Points on Heat Exchange Plates</w:t>
      </w:r>
    </w:p>
    <w:p w14:paraId="01451285">
      <w:pPr>
        <w:pStyle w:val="16"/>
        <w:spacing w:before="31" w:after="31"/>
        <w:ind w:firstLine="0" w:firstLineChars="0"/>
        <w:rPr>
          <w:szCs w:val="24"/>
        </w:rPr>
      </w:pPr>
      <w:r>
        <w:rPr>
          <w:rFonts w:hint="eastAsia"/>
          <w:szCs w:val="24"/>
        </w:rPr>
        <w:t>(6) Failure Cause Analysis</w:t>
      </w:r>
    </w:p>
    <w:p w14:paraId="51E41696">
      <w:pPr>
        <w:pStyle w:val="16"/>
        <w:spacing w:before="31" w:after="31"/>
        <w:ind w:firstLine="420" w:firstLineChars="0"/>
        <w:rPr>
          <w:szCs w:val="24"/>
        </w:rPr>
      </w:pPr>
      <w:r>
        <w:rPr>
          <w:rFonts w:hint="eastAsia"/>
          <w:szCs w:val="24"/>
        </w:rPr>
        <w:t>The failure of the titanium plate heat exchanger is caused by micro-motion-induced micro-wear between the plates. The reasons may include:</w:t>
      </w:r>
    </w:p>
    <w:p w14:paraId="36436105">
      <w:pPr>
        <w:pStyle w:val="16"/>
        <w:spacing w:before="31" w:after="31"/>
        <w:ind w:firstLine="420" w:firstLineChars="0"/>
        <w:rPr>
          <w:szCs w:val="24"/>
        </w:rPr>
      </w:pPr>
      <w:r>
        <w:rPr>
          <w:rFonts w:hint="eastAsia"/>
          <w:szCs w:val="24"/>
        </w:rPr>
        <w:t>1. Frequent start-stop of equipment or unstable fluid flow on both sides of the plates. Changes in fluid flow and pressure result in alternating stress and deformation at the contact points between adjacent plates, potentially causing small displacements. This is the primary cause of micro-motion wear.</w:t>
      </w:r>
    </w:p>
    <w:p w14:paraId="51EDCAAB">
      <w:pPr>
        <w:pStyle w:val="16"/>
        <w:spacing w:before="31" w:after="31"/>
        <w:ind w:firstLine="420" w:firstLineChars="0"/>
        <w:rPr>
          <w:szCs w:val="24"/>
        </w:rPr>
      </w:pPr>
      <w:r>
        <w:rPr>
          <w:rFonts w:hint="eastAsia"/>
          <w:szCs w:val="24"/>
        </w:rPr>
        <w:t>2. Significant background vibrations in the environment. When there is a large vibration source in the environment, vibrations transmitted to the plate heat exchanger may generate slight friction between the plates, leading to plate wear.</w:t>
      </w:r>
    </w:p>
    <w:p w14:paraId="2A84D166">
      <w:pPr>
        <w:pStyle w:val="16"/>
        <w:spacing w:before="31" w:after="31"/>
        <w:ind w:firstLine="420" w:firstLineChars="0"/>
        <w:rPr>
          <w:szCs w:val="24"/>
        </w:rPr>
      </w:pPr>
    </w:p>
    <w:p w14:paraId="4461F046">
      <w:pPr>
        <w:pStyle w:val="16"/>
        <w:spacing w:before="31" w:after="31"/>
        <w:ind w:firstLine="0" w:firstLineChars="0"/>
        <w:rPr>
          <w:szCs w:val="24"/>
        </w:rPr>
      </w:pPr>
      <w:r>
        <w:rPr>
          <w:rFonts w:hint="eastAsia"/>
          <w:szCs w:val="24"/>
        </w:rPr>
        <w:t>(7) Impact and Hazards</w:t>
      </w:r>
    </w:p>
    <w:p w14:paraId="7C4B8C6F">
      <w:pPr>
        <w:pStyle w:val="16"/>
        <w:spacing w:before="31" w:after="31"/>
        <w:ind w:firstLine="420" w:firstLineChars="0"/>
        <w:rPr>
          <w:szCs w:val="24"/>
        </w:rPr>
      </w:pPr>
      <w:r>
        <w:rPr>
          <w:rFonts w:hint="eastAsia"/>
          <w:szCs w:val="24"/>
        </w:rPr>
        <w:t>Null</w:t>
      </w:r>
    </w:p>
    <w:p w14:paraId="79578AD0">
      <w:pPr>
        <w:pStyle w:val="16"/>
        <w:spacing w:before="31" w:after="31"/>
        <w:ind w:firstLine="0" w:firstLineChars="0"/>
        <w:rPr>
          <w:szCs w:val="24"/>
        </w:rPr>
      </w:pPr>
    </w:p>
    <w:p w14:paraId="2E753D95">
      <w:pPr>
        <w:pStyle w:val="16"/>
        <w:spacing w:before="31" w:after="31"/>
        <w:ind w:firstLine="0" w:firstLineChars="0"/>
        <w:rPr>
          <w:szCs w:val="24"/>
        </w:rPr>
      </w:pPr>
      <w:r>
        <w:rPr>
          <w:rFonts w:hint="eastAsia"/>
          <w:szCs w:val="24"/>
        </w:rPr>
        <w:t>(8) Conclusion and Improvement Measures</w:t>
      </w:r>
    </w:p>
    <w:p w14:paraId="62C845E2">
      <w:pPr>
        <w:pStyle w:val="16"/>
        <w:spacing w:before="31" w:after="31"/>
        <w:ind w:firstLine="420" w:firstLineChars="0"/>
        <w:rPr>
          <w:szCs w:val="24"/>
        </w:rPr>
      </w:pPr>
      <w:r>
        <w:rPr>
          <w:rFonts w:hint="eastAsia"/>
          <w:szCs w:val="24"/>
        </w:rPr>
        <w:t>To address the causes of plate failure and prevent or reduce failures due to micro-motion wear, improvement measures include refining the process flow and stabilizing process conditions. Smooth operation to reduce the frequency of equipment start-stop cycles and minimize fluctuations in fluid flow on both sides of the plates is essential. Additionally, mitigating the impact of environmental vibrations on the heat exchanger by placing it away from vibration sources or implementing damping measures, such as using rubber shock-absorbing foundations, is recommended.</w:t>
      </w:r>
    </w:p>
    <w:p w14:paraId="382DD741">
      <w:pPr>
        <w:pStyle w:val="16"/>
        <w:spacing w:before="31" w:after="31"/>
        <w:ind w:firstLine="0" w:firstLineChars="0"/>
        <w:rPr>
          <w:szCs w:val="24"/>
        </w:rPr>
      </w:pPr>
    </w:p>
    <w:p w14:paraId="51A79E85">
      <w:pPr>
        <w:pStyle w:val="16"/>
        <w:spacing w:before="31" w:after="31"/>
        <w:ind w:firstLine="0" w:firstLineChars="0"/>
        <w:rPr>
          <w:szCs w:val="24"/>
        </w:rPr>
      </w:pPr>
    </w:p>
    <w:p w14:paraId="26794037">
      <w:pPr>
        <w:pStyle w:val="19"/>
        <w:numPr>
          <w:ilvl w:val="1"/>
          <w:numId w:val="0"/>
        </w:numPr>
        <w:rPr>
          <w:rFonts w:eastAsia="宋体"/>
          <w:color w:val="000000"/>
        </w:rPr>
      </w:pPr>
      <w:r>
        <w:rPr>
          <w:rFonts w:hint="eastAsia" w:eastAsia="宋体"/>
          <w:color w:val="000000"/>
        </w:rPr>
        <w:t>3.3 Summary of Failure Investigations in the Nuclear Power Industry</w:t>
      </w:r>
    </w:p>
    <w:p w14:paraId="14A1470A">
      <w:pPr>
        <w:pStyle w:val="21"/>
        <w:numPr>
          <w:ilvl w:val="2"/>
          <w:numId w:val="0"/>
        </w:numPr>
        <w:rPr>
          <w:sz w:val="24"/>
          <w:szCs w:val="24"/>
        </w:rPr>
      </w:pPr>
      <w:r>
        <w:rPr>
          <w:rFonts w:hint="eastAsia" w:eastAsia="宋体"/>
          <w:color w:val="000000"/>
        </w:rPr>
        <w:t>3.3.1 Main Failure Modes and Issues</w:t>
      </w:r>
    </w:p>
    <w:p w14:paraId="0A2F01EF">
      <w:pPr>
        <w:pStyle w:val="16"/>
        <w:spacing w:before="31" w:after="31"/>
        <w:ind w:firstLine="0" w:firstLineChars="0"/>
        <w:rPr>
          <w:szCs w:val="24"/>
        </w:rPr>
      </w:pPr>
      <w:r>
        <w:rPr>
          <w:rFonts w:hint="eastAsia"/>
          <w:szCs w:val="24"/>
        </w:rPr>
        <w:t>3.3.1.1 Main Failure Modes</w:t>
      </w:r>
    </w:p>
    <w:p w14:paraId="4869E33F">
      <w:pPr>
        <w:pStyle w:val="16"/>
        <w:spacing w:before="31" w:after="31"/>
        <w:ind w:firstLine="420" w:firstLineChars="0"/>
        <w:rPr>
          <w:szCs w:val="24"/>
        </w:rPr>
      </w:pPr>
      <w:r>
        <w:rPr>
          <w:rFonts w:hint="eastAsia"/>
          <w:szCs w:val="24"/>
        </w:rPr>
        <w:t>From the investigation results of failure incidents, common failure modes in various core components of the nuclear power industry include: (1) stress corrosion on the primary and secondary sides of steam generators; (2) leakage in control rod drive mechanisms; (3) extensive flow-accelerated corrosion at different locations in the secondary circuits of nuclear power plants; (4) corrosion in the circulating water cooling systems and heat exchangers. Specific cases were analyzed for the causes of accidents, considering factors such as materials, production construction, design reasons, and environmental factors, as summarized in Tables 3-3 and 3-4.</w:t>
      </w:r>
    </w:p>
    <w:p w14:paraId="213FD549">
      <w:pPr>
        <w:pStyle w:val="16"/>
        <w:spacing w:before="31" w:after="31"/>
        <w:ind w:firstLine="0" w:firstLineChars="0"/>
        <w:rPr>
          <w:szCs w:val="24"/>
        </w:rPr>
      </w:pPr>
    </w:p>
    <w:p w14:paraId="28E60C7D">
      <w:pPr>
        <w:pStyle w:val="16"/>
        <w:spacing w:before="31" w:after="31"/>
        <w:ind w:firstLine="0" w:firstLineChars="0"/>
        <w:rPr>
          <w:szCs w:val="24"/>
        </w:rPr>
      </w:pPr>
      <w:r>
        <w:rPr>
          <w:rFonts w:hint="eastAsia"/>
          <w:szCs w:val="24"/>
        </w:rPr>
        <w:t>3.3.1.2 Existing Issues</w:t>
      </w:r>
    </w:p>
    <w:p w14:paraId="1C79EF61">
      <w:pPr>
        <w:pStyle w:val="16"/>
        <w:spacing w:before="31" w:after="31"/>
        <w:ind w:firstLine="420" w:firstLineChars="0"/>
        <w:rPr>
          <w:szCs w:val="24"/>
        </w:rPr>
      </w:pPr>
      <w:r>
        <w:rPr>
          <w:rFonts w:hint="eastAsia"/>
          <w:szCs w:val="24"/>
        </w:rPr>
        <w:t>During the service life of equipment in the nuclear power industry, the service environment involves temperature, pressure, and a complex water chemistry environment (including pH, dissolved oxygen, substances introduced during water chemistry treatment, and impurities, etc.). Therefore, equipment failure is often a complex process caused by multiple factors, resulting in various failure modes. The analysis of failure causes should not be oversimplified.</w:t>
      </w:r>
    </w:p>
    <w:p w14:paraId="0CE11929">
      <w:pPr>
        <w:pStyle w:val="16"/>
        <w:spacing w:before="31" w:after="31"/>
        <w:ind w:firstLine="420" w:firstLineChars="0"/>
        <w:rPr>
          <w:szCs w:val="24"/>
        </w:rPr>
      </w:pPr>
      <w:r>
        <w:rPr>
          <w:rFonts w:hint="eastAsia"/>
          <w:szCs w:val="24"/>
        </w:rPr>
        <w:t>From the reasons for failure incidents in the nuclear power industry, it can be observed that, in addition to objective factors such as materials, design, and environment, subjective factors often have a direct impact on accident occurrences (e.g., negligence in daily testing and maintenance, human operational errors, etc.). Therefore, due to its specificity, personnel training related to nuclear power operations is more critical in ensuring that nuclear power plants do not experience major accidents.</w:t>
      </w:r>
    </w:p>
    <w:p w14:paraId="328EE0DC">
      <w:pPr>
        <w:pStyle w:val="16"/>
        <w:spacing w:before="31" w:after="31"/>
        <w:ind w:firstLine="0" w:firstLineChars="0"/>
        <w:rPr>
          <w:szCs w:val="24"/>
        </w:rPr>
      </w:pPr>
    </w:p>
    <w:p w14:paraId="2E551CC8">
      <w:pPr>
        <w:pStyle w:val="16"/>
        <w:spacing w:before="468" w:beforeLines="150" w:after="156" w:afterLines="50"/>
        <w:ind w:firstLine="0" w:firstLineChars="0"/>
        <w:jc w:val="center"/>
        <w:rPr>
          <w:b/>
          <w:color w:val="000000"/>
          <w:sz w:val="21"/>
          <w:szCs w:val="21"/>
        </w:rPr>
      </w:pPr>
      <w:r>
        <w:rPr>
          <w:rFonts w:hint="eastAsia"/>
          <w:b/>
          <w:color w:val="000000"/>
          <w:sz w:val="21"/>
          <w:szCs w:val="21"/>
        </w:rPr>
        <w:t>Table 3-3 Summary of Failure Causes in Typical Cases Investigated in the Nuclear Power Industry</w:t>
      </w:r>
    </w:p>
    <w:tbl>
      <w:tblPr>
        <w:tblStyle w:val="9"/>
        <w:tblW w:w="8297"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2694"/>
        <w:gridCol w:w="928"/>
        <w:gridCol w:w="226"/>
        <w:gridCol w:w="1075"/>
        <w:gridCol w:w="78"/>
        <w:gridCol w:w="838"/>
        <w:gridCol w:w="235"/>
        <w:gridCol w:w="1230"/>
      </w:tblGrid>
      <w:tr w14:paraId="5CDBD4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14" w:type="dxa"/>
            <w:vMerge w:val="restart"/>
            <w:tcBorders>
              <w:top w:val="single" w:color="auto" w:sz="12" w:space="0"/>
            </w:tcBorders>
            <w:vAlign w:val="center"/>
          </w:tcPr>
          <w:p w14:paraId="123DFBBA">
            <w:pPr>
              <w:pStyle w:val="16"/>
              <w:spacing w:beforeLines="0" w:afterLines="0"/>
              <w:ind w:firstLine="0" w:firstLineChars="0"/>
              <w:jc w:val="center"/>
              <w:rPr>
                <w:rFonts w:cs="Times New Roman"/>
                <w:color w:val="000000"/>
                <w:sz w:val="21"/>
                <w:szCs w:val="21"/>
              </w:rPr>
            </w:pPr>
            <w:r>
              <w:rPr>
                <w:rFonts w:hint="eastAsia" w:cs="Times New Roman"/>
                <w:sz w:val="21"/>
                <w:szCs w:val="21"/>
              </w:rPr>
              <w:t>Case No</w:t>
            </w:r>
          </w:p>
        </w:tc>
        <w:tc>
          <w:tcPr>
            <w:tcW w:w="3923" w:type="dxa"/>
            <w:vMerge w:val="restart"/>
            <w:tcBorders>
              <w:top w:val="single" w:color="auto" w:sz="12" w:space="0"/>
            </w:tcBorders>
            <w:vAlign w:val="center"/>
          </w:tcPr>
          <w:p w14:paraId="6EEEC497">
            <w:pPr>
              <w:pStyle w:val="16"/>
              <w:spacing w:beforeLines="0" w:afterLines="0"/>
              <w:ind w:firstLine="0" w:firstLineChars="0"/>
              <w:jc w:val="center"/>
              <w:rPr>
                <w:rFonts w:cs="Times New Roman"/>
                <w:color w:val="000000"/>
                <w:sz w:val="21"/>
                <w:szCs w:val="21"/>
              </w:rPr>
            </w:pPr>
            <w:r>
              <w:rPr>
                <w:rFonts w:hint="eastAsia" w:cs="Times New Roman"/>
                <w:sz w:val="21"/>
                <w:szCs w:val="21"/>
              </w:rPr>
              <w:t>Case Name</w:t>
            </w:r>
          </w:p>
        </w:tc>
        <w:tc>
          <w:tcPr>
            <w:tcW w:w="3060" w:type="dxa"/>
            <w:gridSpan w:val="7"/>
            <w:tcBorders>
              <w:top w:val="single" w:color="auto" w:sz="12" w:space="0"/>
              <w:bottom w:val="single" w:color="auto" w:sz="12" w:space="0"/>
            </w:tcBorders>
            <w:vAlign w:val="center"/>
          </w:tcPr>
          <w:p w14:paraId="58F8D3A2">
            <w:pPr>
              <w:pStyle w:val="16"/>
              <w:spacing w:beforeLines="0" w:afterLines="0"/>
              <w:ind w:firstLine="0" w:firstLineChars="0"/>
              <w:jc w:val="center"/>
              <w:rPr>
                <w:rFonts w:cs="Times New Roman"/>
                <w:color w:val="000000"/>
                <w:sz w:val="21"/>
                <w:szCs w:val="21"/>
              </w:rPr>
            </w:pPr>
            <w:r>
              <w:rPr>
                <w:rFonts w:hint="eastAsia" w:cs="Times New Roman"/>
                <w:sz w:val="21"/>
                <w:szCs w:val="21"/>
              </w:rPr>
              <w:t>Failure Causes</w:t>
            </w:r>
          </w:p>
        </w:tc>
      </w:tr>
      <w:tr w14:paraId="44B0CD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14" w:type="dxa"/>
            <w:vMerge w:val="continue"/>
            <w:vAlign w:val="center"/>
          </w:tcPr>
          <w:p w14:paraId="78770CBA">
            <w:pPr>
              <w:pStyle w:val="16"/>
              <w:spacing w:beforeLines="0" w:afterLines="0"/>
              <w:ind w:firstLine="0" w:firstLineChars="0"/>
              <w:jc w:val="center"/>
              <w:rPr>
                <w:rFonts w:cs="Times New Roman"/>
                <w:color w:val="000000"/>
                <w:sz w:val="21"/>
                <w:szCs w:val="21"/>
              </w:rPr>
            </w:pPr>
          </w:p>
        </w:tc>
        <w:tc>
          <w:tcPr>
            <w:tcW w:w="3923" w:type="dxa"/>
            <w:vMerge w:val="continue"/>
            <w:vAlign w:val="center"/>
          </w:tcPr>
          <w:p w14:paraId="0A30290B">
            <w:pPr>
              <w:pStyle w:val="16"/>
              <w:spacing w:beforeLines="0" w:afterLines="0"/>
              <w:ind w:firstLine="0" w:firstLineChars="0"/>
              <w:jc w:val="center"/>
              <w:rPr>
                <w:rFonts w:cs="Times New Roman"/>
                <w:color w:val="000000"/>
                <w:kern w:val="0"/>
                <w:sz w:val="21"/>
                <w:szCs w:val="21"/>
              </w:rPr>
            </w:pPr>
          </w:p>
        </w:tc>
        <w:tc>
          <w:tcPr>
            <w:tcW w:w="615" w:type="dxa"/>
            <w:tcBorders>
              <w:top w:val="single" w:color="auto" w:sz="12" w:space="0"/>
            </w:tcBorders>
            <w:vAlign w:val="center"/>
          </w:tcPr>
          <w:p w14:paraId="74A34D01">
            <w:pPr>
              <w:pStyle w:val="16"/>
              <w:spacing w:beforeLines="0" w:afterLines="0"/>
              <w:ind w:firstLine="0" w:firstLineChars="0"/>
              <w:jc w:val="center"/>
              <w:rPr>
                <w:rFonts w:cs="Times New Roman"/>
                <w:sz w:val="21"/>
                <w:szCs w:val="21"/>
              </w:rPr>
            </w:pPr>
            <w:r>
              <w:rPr>
                <w:rFonts w:hint="eastAsia" w:cs="Times New Roman"/>
                <w:sz w:val="21"/>
                <w:szCs w:val="21"/>
              </w:rPr>
              <w:t>Material</w:t>
            </w:r>
          </w:p>
          <w:p w14:paraId="37CE208A">
            <w:pPr>
              <w:pStyle w:val="16"/>
              <w:spacing w:beforeLines="0" w:afterLines="0"/>
              <w:ind w:firstLine="0" w:firstLineChars="0"/>
              <w:jc w:val="center"/>
              <w:rPr>
                <w:rFonts w:cs="Times New Roman"/>
                <w:sz w:val="21"/>
                <w:szCs w:val="21"/>
              </w:rPr>
            </w:pPr>
            <w:r>
              <w:rPr>
                <w:rFonts w:hint="eastAsia" w:cs="Times New Roman"/>
                <w:sz w:val="21"/>
                <w:szCs w:val="21"/>
              </w:rPr>
              <w:t>Itself</w:t>
            </w:r>
          </w:p>
        </w:tc>
        <w:tc>
          <w:tcPr>
            <w:tcW w:w="863" w:type="dxa"/>
            <w:gridSpan w:val="2"/>
            <w:tcBorders>
              <w:top w:val="single" w:color="auto" w:sz="12" w:space="0"/>
            </w:tcBorders>
            <w:vAlign w:val="center"/>
          </w:tcPr>
          <w:p w14:paraId="79C32DAA">
            <w:pPr>
              <w:pStyle w:val="16"/>
              <w:spacing w:beforeLines="0" w:afterLines="0"/>
              <w:ind w:firstLine="0" w:firstLineChars="0"/>
              <w:jc w:val="center"/>
              <w:rPr>
                <w:rFonts w:cs="Times New Roman"/>
                <w:sz w:val="21"/>
                <w:szCs w:val="21"/>
              </w:rPr>
            </w:pPr>
            <w:r>
              <w:rPr>
                <w:rFonts w:hint="eastAsia" w:cs="Times New Roman"/>
                <w:sz w:val="21"/>
                <w:szCs w:val="21"/>
              </w:rPr>
              <w:t>Production</w:t>
            </w:r>
          </w:p>
          <w:p w14:paraId="4FBBC34D">
            <w:pPr>
              <w:pStyle w:val="16"/>
              <w:spacing w:beforeLines="0" w:afterLines="0"/>
              <w:ind w:firstLine="0" w:firstLineChars="0"/>
              <w:jc w:val="center"/>
              <w:rPr>
                <w:rFonts w:cs="Times New Roman"/>
                <w:sz w:val="21"/>
                <w:szCs w:val="21"/>
              </w:rPr>
            </w:pPr>
            <w:r>
              <w:rPr>
                <w:rFonts w:hint="eastAsia" w:cs="Times New Roman"/>
                <w:sz w:val="21"/>
                <w:szCs w:val="21"/>
              </w:rPr>
              <w:t>and Construction</w:t>
            </w:r>
          </w:p>
        </w:tc>
        <w:tc>
          <w:tcPr>
            <w:tcW w:w="608" w:type="dxa"/>
            <w:gridSpan w:val="2"/>
            <w:tcBorders>
              <w:top w:val="single" w:color="auto" w:sz="12" w:space="0"/>
            </w:tcBorders>
            <w:vAlign w:val="center"/>
          </w:tcPr>
          <w:p w14:paraId="71403437">
            <w:pPr>
              <w:pStyle w:val="16"/>
              <w:spacing w:beforeLines="0" w:afterLines="0"/>
              <w:ind w:firstLine="0" w:firstLineChars="0"/>
              <w:jc w:val="center"/>
              <w:rPr>
                <w:rFonts w:cs="Times New Roman"/>
                <w:sz w:val="21"/>
                <w:szCs w:val="21"/>
              </w:rPr>
            </w:pPr>
            <w:r>
              <w:rPr>
                <w:rFonts w:hint="eastAsia" w:cs="Times New Roman"/>
                <w:sz w:val="21"/>
                <w:szCs w:val="21"/>
              </w:rPr>
              <w:t>Design</w:t>
            </w:r>
          </w:p>
          <w:p w14:paraId="47201A9D">
            <w:pPr>
              <w:pStyle w:val="16"/>
              <w:spacing w:beforeLines="0" w:afterLines="0"/>
              <w:ind w:firstLine="0" w:firstLineChars="0"/>
              <w:jc w:val="center"/>
              <w:rPr>
                <w:rFonts w:cs="Times New Roman"/>
                <w:sz w:val="21"/>
                <w:szCs w:val="21"/>
              </w:rPr>
            </w:pPr>
            <w:r>
              <w:rPr>
                <w:rFonts w:hint="eastAsia" w:cs="Times New Roman"/>
                <w:sz w:val="21"/>
                <w:szCs w:val="21"/>
              </w:rPr>
              <w:t>Reasons</w:t>
            </w:r>
          </w:p>
        </w:tc>
        <w:tc>
          <w:tcPr>
            <w:tcW w:w="974" w:type="dxa"/>
            <w:gridSpan w:val="2"/>
            <w:tcBorders>
              <w:top w:val="single" w:color="auto" w:sz="12" w:space="0"/>
            </w:tcBorders>
            <w:vAlign w:val="center"/>
          </w:tcPr>
          <w:p w14:paraId="35A9E3F5">
            <w:pPr>
              <w:pStyle w:val="16"/>
              <w:spacing w:beforeLines="0" w:afterLines="0"/>
              <w:ind w:firstLine="0" w:firstLineChars="0"/>
              <w:jc w:val="center"/>
              <w:rPr>
                <w:rFonts w:cs="Times New Roman"/>
                <w:sz w:val="21"/>
                <w:szCs w:val="21"/>
              </w:rPr>
            </w:pPr>
            <w:r>
              <w:rPr>
                <w:rFonts w:hint="eastAsia" w:cs="Times New Roman"/>
                <w:sz w:val="21"/>
                <w:szCs w:val="21"/>
              </w:rPr>
              <w:t>Environmental</w:t>
            </w:r>
          </w:p>
          <w:p w14:paraId="519B0F8F">
            <w:pPr>
              <w:pStyle w:val="16"/>
              <w:spacing w:beforeLines="0" w:afterLines="0"/>
              <w:ind w:firstLine="0" w:firstLineChars="0"/>
              <w:jc w:val="center"/>
              <w:rPr>
                <w:rFonts w:cs="Times New Roman"/>
                <w:sz w:val="21"/>
                <w:szCs w:val="21"/>
              </w:rPr>
            </w:pPr>
            <w:r>
              <w:rPr>
                <w:rFonts w:hint="eastAsia" w:cs="Times New Roman"/>
                <w:sz w:val="21"/>
                <w:szCs w:val="21"/>
              </w:rPr>
              <w:t>Factors</w:t>
            </w:r>
          </w:p>
        </w:tc>
      </w:tr>
      <w:tr w14:paraId="338072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14" w:type="dxa"/>
            <w:tcBorders>
              <w:top w:val="single" w:color="auto" w:sz="12" w:space="0"/>
            </w:tcBorders>
            <w:vAlign w:val="center"/>
          </w:tcPr>
          <w:p w14:paraId="4DD4C835">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Case 3-1</w:t>
            </w:r>
          </w:p>
        </w:tc>
        <w:tc>
          <w:tcPr>
            <w:tcW w:w="3923" w:type="dxa"/>
            <w:tcBorders>
              <w:top w:val="single" w:color="auto" w:sz="12" w:space="0"/>
            </w:tcBorders>
            <w:vAlign w:val="center"/>
          </w:tcPr>
          <w:p w14:paraId="771167B3">
            <w:pPr>
              <w:pStyle w:val="16"/>
              <w:spacing w:before="31" w:after="31"/>
              <w:ind w:firstLine="0" w:firstLineChars="0"/>
              <w:rPr>
                <w:rFonts w:cs="Times New Roman"/>
                <w:color w:val="000000"/>
                <w:sz w:val="21"/>
                <w:szCs w:val="21"/>
              </w:rPr>
            </w:pPr>
            <w:r>
              <w:rPr>
                <w:rFonts w:hint="eastAsia" w:cs="Times New Roman"/>
                <w:color w:val="000000"/>
                <w:kern w:val="0"/>
                <w:sz w:val="21"/>
                <w:szCs w:val="21"/>
              </w:rPr>
              <w:t>Lingao Nuclear Power Plant Unit 1 CRDM Failure</w:t>
            </w:r>
          </w:p>
        </w:tc>
        <w:tc>
          <w:tcPr>
            <w:tcW w:w="765" w:type="dxa"/>
            <w:gridSpan w:val="2"/>
            <w:tcBorders>
              <w:top w:val="single" w:color="auto" w:sz="12" w:space="0"/>
            </w:tcBorders>
            <w:vAlign w:val="center"/>
          </w:tcPr>
          <w:p w14:paraId="71C4450C">
            <w:pPr>
              <w:pStyle w:val="16"/>
              <w:spacing w:before="31" w:after="31"/>
              <w:ind w:firstLine="0" w:firstLineChars="0"/>
              <w:jc w:val="center"/>
              <w:rPr>
                <w:rFonts w:cs="Times New Roman"/>
                <w:color w:val="000000"/>
                <w:kern w:val="0"/>
                <w:sz w:val="21"/>
                <w:szCs w:val="21"/>
              </w:rPr>
            </w:pPr>
          </w:p>
        </w:tc>
        <w:tc>
          <w:tcPr>
            <w:tcW w:w="765" w:type="dxa"/>
            <w:gridSpan w:val="2"/>
            <w:tcBorders>
              <w:top w:val="single" w:color="auto" w:sz="12" w:space="0"/>
            </w:tcBorders>
            <w:vAlign w:val="center"/>
          </w:tcPr>
          <w:p w14:paraId="1199C37D">
            <w:pPr>
              <w:pStyle w:val="16"/>
              <w:spacing w:before="31" w:after="31"/>
              <w:ind w:firstLine="0" w:firstLineChars="0"/>
              <w:jc w:val="center"/>
              <w:rPr>
                <w:rFonts w:cs="Times New Roman"/>
                <w:color w:val="000000"/>
                <w:kern w:val="0"/>
                <w:sz w:val="21"/>
                <w:szCs w:val="21"/>
              </w:rPr>
            </w:pPr>
          </w:p>
        </w:tc>
        <w:tc>
          <w:tcPr>
            <w:tcW w:w="765" w:type="dxa"/>
            <w:gridSpan w:val="2"/>
            <w:tcBorders>
              <w:top w:val="single" w:color="auto" w:sz="12" w:space="0"/>
            </w:tcBorders>
            <w:vAlign w:val="center"/>
          </w:tcPr>
          <w:p w14:paraId="52ED5C10">
            <w:pPr>
              <w:pStyle w:val="16"/>
              <w:spacing w:before="31" w:after="31"/>
              <w:ind w:firstLine="0" w:firstLineChars="0"/>
              <w:jc w:val="center"/>
              <w:rPr>
                <w:rFonts w:cs="Times New Roman"/>
                <w:color w:val="000000"/>
                <w:kern w:val="0"/>
                <w:sz w:val="21"/>
                <w:szCs w:val="21"/>
              </w:rPr>
            </w:pPr>
            <w:r>
              <w:rPr>
                <w:rFonts w:cs="Times New Roman"/>
                <w:sz w:val="21"/>
                <w:szCs w:val="21"/>
              </w:rPr>
              <w:t>√</w:t>
            </w:r>
          </w:p>
        </w:tc>
        <w:tc>
          <w:tcPr>
            <w:tcW w:w="765" w:type="dxa"/>
            <w:tcBorders>
              <w:top w:val="single" w:color="auto" w:sz="12" w:space="0"/>
            </w:tcBorders>
            <w:vAlign w:val="center"/>
          </w:tcPr>
          <w:p w14:paraId="76F1C0DA">
            <w:pPr>
              <w:pStyle w:val="16"/>
              <w:spacing w:before="31" w:after="31"/>
              <w:ind w:firstLine="0" w:firstLineChars="0"/>
              <w:jc w:val="center"/>
              <w:rPr>
                <w:rFonts w:cs="Times New Roman"/>
                <w:color w:val="000000"/>
                <w:kern w:val="0"/>
                <w:sz w:val="21"/>
                <w:szCs w:val="21"/>
              </w:rPr>
            </w:pPr>
            <w:r>
              <w:rPr>
                <w:rFonts w:cs="Times New Roman"/>
                <w:sz w:val="21"/>
                <w:szCs w:val="21"/>
              </w:rPr>
              <w:t>√</w:t>
            </w:r>
          </w:p>
        </w:tc>
      </w:tr>
      <w:tr w14:paraId="77FEB9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14" w:type="dxa"/>
            <w:vAlign w:val="center"/>
          </w:tcPr>
          <w:p w14:paraId="61BEAD20">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Case 3-2</w:t>
            </w:r>
          </w:p>
        </w:tc>
        <w:tc>
          <w:tcPr>
            <w:tcW w:w="3923" w:type="dxa"/>
            <w:vAlign w:val="center"/>
          </w:tcPr>
          <w:p w14:paraId="6B04971D">
            <w:pPr>
              <w:pStyle w:val="16"/>
              <w:spacing w:before="31" w:after="31"/>
              <w:ind w:firstLine="0" w:firstLineChars="0"/>
              <w:rPr>
                <w:rFonts w:cs="Times New Roman"/>
                <w:color w:val="000000"/>
                <w:sz w:val="21"/>
                <w:szCs w:val="21"/>
              </w:rPr>
            </w:pPr>
            <w:r>
              <w:rPr>
                <w:rFonts w:hint="eastAsia" w:cs="Times New Roman"/>
                <w:color w:val="000000"/>
                <w:kern w:val="0"/>
                <w:sz w:val="21"/>
                <w:szCs w:val="21"/>
              </w:rPr>
              <w:t>US Davis-Besse Nuclear Power Plant Head Penetration Failure</w:t>
            </w:r>
          </w:p>
        </w:tc>
        <w:tc>
          <w:tcPr>
            <w:tcW w:w="765" w:type="dxa"/>
            <w:gridSpan w:val="2"/>
            <w:vAlign w:val="center"/>
          </w:tcPr>
          <w:p w14:paraId="2A26225B">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1400C96A">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7D3B9E80">
            <w:pPr>
              <w:pStyle w:val="16"/>
              <w:spacing w:before="31" w:after="31"/>
              <w:ind w:firstLine="0" w:firstLineChars="0"/>
              <w:jc w:val="center"/>
              <w:rPr>
                <w:rFonts w:cs="Times New Roman"/>
                <w:color w:val="000000"/>
                <w:kern w:val="0"/>
                <w:sz w:val="21"/>
                <w:szCs w:val="21"/>
              </w:rPr>
            </w:pPr>
            <w:r>
              <w:rPr>
                <w:rFonts w:cs="Times New Roman"/>
                <w:sz w:val="21"/>
                <w:szCs w:val="21"/>
              </w:rPr>
              <w:t>√</w:t>
            </w:r>
          </w:p>
        </w:tc>
        <w:tc>
          <w:tcPr>
            <w:tcW w:w="765" w:type="dxa"/>
            <w:vAlign w:val="center"/>
          </w:tcPr>
          <w:p w14:paraId="733CA123">
            <w:pPr>
              <w:pStyle w:val="16"/>
              <w:spacing w:before="31" w:after="31"/>
              <w:ind w:firstLine="0" w:firstLineChars="0"/>
              <w:jc w:val="center"/>
              <w:rPr>
                <w:rFonts w:cs="Times New Roman"/>
                <w:color w:val="000000"/>
                <w:kern w:val="0"/>
                <w:sz w:val="21"/>
                <w:szCs w:val="21"/>
              </w:rPr>
            </w:pPr>
            <w:r>
              <w:rPr>
                <w:rFonts w:cs="Times New Roman"/>
                <w:sz w:val="21"/>
                <w:szCs w:val="21"/>
              </w:rPr>
              <w:t>√</w:t>
            </w:r>
          </w:p>
        </w:tc>
      </w:tr>
      <w:tr w14:paraId="55C85A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14" w:type="dxa"/>
            <w:vAlign w:val="center"/>
          </w:tcPr>
          <w:p w14:paraId="0225BC00">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Case 3-3</w:t>
            </w:r>
          </w:p>
        </w:tc>
        <w:tc>
          <w:tcPr>
            <w:tcW w:w="3923" w:type="dxa"/>
            <w:vAlign w:val="center"/>
          </w:tcPr>
          <w:p w14:paraId="7CAA0E9C">
            <w:pPr>
              <w:pStyle w:val="16"/>
              <w:spacing w:before="31" w:after="31"/>
              <w:ind w:firstLine="0" w:firstLineChars="0"/>
              <w:rPr>
                <w:rFonts w:cs="Times New Roman"/>
                <w:color w:val="000000"/>
                <w:sz w:val="21"/>
                <w:szCs w:val="21"/>
              </w:rPr>
            </w:pPr>
            <w:r>
              <w:rPr>
                <w:rFonts w:hint="eastAsia" w:cs="Times New Roman"/>
                <w:color w:val="000000"/>
                <w:sz w:val="21"/>
                <w:szCs w:val="21"/>
              </w:rPr>
              <w:t>Japan Mihama Nuclear Power Plant Unit 3 Secondary Condensate System Carbon Steel Pipe Failure</w:t>
            </w:r>
          </w:p>
        </w:tc>
        <w:tc>
          <w:tcPr>
            <w:tcW w:w="765" w:type="dxa"/>
            <w:gridSpan w:val="2"/>
            <w:vAlign w:val="center"/>
          </w:tcPr>
          <w:p w14:paraId="22FF62DF">
            <w:pPr>
              <w:pStyle w:val="16"/>
              <w:spacing w:before="31" w:after="31"/>
              <w:ind w:firstLine="0" w:firstLineChars="0"/>
              <w:jc w:val="center"/>
              <w:rPr>
                <w:rFonts w:cs="Times New Roman"/>
                <w:color w:val="000000"/>
                <w:sz w:val="21"/>
                <w:szCs w:val="21"/>
              </w:rPr>
            </w:pPr>
            <w:r>
              <w:rPr>
                <w:rFonts w:cs="Times New Roman"/>
                <w:sz w:val="21"/>
                <w:szCs w:val="21"/>
              </w:rPr>
              <w:t>√</w:t>
            </w:r>
          </w:p>
        </w:tc>
        <w:tc>
          <w:tcPr>
            <w:tcW w:w="765" w:type="dxa"/>
            <w:gridSpan w:val="2"/>
            <w:vAlign w:val="center"/>
          </w:tcPr>
          <w:p w14:paraId="3A80DAA8">
            <w:pPr>
              <w:pStyle w:val="16"/>
              <w:spacing w:before="31" w:after="31"/>
              <w:ind w:firstLine="0" w:firstLineChars="0"/>
              <w:jc w:val="center"/>
              <w:rPr>
                <w:rFonts w:cs="Times New Roman"/>
                <w:color w:val="000000"/>
                <w:sz w:val="21"/>
                <w:szCs w:val="21"/>
              </w:rPr>
            </w:pPr>
          </w:p>
        </w:tc>
        <w:tc>
          <w:tcPr>
            <w:tcW w:w="765" w:type="dxa"/>
            <w:gridSpan w:val="2"/>
            <w:vAlign w:val="center"/>
          </w:tcPr>
          <w:p w14:paraId="7C512A1B">
            <w:pPr>
              <w:pStyle w:val="16"/>
              <w:spacing w:before="31" w:after="31"/>
              <w:ind w:firstLine="0" w:firstLineChars="0"/>
              <w:jc w:val="center"/>
              <w:rPr>
                <w:rFonts w:cs="Times New Roman"/>
                <w:color w:val="000000"/>
                <w:sz w:val="21"/>
                <w:szCs w:val="21"/>
              </w:rPr>
            </w:pPr>
          </w:p>
        </w:tc>
        <w:tc>
          <w:tcPr>
            <w:tcW w:w="765" w:type="dxa"/>
            <w:vAlign w:val="center"/>
          </w:tcPr>
          <w:p w14:paraId="50C94E29">
            <w:pPr>
              <w:pStyle w:val="16"/>
              <w:spacing w:before="31" w:after="31"/>
              <w:ind w:firstLine="0" w:firstLineChars="0"/>
              <w:jc w:val="center"/>
              <w:rPr>
                <w:rFonts w:cs="Times New Roman"/>
                <w:color w:val="000000"/>
                <w:sz w:val="21"/>
                <w:szCs w:val="21"/>
              </w:rPr>
            </w:pPr>
            <w:r>
              <w:rPr>
                <w:rFonts w:cs="Times New Roman"/>
                <w:sz w:val="21"/>
                <w:szCs w:val="21"/>
              </w:rPr>
              <w:t>√</w:t>
            </w:r>
          </w:p>
        </w:tc>
      </w:tr>
      <w:tr w14:paraId="02D003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14" w:type="dxa"/>
            <w:vAlign w:val="center"/>
          </w:tcPr>
          <w:p w14:paraId="0247B7E3">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Case 3-4</w:t>
            </w:r>
          </w:p>
        </w:tc>
        <w:tc>
          <w:tcPr>
            <w:tcW w:w="3923" w:type="dxa"/>
            <w:vAlign w:val="center"/>
          </w:tcPr>
          <w:p w14:paraId="146623F5">
            <w:pPr>
              <w:pStyle w:val="16"/>
              <w:spacing w:before="31" w:after="31"/>
              <w:ind w:firstLine="0" w:firstLineChars="0"/>
              <w:rPr>
                <w:rFonts w:cs="Times New Roman"/>
                <w:color w:val="000000"/>
                <w:sz w:val="21"/>
                <w:szCs w:val="21"/>
              </w:rPr>
            </w:pPr>
            <w:r>
              <w:rPr>
                <w:rFonts w:hint="eastAsia" w:cs="Times New Roman"/>
                <w:color w:val="000000"/>
                <w:kern w:val="0"/>
                <w:sz w:val="21"/>
                <w:szCs w:val="21"/>
              </w:rPr>
              <w:t>Pleasant Prairie Fossil Nuclear Power Plant Feedwater System Pipe Rupture</w:t>
            </w:r>
          </w:p>
        </w:tc>
        <w:tc>
          <w:tcPr>
            <w:tcW w:w="765" w:type="dxa"/>
            <w:gridSpan w:val="2"/>
            <w:vAlign w:val="center"/>
          </w:tcPr>
          <w:p w14:paraId="2D7E3317">
            <w:pPr>
              <w:pStyle w:val="16"/>
              <w:spacing w:before="31" w:after="31"/>
              <w:ind w:firstLine="0" w:firstLineChars="0"/>
              <w:jc w:val="center"/>
              <w:rPr>
                <w:rFonts w:cs="Times New Roman"/>
                <w:color w:val="000000"/>
                <w:kern w:val="0"/>
                <w:sz w:val="21"/>
                <w:szCs w:val="21"/>
              </w:rPr>
            </w:pPr>
            <w:r>
              <w:rPr>
                <w:rFonts w:cs="Times New Roman"/>
                <w:sz w:val="21"/>
                <w:szCs w:val="21"/>
              </w:rPr>
              <w:t>√</w:t>
            </w:r>
          </w:p>
        </w:tc>
        <w:tc>
          <w:tcPr>
            <w:tcW w:w="765" w:type="dxa"/>
            <w:gridSpan w:val="2"/>
            <w:vAlign w:val="center"/>
          </w:tcPr>
          <w:p w14:paraId="5D7AD5F7">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4C6F520D">
            <w:pPr>
              <w:pStyle w:val="16"/>
              <w:spacing w:before="31" w:after="31"/>
              <w:ind w:firstLine="0" w:firstLineChars="0"/>
              <w:jc w:val="center"/>
              <w:rPr>
                <w:rFonts w:cs="Times New Roman"/>
                <w:color w:val="000000"/>
                <w:kern w:val="0"/>
                <w:sz w:val="21"/>
                <w:szCs w:val="21"/>
              </w:rPr>
            </w:pPr>
          </w:p>
        </w:tc>
        <w:tc>
          <w:tcPr>
            <w:tcW w:w="765" w:type="dxa"/>
            <w:vAlign w:val="center"/>
          </w:tcPr>
          <w:p w14:paraId="65AB9716">
            <w:pPr>
              <w:pStyle w:val="16"/>
              <w:spacing w:before="31" w:after="31"/>
              <w:ind w:firstLine="0" w:firstLineChars="0"/>
              <w:jc w:val="center"/>
              <w:rPr>
                <w:rFonts w:cs="Times New Roman"/>
                <w:color w:val="000000"/>
                <w:kern w:val="0"/>
                <w:sz w:val="21"/>
                <w:szCs w:val="21"/>
              </w:rPr>
            </w:pPr>
            <w:r>
              <w:rPr>
                <w:rFonts w:cs="Times New Roman"/>
                <w:sz w:val="21"/>
                <w:szCs w:val="21"/>
              </w:rPr>
              <w:t>√</w:t>
            </w:r>
          </w:p>
        </w:tc>
      </w:tr>
      <w:tr w14:paraId="181CA2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14" w:type="dxa"/>
            <w:vAlign w:val="center"/>
          </w:tcPr>
          <w:p w14:paraId="0112F92D">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Case 3-5</w:t>
            </w:r>
          </w:p>
        </w:tc>
        <w:tc>
          <w:tcPr>
            <w:tcW w:w="3923" w:type="dxa"/>
            <w:vAlign w:val="center"/>
          </w:tcPr>
          <w:p w14:paraId="4FEDDDD5">
            <w:pPr>
              <w:pStyle w:val="16"/>
              <w:spacing w:before="31" w:after="31"/>
              <w:ind w:firstLine="0" w:firstLineChars="0"/>
              <w:rPr>
                <w:rFonts w:cs="Times New Roman"/>
                <w:color w:val="000000"/>
                <w:sz w:val="21"/>
                <w:szCs w:val="21"/>
              </w:rPr>
            </w:pPr>
            <w:r>
              <w:rPr>
                <w:rFonts w:hint="eastAsia" w:cs="Times New Roman"/>
                <w:color w:val="000000"/>
                <w:kern w:val="0"/>
                <w:sz w:val="21"/>
                <w:szCs w:val="21"/>
              </w:rPr>
              <w:t>Callaway Plant Reheater Downstream Drain Pipe Failure</w:t>
            </w:r>
          </w:p>
        </w:tc>
        <w:tc>
          <w:tcPr>
            <w:tcW w:w="765" w:type="dxa"/>
            <w:gridSpan w:val="2"/>
            <w:vAlign w:val="center"/>
          </w:tcPr>
          <w:p w14:paraId="736424D6">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63E62B7D">
            <w:pPr>
              <w:pStyle w:val="16"/>
              <w:spacing w:before="31" w:after="31"/>
              <w:ind w:firstLine="0" w:firstLineChars="0"/>
              <w:jc w:val="center"/>
              <w:rPr>
                <w:rFonts w:cs="Times New Roman"/>
                <w:color w:val="000000"/>
                <w:kern w:val="0"/>
                <w:sz w:val="21"/>
                <w:szCs w:val="21"/>
              </w:rPr>
            </w:pPr>
            <w:r>
              <w:rPr>
                <w:rFonts w:cs="Times New Roman"/>
                <w:sz w:val="21"/>
                <w:szCs w:val="21"/>
              </w:rPr>
              <w:t>√</w:t>
            </w:r>
          </w:p>
        </w:tc>
        <w:tc>
          <w:tcPr>
            <w:tcW w:w="765" w:type="dxa"/>
            <w:gridSpan w:val="2"/>
            <w:vAlign w:val="center"/>
          </w:tcPr>
          <w:p w14:paraId="101F3D18">
            <w:pPr>
              <w:pStyle w:val="16"/>
              <w:spacing w:before="31" w:after="31"/>
              <w:ind w:firstLine="0" w:firstLineChars="0"/>
              <w:jc w:val="center"/>
              <w:rPr>
                <w:rFonts w:cs="Times New Roman"/>
                <w:color w:val="000000"/>
                <w:kern w:val="0"/>
                <w:sz w:val="21"/>
                <w:szCs w:val="21"/>
              </w:rPr>
            </w:pPr>
            <w:r>
              <w:rPr>
                <w:rFonts w:cs="Times New Roman"/>
                <w:sz w:val="21"/>
                <w:szCs w:val="21"/>
              </w:rPr>
              <w:t>√</w:t>
            </w:r>
          </w:p>
        </w:tc>
        <w:tc>
          <w:tcPr>
            <w:tcW w:w="765" w:type="dxa"/>
            <w:vAlign w:val="center"/>
          </w:tcPr>
          <w:p w14:paraId="19777DAA">
            <w:pPr>
              <w:pStyle w:val="16"/>
              <w:spacing w:before="31" w:after="31"/>
              <w:ind w:firstLine="0" w:firstLineChars="0"/>
              <w:jc w:val="center"/>
              <w:rPr>
                <w:rFonts w:cs="Times New Roman"/>
                <w:color w:val="000000"/>
                <w:kern w:val="0"/>
                <w:sz w:val="21"/>
                <w:szCs w:val="21"/>
              </w:rPr>
            </w:pPr>
            <w:r>
              <w:rPr>
                <w:rFonts w:cs="Times New Roman"/>
                <w:sz w:val="21"/>
                <w:szCs w:val="21"/>
              </w:rPr>
              <w:t>√</w:t>
            </w:r>
          </w:p>
        </w:tc>
      </w:tr>
      <w:tr w14:paraId="4A76D7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14" w:type="dxa"/>
            <w:vAlign w:val="center"/>
          </w:tcPr>
          <w:p w14:paraId="1D8838C7">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Case 3-6</w:t>
            </w:r>
          </w:p>
        </w:tc>
        <w:tc>
          <w:tcPr>
            <w:tcW w:w="3923" w:type="dxa"/>
            <w:vAlign w:val="center"/>
          </w:tcPr>
          <w:p w14:paraId="0DF6FC7E">
            <w:pPr>
              <w:pStyle w:val="16"/>
              <w:spacing w:before="31" w:after="31"/>
              <w:ind w:firstLine="0" w:firstLineChars="0"/>
              <w:rPr>
                <w:rFonts w:cs="Times New Roman"/>
                <w:color w:val="000000"/>
                <w:sz w:val="21"/>
                <w:szCs w:val="21"/>
              </w:rPr>
            </w:pPr>
            <w:r>
              <w:rPr>
                <w:rFonts w:hint="eastAsia" w:cs="Times New Roman"/>
                <w:color w:val="000000"/>
                <w:sz w:val="21"/>
                <w:szCs w:val="21"/>
              </w:rPr>
              <w:t>Jiangsu Tianwan Circulating Cooling Water Pump Corrosion</w:t>
            </w:r>
          </w:p>
        </w:tc>
        <w:tc>
          <w:tcPr>
            <w:tcW w:w="765" w:type="dxa"/>
            <w:gridSpan w:val="2"/>
            <w:vAlign w:val="center"/>
          </w:tcPr>
          <w:p w14:paraId="57412B37">
            <w:pPr>
              <w:pStyle w:val="16"/>
              <w:spacing w:before="31" w:after="31"/>
              <w:ind w:firstLine="0" w:firstLineChars="0"/>
              <w:jc w:val="center"/>
              <w:rPr>
                <w:rFonts w:cs="Times New Roman"/>
                <w:color w:val="000000"/>
                <w:sz w:val="21"/>
                <w:szCs w:val="21"/>
              </w:rPr>
            </w:pPr>
          </w:p>
        </w:tc>
        <w:tc>
          <w:tcPr>
            <w:tcW w:w="765" w:type="dxa"/>
            <w:gridSpan w:val="2"/>
            <w:vAlign w:val="center"/>
          </w:tcPr>
          <w:p w14:paraId="7A23B4B8">
            <w:pPr>
              <w:pStyle w:val="16"/>
              <w:spacing w:before="31" w:after="31"/>
              <w:ind w:firstLine="0" w:firstLineChars="0"/>
              <w:jc w:val="center"/>
              <w:rPr>
                <w:rFonts w:cs="Times New Roman"/>
                <w:color w:val="000000"/>
                <w:sz w:val="21"/>
                <w:szCs w:val="21"/>
              </w:rPr>
            </w:pPr>
          </w:p>
        </w:tc>
        <w:tc>
          <w:tcPr>
            <w:tcW w:w="765" w:type="dxa"/>
            <w:gridSpan w:val="2"/>
            <w:vAlign w:val="center"/>
          </w:tcPr>
          <w:p w14:paraId="46D8EB95">
            <w:pPr>
              <w:pStyle w:val="16"/>
              <w:spacing w:before="31" w:after="31"/>
              <w:ind w:firstLine="0" w:firstLineChars="0"/>
              <w:jc w:val="center"/>
              <w:rPr>
                <w:rFonts w:cs="Times New Roman"/>
                <w:color w:val="000000"/>
                <w:sz w:val="21"/>
                <w:szCs w:val="21"/>
              </w:rPr>
            </w:pPr>
            <w:r>
              <w:rPr>
                <w:rFonts w:cs="Times New Roman"/>
                <w:sz w:val="21"/>
                <w:szCs w:val="21"/>
              </w:rPr>
              <w:t>√</w:t>
            </w:r>
          </w:p>
        </w:tc>
        <w:tc>
          <w:tcPr>
            <w:tcW w:w="765" w:type="dxa"/>
            <w:vAlign w:val="center"/>
          </w:tcPr>
          <w:p w14:paraId="0AD28CF9">
            <w:pPr>
              <w:pStyle w:val="16"/>
              <w:spacing w:before="31" w:after="31"/>
              <w:ind w:firstLine="0" w:firstLineChars="0"/>
              <w:jc w:val="center"/>
              <w:rPr>
                <w:rFonts w:cs="Times New Roman"/>
                <w:color w:val="000000"/>
                <w:sz w:val="21"/>
                <w:szCs w:val="21"/>
              </w:rPr>
            </w:pPr>
            <w:r>
              <w:rPr>
                <w:rFonts w:cs="Times New Roman"/>
                <w:sz w:val="21"/>
                <w:szCs w:val="21"/>
              </w:rPr>
              <w:t>√</w:t>
            </w:r>
          </w:p>
        </w:tc>
      </w:tr>
      <w:tr w14:paraId="6D9EAC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14" w:type="dxa"/>
            <w:vAlign w:val="center"/>
          </w:tcPr>
          <w:p w14:paraId="4C405398">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Case 3-7</w:t>
            </w:r>
          </w:p>
        </w:tc>
        <w:tc>
          <w:tcPr>
            <w:tcW w:w="3923" w:type="dxa"/>
            <w:vAlign w:val="center"/>
          </w:tcPr>
          <w:p w14:paraId="5AD3BC71">
            <w:pPr>
              <w:pStyle w:val="16"/>
              <w:spacing w:before="31" w:after="31"/>
              <w:ind w:firstLine="0" w:firstLineChars="0"/>
              <w:rPr>
                <w:rFonts w:cs="Times New Roman"/>
                <w:color w:val="000000"/>
                <w:sz w:val="21"/>
                <w:szCs w:val="21"/>
              </w:rPr>
            </w:pPr>
            <w:r>
              <w:rPr>
                <w:rFonts w:hint="eastAsia" w:cs="Times New Roman"/>
                <w:color w:val="000000"/>
                <w:kern w:val="0"/>
                <w:sz w:val="21"/>
                <w:szCs w:val="21"/>
              </w:rPr>
              <w:t>Qinshan Nuclear Power Plant RSW Pump Impeller Failure</w:t>
            </w:r>
          </w:p>
        </w:tc>
        <w:tc>
          <w:tcPr>
            <w:tcW w:w="765" w:type="dxa"/>
            <w:gridSpan w:val="2"/>
            <w:vAlign w:val="center"/>
          </w:tcPr>
          <w:p w14:paraId="07F12D2C">
            <w:pPr>
              <w:pStyle w:val="16"/>
              <w:spacing w:before="31" w:after="31"/>
              <w:ind w:firstLine="0" w:firstLineChars="0"/>
              <w:jc w:val="center"/>
              <w:rPr>
                <w:rFonts w:cs="Times New Roman"/>
                <w:color w:val="000000"/>
                <w:kern w:val="0"/>
                <w:sz w:val="21"/>
                <w:szCs w:val="21"/>
              </w:rPr>
            </w:pPr>
            <w:r>
              <w:rPr>
                <w:rFonts w:cs="Times New Roman"/>
                <w:sz w:val="21"/>
                <w:szCs w:val="21"/>
              </w:rPr>
              <w:t>√</w:t>
            </w:r>
          </w:p>
        </w:tc>
        <w:tc>
          <w:tcPr>
            <w:tcW w:w="765" w:type="dxa"/>
            <w:gridSpan w:val="2"/>
            <w:vAlign w:val="center"/>
          </w:tcPr>
          <w:p w14:paraId="4A5E9699">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29C44C77">
            <w:pPr>
              <w:pStyle w:val="16"/>
              <w:spacing w:before="31" w:after="31"/>
              <w:ind w:firstLine="0" w:firstLineChars="0"/>
              <w:jc w:val="center"/>
              <w:rPr>
                <w:rFonts w:cs="Times New Roman"/>
                <w:color w:val="000000"/>
                <w:kern w:val="0"/>
                <w:sz w:val="21"/>
                <w:szCs w:val="21"/>
              </w:rPr>
            </w:pPr>
          </w:p>
        </w:tc>
        <w:tc>
          <w:tcPr>
            <w:tcW w:w="765" w:type="dxa"/>
            <w:vAlign w:val="center"/>
          </w:tcPr>
          <w:p w14:paraId="6AB645BF">
            <w:pPr>
              <w:pStyle w:val="16"/>
              <w:spacing w:before="31" w:after="31"/>
              <w:ind w:firstLine="0" w:firstLineChars="0"/>
              <w:jc w:val="center"/>
              <w:rPr>
                <w:rFonts w:cs="Times New Roman"/>
                <w:color w:val="000000"/>
                <w:kern w:val="0"/>
                <w:sz w:val="21"/>
                <w:szCs w:val="21"/>
              </w:rPr>
            </w:pPr>
            <w:r>
              <w:rPr>
                <w:rFonts w:cs="Times New Roman"/>
                <w:sz w:val="21"/>
                <w:szCs w:val="21"/>
              </w:rPr>
              <w:t>√</w:t>
            </w:r>
          </w:p>
        </w:tc>
      </w:tr>
      <w:tr w14:paraId="76F2CC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14" w:type="dxa"/>
            <w:vAlign w:val="center"/>
          </w:tcPr>
          <w:p w14:paraId="7B4869C4">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Case 3-8</w:t>
            </w:r>
          </w:p>
        </w:tc>
        <w:tc>
          <w:tcPr>
            <w:tcW w:w="3923" w:type="dxa"/>
            <w:vAlign w:val="center"/>
          </w:tcPr>
          <w:p w14:paraId="240E84B5">
            <w:pPr>
              <w:pStyle w:val="16"/>
              <w:spacing w:before="31" w:after="31"/>
              <w:ind w:firstLine="0" w:firstLineChars="0"/>
              <w:rPr>
                <w:rFonts w:cs="Times New Roman"/>
                <w:color w:val="000000"/>
                <w:sz w:val="21"/>
                <w:szCs w:val="21"/>
              </w:rPr>
            </w:pPr>
            <w:r>
              <w:rPr>
                <w:rFonts w:hint="eastAsia" w:cs="Times New Roman"/>
                <w:color w:val="000000"/>
                <w:kern w:val="0"/>
                <w:sz w:val="21"/>
                <w:szCs w:val="21"/>
              </w:rPr>
              <w:t>Qinshan Nuclear Power Plant Closed Loop Water Heat Exchanger Failure</w:t>
            </w:r>
          </w:p>
        </w:tc>
        <w:tc>
          <w:tcPr>
            <w:tcW w:w="765" w:type="dxa"/>
            <w:gridSpan w:val="2"/>
            <w:vAlign w:val="center"/>
          </w:tcPr>
          <w:p w14:paraId="5C05DB02">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67AFD1F6">
            <w:pPr>
              <w:pStyle w:val="16"/>
              <w:spacing w:before="31" w:after="31"/>
              <w:ind w:firstLine="0" w:firstLineChars="0"/>
              <w:jc w:val="center"/>
              <w:rPr>
                <w:rFonts w:cs="Times New Roman"/>
                <w:color w:val="000000"/>
                <w:kern w:val="0"/>
                <w:sz w:val="21"/>
                <w:szCs w:val="21"/>
              </w:rPr>
            </w:pPr>
            <w:r>
              <w:rPr>
                <w:rFonts w:cs="Times New Roman"/>
                <w:sz w:val="21"/>
                <w:szCs w:val="21"/>
              </w:rPr>
              <w:t>√</w:t>
            </w:r>
          </w:p>
        </w:tc>
        <w:tc>
          <w:tcPr>
            <w:tcW w:w="765" w:type="dxa"/>
            <w:gridSpan w:val="2"/>
            <w:vAlign w:val="center"/>
          </w:tcPr>
          <w:p w14:paraId="5F16BC55">
            <w:pPr>
              <w:pStyle w:val="16"/>
              <w:spacing w:before="31" w:after="31"/>
              <w:ind w:firstLine="0" w:firstLineChars="0"/>
              <w:jc w:val="center"/>
              <w:rPr>
                <w:rFonts w:cs="Times New Roman"/>
                <w:color w:val="000000"/>
                <w:kern w:val="0"/>
                <w:sz w:val="21"/>
                <w:szCs w:val="21"/>
              </w:rPr>
            </w:pPr>
            <w:r>
              <w:rPr>
                <w:rFonts w:cs="Times New Roman"/>
                <w:sz w:val="21"/>
                <w:szCs w:val="21"/>
              </w:rPr>
              <w:t>√</w:t>
            </w:r>
          </w:p>
        </w:tc>
        <w:tc>
          <w:tcPr>
            <w:tcW w:w="765" w:type="dxa"/>
            <w:vAlign w:val="center"/>
          </w:tcPr>
          <w:p w14:paraId="0643ED49">
            <w:pPr>
              <w:pStyle w:val="16"/>
              <w:spacing w:before="31" w:after="31"/>
              <w:ind w:firstLine="0" w:firstLineChars="0"/>
              <w:jc w:val="center"/>
              <w:rPr>
                <w:rFonts w:cs="Times New Roman"/>
                <w:color w:val="000000"/>
                <w:kern w:val="0"/>
                <w:sz w:val="21"/>
                <w:szCs w:val="21"/>
              </w:rPr>
            </w:pPr>
            <w:r>
              <w:rPr>
                <w:rFonts w:cs="Times New Roman"/>
                <w:sz w:val="21"/>
                <w:szCs w:val="21"/>
              </w:rPr>
              <w:t>√</w:t>
            </w:r>
          </w:p>
        </w:tc>
      </w:tr>
      <w:tr w14:paraId="3BF6B1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14" w:type="dxa"/>
            <w:vAlign w:val="center"/>
          </w:tcPr>
          <w:p w14:paraId="5B93B9ED">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Case 3-9</w:t>
            </w:r>
          </w:p>
        </w:tc>
        <w:tc>
          <w:tcPr>
            <w:tcW w:w="3923" w:type="dxa"/>
            <w:vAlign w:val="center"/>
          </w:tcPr>
          <w:p w14:paraId="4D5095EF">
            <w:pPr>
              <w:pStyle w:val="16"/>
              <w:spacing w:before="31" w:after="31"/>
              <w:ind w:firstLine="0" w:firstLineChars="0"/>
              <w:rPr>
                <w:rFonts w:cs="Times New Roman"/>
                <w:color w:val="000000"/>
                <w:sz w:val="21"/>
                <w:szCs w:val="21"/>
              </w:rPr>
            </w:pPr>
            <w:r>
              <w:rPr>
                <w:rFonts w:hint="eastAsia" w:cs="Times New Roman"/>
                <w:color w:val="000000"/>
                <w:sz w:val="21"/>
                <w:szCs w:val="21"/>
              </w:rPr>
              <w:t>Lingao Nuclear Power Plant Emergency Diesel Engine Intake Valve Guide Pipe Failure Analysis</w:t>
            </w:r>
          </w:p>
        </w:tc>
        <w:tc>
          <w:tcPr>
            <w:tcW w:w="765" w:type="dxa"/>
            <w:gridSpan w:val="2"/>
            <w:vAlign w:val="center"/>
          </w:tcPr>
          <w:p w14:paraId="2794CDB0">
            <w:pPr>
              <w:pStyle w:val="16"/>
              <w:spacing w:before="31" w:after="31"/>
              <w:ind w:firstLine="0" w:firstLineChars="0"/>
              <w:jc w:val="center"/>
              <w:rPr>
                <w:rFonts w:cs="Times New Roman"/>
                <w:color w:val="000000"/>
                <w:sz w:val="21"/>
                <w:szCs w:val="21"/>
              </w:rPr>
            </w:pPr>
            <w:r>
              <w:rPr>
                <w:rFonts w:cs="Times New Roman"/>
                <w:sz w:val="21"/>
                <w:szCs w:val="21"/>
              </w:rPr>
              <w:t>√</w:t>
            </w:r>
          </w:p>
        </w:tc>
        <w:tc>
          <w:tcPr>
            <w:tcW w:w="765" w:type="dxa"/>
            <w:gridSpan w:val="2"/>
            <w:vAlign w:val="center"/>
          </w:tcPr>
          <w:p w14:paraId="12A3A6F1">
            <w:pPr>
              <w:pStyle w:val="16"/>
              <w:spacing w:before="31" w:after="31"/>
              <w:ind w:firstLine="0" w:firstLineChars="0"/>
              <w:jc w:val="center"/>
              <w:rPr>
                <w:rFonts w:cs="Times New Roman"/>
                <w:color w:val="000000"/>
                <w:sz w:val="21"/>
                <w:szCs w:val="21"/>
              </w:rPr>
            </w:pPr>
          </w:p>
        </w:tc>
        <w:tc>
          <w:tcPr>
            <w:tcW w:w="765" w:type="dxa"/>
            <w:gridSpan w:val="2"/>
            <w:vAlign w:val="center"/>
          </w:tcPr>
          <w:p w14:paraId="2B482266">
            <w:pPr>
              <w:pStyle w:val="16"/>
              <w:spacing w:before="31" w:after="31"/>
              <w:ind w:firstLine="0" w:firstLineChars="0"/>
              <w:jc w:val="center"/>
              <w:rPr>
                <w:rFonts w:cs="Times New Roman"/>
                <w:color w:val="000000"/>
                <w:sz w:val="21"/>
                <w:szCs w:val="21"/>
              </w:rPr>
            </w:pPr>
            <w:r>
              <w:rPr>
                <w:rFonts w:cs="Times New Roman"/>
                <w:sz w:val="21"/>
                <w:szCs w:val="21"/>
              </w:rPr>
              <w:t>√</w:t>
            </w:r>
          </w:p>
        </w:tc>
        <w:tc>
          <w:tcPr>
            <w:tcW w:w="765" w:type="dxa"/>
            <w:vAlign w:val="center"/>
          </w:tcPr>
          <w:p w14:paraId="095C7B66">
            <w:pPr>
              <w:pStyle w:val="16"/>
              <w:spacing w:before="31" w:after="31"/>
              <w:ind w:firstLine="0" w:firstLineChars="0"/>
              <w:jc w:val="center"/>
              <w:rPr>
                <w:rFonts w:cs="Times New Roman"/>
                <w:color w:val="000000"/>
                <w:sz w:val="21"/>
                <w:szCs w:val="21"/>
              </w:rPr>
            </w:pPr>
          </w:p>
        </w:tc>
      </w:tr>
      <w:tr w14:paraId="7CBC2C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14" w:type="dxa"/>
            <w:vAlign w:val="center"/>
          </w:tcPr>
          <w:p w14:paraId="020267DE">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Case 3-10</w:t>
            </w:r>
          </w:p>
        </w:tc>
        <w:tc>
          <w:tcPr>
            <w:tcW w:w="3923" w:type="dxa"/>
            <w:vAlign w:val="center"/>
          </w:tcPr>
          <w:p w14:paraId="31575005">
            <w:pPr>
              <w:pStyle w:val="16"/>
              <w:spacing w:before="31" w:after="31"/>
              <w:ind w:firstLine="0" w:firstLineChars="0"/>
              <w:rPr>
                <w:rFonts w:cs="Times New Roman"/>
                <w:color w:val="000000"/>
                <w:sz w:val="21"/>
                <w:szCs w:val="21"/>
              </w:rPr>
            </w:pPr>
            <w:r>
              <w:rPr>
                <w:rFonts w:hint="eastAsia" w:cs="Times New Roman"/>
                <w:color w:val="000000"/>
                <w:sz w:val="21"/>
                <w:szCs w:val="21"/>
              </w:rPr>
              <w:t>Valve Corrosion Near SEC/RRI Heat Exchanger in SEC System</w:t>
            </w:r>
          </w:p>
        </w:tc>
        <w:tc>
          <w:tcPr>
            <w:tcW w:w="765" w:type="dxa"/>
            <w:gridSpan w:val="2"/>
            <w:vAlign w:val="center"/>
          </w:tcPr>
          <w:p w14:paraId="7DA59546">
            <w:pPr>
              <w:pStyle w:val="16"/>
              <w:spacing w:before="31" w:after="31"/>
              <w:ind w:firstLine="0" w:firstLineChars="0"/>
              <w:jc w:val="center"/>
              <w:rPr>
                <w:rFonts w:cs="Times New Roman"/>
                <w:color w:val="000000"/>
                <w:sz w:val="21"/>
                <w:szCs w:val="21"/>
              </w:rPr>
            </w:pPr>
          </w:p>
        </w:tc>
        <w:tc>
          <w:tcPr>
            <w:tcW w:w="765" w:type="dxa"/>
            <w:gridSpan w:val="2"/>
            <w:vAlign w:val="center"/>
          </w:tcPr>
          <w:p w14:paraId="545C9DE2">
            <w:pPr>
              <w:pStyle w:val="16"/>
              <w:spacing w:before="31" w:after="31"/>
              <w:ind w:firstLine="0" w:firstLineChars="0"/>
              <w:jc w:val="center"/>
              <w:rPr>
                <w:rFonts w:cs="Times New Roman"/>
                <w:color w:val="000000"/>
                <w:sz w:val="21"/>
                <w:szCs w:val="21"/>
              </w:rPr>
            </w:pPr>
          </w:p>
        </w:tc>
        <w:tc>
          <w:tcPr>
            <w:tcW w:w="765" w:type="dxa"/>
            <w:gridSpan w:val="2"/>
            <w:vAlign w:val="center"/>
          </w:tcPr>
          <w:p w14:paraId="0021BFE5">
            <w:pPr>
              <w:pStyle w:val="16"/>
              <w:spacing w:before="31" w:after="31"/>
              <w:ind w:firstLine="0" w:firstLineChars="0"/>
              <w:jc w:val="center"/>
              <w:rPr>
                <w:rFonts w:cs="Times New Roman"/>
                <w:color w:val="000000"/>
                <w:sz w:val="21"/>
                <w:szCs w:val="21"/>
              </w:rPr>
            </w:pPr>
            <w:r>
              <w:rPr>
                <w:rFonts w:cs="Times New Roman"/>
                <w:sz w:val="21"/>
                <w:szCs w:val="21"/>
              </w:rPr>
              <w:t>√</w:t>
            </w:r>
          </w:p>
        </w:tc>
        <w:tc>
          <w:tcPr>
            <w:tcW w:w="765" w:type="dxa"/>
            <w:vAlign w:val="center"/>
          </w:tcPr>
          <w:p w14:paraId="29CB7109">
            <w:pPr>
              <w:pStyle w:val="16"/>
              <w:spacing w:before="31" w:after="31"/>
              <w:ind w:firstLine="0" w:firstLineChars="0"/>
              <w:jc w:val="center"/>
              <w:rPr>
                <w:rFonts w:cs="Times New Roman"/>
                <w:color w:val="000000"/>
                <w:sz w:val="21"/>
                <w:szCs w:val="21"/>
              </w:rPr>
            </w:pPr>
          </w:p>
        </w:tc>
      </w:tr>
      <w:tr w14:paraId="5B9B17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14" w:type="dxa"/>
            <w:vAlign w:val="center"/>
          </w:tcPr>
          <w:p w14:paraId="5A08F3DA">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Case 3-1</w:t>
            </w:r>
            <w:r>
              <w:rPr>
                <w:rFonts w:cs="Times New Roman"/>
                <w:color w:val="000000"/>
                <w:sz w:val="21"/>
                <w:szCs w:val="21"/>
              </w:rPr>
              <w:t>1</w:t>
            </w:r>
          </w:p>
        </w:tc>
        <w:tc>
          <w:tcPr>
            <w:tcW w:w="3923" w:type="dxa"/>
            <w:vAlign w:val="center"/>
          </w:tcPr>
          <w:p w14:paraId="247FEA9B">
            <w:pPr>
              <w:pStyle w:val="16"/>
              <w:spacing w:before="31" w:after="31"/>
              <w:ind w:firstLine="0" w:firstLineChars="0"/>
              <w:rPr>
                <w:rFonts w:cs="Times New Roman"/>
                <w:color w:val="000000"/>
                <w:sz w:val="21"/>
                <w:szCs w:val="21"/>
              </w:rPr>
            </w:pPr>
            <w:r>
              <w:rPr>
                <w:rFonts w:hint="eastAsia" w:cs="Times New Roman"/>
                <w:color w:val="000000"/>
                <w:sz w:val="21"/>
                <w:szCs w:val="21"/>
              </w:rPr>
              <w:t>Leakage Failure of Slot Titanium Plate Heat Exchanger in a Coastal Nuclear Power Plant</w:t>
            </w:r>
          </w:p>
        </w:tc>
        <w:tc>
          <w:tcPr>
            <w:tcW w:w="765" w:type="dxa"/>
            <w:gridSpan w:val="2"/>
            <w:vAlign w:val="center"/>
          </w:tcPr>
          <w:p w14:paraId="5A58122D">
            <w:pPr>
              <w:pStyle w:val="16"/>
              <w:spacing w:before="31" w:after="31"/>
              <w:ind w:firstLine="0" w:firstLineChars="0"/>
              <w:jc w:val="center"/>
              <w:rPr>
                <w:rFonts w:cs="Times New Roman"/>
                <w:color w:val="000000"/>
                <w:sz w:val="21"/>
                <w:szCs w:val="21"/>
              </w:rPr>
            </w:pPr>
          </w:p>
        </w:tc>
        <w:tc>
          <w:tcPr>
            <w:tcW w:w="765" w:type="dxa"/>
            <w:gridSpan w:val="2"/>
            <w:vAlign w:val="center"/>
          </w:tcPr>
          <w:p w14:paraId="7FBE2854">
            <w:pPr>
              <w:pStyle w:val="16"/>
              <w:spacing w:before="31" w:after="31"/>
              <w:ind w:firstLine="0" w:firstLineChars="0"/>
              <w:jc w:val="center"/>
              <w:rPr>
                <w:rFonts w:cs="Times New Roman"/>
                <w:color w:val="000000"/>
                <w:sz w:val="21"/>
                <w:szCs w:val="21"/>
              </w:rPr>
            </w:pPr>
            <w:r>
              <w:rPr>
                <w:rFonts w:cs="Times New Roman"/>
                <w:sz w:val="21"/>
                <w:szCs w:val="21"/>
              </w:rPr>
              <w:t>√</w:t>
            </w:r>
          </w:p>
        </w:tc>
        <w:tc>
          <w:tcPr>
            <w:tcW w:w="765" w:type="dxa"/>
            <w:gridSpan w:val="2"/>
            <w:vAlign w:val="center"/>
          </w:tcPr>
          <w:p w14:paraId="3D1E1281">
            <w:pPr>
              <w:pStyle w:val="16"/>
              <w:spacing w:before="31" w:after="31"/>
              <w:ind w:firstLine="0" w:firstLineChars="0"/>
              <w:jc w:val="center"/>
              <w:rPr>
                <w:rFonts w:cs="Times New Roman"/>
                <w:color w:val="000000"/>
                <w:sz w:val="21"/>
                <w:szCs w:val="21"/>
              </w:rPr>
            </w:pPr>
          </w:p>
        </w:tc>
        <w:tc>
          <w:tcPr>
            <w:tcW w:w="765" w:type="dxa"/>
            <w:vAlign w:val="center"/>
          </w:tcPr>
          <w:p w14:paraId="45B8BF98">
            <w:pPr>
              <w:pStyle w:val="16"/>
              <w:spacing w:before="31" w:after="31"/>
              <w:ind w:firstLine="0" w:firstLineChars="0"/>
              <w:jc w:val="center"/>
              <w:rPr>
                <w:rFonts w:cs="Times New Roman"/>
                <w:color w:val="000000"/>
                <w:sz w:val="21"/>
                <w:szCs w:val="21"/>
              </w:rPr>
            </w:pPr>
          </w:p>
        </w:tc>
      </w:tr>
      <w:tr w14:paraId="670563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14" w:type="dxa"/>
            <w:vAlign w:val="center"/>
          </w:tcPr>
          <w:p w14:paraId="67D48424">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Case 3-12</w:t>
            </w:r>
          </w:p>
        </w:tc>
        <w:tc>
          <w:tcPr>
            <w:tcW w:w="3923" w:type="dxa"/>
            <w:vAlign w:val="center"/>
          </w:tcPr>
          <w:p w14:paraId="5EDE49C5">
            <w:pPr>
              <w:pStyle w:val="16"/>
              <w:spacing w:before="31" w:after="31"/>
              <w:ind w:firstLine="0" w:firstLineChars="0"/>
              <w:rPr>
                <w:rFonts w:cs="Times New Roman"/>
                <w:color w:val="000000"/>
                <w:kern w:val="0"/>
                <w:sz w:val="21"/>
                <w:szCs w:val="21"/>
              </w:rPr>
            </w:pPr>
            <w:r>
              <w:rPr>
                <w:rFonts w:hint="eastAsia" w:cs="Times New Roman"/>
                <w:color w:val="000000"/>
                <w:sz w:val="21"/>
                <w:szCs w:val="21"/>
              </w:rPr>
              <w:t>Failure of BR Type Plate in a Factory's Plate Heat Exchanger</w:t>
            </w:r>
            <w:r>
              <w:rPr>
                <w:rFonts w:hint="eastAsia" w:cs="Times New Roman"/>
                <w:color w:val="000000"/>
                <w:sz w:val="21"/>
                <w:szCs w:val="21"/>
              </w:rPr>
              <w:tab/>
            </w:r>
          </w:p>
        </w:tc>
        <w:tc>
          <w:tcPr>
            <w:tcW w:w="765" w:type="dxa"/>
            <w:gridSpan w:val="2"/>
            <w:vAlign w:val="center"/>
          </w:tcPr>
          <w:p w14:paraId="10C0EB9A">
            <w:pPr>
              <w:pStyle w:val="16"/>
              <w:spacing w:before="31" w:after="31"/>
              <w:ind w:firstLine="0" w:firstLineChars="0"/>
              <w:jc w:val="center"/>
              <w:rPr>
                <w:rFonts w:cs="Times New Roman"/>
                <w:color w:val="000000"/>
                <w:sz w:val="21"/>
                <w:szCs w:val="21"/>
              </w:rPr>
            </w:pPr>
          </w:p>
        </w:tc>
        <w:tc>
          <w:tcPr>
            <w:tcW w:w="765" w:type="dxa"/>
            <w:gridSpan w:val="2"/>
            <w:vAlign w:val="center"/>
          </w:tcPr>
          <w:p w14:paraId="541B2F09">
            <w:pPr>
              <w:pStyle w:val="16"/>
              <w:spacing w:before="31" w:after="31"/>
              <w:ind w:firstLine="0" w:firstLineChars="0"/>
              <w:jc w:val="center"/>
              <w:rPr>
                <w:rFonts w:cs="Times New Roman"/>
                <w:color w:val="000000"/>
                <w:sz w:val="21"/>
                <w:szCs w:val="21"/>
              </w:rPr>
            </w:pPr>
          </w:p>
        </w:tc>
        <w:tc>
          <w:tcPr>
            <w:tcW w:w="765" w:type="dxa"/>
            <w:gridSpan w:val="2"/>
            <w:vAlign w:val="center"/>
          </w:tcPr>
          <w:p w14:paraId="31E86009">
            <w:pPr>
              <w:jc w:val="center"/>
            </w:pPr>
            <w:r>
              <w:rPr>
                <w:szCs w:val="21"/>
              </w:rPr>
              <w:t>√</w:t>
            </w:r>
          </w:p>
        </w:tc>
        <w:tc>
          <w:tcPr>
            <w:tcW w:w="765" w:type="dxa"/>
            <w:vAlign w:val="center"/>
          </w:tcPr>
          <w:p w14:paraId="3AB90519">
            <w:pPr>
              <w:jc w:val="center"/>
            </w:pPr>
            <w:r>
              <w:rPr>
                <w:szCs w:val="21"/>
              </w:rPr>
              <w:t>√</w:t>
            </w:r>
          </w:p>
        </w:tc>
      </w:tr>
    </w:tbl>
    <w:p w14:paraId="54B4E04E">
      <w:pPr>
        <w:pStyle w:val="16"/>
        <w:spacing w:before="468" w:beforeLines="150" w:after="156" w:afterLines="50"/>
        <w:ind w:firstLine="0" w:firstLineChars="0"/>
        <w:jc w:val="center"/>
        <w:rPr>
          <w:rFonts w:cs="Times New Roman"/>
          <w:b/>
          <w:sz w:val="21"/>
          <w:szCs w:val="21"/>
        </w:rPr>
      </w:pPr>
      <w:r>
        <w:rPr>
          <w:rFonts w:hint="eastAsia" w:cs="Times New Roman"/>
          <w:b/>
          <w:sz w:val="21"/>
          <w:szCs w:val="21"/>
        </w:rPr>
        <w:t>Table 3-4 Summary of Failure Causes in Cases Not Listed in the Report</w:t>
      </w:r>
    </w:p>
    <w:tbl>
      <w:tblPr>
        <w:tblStyle w:val="9"/>
        <w:tblW w:w="802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69"/>
        <w:gridCol w:w="2749"/>
        <w:gridCol w:w="928"/>
        <w:gridCol w:w="226"/>
        <w:gridCol w:w="1075"/>
        <w:gridCol w:w="78"/>
        <w:gridCol w:w="838"/>
        <w:gridCol w:w="235"/>
        <w:gridCol w:w="1230"/>
      </w:tblGrid>
      <w:tr w14:paraId="1CD049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4" w:type="dxa"/>
            <w:vMerge w:val="restart"/>
            <w:tcBorders>
              <w:top w:val="single" w:color="auto" w:sz="12" w:space="0"/>
            </w:tcBorders>
            <w:vAlign w:val="center"/>
          </w:tcPr>
          <w:p w14:paraId="3A0DE53B">
            <w:pPr>
              <w:pStyle w:val="16"/>
              <w:spacing w:beforeLines="0" w:afterLines="0"/>
              <w:ind w:firstLine="0" w:firstLineChars="0"/>
              <w:jc w:val="center"/>
              <w:rPr>
                <w:rFonts w:cs="Times New Roman"/>
                <w:color w:val="000000"/>
                <w:sz w:val="21"/>
                <w:szCs w:val="21"/>
              </w:rPr>
            </w:pPr>
            <w:r>
              <w:rPr>
                <w:rFonts w:hint="eastAsia" w:cs="Times New Roman"/>
                <w:sz w:val="21"/>
                <w:szCs w:val="21"/>
              </w:rPr>
              <w:t>Case No</w:t>
            </w:r>
          </w:p>
        </w:tc>
        <w:tc>
          <w:tcPr>
            <w:tcW w:w="4254" w:type="dxa"/>
            <w:vMerge w:val="restart"/>
            <w:tcBorders>
              <w:top w:val="single" w:color="auto" w:sz="12" w:space="0"/>
            </w:tcBorders>
            <w:vAlign w:val="center"/>
          </w:tcPr>
          <w:p w14:paraId="421FDA8E">
            <w:pPr>
              <w:pStyle w:val="16"/>
              <w:spacing w:beforeLines="0" w:afterLines="0"/>
              <w:ind w:firstLine="0" w:firstLineChars="0"/>
              <w:jc w:val="center"/>
              <w:rPr>
                <w:rFonts w:cs="Times New Roman"/>
                <w:color w:val="000000"/>
                <w:sz w:val="21"/>
                <w:szCs w:val="21"/>
              </w:rPr>
            </w:pPr>
            <w:r>
              <w:rPr>
                <w:rFonts w:hint="eastAsia" w:cs="Times New Roman"/>
                <w:sz w:val="21"/>
                <w:szCs w:val="21"/>
              </w:rPr>
              <w:t>Case Name</w:t>
            </w:r>
          </w:p>
        </w:tc>
        <w:tc>
          <w:tcPr>
            <w:tcW w:w="3060" w:type="dxa"/>
            <w:gridSpan w:val="7"/>
            <w:tcBorders>
              <w:top w:val="single" w:color="auto" w:sz="12" w:space="0"/>
              <w:bottom w:val="single" w:color="auto" w:sz="12" w:space="0"/>
            </w:tcBorders>
            <w:vAlign w:val="center"/>
          </w:tcPr>
          <w:p w14:paraId="5B10566C">
            <w:pPr>
              <w:pStyle w:val="16"/>
              <w:spacing w:beforeLines="0" w:afterLines="0"/>
              <w:ind w:firstLine="0" w:firstLineChars="0"/>
              <w:jc w:val="center"/>
              <w:rPr>
                <w:rFonts w:cs="Times New Roman"/>
                <w:color w:val="000000"/>
                <w:sz w:val="21"/>
                <w:szCs w:val="21"/>
              </w:rPr>
            </w:pPr>
            <w:r>
              <w:rPr>
                <w:rFonts w:hint="eastAsia" w:cs="Times New Roman"/>
                <w:sz w:val="21"/>
                <w:szCs w:val="21"/>
              </w:rPr>
              <w:t>Failure Causes</w:t>
            </w:r>
          </w:p>
        </w:tc>
      </w:tr>
      <w:tr w14:paraId="592825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714" w:type="dxa"/>
            <w:vMerge w:val="continue"/>
            <w:vAlign w:val="center"/>
          </w:tcPr>
          <w:p w14:paraId="7D911214">
            <w:pPr>
              <w:pStyle w:val="16"/>
              <w:spacing w:beforeLines="0" w:afterLines="0"/>
              <w:ind w:firstLine="0" w:firstLineChars="0"/>
              <w:jc w:val="center"/>
              <w:rPr>
                <w:rFonts w:cs="Times New Roman"/>
                <w:color w:val="000000"/>
                <w:sz w:val="21"/>
                <w:szCs w:val="21"/>
              </w:rPr>
            </w:pPr>
          </w:p>
        </w:tc>
        <w:tc>
          <w:tcPr>
            <w:tcW w:w="4254" w:type="dxa"/>
            <w:vMerge w:val="continue"/>
            <w:vAlign w:val="center"/>
          </w:tcPr>
          <w:p w14:paraId="416F8CD7">
            <w:pPr>
              <w:pStyle w:val="16"/>
              <w:spacing w:beforeLines="0" w:afterLines="0"/>
              <w:ind w:firstLine="0" w:firstLineChars="0"/>
              <w:jc w:val="center"/>
              <w:rPr>
                <w:rFonts w:cs="Times New Roman"/>
                <w:color w:val="000000"/>
                <w:kern w:val="0"/>
                <w:sz w:val="21"/>
                <w:szCs w:val="21"/>
              </w:rPr>
            </w:pPr>
          </w:p>
        </w:tc>
        <w:tc>
          <w:tcPr>
            <w:tcW w:w="615" w:type="dxa"/>
            <w:tcBorders>
              <w:top w:val="single" w:color="auto" w:sz="12" w:space="0"/>
            </w:tcBorders>
            <w:vAlign w:val="center"/>
          </w:tcPr>
          <w:p w14:paraId="6F7AEC71">
            <w:pPr>
              <w:pStyle w:val="16"/>
              <w:spacing w:beforeLines="0" w:afterLines="0"/>
              <w:ind w:firstLine="0" w:firstLineChars="0"/>
              <w:jc w:val="center"/>
              <w:rPr>
                <w:rFonts w:cs="Times New Roman"/>
                <w:sz w:val="21"/>
                <w:szCs w:val="21"/>
              </w:rPr>
            </w:pPr>
            <w:r>
              <w:rPr>
                <w:rFonts w:hint="eastAsia" w:cs="Times New Roman"/>
                <w:sz w:val="21"/>
                <w:szCs w:val="21"/>
              </w:rPr>
              <w:t>Material</w:t>
            </w:r>
          </w:p>
          <w:p w14:paraId="59CDB12C">
            <w:pPr>
              <w:pStyle w:val="16"/>
              <w:spacing w:beforeLines="0" w:afterLines="0"/>
              <w:ind w:firstLine="0" w:firstLineChars="0"/>
              <w:jc w:val="center"/>
              <w:rPr>
                <w:rFonts w:cs="Times New Roman"/>
                <w:sz w:val="21"/>
                <w:szCs w:val="21"/>
              </w:rPr>
            </w:pPr>
            <w:r>
              <w:rPr>
                <w:rFonts w:hint="eastAsia" w:cs="Times New Roman"/>
                <w:sz w:val="21"/>
                <w:szCs w:val="21"/>
              </w:rPr>
              <w:t>Itself</w:t>
            </w:r>
          </w:p>
        </w:tc>
        <w:tc>
          <w:tcPr>
            <w:tcW w:w="863" w:type="dxa"/>
            <w:gridSpan w:val="2"/>
            <w:tcBorders>
              <w:top w:val="single" w:color="auto" w:sz="12" w:space="0"/>
            </w:tcBorders>
            <w:vAlign w:val="center"/>
          </w:tcPr>
          <w:p w14:paraId="4312C438">
            <w:pPr>
              <w:pStyle w:val="16"/>
              <w:spacing w:beforeLines="0" w:afterLines="0"/>
              <w:ind w:firstLine="0" w:firstLineChars="0"/>
              <w:jc w:val="center"/>
              <w:rPr>
                <w:rFonts w:cs="Times New Roman"/>
                <w:sz w:val="21"/>
                <w:szCs w:val="21"/>
              </w:rPr>
            </w:pPr>
            <w:r>
              <w:rPr>
                <w:rFonts w:hint="eastAsia" w:cs="Times New Roman"/>
                <w:sz w:val="21"/>
                <w:szCs w:val="21"/>
              </w:rPr>
              <w:t>Production</w:t>
            </w:r>
          </w:p>
          <w:p w14:paraId="41FE6D03">
            <w:pPr>
              <w:pStyle w:val="16"/>
              <w:spacing w:beforeLines="0" w:afterLines="0"/>
              <w:ind w:firstLine="0" w:firstLineChars="0"/>
              <w:jc w:val="center"/>
              <w:rPr>
                <w:rFonts w:cs="Times New Roman"/>
                <w:sz w:val="21"/>
                <w:szCs w:val="21"/>
              </w:rPr>
            </w:pPr>
            <w:r>
              <w:rPr>
                <w:rFonts w:hint="eastAsia" w:cs="Times New Roman"/>
                <w:sz w:val="21"/>
                <w:szCs w:val="21"/>
              </w:rPr>
              <w:t>and Construction</w:t>
            </w:r>
          </w:p>
        </w:tc>
        <w:tc>
          <w:tcPr>
            <w:tcW w:w="608" w:type="dxa"/>
            <w:gridSpan w:val="2"/>
            <w:tcBorders>
              <w:top w:val="single" w:color="auto" w:sz="12" w:space="0"/>
            </w:tcBorders>
            <w:vAlign w:val="center"/>
          </w:tcPr>
          <w:p w14:paraId="58A8EFAB">
            <w:pPr>
              <w:pStyle w:val="16"/>
              <w:spacing w:beforeLines="0" w:afterLines="0"/>
              <w:ind w:firstLine="0" w:firstLineChars="0"/>
              <w:jc w:val="center"/>
              <w:rPr>
                <w:rFonts w:cs="Times New Roman"/>
                <w:sz w:val="21"/>
                <w:szCs w:val="21"/>
              </w:rPr>
            </w:pPr>
            <w:r>
              <w:rPr>
                <w:rFonts w:hint="eastAsia" w:cs="Times New Roman"/>
                <w:sz w:val="21"/>
                <w:szCs w:val="21"/>
              </w:rPr>
              <w:t>Design</w:t>
            </w:r>
          </w:p>
          <w:p w14:paraId="63FF5C52">
            <w:pPr>
              <w:pStyle w:val="16"/>
              <w:spacing w:beforeLines="0" w:afterLines="0"/>
              <w:ind w:firstLine="0" w:firstLineChars="0"/>
              <w:jc w:val="center"/>
              <w:rPr>
                <w:rFonts w:cs="Times New Roman"/>
                <w:sz w:val="21"/>
                <w:szCs w:val="21"/>
              </w:rPr>
            </w:pPr>
            <w:r>
              <w:rPr>
                <w:rFonts w:hint="eastAsia" w:cs="Times New Roman"/>
                <w:sz w:val="21"/>
                <w:szCs w:val="21"/>
              </w:rPr>
              <w:t>Reasons</w:t>
            </w:r>
          </w:p>
        </w:tc>
        <w:tc>
          <w:tcPr>
            <w:tcW w:w="974" w:type="dxa"/>
            <w:gridSpan w:val="2"/>
            <w:tcBorders>
              <w:top w:val="single" w:color="auto" w:sz="12" w:space="0"/>
            </w:tcBorders>
            <w:vAlign w:val="center"/>
          </w:tcPr>
          <w:p w14:paraId="56859087">
            <w:pPr>
              <w:pStyle w:val="16"/>
              <w:spacing w:beforeLines="0" w:afterLines="0"/>
              <w:ind w:firstLine="0" w:firstLineChars="0"/>
              <w:jc w:val="center"/>
              <w:rPr>
                <w:rFonts w:cs="Times New Roman"/>
                <w:sz w:val="21"/>
                <w:szCs w:val="21"/>
              </w:rPr>
            </w:pPr>
            <w:r>
              <w:rPr>
                <w:rFonts w:hint="eastAsia" w:cs="Times New Roman"/>
                <w:sz w:val="21"/>
                <w:szCs w:val="21"/>
              </w:rPr>
              <w:t>Environmental</w:t>
            </w:r>
          </w:p>
          <w:p w14:paraId="5D06639B">
            <w:pPr>
              <w:pStyle w:val="16"/>
              <w:spacing w:beforeLines="0" w:afterLines="0"/>
              <w:ind w:firstLine="0" w:firstLineChars="0"/>
              <w:jc w:val="center"/>
              <w:rPr>
                <w:rFonts w:cs="Times New Roman"/>
                <w:sz w:val="21"/>
                <w:szCs w:val="21"/>
              </w:rPr>
            </w:pPr>
            <w:r>
              <w:rPr>
                <w:rFonts w:hint="eastAsia" w:cs="Times New Roman"/>
                <w:sz w:val="21"/>
                <w:szCs w:val="21"/>
              </w:rPr>
              <w:t>Factors</w:t>
            </w:r>
          </w:p>
        </w:tc>
      </w:tr>
      <w:tr w14:paraId="09C34F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4" w:type="dxa"/>
            <w:tcBorders>
              <w:top w:val="single" w:color="auto" w:sz="12" w:space="0"/>
            </w:tcBorders>
            <w:vAlign w:val="center"/>
          </w:tcPr>
          <w:p w14:paraId="7445942D">
            <w:pPr>
              <w:pStyle w:val="16"/>
              <w:spacing w:before="31" w:after="31"/>
              <w:ind w:firstLine="0" w:firstLineChars="0"/>
              <w:jc w:val="center"/>
              <w:rPr>
                <w:rFonts w:cs="Times New Roman"/>
                <w:color w:val="000000"/>
                <w:sz w:val="21"/>
                <w:szCs w:val="21"/>
              </w:rPr>
            </w:pPr>
            <w:r>
              <w:rPr>
                <w:rFonts w:cs="Times New Roman"/>
                <w:color w:val="000000"/>
                <w:sz w:val="21"/>
                <w:szCs w:val="21"/>
              </w:rPr>
              <w:t>1</w:t>
            </w:r>
          </w:p>
        </w:tc>
        <w:tc>
          <w:tcPr>
            <w:tcW w:w="4254" w:type="dxa"/>
            <w:tcBorders>
              <w:top w:val="single" w:color="auto" w:sz="12" w:space="0"/>
            </w:tcBorders>
            <w:vAlign w:val="center"/>
          </w:tcPr>
          <w:p w14:paraId="2C527092">
            <w:pPr>
              <w:pStyle w:val="16"/>
              <w:spacing w:before="31" w:after="31"/>
              <w:ind w:firstLine="0" w:firstLineChars="0"/>
              <w:rPr>
                <w:rFonts w:cs="Times New Roman"/>
                <w:color w:val="000000"/>
                <w:sz w:val="21"/>
                <w:szCs w:val="21"/>
              </w:rPr>
            </w:pPr>
            <w:r>
              <w:rPr>
                <w:rFonts w:hint="eastAsia" w:cs="Times New Roman"/>
                <w:color w:val="000000"/>
                <w:kern w:val="0"/>
                <w:sz w:val="21"/>
                <w:szCs w:val="21"/>
              </w:rPr>
              <w:t>German Obrigheim Nuclear Power Plant Steam Generator Heat Transfer Tube Failure</w:t>
            </w:r>
          </w:p>
        </w:tc>
        <w:tc>
          <w:tcPr>
            <w:tcW w:w="765" w:type="dxa"/>
            <w:gridSpan w:val="2"/>
            <w:tcBorders>
              <w:top w:val="single" w:color="auto" w:sz="12" w:space="0"/>
            </w:tcBorders>
            <w:vAlign w:val="center"/>
          </w:tcPr>
          <w:p w14:paraId="71B54C01">
            <w:pPr>
              <w:pStyle w:val="16"/>
              <w:spacing w:before="31" w:after="31"/>
              <w:ind w:firstLine="0" w:firstLineChars="0"/>
              <w:jc w:val="center"/>
              <w:rPr>
                <w:rFonts w:cs="Times New Roman"/>
                <w:color w:val="000000"/>
                <w:kern w:val="0"/>
                <w:sz w:val="21"/>
                <w:szCs w:val="21"/>
              </w:rPr>
            </w:pPr>
          </w:p>
        </w:tc>
        <w:tc>
          <w:tcPr>
            <w:tcW w:w="765" w:type="dxa"/>
            <w:gridSpan w:val="2"/>
            <w:tcBorders>
              <w:top w:val="single" w:color="auto" w:sz="12" w:space="0"/>
            </w:tcBorders>
            <w:vAlign w:val="center"/>
          </w:tcPr>
          <w:p w14:paraId="5331C0B1">
            <w:pPr>
              <w:pStyle w:val="16"/>
              <w:spacing w:before="31" w:after="31"/>
              <w:ind w:firstLine="0" w:firstLineChars="0"/>
              <w:jc w:val="center"/>
              <w:rPr>
                <w:rFonts w:cs="Times New Roman"/>
                <w:color w:val="000000"/>
                <w:kern w:val="0"/>
                <w:sz w:val="21"/>
                <w:szCs w:val="21"/>
              </w:rPr>
            </w:pPr>
          </w:p>
        </w:tc>
        <w:tc>
          <w:tcPr>
            <w:tcW w:w="765" w:type="dxa"/>
            <w:gridSpan w:val="2"/>
            <w:tcBorders>
              <w:top w:val="single" w:color="auto" w:sz="12" w:space="0"/>
            </w:tcBorders>
            <w:vAlign w:val="center"/>
          </w:tcPr>
          <w:p w14:paraId="36BA29BB">
            <w:pPr>
              <w:pStyle w:val="16"/>
              <w:spacing w:before="31" w:after="31"/>
              <w:ind w:firstLine="0" w:firstLineChars="0"/>
              <w:jc w:val="center"/>
              <w:rPr>
                <w:rFonts w:cs="Times New Roman"/>
                <w:color w:val="000000"/>
                <w:kern w:val="0"/>
                <w:sz w:val="21"/>
                <w:szCs w:val="21"/>
              </w:rPr>
            </w:pPr>
            <w:r>
              <w:rPr>
                <w:rFonts w:cs="Times New Roman"/>
                <w:sz w:val="21"/>
                <w:szCs w:val="21"/>
              </w:rPr>
              <w:t>√</w:t>
            </w:r>
          </w:p>
        </w:tc>
        <w:tc>
          <w:tcPr>
            <w:tcW w:w="765" w:type="dxa"/>
            <w:tcBorders>
              <w:top w:val="single" w:color="auto" w:sz="12" w:space="0"/>
            </w:tcBorders>
            <w:vAlign w:val="center"/>
          </w:tcPr>
          <w:p w14:paraId="1EDFC633">
            <w:pPr>
              <w:pStyle w:val="16"/>
              <w:spacing w:before="31" w:after="31"/>
              <w:ind w:firstLine="0" w:firstLineChars="0"/>
              <w:jc w:val="center"/>
              <w:rPr>
                <w:rFonts w:cs="Times New Roman"/>
                <w:color w:val="000000"/>
                <w:kern w:val="0"/>
                <w:sz w:val="21"/>
                <w:szCs w:val="21"/>
              </w:rPr>
            </w:pPr>
            <w:r>
              <w:rPr>
                <w:rFonts w:cs="Times New Roman"/>
                <w:sz w:val="21"/>
                <w:szCs w:val="21"/>
              </w:rPr>
              <w:t>√</w:t>
            </w:r>
          </w:p>
        </w:tc>
      </w:tr>
      <w:tr w14:paraId="5F2043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4" w:type="dxa"/>
            <w:vAlign w:val="center"/>
          </w:tcPr>
          <w:p w14:paraId="24C01642">
            <w:pPr>
              <w:pStyle w:val="16"/>
              <w:spacing w:before="31" w:after="31"/>
              <w:ind w:firstLine="0" w:firstLineChars="0"/>
              <w:jc w:val="center"/>
              <w:rPr>
                <w:rFonts w:cs="Times New Roman"/>
                <w:color w:val="000000"/>
                <w:sz w:val="21"/>
                <w:szCs w:val="21"/>
              </w:rPr>
            </w:pPr>
            <w:r>
              <w:rPr>
                <w:rFonts w:cs="Times New Roman"/>
                <w:color w:val="000000"/>
                <w:sz w:val="21"/>
                <w:szCs w:val="21"/>
              </w:rPr>
              <w:t>2</w:t>
            </w:r>
          </w:p>
        </w:tc>
        <w:tc>
          <w:tcPr>
            <w:tcW w:w="4254" w:type="dxa"/>
            <w:vAlign w:val="center"/>
          </w:tcPr>
          <w:p w14:paraId="7822B751">
            <w:pPr>
              <w:pStyle w:val="16"/>
              <w:spacing w:before="31" w:after="31"/>
              <w:ind w:firstLine="0" w:firstLineChars="0"/>
              <w:rPr>
                <w:rFonts w:cs="Times New Roman"/>
                <w:color w:val="000000"/>
                <w:sz w:val="21"/>
                <w:szCs w:val="21"/>
              </w:rPr>
            </w:pPr>
            <w:r>
              <w:rPr>
                <w:rFonts w:hint="eastAsia" w:cs="Times New Roman"/>
                <w:color w:val="000000"/>
                <w:kern w:val="0"/>
                <w:sz w:val="21"/>
                <w:szCs w:val="21"/>
              </w:rPr>
              <w:t>Japan Nuclear Plant Steam Generator Locator Pins and Flexible Pins Failure Incident</w:t>
            </w:r>
          </w:p>
        </w:tc>
        <w:tc>
          <w:tcPr>
            <w:tcW w:w="765" w:type="dxa"/>
            <w:gridSpan w:val="2"/>
            <w:vAlign w:val="center"/>
          </w:tcPr>
          <w:p w14:paraId="66DF9A5B">
            <w:pPr>
              <w:pStyle w:val="16"/>
              <w:spacing w:before="31" w:after="31"/>
              <w:ind w:firstLine="0" w:firstLineChars="0"/>
              <w:jc w:val="center"/>
              <w:rPr>
                <w:rFonts w:cs="Times New Roman"/>
                <w:color w:val="000000"/>
                <w:kern w:val="0"/>
                <w:sz w:val="21"/>
                <w:szCs w:val="21"/>
              </w:rPr>
            </w:pPr>
            <w:r>
              <w:rPr>
                <w:rFonts w:cs="Times New Roman"/>
                <w:sz w:val="21"/>
                <w:szCs w:val="21"/>
              </w:rPr>
              <w:t>√</w:t>
            </w:r>
          </w:p>
        </w:tc>
        <w:tc>
          <w:tcPr>
            <w:tcW w:w="765" w:type="dxa"/>
            <w:gridSpan w:val="2"/>
            <w:vAlign w:val="center"/>
          </w:tcPr>
          <w:p w14:paraId="2B317FAF">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24FC2242">
            <w:pPr>
              <w:pStyle w:val="16"/>
              <w:spacing w:before="31" w:after="31"/>
              <w:ind w:firstLine="0" w:firstLineChars="0"/>
              <w:jc w:val="center"/>
              <w:rPr>
                <w:rFonts w:cs="Times New Roman"/>
                <w:color w:val="000000"/>
                <w:kern w:val="0"/>
                <w:sz w:val="21"/>
                <w:szCs w:val="21"/>
              </w:rPr>
            </w:pPr>
          </w:p>
        </w:tc>
        <w:tc>
          <w:tcPr>
            <w:tcW w:w="765" w:type="dxa"/>
            <w:vAlign w:val="center"/>
          </w:tcPr>
          <w:p w14:paraId="77BB14F7">
            <w:pPr>
              <w:pStyle w:val="16"/>
              <w:spacing w:before="31" w:after="31"/>
              <w:ind w:firstLine="0" w:firstLineChars="0"/>
              <w:jc w:val="center"/>
              <w:rPr>
                <w:rFonts w:cs="Times New Roman"/>
                <w:color w:val="000000"/>
                <w:kern w:val="0"/>
                <w:sz w:val="21"/>
                <w:szCs w:val="21"/>
              </w:rPr>
            </w:pPr>
            <w:r>
              <w:rPr>
                <w:rFonts w:cs="Times New Roman"/>
                <w:sz w:val="21"/>
                <w:szCs w:val="21"/>
              </w:rPr>
              <w:t>√</w:t>
            </w:r>
          </w:p>
        </w:tc>
      </w:tr>
      <w:tr w14:paraId="1CEDA9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4" w:type="dxa"/>
            <w:vAlign w:val="center"/>
          </w:tcPr>
          <w:p w14:paraId="73CAD520">
            <w:pPr>
              <w:pStyle w:val="16"/>
              <w:spacing w:before="31" w:after="31"/>
              <w:ind w:firstLine="0" w:firstLineChars="0"/>
              <w:jc w:val="center"/>
              <w:rPr>
                <w:rFonts w:cs="Times New Roman"/>
                <w:color w:val="000000"/>
                <w:sz w:val="21"/>
                <w:szCs w:val="21"/>
              </w:rPr>
            </w:pPr>
            <w:r>
              <w:rPr>
                <w:rFonts w:cs="Times New Roman"/>
                <w:color w:val="000000"/>
                <w:sz w:val="21"/>
                <w:szCs w:val="21"/>
              </w:rPr>
              <w:t>3</w:t>
            </w:r>
          </w:p>
        </w:tc>
        <w:tc>
          <w:tcPr>
            <w:tcW w:w="4254" w:type="dxa"/>
            <w:vAlign w:val="center"/>
          </w:tcPr>
          <w:p w14:paraId="475F12FA">
            <w:pPr>
              <w:pStyle w:val="16"/>
              <w:spacing w:before="31" w:after="31"/>
              <w:ind w:firstLine="0" w:firstLineChars="0"/>
              <w:rPr>
                <w:rFonts w:cs="Times New Roman"/>
                <w:color w:val="000000"/>
                <w:sz w:val="21"/>
                <w:szCs w:val="21"/>
              </w:rPr>
            </w:pPr>
            <w:r>
              <w:rPr>
                <w:rFonts w:hint="eastAsia" w:cs="Times New Roman"/>
                <w:color w:val="000000"/>
                <w:kern w:val="0"/>
                <w:sz w:val="21"/>
                <w:szCs w:val="21"/>
              </w:rPr>
              <w:t>St. Lucie Nuclear Power Plant Steam Generator Heat Transfer Tube Failure</w:t>
            </w:r>
          </w:p>
        </w:tc>
        <w:tc>
          <w:tcPr>
            <w:tcW w:w="765" w:type="dxa"/>
            <w:gridSpan w:val="2"/>
            <w:vAlign w:val="center"/>
          </w:tcPr>
          <w:p w14:paraId="2567DF75">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1CF44ECB">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637F7991">
            <w:pPr>
              <w:pStyle w:val="16"/>
              <w:spacing w:before="31" w:after="31"/>
              <w:ind w:firstLine="0" w:firstLineChars="0"/>
              <w:jc w:val="center"/>
              <w:rPr>
                <w:rFonts w:cs="Times New Roman"/>
                <w:color w:val="000000"/>
                <w:kern w:val="0"/>
                <w:sz w:val="21"/>
                <w:szCs w:val="21"/>
              </w:rPr>
            </w:pPr>
          </w:p>
        </w:tc>
        <w:tc>
          <w:tcPr>
            <w:tcW w:w="765" w:type="dxa"/>
            <w:vAlign w:val="center"/>
          </w:tcPr>
          <w:p w14:paraId="2C6795E1">
            <w:pPr>
              <w:pStyle w:val="16"/>
              <w:spacing w:before="31" w:after="31"/>
              <w:ind w:firstLine="0" w:firstLineChars="0"/>
              <w:jc w:val="center"/>
              <w:rPr>
                <w:rFonts w:cs="Times New Roman"/>
                <w:color w:val="000000"/>
                <w:kern w:val="0"/>
                <w:sz w:val="21"/>
                <w:szCs w:val="21"/>
              </w:rPr>
            </w:pPr>
            <w:r>
              <w:rPr>
                <w:rFonts w:cs="Times New Roman"/>
                <w:sz w:val="21"/>
                <w:szCs w:val="21"/>
              </w:rPr>
              <w:t>√</w:t>
            </w:r>
          </w:p>
        </w:tc>
      </w:tr>
      <w:tr w14:paraId="35F3BD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4" w:type="dxa"/>
            <w:vAlign w:val="center"/>
          </w:tcPr>
          <w:p w14:paraId="64843979">
            <w:pPr>
              <w:pStyle w:val="16"/>
              <w:spacing w:before="31" w:after="31"/>
              <w:ind w:firstLine="0" w:firstLineChars="0"/>
              <w:jc w:val="center"/>
              <w:rPr>
                <w:rFonts w:cs="Times New Roman"/>
                <w:color w:val="000000"/>
                <w:sz w:val="21"/>
                <w:szCs w:val="21"/>
              </w:rPr>
            </w:pPr>
            <w:r>
              <w:rPr>
                <w:rFonts w:cs="Times New Roman"/>
                <w:color w:val="000000"/>
                <w:sz w:val="21"/>
                <w:szCs w:val="21"/>
              </w:rPr>
              <w:t>4</w:t>
            </w:r>
          </w:p>
        </w:tc>
        <w:tc>
          <w:tcPr>
            <w:tcW w:w="4254" w:type="dxa"/>
            <w:vAlign w:val="center"/>
          </w:tcPr>
          <w:p w14:paraId="3F9DBCA3">
            <w:pPr>
              <w:pStyle w:val="16"/>
              <w:spacing w:before="31" w:after="31"/>
              <w:ind w:firstLine="0" w:firstLineChars="0"/>
              <w:rPr>
                <w:rFonts w:cs="Times New Roman"/>
                <w:color w:val="000000"/>
                <w:kern w:val="0"/>
                <w:sz w:val="21"/>
                <w:szCs w:val="21"/>
              </w:rPr>
            </w:pPr>
            <w:r>
              <w:rPr>
                <w:rFonts w:hint="eastAsia" w:cs="Times New Roman"/>
                <w:color w:val="000000"/>
                <w:kern w:val="0"/>
                <w:sz w:val="21"/>
                <w:szCs w:val="21"/>
              </w:rPr>
              <w:t>Pressurized Water Reactor Steam Generator Pitting</w:t>
            </w:r>
          </w:p>
        </w:tc>
        <w:tc>
          <w:tcPr>
            <w:tcW w:w="765" w:type="dxa"/>
            <w:gridSpan w:val="2"/>
            <w:vAlign w:val="center"/>
          </w:tcPr>
          <w:p w14:paraId="215A7F5A">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27D453C6">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179E8FA0">
            <w:pPr>
              <w:pStyle w:val="16"/>
              <w:spacing w:before="31" w:after="31"/>
              <w:ind w:firstLine="0" w:firstLineChars="0"/>
              <w:jc w:val="center"/>
              <w:rPr>
                <w:rFonts w:cs="Times New Roman"/>
                <w:color w:val="000000"/>
                <w:kern w:val="0"/>
                <w:sz w:val="21"/>
                <w:szCs w:val="21"/>
              </w:rPr>
            </w:pPr>
          </w:p>
        </w:tc>
        <w:tc>
          <w:tcPr>
            <w:tcW w:w="765" w:type="dxa"/>
            <w:vAlign w:val="center"/>
          </w:tcPr>
          <w:p w14:paraId="38F8A58C">
            <w:pPr>
              <w:pStyle w:val="16"/>
              <w:spacing w:before="31" w:after="31"/>
              <w:ind w:firstLine="0" w:firstLineChars="0"/>
              <w:jc w:val="center"/>
              <w:rPr>
                <w:rFonts w:cs="Times New Roman"/>
                <w:color w:val="000000"/>
                <w:kern w:val="0"/>
                <w:sz w:val="21"/>
                <w:szCs w:val="21"/>
              </w:rPr>
            </w:pPr>
            <w:r>
              <w:rPr>
                <w:rFonts w:cs="Times New Roman"/>
                <w:sz w:val="21"/>
                <w:szCs w:val="21"/>
              </w:rPr>
              <w:t>√</w:t>
            </w:r>
          </w:p>
        </w:tc>
      </w:tr>
      <w:tr w14:paraId="4D66F3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4" w:type="dxa"/>
            <w:vAlign w:val="center"/>
          </w:tcPr>
          <w:p w14:paraId="62A9A492">
            <w:pPr>
              <w:pStyle w:val="16"/>
              <w:spacing w:before="31" w:after="31"/>
              <w:ind w:firstLine="0" w:firstLineChars="0"/>
              <w:jc w:val="center"/>
              <w:rPr>
                <w:rFonts w:cs="Times New Roman"/>
                <w:color w:val="000000"/>
                <w:sz w:val="21"/>
                <w:szCs w:val="21"/>
              </w:rPr>
            </w:pPr>
            <w:r>
              <w:rPr>
                <w:rFonts w:cs="Times New Roman"/>
                <w:color w:val="000000"/>
                <w:sz w:val="21"/>
                <w:szCs w:val="21"/>
              </w:rPr>
              <w:t>5</w:t>
            </w:r>
          </w:p>
        </w:tc>
        <w:tc>
          <w:tcPr>
            <w:tcW w:w="4254" w:type="dxa"/>
            <w:vAlign w:val="center"/>
          </w:tcPr>
          <w:p w14:paraId="211B5BFE">
            <w:pPr>
              <w:pStyle w:val="16"/>
              <w:spacing w:before="31" w:after="31"/>
              <w:ind w:firstLine="0" w:firstLineChars="0"/>
              <w:rPr>
                <w:rFonts w:cs="Times New Roman"/>
                <w:color w:val="000000"/>
                <w:sz w:val="21"/>
                <w:szCs w:val="21"/>
              </w:rPr>
            </w:pPr>
            <w:r>
              <w:rPr>
                <w:rFonts w:hint="eastAsia" w:cs="Times New Roman"/>
                <w:color w:val="000000"/>
                <w:kern w:val="0"/>
                <w:sz w:val="21"/>
                <w:szCs w:val="21"/>
              </w:rPr>
              <w:t>Salem Unit 2 Plant Pressure Vessel Head Control Rod Drive Mechanism Failure</w:t>
            </w:r>
          </w:p>
        </w:tc>
        <w:tc>
          <w:tcPr>
            <w:tcW w:w="765" w:type="dxa"/>
            <w:gridSpan w:val="2"/>
            <w:vAlign w:val="center"/>
          </w:tcPr>
          <w:p w14:paraId="31A4E8C7">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1E82FB67">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21F3617B">
            <w:pPr>
              <w:pStyle w:val="16"/>
              <w:spacing w:before="31" w:after="31"/>
              <w:ind w:firstLine="0" w:firstLineChars="0"/>
              <w:jc w:val="center"/>
              <w:rPr>
                <w:rFonts w:cs="Times New Roman"/>
                <w:color w:val="000000"/>
                <w:kern w:val="0"/>
                <w:sz w:val="21"/>
                <w:szCs w:val="21"/>
              </w:rPr>
            </w:pPr>
            <w:r>
              <w:rPr>
                <w:rFonts w:cs="Times New Roman"/>
                <w:sz w:val="21"/>
                <w:szCs w:val="21"/>
              </w:rPr>
              <w:t>√</w:t>
            </w:r>
          </w:p>
        </w:tc>
        <w:tc>
          <w:tcPr>
            <w:tcW w:w="765" w:type="dxa"/>
            <w:vAlign w:val="center"/>
          </w:tcPr>
          <w:p w14:paraId="10EF74F7">
            <w:pPr>
              <w:pStyle w:val="16"/>
              <w:spacing w:before="31" w:after="31"/>
              <w:ind w:firstLine="0" w:firstLineChars="0"/>
              <w:jc w:val="center"/>
              <w:rPr>
                <w:rFonts w:cs="Times New Roman"/>
                <w:color w:val="000000"/>
                <w:kern w:val="0"/>
                <w:sz w:val="21"/>
                <w:szCs w:val="21"/>
              </w:rPr>
            </w:pPr>
            <w:r>
              <w:rPr>
                <w:rFonts w:cs="Times New Roman"/>
                <w:sz w:val="21"/>
                <w:szCs w:val="21"/>
              </w:rPr>
              <w:t>√</w:t>
            </w:r>
          </w:p>
        </w:tc>
      </w:tr>
      <w:tr w14:paraId="43565B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4" w:type="dxa"/>
            <w:vAlign w:val="center"/>
          </w:tcPr>
          <w:p w14:paraId="01A8E741">
            <w:pPr>
              <w:pStyle w:val="16"/>
              <w:spacing w:before="31" w:after="31"/>
              <w:ind w:firstLine="0" w:firstLineChars="0"/>
              <w:jc w:val="center"/>
              <w:rPr>
                <w:rFonts w:cs="Times New Roman"/>
                <w:color w:val="000000"/>
                <w:sz w:val="21"/>
                <w:szCs w:val="21"/>
              </w:rPr>
            </w:pPr>
            <w:r>
              <w:rPr>
                <w:rFonts w:cs="Times New Roman"/>
                <w:color w:val="000000"/>
                <w:sz w:val="21"/>
                <w:szCs w:val="21"/>
              </w:rPr>
              <w:t>6</w:t>
            </w:r>
          </w:p>
        </w:tc>
        <w:tc>
          <w:tcPr>
            <w:tcW w:w="4254" w:type="dxa"/>
            <w:vAlign w:val="center"/>
          </w:tcPr>
          <w:p w14:paraId="47BC4A68">
            <w:pPr>
              <w:rPr>
                <w:color w:val="000000"/>
                <w:szCs w:val="21"/>
              </w:rPr>
            </w:pPr>
            <w:r>
              <w:rPr>
                <w:rFonts w:hint="eastAsia"/>
                <w:color w:val="000000"/>
                <w:kern w:val="0"/>
                <w:szCs w:val="21"/>
              </w:rPr>
              <w:t>Turkey Point Unit 4 Plant Pressure Vessel Head CRDM Seal Leakage at Seal Area</w:t>
            </w:r>
          </w:p>
        </w:tc>
        <w:tc>
          <w:tcPr>
            <w:tcW w:w="765" w:type="dxa"/>
            <w:gridSpan w:val="2"/>
            <w:vAlign w:val="center"/>
          </w:tcPr>
          <w:p w14:paraId="1D7F4E8D">
            <w:pPr>
              <w:jc w:val="center"/>
              <w:rPr>
                <w:color w:val="000000"/>
                <w:kern w:val="0"/>
                <w:szCs w:val="21"/>
              </w:rPr>
            </w:pPr>
          </w:p>
        </w:tc>
        <w:tc>
          <w:tcPr>
            <w:tcW w:w="765" w:type="dxa"/>
            <w:gridSpan w:val="2"/>
            <w:vAlign w:val="center"/>
          </w:tcPr>
          <w:p w14:paraId="37F54333">
            <w:pPr>
              <w:jc w:val="center"/>
              <w:rPr>
                <w:color w:val="000000"/>
                <w:kern w:val="0"/>
                <w:szCs w:val="21"/>
              </w:rPr>
            </w:pPr>
          </w:p>
        </w:tc>
        <w:tc>
          <w:tcPr>
            <w:tcW w:w="765" w:type="dxa"/>
            <w:gridSpan w:val="2"/>
            <w:vAlign w:val="center"/>
          </w:tcPr>
          <w:p w14:paraId="571FDC69">
            <w:pPr>
              <w:jc w:val="center"/>
              <w:rPr>
                <w:color w:val="000000"/>
                <w:kern w:val="0"/>
                <w:szCs w:val="21"/>
              </w:rPr>
            </w:pPr>
            <w:r>
              <w:rPr>
                <w:szCs w:val="21"/>
              </w:rPr>
              <w:t>√</w:t>
            </w:r>
          </w:p>
        </w:tc>
        <w:tc>
          <w:tcPr>
            <w:tcW w:w="765" w:type="dxa"/>
            <w:vAlign w:val="center"/>
          </w:tcPr>
          <w:p w14:paraId="7C577CA9">
            <w:pPr>
              <w:jc w:val="center"/>
              <w:rPr>
                <w:color w:val="000000"/>
                <w:kern w:val="0"/>
                <w:szCs w:val="21"/>
              </w:rPr>
            </w:pPr>
            <w:r>
              <w:rPr>
                <w:szCs w:val="21"/>
              </w:rPr>
              <w:t>√</w:t>
            </w:r>
          </w:p>
        </w:tc>
      </w:tr>
      <w:tr w14:paraId="64AD3F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4" w:type="dxa"/>
            <w:vAlign w:val="center"/>
          </w:tcPr>
          <w:p w14:paraId="62FD4992">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7</w:t>
            </w:r>
          </w:p>
        </w:tc>
        <w:tc>
          <w:tcPr>
            <w:tcW w:w="4254" w:type="dxa"/>
            <w:vAlign w:val="center"/>
          </w:tcPr>
          <w:p w14:paraId="29FC46FF">
            <w:pPr>
              <w:pStyle w:val="16"/>
              <w:spacing w:before="31" w:after="31"/>
              <w:ind w:firstLine="0" w:firstLineChars="0"/>
              <w:rPr>
                <w:rFonts w:cs="Times New Roman"/>
                <w:color w:val="000000"/>
                <w:kern w:val="0"/>
                <w:sz w:val="21"/>
                <w:szCs w:val="21"/>
              </w:rPr>
            </w:pPr>
            <w:r>
              <w:rPr>
                <w:rFonts w:hint="eastAsia" w:cs="Times New Roman"/>
                <w:color w:val="000000"/>
                <w:kern w:val="0"/>
                <w:sz w:val="21"/>
                <w:szCs w:val="21"/>
              </w:rPr>
              <w:t>Navajo Nuclear Plant Feedwater Pump Downstream Pipe Failure</w:t>
            </w:r>
          </w:p>
        </w:tc>
        <w:tc>
          <w:tcPr>
            <w:tcW w:w="765" w:type="dxa"/>
            <w:gridSpan w:val="2"/>
            <w:vAlign w:val="center"/>
          </w:tcPr>
          <w:p w14:paraId="4E3C8020">
            <w:pPr>
              <w:pStyle w:val="16"/>
              <w:spacing w:before="31" w:after="31"/>
              <w:ind w:firstLine="0" w:firstLineChars="0"/>
              <w:jc w:val="center"/>
              <w:rPr>
                <w:rFonts w:cs="Times New Roman"/>
                <w:color w:val="000000"/>
                <w:kern w:val="0"/>
                <w:sz w:val="21"/>
                <w:szCs w:val="21"/>
              </w:rPr>
            </w:pPr>
            <w:r>
              <w:rPr>
                <w:rFonts w:cs="Times New Roman"/>
                <w:sz w:val="21"/>
                <w:szCs w:val="21"/>
              </w:rPr>
              <w:t>√</w:t>
            </w:r>
          </w:p>
        </w:tc>
        <w:tc>
          <w:tcPr>
            <w:tcW w:w="765" w:type="dxa"/>
            <w:gridSpan w:val="2"/>
            <w:vAlign w:val="center"/>
          </w:tcPr>
          <w:p w14:paraId="020C1D27">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25C70642">
            <w:pPr>
              <w:pStyle w:val="16"/>
              <w:spacing w:before="31" w:after="31"/>
              <w:ind w:firstLine="0" w:firstLineChars="0"/>
              <w:jc w:val="center"/>
              <w:rPr>
                <w:rFonts w:cs="Times New Roman"/>
                <w:color w:val="000000"/>
                <w:kern w:val="0"/>
                <w:sz w:val="21"/>
                <w:szCs w:val="21"/>
              </w:rPr>
            </w:pPr>
          </w:p>
        </w:tc>
        <w:tc>
          <w:tcPr>
            <w:tcW w:w="765" w:type="dxa"/>
            <w:vAlign w:val="center"/>
          </w:tcPr>
          <w:p w14:paraId="5F47E872">
            <w:pPr>
              <w:pStyle w:val="16"/>
              <w:spacing w:before="31" w:after="31"/>
              <w:ind w:firstLine="0" w:firstLineChars="0"/>
              <w:jc w:val="center"/>
              <w:rPr>
                <w:rFonts w:cs="Times New Roman"/>
                <w:color w:val="000000"/>
                <w:kern w:val="0"/>
                <w:sz w:val="21"/>
                <w:szCs w:val="21"/>
              </w:rPr>
            </w:pPr>
            <w:r>
              <w:rPr>
                <w:rFonts w:cs="Times New Roman"/>
                <w:sz w:val="21"/>
                <w:szCs w:val="21"/>
              </w:rPr>
              <w:t>√</w:t>
            </w:r>
          </w:p>
        </w:tc>
      </w:tr>
      <w:tr w14:paraId="0F6245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4" w:type="dxa"/>
            <w:vAlign w:val="center"/>
          </w:tcPr>
          <w:p w14:paraId="6566DC30">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8</w:t>
            </w:r>
          </w:p>
        </w:tc>
        <w:tc>
          <w:tcPr>
            <w:tcW w:w="4254" w:type="dxa"/>
            <w:vAlign w:val="center"/>
          </w:tcPr>
          <w:p w14:paraId="361A01FE">
            <w:pPr>
              <w:pStyle w:val="16"/>
              <w:spacing w:before="31" w:after="31"/>
              <w:ind w:firstLine="0" w:firstLineChars="0"/>
              <w:rPr>
                <w:rFonts w:cs="Times New Roman"/>
                <w:color w:val="000000"/>
                <w:sz w:val="21"/>
                <w:szCs w:val="21"/>
              </w:rPr>
            </w:pPr>
            <w:r>
              <w:rPr>
                <w:rFonts w:hint="eastAsia" w:cs="Times New Roman"/>
                <w:color w:val="000000"/>
                <w:kern w:val="0"/>
                <w:sz w:val="21"/>
                <w:szCs w:val="21"/>
              </w:rPr>
              <w:t>Surry Nuclear Plant Condensate System Pipe Failure Incident</w:t>
            </w:r>
          </w:p>
        </w:tc>
        <w:tc>
          <w:tcPr>
            <w:tcW w:w="765" w:type="dxa"/>
            <w:gridSpan w:val="2"/>
            <w:vAlign w:val="center"/>
          </w:tcPr>
          <w:p w14:paraId="1ECB3DF9">
            <w:pPr>
              <w:pStyle w:val="16"/>
              <w:spacing w:before="31" w:after="31"/>
              <w:ind w:firstLine="0" w:firstLineChars="0"/>
              <w:jc w:val="center"/>
              <w:rPr>
                <w:rFonts w:cs="Times New Roman"/>
                <w:color w:val="000000"/>
                <w:kern w:val="0"/>
                <w:sz w:val="21"/>
                <w:szCs w:val="21"/>
              </w:rPr>
            </w:pPr>
            <w:r>
              <w:rPr>
                <w:rFonts w:cs="Times New Roman"/>
                <w:sz w:val="21"/>
                <w:szCs w:val="21"/>
              </w:rPr>
              <w:t>√</w:t>
            </w:r>
          </w:p>
        </w:tc>
        <w:tc>
          <w:tcPr>
            <w:tcW w:w="765" w:type="dxa"/>
            <w:gridSpan w:val="2"/>
            <w:vAlign w:val="center"/>
          </w:tcPr>
          <w:p w14:paraId="761544FB">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290454FC">
            <w:pPr>
              <w:pStyle w:val="16"/>
              <w:spacing w:before="31" w:after="31"/>
              <w:ind w:firstLine="0" w:firstLineChars="0"/>
              <w:jc w:val="center"/>
              <w:rPr>
                <w:rFonts w:cs="Times New Roman"/>
                <w:color w:val="000000"/>
                <w:kern w:val="0"/>
                <w:sz w:val="21"/>
                <w:szCs w:val="21"/>
              </w:rPr>
            </w:pPr>
          </w:p>
        </w:tc>
        <w:tc>
          <w:tcPr>
            <w:tcW w:w="765" w:type="dxa"/>
            <w:vAlign w:val="center"/>
          </w:tcPr>
          <w:p w14:paraId="263D0E82">
            <w:pPr>
              <w:pStyle w:val="16"/>
              <w:spacing w:before="31" w:after="31"/>
              <w:ind w:firstLine="0" w:firstLineChars="0"/>
              <w:jc w:val="center"/>
              <w:rPr>
                <w:rFonts w:cs="Times New Roman"/>
                <w:color w:val="000000"/>
                <w:kern w:val="0"/>
                <w:sz w:val="21"/>
                <w:szCs w:val="21"/>
              </w:rPr>
            </w:pPr>
            <w:r>
              <w:rPr>
                <w:rFonts w:cs="Times New Roman"/>
                <w:sz w:val="21"/>
                <w:szCs w:val="21"/>
              </w:rPr>
              <w:t>√</w:t>
            </w:r>
          </w:p>
        </w:tc>
      </w:tr>
      <w:tr w14:paraId="2BA116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4" w:type="dxa"/>
            <w:vAlign w:val="center"/>
          </w:tcPr>
          <w:p w14:paraId="48069E28">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9</w:t>
            </w:r>
          </w:p>
        </w:tc>
        <w:tc>
          <w:tcPr>
            <w:tcW w:w="4254" w:type="dxa"/>
            <w:vAlign w:val="center"/>
          </w:tcPr>
          <w:p w14:paraId="40EE4770">
            <w:pPr>
              <w:pStyle w:val="16"/>
              <w:spacing w:before="31" w:after="31"/>
              <w:ind w:firstLine="0" w:firstLineChars="0"/>
              <w:rPr>
                <w:rFonts w:cs="Times New Roman"/>
                <w:color w:val="000000"/>
                <w:sz w:val="21"/>
                <w:szCs w:val="21"/>
              </w:rPr>
            </w:pPr>
            <w:r>
              <w:rPr>
                <w:rFonts w:hint="eastAsia" w:cs="Times New Roman"/>
                <w:color w:val="000000"/>
                <w:kern w:val="0"/>
                <w:sz w:val="21"/>
                <w:szCs w:val="21"/>
              </w:rPr>
              <w:t>Arkansas Nuclear Plant Failure Incident</w:t>
            </w:r>
          </w:p>
        </w:tc>
        <w:tc>
          <w:tcPr>
            <w:tcW w:w="765" w:type="dxa"/>
            <w:gridSpan w:val="2"/>
            <w:vAlign w:val="center"/>
          </w:tcPr>
          <w:p w14:paraId="1037648A">
            <w:pPr>
              <w:pStyle w:val="16"/>
              <w:spacing w:before="31" w:after="31"/>
              <w:ind w:firstLine="0" w:firstLineChars="0"/>
              <w:jc w:val="center"/>
              <w:rPr>
                <w:rFonts w:cs="Times New Roman"/>
                <w:color w:val="000000"/>
                <w:kern w:val="0"/>
                <w:sz w:val="21"/>
                <w:szCs w:val="21"/>
              </w:rPr>
            </w:pPr>
            <w:r>
              <w:rPr>
                <w:rFonts w:cs="Times New Roman"/>
                <w:sz w:val="21"/>
                <w:szCs w:val="21"/>
              </w:rPr>
              <w:t>√</w:t>
            </w:r>
          </w:p>
        </w:tc>
        <w:tc>
          <w:tcPr>
            <w:tcW w:w="765" w:type="dxa"/>
            <w:gridSpan w:val="2"/>
            <w:vAlign w:val="center"/>
          </w:tcPr>
          <w:p w14:paraId="3818B53C">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26ED93FE">
            <w:pPr>
              <w:pStyle w:val="16"/>
              <w:spacing w:before="31" w:after="31"/>
              <w:ind w:firstLine="0" w:firstLineChars="0"/>
              <w:jc w:val="center"/>
              <w:rPr>
                <w:rFonts w:cs="Times New Roman"/>
                <w:color w:val="000000"/>
                <w:kern w:val="0"/>
                <w:sz w:val="21"/>
                <w:szCs w:val="21"/>
              </w:rPr>
            </w:pPr>
          </w:p>
        </w:tc>
        <w:tc>
          <w:tcPr>
            <w:tcW w:w="765" w:type="dxa"/>
            <w:vAlign w:val="center"/>
          </w:tcPr>
          <w:p w14:paraId="03533EE9">
            <w:pPr>
              <w:pStyle w:val="16"/>
              <w:spacing w:before="31" w:after="31"/>
              <w:ind w:firstLine="0" w:firstLineChars="0"/>
              <w:jc w:val="center"/>
              <w:rPr>
                <w:rFonts w:cs="Times New Roman"/>
                <w:color w:val="000000"/>
                <w:kern w:val="0"/>
                <w:sz w:val="21"/>
                <w:szCs w:val="21"/>
              </w:rPr>
            </w:pPr>
            <w:r>
              <w:rPr>
                <w:rFonts w:cs="Times New Roman"/>
                <w:sz w:val="21"/>
                <w:szCs w:val="21"/>
              </w:rPr>
              <w:t>√</w:t>
            </w:r>
          </w:p>
        </w:tc>
      </w:tr>
      <w:tr w14:paraId="16F72E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4" w:type="dxa"/>
            <w:vAlign w:val="center"/>
          </w:tcPr>
          <w:p w14:paraId="5DEE2237">
            <w:pPr>
              <w:pStyle w:val="16"/>
              <w:spacing w:before="31" w:after="31"/>
              <w:ind w:firstLine="0" w:firstLineChars="0"/>
              <w:jc w:val="center"/>
              <w:rPr>
                <w:rFonts w:cs="Times New Roman"/>
                <w:color w:val="000000"/>
                <w:sz w:val="21"/>
                <w:szCs w:val="21"/>
              </w:rPr>
            </w:pPr>
            <w:r>
              <w:rPr>
                <w:rFonts w:cs="Times New Roman"/>
                <w:color w:val="000000"/>
                <w:sz w:val="21"/>
                <w:szCs w:val="21"/>
              </w:rPr>
              <w:t>1</w:t>
            </w:r>
            <w:r>
              <w:rPr>
                <w:rFonts w:hint="eastAsia" w:cs="Times New Roman"/>
                <w:color w:val="000000"/>
                <w:sz w:val="21"/>
                <w:szCs w:val="21"/>
              </w:rPr>
              <w:t>0</w:t>
            </w:r>
          </w:p>
        </w:tc>
        <w:tc>
          <w:tcPr>
            <w:tcW w:w="4254" w:type="dxa"/>
            <w:vAlign w:val="center"/>
          </w:tcPr>
          <w:p w14:paraId="13A36EE6">
            <w:pPr>
              <w:pStyle w:val="16"/>
              <w:spacing w:before="31" w:after="31"/>
              <w:ind w:firstLine="0" w:firstLineChars="0"/>
              <w:rPr>
                <w:rFonts w:cs="Times New Roman"/>
                <w:color w:val="000000"/>
                <w:sz w:val="21"/>
                <w:szCs w:val="21"/>
              </w:rPr>
            </w:pPr>
            <w:r>
              <w:rPr>
                <w:rFonts w:hint="eastAsia" w:cs="Times New Roman"/>
                <w:color w:val="000000"/>
                <w:kern w:val="0"/>
                <w:sz w:val="21"/>
                <w:szCs w:val="21"/>
              </w:rPr>
              <w:t>Millstone Unit 3 Plant Pipe Failure</w:t>
            </w:r>
          </w:p>
        </w:tc>
        <w:tc>
          <w:tcPr>
            <w:tcW w:w="765" w:type="dxa"/>
            <w:gridSpan w:val="2"/>
            <w:vAlign w:val="center"/>
          </w:tcPr>
          <w:p w14:paraId="7FE23C00">
            <w:pPr>
              <w:pStyle w:val="16"/>
              <w:spacing w:before="31" w:after="31"/>
              <w:ind w:firstLine="0" w:firstLineChars="0"/>
              <w:jc w:val="center"/>
              <w:rPr>
                <w:rFonts w:cs="Times New Roman"/>
                <w:color w:val="000000"/>
                <w:kern w:val="0"/>
                <w:sz w:val="21"/>
                <w:szCs w:val="21"/>
              </w:rPr>
            </w:pPr>
            <w:r>
              <w:rPr>
                <w:rFonts w:cs="Times New Roman"/>
                <w:sz w:val="21"/>
                <w:szCs w:val="21"/>
              </w:rPr>
              <w:t>√</w:t>
            </w:r>
          </w:p>
        </w:tc>
        <w:tc>
          <w:tcPr>
            <w:tcW w:w="765" w:type="dxa"/>
            <w:gridSpan w:val="2"/>
            <w:vAlign w:val="center"/>
          </w:tcPr>
          <w:p w14:paraId="2524D306">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10C04CF2">
            <w:pPr>
              <w:pStyle w:val="16"/>
              <w:spacing w:before="31" w:after="31"/>
              <w:ind w:firstLine="0" w:firstLineChars="0"/>
              <w:jc w:val="center"/>
              <w:rPr>
                <w:rFonts w:cs="Times New Roman"/>
                <w:color w:val="000000"/>
                <w:kern w:val="0"/>
                <w:sz w:val="21"/>
                <w:szCs w:val="21"/>
              </w:rPr>
            </w:pPr>
            <w:r>
              <w:rPr>
                <w:rFonts w:cs="Times New Roman"/>
                <w:sz w:val="21"/>
                <w:szCs w:val="21"/>
              </w:rPr>
              <w:t>√</w:t>
            </w:r>
          </w:p>
        </w:tc>
        <w:tc>
          <w:tcPr>
            <w:tcW w:w="765" w:type="dxa"/>
            <w:vAlign w:val="center"/>
          </w:tcPr>
          <w:p w14:paraId="3C54A97F">
            <w:pPr>
              <w:pStyle w:val="16"/>
              <w:spacing w:before="31" w:after="31"/>
              <w:ind w:firstLine="0" w:firstLineChars="0"/>
              <w:jc w:val="center"/>
              <w:rPr>
                <w:rFonts w:cs="Times New Roman"/>
                <w:color w:val="000000"/>
                <w:kern w:val="0"/>
                <w:sz w:val="21"/>
                <w:szCs w:val="21"/>
              </w:rPr>
            </w:pPr>
            <w:r>
              <w:rPr>
                <w:rFonts w:cs="Times New Roman"/>
                <w:sz w:val="21"/>
                <w:szCs w:val="21"/>
              </w:rPr>
              <w:t>√</w:t>
            </w:r>
          </w:p>
        </w:tc>
      </w:tr>
      <w:tr w14:paraId="2868A4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4" w:type="dxa"/>
            <w:vAlign w:val="center"/>
          </w:tcPr>
          <w:p w14:paraId="23CD2023">
            <w:pPr>
              <w:pStyle w:val="16"/>
              <w:spacing w:before="31" w:after="31"/>
              <w:ind w:firstLine="0" w:firstLineChars="0"/>
              <w:jc w:val="center"/>
              <w:rPr>
                <w:rFonts w:cs="Times New Roman"/>
                <w:color w:val="000000"/>
                <w:sz w:val="21"/>
                <w:szCs w:val="21"/>
              </w:rPr>
            </w:pPr>
            <w:r>
              <w:rPr>
                <w:rFonts w:cs="Times New Roman"/>
                <w:color w:val="000000"/>
                <w:sz w:val="21"/>
                <w:szCs w:val="21"/>
              </w:rPr>
              <w:t>1</w:t>
            </w:r>
            <w:r>
              <w:rPr>
                <w:rFonts w:hint="eastAsia" w:cs="Times New Roman"/>
                <w:color w:val="000000"/>
                <w:sz w:val="21"/>
                <w:szCs w:val="21"/>
              </w:rPr>
              <w:t>1</w:t>
            </w:r>
          </w:p>
        </w:tc>
        <w:tc>
          <w:tcPr>
            <w:tcW w:w="4254" w:type="dxa"/>
            <w:vAlign w:val="center"/>
          </w:tcPr>
          <w:p w14:paraId="0F56A85F">
            <w:pPr>
              <w:pStyle w:val="16"/>
              <w:spacing w:before="31" w:after="31"/>
              <w:ind w:firstLine="0" w:firstLineChars="0"/>
              <w:rPr>
                <w:rFonts w:cs="Times New Roman"/>
                <w:color w:val="000000"/>
                <w:sz w:val="21"/>
                <w:szCs w:val="21"/>
              </w:rPr>
            </w:pPr>
            <w:r>
              <w:rPr>
                <w:rFonts w:hint="eastAsia" w:cs="Times New Roman"/>
                <w:color w:val="000000"/>
                <w:kern w:val="0"/>
                <w:sz w:val="21"/>
                <w:szCs w:val="21"/>
              </w:rPr>
              <w:t>Millstone Unit 2 Plant Reheater Drain Pipe Failure</w:t>
            </w:r>
          </w:p>
        </w:tc>
        <w:tc>
          <w:tcPr>
            <w:tcW w:w="765" w:type="dxa"/>
            <w:gridSpan w:val="2"/>
            <w:vAlign w:val="center"/>
          </w:tcPr>
          <w:p w14:paraId="0A860D32">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53B4F1FB">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5FB41A93">
            <w:pPr>
              <w:pStyle w:val="16"/>
              <w:spacing w:before="31" w:after="31"/>
              <w:ind w:firstLine="0" w:firstLineChars="0"/>
              <w:jc w:val="center"/>
              <w:rPr>
                <w:rFonts w:cs="Times New Roman"/>
                <w:color w:val="000000"/>
                <w:kern w:val="0"/>
                <w:sz w:val="21"/>
                <w:szCs w:val="21"/>
              </w:rPr>
            </w:pPr>
          </w:p>
        </w:tc>
        <w:tc>
          <w:tcPr>
            <w:tcW w:w="765" w:type="dxa"/>
            <w:vAlign w:val="center"/>
          </w:tcPr>
          <w:p w14:paraId="1B6C64ED">
            <w:pPr>
              <w:pStyle w:val="16"/>
              <w:spacing w:before="31" w:after="31"/>
              <w:ind w:firstLine="0" w:firstLineChars="0"/>
              <w:jc w:val="center"/>
              <w:rPr>
                <w:rFonts w:cs="Times New Roman"/>
                <w:color w:val="000000"/>
                <w:kern w:val="0"/>
                <w:sz w:val="21"/>
                <w:szCs w:val="21"/>
              </w:rPr>
            </w:pPr>
          </w:p>
        </w:tc>
      </w:tr>
      <w:tr w14:paraId="7B9946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4" w:type="dxa"/>
            <w:vAlign w:val="center"/>
          </w:tcPr>
          <w:p w14:paraId="51824CC0">
            <w:pPr>
              <w:pStyle w:val="16"/>
              <w:spacing w:before="31" w:after="31"/>
              <w:ind w:firstLine="0" w:firstLineChars="0"/>
              <w:jc w:val="center"/>
              <w:rPr>
                <w:rFonts w:cs="Times New Roman"/>
                <w:color w:val="000000"/>
                <w:sz w:val="21"/>
                <w:szCs w:val="21"/>
              </w:rPr>
            </w:pPr>
            <w:r>
              <w:rPr>
                <w:rFonts w:cs="Times New Roman"/>
                <w:color w:val="000000"/>
                <w:sz w:val="21"/>
                <w:szCs w:val="21"/>
              </w:rPr>
              <w:t>1</w:t>
            </w:r>
            <w:r>
              <w:rPr>
                <w:rFonts w:hint="eastAsia" w:cs="Times New Roman"/>
                <w:color w:val="000000"/>
                <w:sz w:val="21"/>
                <w:szCs w:val="21"/>
              </w:rPr>
              <w:t>2</w:t>
            </w:r>
          </w:p>
        </w:tc>
        <w:tc>
          <w:tcPr>
            <w:tcW w:w="4254" w:type="dxa"/>
            <w:vAlign w:val="center"/>
          </w:tcPr>
          <w:p w14:paraId="0EC73BAB">
            <w:pPr>
              <w:pStyle w:val="16"/>
              <w:spacing w:before="31" w:after="31"/>
              <w:ind w:firstLine="0" w:firstLineChars="0"/>
              <w:rPr>
                <w:rFonts w:cs="Times New Roman"/>
                <w:color w:val="000000"/>
                <w:sz w:val="21"/>
                <w:szCs w:val="21"/>
              </w:rPr>
            </w:pPr>
            <w:r>
              <w:rPr>
                <w:rFonts w:hint="eastAsia" w:cs="Times New Roman"/>
                <w:color w:val="000000"/>
                <w:kern w:val="0"/>
                <w:sz w:val="21"/>
                <w:szCs w:val="21"/>
              </w:rPr>
              <w:t>Millstone Unit 2 Plant Heater Drain Pipe Failure</w:t>
            </w:r>
          </w:p>
        </w:tc>
        <w:tc>
          <w:tcPr>
            <w:tcW w:w="765" w:type="dxa"/>
            <w:gridSpan w:val="2"/>
            <w:vAlign w:val="center"/>
          </w:tcPr>
          <w:p w14:paraId="0C48C167">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5E303B52">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7B60ADC0">
            <w:pPr>
              <w:pStyle w:val="16"/>
              <w:spacing w:before="31" w:after="31"/>
              <w:ind w:firstLine="0" w:firstLineChars="0"/>
              <w:jc w:val="center"/>
              <w:rPr>
                <w:rFonts w:cs="Times New Roman"/>
                <w:color w:val="000000"/>
                <w:kern w:val="0"/>
                <w:sz w:val="21"/>
                <w:szCs w:val="21"/>
              </w:rPr>
            </w:pPr>
          </w:p>
        </w:tc>
        <w:tc>
          <w:tcPr>
            <w:tcW w:w="765" w:type="dxa"/>
            <w:vAlign w:val="center"/>
          </w:tcPr>
          <w:p w14:paraId="46F68D58">
            <w:pPr>
              <w:pStyle w:val="16"/>
              <w:spacing w:before="31" w:after="31"/>
              <w:ind w:firstLine="0" w:firstLineChars="0"/>
              <w:jc w:val="center"/>
              <w:rPr>
                <w:rFonts w:cs="Times New Roman"/>
                <w:color w:val="000000"/>
                <w:kern w:val="0"/>
                <w:sz w:val="21"/>
                <w:szCs w:val="21"/>
              </w:rPr>
            </w:pPr>
            <w:r>
              <w:rPr>
                <w:rFonts w:cs="Times New Roman"/>
                <w:sz w:val="21"/>
                <w:szCs w:val="21"/>
              </w:rPr>
              <w:t>√</w:t>
            </w:r>
          </w:p>
        </w:tc>
      </w:tr>
      <w:tr w14:paraId="15E299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4" w:type="dxa"/>
            <w:vAlign w:val="center"/>
          </w:tcPr>
          <w:p w14:paraId="423A4A25">
            <w:pPr>
              <w:pStyle w:val="16"/>
              <w:spacing w:before="31" w:after="31"/>
              <w:ind w:firstLine="0" w:firstLineChars="0"/>
              <w:jc w:val="center"/>
              <w:rPr>
                <w:rFonts w:cs="Times New Roman"/>
                <w:color w:val="000000"/>
                <w:sz w:val="21"/>
                <w:szCs w:val="21"/>
              </w:rPr>
            </w:pPr>
            <w:r>
              <w:rPr>
                <w:rFonts w:cs="Times New Roman"/>
                <w:color w:val="000000"/>
                <w:sz w:val="21"/>
                <w:szCs w:val="21"/>
              </w:rPr>
              <w:t>1</w:t>
            </w:r>
            <w:r>
              <w:rPr>
                <w:rFonts w:hint="eastAsia" w:cs="Times New Roman"/>
                <w:color w:val="000000"/>
                <w:sz w:val="21"/>
                <w:szCs w:val="21"/>
              </w:rPr>
              <w:t>3</w:t>
            </w:r>
          </w:p>
        </w:tc>
        <w:tc>
          <w:tcPr>
            <w:tcW w:w="4254" w:type="dxa"/>
            <w:vAlign w:val="center"/>
          </w:tcPr>
          <w:p w14:paraId="513B56DD">
            <w:pPr>
              <w:pStyle w:val="16"/>
              <w:spacing w:before="31" w:after="31"/>
              <w:ind w:firstLine="0" w:firstLineChars="0"/>
              <w:rPr>
                <w:rFonts w:cs="Times New Roman"/>
                <w:color w:val="000000"/>
                <w:sz w:val="21"/>
                <w:szCs w:val="21"/>
              </w:rPr>
            </w:pPr>
            <w:r>
              <w:rPr>
                <w:rFonts w:hint="eastAsia" w:cs="Times New Roman"/>
                <w:color w:val="000000"/>
                <w:kern w:val="0"/>
                <w:sz w:val="21"/>
                <w:szCs w:val="21"/>
              </w:rPr>
              <w:t>US Fort Calhoun Incident</w:t>
            </w:r>
          </w:p>
        </w:tc>
        <w:tc>
          <w:tcPr>
            <w:tcW w:w="765" w:type="dxa"/>
            <w:gridSpan w:val="2"/>
            <w:vAlign w:val="center"/>
          </w:tcPr>
          <w:p w14:paraId="6C804BED">
            <w:pPr>
              <w:pStyle w:val="16"/>
              <w:spacing w:before="31" w:after="31"/>
              <w:ind w:firstLine="0" w:firstLineChars="0"/>
              <w:jc w:val="center"/>
              <w:rPr>
                <w:rFonts w:cs="Times New Roman"/>
                <w:color w:val="000000"/>
                <w:kern w:val="0"/>
                <w:sz w:val="21"/>
                <w:szCs w:val="21"/>
              </w:rPr>
            </w:pPr>
            <w:r>
              <w:rPr>
                <w:rFonts w:cs="Times New Roman"/>
                <w:sz w:val="21"/>
                <w:szCs w:val="21"/>
              </w:rPr>
              <w:t>√</w:t>
            </w:r>
          </w:p>
        </w:tc>
        <w:tc>
          <w:tcPr>
            <w:tcW w:w="765" w:type="dxa"/>
            <w:gridSpan w:val="2"/>
            <w:vAlign w:val="center"/>
          </w:tcPr>
          <w:p w14:paraId="10EDB5AB">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0A5F0A43">
            <w:pPr>
              <w:pStyle w:val="16"/>
              <w:spacing w:before="31" w:after="31"/>
              <w:ind w:firstLine="0" w:firstLineChars="0"/>
              <w:jc w:val="center"/>
              <w:rPr>
                <w:rFonts w:cs="Times New Roman"/>
                <w:color w:val="000000"/>
                <w:kern w:val="0"/>
                <w:sz w:val="21"/>
                <w:szCs w:val="21"/>
              </w:rPr>
            </w:pPr>
          </w:p>
        </w:tc>
        <w:tc>
          <w:tcPr>
            <w:tcW w:w="765" w:type="dxa"/>
            <w:vAlign w:val="center"/>
          </w:tcPr>
          <w:p w14:paraId="7B195519">
            <w:pPr>
              <w:pStyle w:val="16"/>
              <w:spacing w:before="31" w:after="31"/>
              <w:ind w:firstLine="0" w:firstLineChars="0"/>
              <w:jc w:val="center"/>
              <w:rPr>
                <w:rFonts w:cs="Times New Roman"/>
                <w:color w:val="000000"/>
                <w:kern w:val="0"/>
                <w:sz w:val="21"/>
                <w:szCs w:val="21"/>
              </w:rPr>
            </w:pPr>
            <w:r>
              <w:rPr>
                <w:rFonts w:cs="Times New Roman"/>
                <w:sz w:val="21"/>
                <w:szCs w:val="21"/>
              </w:rPr>
              <w:t>√</w:t>
            </w:r>
          </w:p>
        </w:tc>
      </w:tr>
      <w:tr w14:paraId="42FE12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4" w:type="dxa"/>
            <w:vAlign w:val="center"/>
          </w:tcPr>
          <w:p w14:paraId="3117EEAF">
            <w:pPr>
              <w:pStyle w:val="16"/>
              <w:spacing w:before="31" w:after="31"/>
              <w:ind w:firstLine="0" w:firstLineChars="0"/>
              <w:jc w:val="center"/>
              <w:rPr>
                <w:rFonts w:cs="Times New Roman"/>
                <w:color w:val="000000"/>
                <w:sz w:val="21"/>
                <w:szCs w:val="21"/>
              </w:rPr>
            </w:pPr>
            <w:r>
              <w:rPr>
                <w:rFonts w:cs="Times New Roman"/>
                <w:color w:val="000000"/>
                <w:sz w:val="21"/>
                <w:szCs w:val="21"/>
              </w:rPr>
              <w:t>1</w:t>
            </w:r>
            <w:r>
              <w:rPr>
                <w:rFonts w:hint="eastAsia" w:cs="Times New Roman"/>
                <w:color w:val="000000"/>
                <w:sz w:val="21"/>
                <w:szCs w:val="21"/>
              </w:rPr>
              <w:t>4</w:t>
            </w:r>
          </w:p>
        </w:tc>
        <w:tc>
          <w:tcPr>
            <w:tcW w:w="4254" w:type="dxa"/>
            <w:vAlign w:val="center"/>
          </w:tcPr>
          <w:p w14:paraId="7E2C758E">
            <w:pPr>
              <w:pStyle w:val="16"/>
              <w:spacing w:before="31" w:after="31"/>
              <w:ind w:firstLine="0" w:firstLineChars="0"/>
              <w:rPr>
                <w:rFonts w:cs="Times New Roman"/>
                <w:color w:val="000000"/>
                <w:sz w:val="21"/>
                <w:szCs w:val="21"/>
              </w:rPr>
            </w:pPr>
            <w:r>
              <w:rPr>
                <w:rFonts w:hint="eastAsia" w:cs="Times New Roman"/>
                <w:color w:val="000000"/>
                <w:kern w:val="0"/>
                <w:sz w:val="21"/>
                <w:szCs w:val="21"/>
              </w:rPr>
              <w:t>Point Beach Unit 1 Plant Feedwater Heater Failure</w:t>
            </w:r>
          </w:p>
        </w:tc>
        <w:tc>
          <w:tcPr>
            <w:tcW w:w="765" w:type="dxa"/>
            <w:gridSpan w:val="2"/>
            <w:vAlign w:val="center"/>
          </w:tcPr>
          <w:p w14:paraId="0AA6BB74">
            <w:pPr>
              <w:pStyle w:val="16"/>
              <w:spacing w:before="31" w:after="31"/>
              <w:ind w:firstLine="0" w:firstLineChars="0"/>
              <w:jc w:val="center"/>
              <w:rPr>
                <w:rFonts w:cs="Times New Roman"/>
                <w:color w:val="000000"/>
                <w:kern w:val="0"/>
                <w:sz w:val="21"/>
                <w:szCs w:val="21"/>
              </w:rPr>
            </w:pPr>
            <w:r>
              <w:rPr>
                <w:rFonts w:cs="Times New Roman"/>
                <w:sz w:val="21"/>
                <w:szCs w:val="21"/>
              </w:rPr>
              <w:t>√</w:t>
            </w:r>
          </w:p>
        </w:tc>
        <w:tc>
          <w:tcPr>
            <w:tcW w:w="765" w:type="dxa"/>
            <w:gridSpan w:val="2"/>
            <w:vAlign w:val="center"/>
          </w:tcPr>
          <w:p w14:paraId="39721626">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68C894CE">
            <w:pPr>
              <w:pStyle w:val="16"/>
              <w:spacing w:before="31" w:after="31"/>
              <w:ind w:firstLine="0" w:firstLineChars="0"/>
              <w:jc w:val="center"/>
              <w:rPr>
                <w:rFonts w:cs="Times New Roman"/>
                <w:color w:val="000000"/>
                <w:kern w:val="0"/>
                <w:sz w:val="21"/>
                <w:szCs w:val="21"/>
              </w:rPr>
            </w:pPr>
          </w:p>
        </w:tc>
        <w:tc>
          <w:tcPr>
            <w:tcW w:w="765" w:type="dxa"/>
            <w:vAlign w:val="center"/>
          </w:tcPr>
          <w:p w14:paraId="72019D57">
            <w:pPr>
              <w:pStyle w:val="16"/>
              <w:spacing w:before="31" w:after="31"/>
              <w:ind w:firstLine="0" w:firstLineChars="0"/>
              <w:jc w:val="center"/>
              <w:rPr>
                <w:rFonts w:cs="Times New Roman"/>
                <w:color w:val="000000"/>
                <w:kern w:val="0"/>
                <w:sz w:val="21"/>
                <w:szCs w:val="21"/>
              </w:rPr>
            </w:pPr>
            <w:r>
              <w:rPr>
                <w:rFonts w:cs="Times New Roman"/>
                <w:sz w:val="21"/>
                <w:szCs w:val="21"/>
              </w:rPr>
              <w:t>√</w:t>
            </w:r>
          </w:p>
        </w:tc>
      </w:tr>
      <w:tr w14:paraId="21B4E5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4" w:type="dxa"/>
            <w:vAlign w:val="center"/>
          </w:tcPr>
          <w:p w14:paraId="280A8230">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15</w:t>
            </w:r>
          </w:p>
        </w:tc>
        <w:tc>
          <w:tcPr>
            <w:tcW w:w="4254" w:type="dxa"/>
            <w:vAlign w:val="center"/>
          </w:tcPr>
          <w:p w14:paraId="36312B21">
            <w:pPr>
              <w:pStyle w:val="16"/>
              <w:spacing w:before="31" w:after="31"/>
              <w:ind w:firstLine="0" w:firstLineChars="0"/>
              <w:rPr>
                <w:rFonts w:cs="Times New Roman"/>
                <w:color w:val="000000"/>
                <w:sz w:val="21"/>
                <w:szCs w:val="21"/>
              </w:rPr>
            </w:pPr>
            <w:r>
              <w:rPr>
                <w:rFonts w:hint="eastAsia" w:cs="Times New Roman"/>
                <w:color w:val="000000"/>
                <w:kern w:val="0"/>
                <w:sz w:val="21"/>
                <w:szCs w:val="21"/>
              </w:rPr>
              <w:t>Wagner 3 Fossil Plant Feedwater Heater Drain Pipe Rupture</w:t>
            </w:r>
          </w:p>
        </w:tc>
        <w:tc>
          <w:tcPr>
            <w:tcW w:w="765" w:type="dxa"/>
            <w:gridSpan w:val="2"/>
            <w:vAlign w:val="center"/>
          </w:tcPr>
          <w:p w14:paraId="1750539A">
            <w:pPr>
              <w:pStyle w:val="16"/>
              <w:spacing w:before="31" w:after="31"/>
              <w:ind w:firstLine="0" w:firstLineChars="0"/>
              <w:jc w:val="center"/>
              <w:rPr>
                <w:rFonts w:cs="Times New Roman"/>
                <w:color w:val="000000"/>
                <w:kern w:val="0"/>
                <w:sz w:val="21"/>
                <w:szCs w:val="21"/>
              </w:rPr>
            </w:pPr>
            <w:r>
              <w:rPr>
                <w:rFonts w:cs="Times New Roman"/>
                <w:sz w:val="21"/>
                <w:szCs w:val="21"/>
              </w:rPr>
              <w:t>√</w:t>
            </w:r>
          </w:p>
        </w:tc>
        <w:tc>
          <w:tcPr>
            <w:tcW w:w="765" w:type="dxa"/>
            <w:gridSpan w:val="2"/>
            <w:vAlign w:val="center"/>
          </w:tcPr>
          <w:p w14:paraId="7FA400C6">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51BEB738">
            <w:pPr>
              <w:pStyle w:val="16"/>
              <w:spacing w:before="31" w:after="31"/>
              <w:ind w:firstLine="0" w:firstLineChars="0"/>
              <w:jc w:val="center"/>
              <w:rPr>
                <w:rFonts w:cs="Times New Roman"/>
                <w:color w:val="000000"/>
                <w:kern w:val="0"/>
                <w:sz w:val="21"/>
                <w:szCs w:val="21"/>
              </w:rPr>
            </w:pPr>
          </w:p>
        </w:tc>
        <w:tc>
          <w:tcPr>
            <w:tcW w:w="765" w:type="dxa"/>
            <w:vAlign w:val="center"/>
          </w:tcPr>
          <w:p w14:paraId="1C87D2F6">
            <w:pPr>
              <w:pStyle w:val="16"/>
              <w:spacing w:before="31" w:after="31"/>
              <w:ind w:firstLine="0" w:firstLineChars="0"/>
              <w:jc w:val="center"/>
              <w:rPr>
                <w:rFonts w:cs="Times New Roman"/>
                <w:color w:val="000000"/>
                <w:kern w:val="0"/>
                <w:sz w:val="21"/>
                <w:szCs w:val="21"/>
              </w:rPr>
            </w:pPr>
            <w:r>
              <w:rPr>
                <w:rFonts w:cs="Times New Roman"/>
                <w:sz w:val="21"/>
                <w:szCs w:val="21"/>
              </w:rPr>
              <w:t>√</w:t>
            </w:r>
          </w:p>
        </w:tc>
      </w:tr>
      <w:tr w14:paraId="32D1AD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4" w:type="dxa"/>
            <w:vAlign w:val="center"/>
          </w:tcPr>
          <w:p w14:paraId="33CBF02A">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16</w:t>
            </w:r>
          </w:p>
        </w:tc>
        <w:tc>
          <w:tcPr>
            <w:tcW w:w="4254" w:type="dxa"/>
            <w:vAlign w:val="center"/>
          </w:tcPr>
          <w:p w14:paraId="31C95745">
            <w:pPr>
              <w:pStyle w:val="16"/>
              <w:spacing w:before="31" w:after="31"/>
              <w:ind w:firstLine="0" w:firstLineChars="0"/>
              <w:rPr>
                <w:rFonts w:cs="Times New Roman"/>
                <w:color w:val="000000"/>
                <w:sz w:val="21"/>
                <w:szCs w:val="21"/>
              </w:rPr>
            </w:pPr>
            <w:r>
              <w:rPr>
                <w:rFonts w:hint="eastAsia" w:cs="Times New Roman"/>
                <w:color w:val="000000"/>
                <w:kern w:val="0"/>
                <w:sz w:val="21"/>
                <w:szCs w:val="21"/>
              </w:rPr>
              <w:t>Edwards Fossil Nuclear Power Plant Pipe Failure</w:t>
            </w:r>
          </w:p>
        </w:tc>
        <w:tc>
          <w:tcPr>
            <w:tcW w:w="765" w:type="dxa"/>
            <w:gridSpan w:val="2"/>
            <w:vAlign w:val="center"/>
          </w:tcPr>
          <w:p w14:paraId="1425CE02">
            <w:pPr>
              <w:pStyle w:val="16"/>
              <w:spacing w:before="31" w:after="31"/>
              <w:ind w:firstLine="0" w:firstLineChars="0"/>
              <w:jc w:val="center"/>
              <w:rPr>
                <w:rFonts w:cs="Times New Roman"/>
                <w:color w:val="000000"/>
                <w:kern w:val="0"/>
                <w:sz w:val="21"/>
                <w:szCs w:val="21"/>
              </w:rPr>
            </w:pPr>
            <w:r>
              <w:rPr>
                <w:rFonts w:cs="Times New Roman"/>
                <w:sz w:val="21"/>
                <w:szCs w:val="21"/>
              </w:rPr>
              <w:t>√</w:t>
            </w:r>
          </w:p>
        </w:tc>
        <w:tc>
          <w:tcPr>
            <w:tcW w:w="765" w:type="dxa"/>
            <w:gridSpan w:val="2"/>
            <w:vAlign w:val="center"/>
          </w:tcPr>
          <w:p w14:paraId="095CD156">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48D782F8">
            <w:pPr>
              <w:pStyle w:val="16"/>
              <w:spacing w:before="31" w:after="31"/>
              <w:ind w:firstLine="0" w:firstLineChars="0"/>
              <w:jc w:val="center"/>
              <w:rPr>
                <w:rFonts w:cs="Times New Roman"/>
                <w:color w:val="000000"/>
                <w:kern w:val="0"/>
                <w:sz w:val="21"/>
                <w:szCs w:val="21"/>
              </w:rPr>
            </w:pPr>
          </w:p>
        </w:tc>
        <w:tc>
          <w:tcPr>
            <w:tcW w:w="765" w:type="dxa"/>
            <w:vAlign w:val="center"/>
          </w:tcPr>
          <w:p w14:paraId="0EC83CD0">
            <w:pPr>
              <w:pStyle w:val="16"/>
              <w:spacing w:before="31" w:after="31"/>
              <w:ind w:firstLine="0" w:firstLineChars="0"/>
              <w:jc w:val="center"/>
              <w:rPr>
                <w:rFonts w:cs="Times New Roman"/>
                <w:color w:val="000000"/>
                <w:kern w:val="0"/>
                <w:sz w:val="21"/>
                <w:szCs w:val="21"/>
              </w:rPr>
            </w:pPr>
            <w:r>
              <w:rPr>
                <w:rFonts w:cs="Times New Roman"/>
                <w:sz w:val="21"/>
                <w:szCs w:val="21"/>
              </w:rPr>
              <w:t>√</w:t>
            </w:r>
          </w:p>
        </w:tc>
      </w:tr>
      <w:tr w14:paraId="282752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4" w:type="dxa"/>
            <w:vAlign w:val="center"/>
          </w:tcPr>
          <w:p w14:paraId="30F76C2B">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17</w:t>
            </w:r>
          </w:p>
        </w:tc>
        <w:tc>
          <w:tcPr>
            <w:tcW w:w="4254" w:type="dxa"/>
            <w:vAlign w:val="center"/>
          </w:tcPr>
          <w:p w14:paraId="1EFD763B">
            <w:pPr>
              <w:pStyle w:val="16"/>
              <w:spacing w:before="31" w:after="31"/>
              <w:ind w:firstLine="0" w:firstLineChars="0"/>
              <w:rPr>
                <w:rFonts w:cs="Times New Roman"/>
                <w:color w:val="000000"/>
                <w:sz w:val="21"/>
                <w:szCs w:val="21"/>
              </w:rPr>
            </w:pPr>
            <w:r>
              <w:rPr>
                <w:rFonts w:hint="eastAsia" w:cs="Times New Roman"/>
                <w:color w:val="000000"/>
                <w:kern w:val="0"/>
                <w:sz w:val="21"/>
                <w:szCs w:val="21"/>
              </w:rPr>
              <w:t>Finland Loviisa Unit 1 Plant Feedwater Pipe Failure</w:t>
            </w:r>
          </w:p>
        </w:tc>
        <w:tc>
          <w:tcPr>
            <w:tcW w:w="765" w:type="dxa"/>
            <w:gridSpan w:val="2"/>
            <w:vAlign w:val="center"/>
          </w:tcPr>
          <w:p w14:paraId="7CAD6948">
            <w:pPr>
              <w:pStyle w:val="16"/>
              <w:spacing w:before="31" w:after="31"/>
              <w:ind w:firstLine="0" w:firstLineChars="0"/>
              <w:jc w:val="center"/>
              <w:rPr>
                <w:rFonts w:cs="Times New Roman"/>
                <w:color w:val="000000"/>
                <w:kern w:val="0"/>
                <w:sz w:val="21"/>
                <w:szCs w:val="21"/>
              </w:rPr>
            </w:pPr>
            <w:r>
              <w:rPr>
                <w:rFonts w:cs="Times New Roman"/>
                <w:sz w:val="21"/>
                <w:szCs w:val="21"/>
              </w:rPr>
              <w:t>√</w:t>
            </w:r>
          </w:p>
        </w:tc>
        <w:tc>
          <w:tcPr>
            <w:tcW w:w="765" w:type="dxa"/>
            <w:gridSpan w:val="2"/>
            <w:vAlign w:val="center"/>
          </w:tcPr>
          <w:p w14:paraId="23ACE3AC">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3AA70258">
            <w:pPr>
              <w:pStyle w:val="16"/>
              <w:spacing w:before="31" w:after="31"/>
              <w:ind w:firstLine="0" w:firstLineChars="0"/>
              <w:jc w:val="center"/>
              <w:rPr>
                <w:rFonts w:cs="Times New Roman"/>
                <w:color w:val="000000"/>
                <w:kern w:val="0"/>
                <w:sz w:val="21"/>
                <w:szCs w:val="21"/>
              </w:rPr>
            </w:pPr>
            <w:r>
              <w:rPr>
                <w:rFonts w:cs="Times New Roman"/>
                <w:sz w:val="21"/>
                <w:szCs w:val="21"/>
              </w:rPr>
              <w:t>√</w:t>
            </w:r>
          </w:p>
        </w:tc>
        <w:tc>
          <w:tcPr>
            <w:tcW w:w="765" w:type="dxa"/>
            <w:vAlign w:val="center"/>
          </w:tcPr>
          <w:p w14:paraId="3411C109">
            <w:pPr>
              <w:pStyle w:val="16"/>
              <w:spacing w:before="31" w:after="31"/>
              <w:ind w:firstLine="0" w:firstLineChars="0"/>
              <w:jc w:val="center"/>
              <w:rPr>
                <w:rFonts w:cs="Times New Roman"/>
                <w:color w:val="000000"/>
                <w:kern w:val="0"/>
                <w:sz w:val="21"/>
                <w:szCs w:val="21"/>
              </w:rPr>
            </w:pPr>
            <w:r>
              <w:rPr>
                <w:rFonts w:cs="Times New Roman"/>
                <w:sz w:val="21"/>
                <w:szCs w:val="21"/>
              </w:rPr>
              <w:t>√</w:t>
            </w:r>
          </w:p>
        </w:tc>
      </w:tr>
      <w:tr w14:paraId="48F75B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4" w:type="dxa"/>
            <w:vAlign w:val="center"/>
          </w:tcPr>
          <w:p w14:paraId="079ACF73">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18</w:t>
            </w:r>
          </w:p>
        </w:tc>
        <w:tc>
          <w:tcPr>
            <w:tcW w:w="4254" w:type="dxa"/>
            <w:vAlign w:val="center"/>
          </w:tcPr>
          <w:p w14:paraId="59152F24">
            <w:pPr>
              <w:pStyle w:val="16"/>
              <w:spacing w:before="31" w:after="31"/>
              <w:ind w:firstLine="0" w:firstLineChars="0"/>
              <w:rPr>
                <w:rFonts w:cs="Times New Roman"/>
                <w:color w:val="000000"/>
                <w:sz w:val="21"/>
                <w:szCs w:val="21"/>
              </w:rPr>
            </w:pPr>
            <w:r>
              <w:rPr>
                <w:rFonts w:hint="eastAsia" w:cs="Times New Roman"/>
                <w:color w:val="000000"/>
                <w:kern w:val="0"/>
                <w:sz w:val="21"/>
                <w:szCs w:val="21"/>
              </w:rPr>
              <w:t>Ukraine South Ukraine Unit 2 Plant Water-Gas Separator Failure Incident</w:t>
            </w:r>
          </w:p>
        </w:tc>
        <w:tc>
          <w:tcPr>
            <w:tcW w:w="765" w:type="dxa"/>
            <w:gridSpan w:val="2"/>
            <w:vAlign w:val="center"/>
          </w:tcPr>
          <w:p w14:paraId="1CBE530B">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4C84941A">
            <w:pPr>
              <w:pStyle w:val="16"/>
              <w:spacing w:before="31" w:after="31"/>
              <w:ind w:firstLine="0" w:firstLineChars="0"/>
              <w:jc w:val="center"/>
              <w:rPr>
                <w:rFonts w:cs="Times New Roman"/>
                <w:color w:val="000000"/>
                <w:kern w:val="0"/>
                <w:sz w:val="21"/>
                <w:szCs w:val="21"/>
              </w:rPr>
            </w:pPr>
          </w:p>
        </w:tc>
        <w:tc>
          <w:tcPr>
            <w:tcW w:w="765" w:type="dxa"/>
            <w:gridSpan w:val="2"/>
            <w:vAlign w:val="center"/>
          </w:tcPr>
          <w:p w14:paraId="153291C0">
            <w:pPr>
              <w:pStyle w:val="16"/>
              <w:spacing w:before="31" w:after="31"/>
              <w:ind w:firstLine="0" w:firstLineChars="0"/>
              <w:jc w:val="center"/>
              <w:rPr>
                <w:rFonts w:cs="Times New Roman"/>
                <w:color w:val="000000"/>
                <w:kern w:val="0"/>
                <w:sz w:val="21"/>
                <w:szCs w:val="21"/>
              </w:rPr>
            </w:pPr>
          </w:p>
        </w:tc>
        <w:tc>
          <w:tcPr>
            <w:tcW w:w="765" w:type="dxa"/>
            <w:vAlign w:val="center"/>
          </w:tcPr>
          <w:p w14:paraId="500E203B">
            <w:pPr>
              <w:pStyle w:val="16"/>
              <w:spacing w:before="31" w:after="31"/>
              <w:ind w:firstLine="0" w:firstLineChars="0"/>
              <w:jc w:val="center"/>
              <w:rPr>
                <w:rFonts w:cs="Times New Roman"/>
                <w:color w:val="000000"/>
                <w:kern w:val="0"/>
                <w:sz w:val="21"/>
                <w:szCs w:val="21"/>
              </w:rPr>
            </w:pPr>
            <w:r>
              <w:rPr>
                <w:rFonts w:cs="Times New Roman"/>
                <w:sz w:val="21"/>
                <w:szCs w:val="21"/>
              </w:rPr>
              <w:t>√</w:t>
            </w:r>
          </w:p>
        </w:tc>
      </w:tr>
      <w:tr w14:paraId="46E3A2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4" w:type="dxa"/>
            <w:vAlign w:val="center"/>
          </w:tcPr>
          <w:p w14:paraId="546E4B29">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19</w:t>
            </w:r>
          </w:p>
        </w:tc>
        <w:tc>
          <w:tcPr>
            <w:tcW w:w="4254" w:type="dxa"/>
            <w:vAlign w:val="center"/>
          </w:tcPr>
          <w:p w14:paraId="26463A83">
            <w:pPr>
              <w:pStyle w:val="16"/>
              <w:spacing w:before="31" w:after="31"/>
              <w:ind w:firstLine="0" w:firstLineChars="0"/>
              <w:rPr>
                <w:rFonts w:cs="Times New Roman"/>
                <w:color w:val="000000"/>
                <w:sz w:val="21"/>
                <w:szCs w:val="21"/>
              </w:rPr>
            </w:pPr>
            <w:r>
              <w:rPr>
                <w:rFonts w:hint="eastAsia" w:cs="Times New Roman"/>
                <w:color w:val="000000"/>
                <w:sz w:val="21"/>
                <w:szCs w:val="21"/>
              </w:rPr>
              <w:t>Daya Bay Nuclear Plant SEC Pump Impeller Antiturning Screw Corrosion</w:t>
            </w:r>
          </w:p>
        </w:tc>
        <w:tc>
          <w:tcPr>
            <w:tcW w:w="765" w:type="dxa"/>
            <w:gridSpan w:val="2"/>
            <w:vAlign w:val="center"/>
          </w:tcPr>
          <w:p w14:paraId="6F3F8C87">
            <w:pPr>
              <w:pStyle w:val="16"/>
              <w:spacing w:before="31" w:after="31"/>
              <w:ind w:firstLine="0" w:firstLineChars="0"/>
              <w:jc w:val="center"/>
              <w:rPr>
                <w:rFonts w:cs="Times New Roman"/>
                <w:color w:val="000000"/>
                <w:sz w:val="21"/>
                <w:szCs w:val="21"/>
              </w:rPr>
            </w:pPr>
            <w:r>
              <w:rPr>
                <w:rFonts w:cs="Times New Roman"/>
                <w:sz w:val="21"/>
                <w:szCs w:val="21"/>
              </w:rPr>
              <w:t>√</w:t>
            </w:r>
          </w:p>
        </w:tc>
        <w:tc>
          <w:tcPr>
            <w:tcW w:w="765" w:type="dxa"/>
            <w:gridSpan w:val="2"/>
            <w:vAlign w:val="center"/>
          </w:tcPr>
          <w:p w14:paraId="73FF082F">
            <w:pPr>
              <w:pStyle w:val="16"/>
              <w:spacing w:before="31" w:after="31"/>
              <w:ind w:firstLine="0" w:firstLineChars="0"/>
              <w:jc w:val="center"/>
              <w:rPr>
                <w:rFonts w:cs="Times New Roman"/>
                <w:color w:val="000000"/>
                <w:sz w:val="21"/>
                <w:szCs w:val="21"/>
              </w:rPr>
            </w:pPr>
          </w:p>
        </w:tc>
        <w:tc>
          <w:tcPr>
            <w:tcW w:w="765" w:type="dxa"/>
            <w:gridSpan w:val="2"/>
            <w:vAlign w:val="center"/>
          </w:tcPr>
          <w:p w14:paraId="19E9D7B5">
            <w:pPr>
              <w:pStyle w:val="16"/>
              <w:spacing w:before="31" w:after="31"/>
              <w:ind w:firstLine="0" w:firstLineChars="0"/>
              <w:jc w:val="center"/>
              <w:rPr>
                <w:rFonts w:cs="Times New Roman"/>
                <w:color w:val="000000"/>
                <w:sz w:val="21"/>
                <w:szCs w:val="21"/>
              </w:rPr>
            </w:pPr>
          </w:p>
        </w:tc>
        <w:tc>
          <w:tcPr>
            <w:tcW w:w="765" w:type="dxa"/>
            <w:vAlign w:val="center"/>
          </w:tcPr>
          <w:p w14:paraId="3B04EC22">
            <w:pPr>
              <w:pStyle w:val="16"/>
              <w:spacing w:before="31" w:after="31"/>
              <w:ind w:firstLine="0" w:firstLineChars="0"/>
              <w:jc w:val="center"/>
              <w:rPr>
                <w:rFonts w:cs="Times New Roman"/>
                <w:color w:val="000000"/>
                <w:sz w:val="21"/>
                <w:szCs w:val="21"/>
              </w:rPr>
            </w:pPr>
          </w:p>
        </w:tc>
      </w:tr>
      <w:tr w14:paraId="5F0D10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4" w:type="dxa"/>
            <w:vAlign w:val="center"/>
          </w:tcPr>
          <w:p w14:paraId="25E69343">
            <w:pPr>
              <w:pStyle w:val="16"/>
              <w:spacing w:before="31" w:after="31"/>
              <w:ind w:firstLine="0" w:firstLineChars="0"/>
              <w:jc w:val="center"/>
              <w:rPr>
                <w:rFonts w:cs="Times New Roman"/>
                <w:color w:val="000000"/>
                <w:sz w:val="21"/>
                <w:szCs w:val="21"/>
              </w:rPr>
            </w:pPr>
            <w:r>
              <w:rPr>
                <w:rFonts w:hint="eastAsia" w:cs="Times New Roman"/>
                <w:color w:val="000000"/>
                <w:sz w:val="21"/>
                <w:szCs w:val="21"/>
              </w:rPr>
              <w:t>20</w:t>
            </w:r>
          </w:p>
        </w:tc>
        <w:tc>
          <w:tcPr>
            <w:tcW w:w="4254" w:type="dxa"/>
            <w:vAlign w:val="center"/>
          </w:tcPr>
          <w:p w14:paraId="19AC3514">
            <w:pPr>
              <w:pStyle w:val="16"/>
              <w:spacing w:before="31" w:after="31"/>
              <w:ind w:firstLine="0" w:firstLineChars="0"/>
              <w:rPr>
                <w:rFonts w:cs="Times New Roman"/>
                <w:color w:val="000000"/>
                <w:sz w:val="21"/>
                <w:szCs w:val="21"/>
              </w:rPr>
            </w:pPr>
            <w:r>
              <w:rPr>
                <w:rFonts w:hint="eastAsia" w:cs="Times New Roman"/>
                <w:color w:val="000000"/>
                <w:sz w:val="21"/>
                <w:szCs w:val="21"/>
              </w:rPr>
              <w:t>SEC Inlet Manifold Isolation Valve and Connecting Valve and Short Pipe Outer Surface Corrosion</w:t>
            </w:r>
          </w:p>
        </w:tc>
        <w:tc>
          <w:tcPr>
            <w:tcW w:w="765" w:type="dxa"/>
            <w:gridSpan w:val="2"/>
            <w:vAlign w:val="center"/>
          </w:tcPr>
          <w:p w14:paraId="7E7CFB88">
            <w:pPr>
              <w:pStyle w:val="16"/>
              <w:spacing w:before="31" w:after="31"/>
              <w:ind w:firstLine="0" w:firstLineChars="0"/>
              <w:jc w:val="center"/>
              <w:rPr>
                <w:rFonts w:cs="Times New Roman"/>
                <w:color w:val="000000"/>
                <w:sz w:val="21"/>
                <w:szCs w:val="21"/>
              </w:rPr>
            </w:pPr>
          </w:p>
        </w:tc>
        <w:tc>
          <w:tcPr>
            <w:tcW w:w="765" w:type="dxa"/>
            <w:gridSpan w:val="2"/>
            <w:vAlign w:val="center"/>
          </w:tcPr>
          <w:p w14:paraId="1BCA843F">
            <w:pPr>
              <w:pStyle w:val="16"/>
              <w:spacing w:before="31" w:after="31"/>
              <w:ind w:firstLine="0" w:firstLineChars="0"/>
              <w:jc w:val="center"/>
              <w:rPr>
                <w:rFonts w:cs="Times New Roman"/>
                <w:color w:val="000000"/>
                <w:sz w:val="21"/>
                <w:szCs w:val="21"/>
              </w:rPr>
            </w:pPr>
          </w:p>
        </w:tc>
        <w:tc>
          <w:tcPr>
            <w:tcW w:w="765" w:type="dxa"/>
            <w:gridSpan w:val="2"/>
            <w:vAlign w:val="center"/>
          </w:tcPr>
          <w:p w14:paraId="434037D5">
            <w:pPr>
              <w:pStyle w:val="16"/>
              <w:spacing w:before="31" w:after="31"/>
              <w:ind w:firstLine="0" w:firstLineChars="0"/>
              <w:jc w:val="center"/>
              <w:rPr>
                <w:rFonts w:cs="Times New Roman"/>
                <w:color w:val="000000"/>
                <w:sz w:val="21"/>
                <w:szCs w:val="21"/>
              </w:rPr>
            </w:pPr>
          </w:p>
        </w:tc>
        <w:tc>
          <w:tcPr>
            <w:tcW w:w="765" w:type="dxa"/>
            <w:vAlign w:val="center"/>
          </w:tcPr>
          <w:p w14:paraId="11AAC325">
            <w:pPr>
              <w:pStyle w:val="16"/>
              <w:spacing w:before="31" w:after="31"/>
              <w:ind w:firstLine="0" w:firstLineChars="0"/>
              <w:jc w:val="center"/>
              <w:rPr>
                <w:rFonts w:cs="Times New Roman"/>
                <w:color w:val="000000"/>
                <w:sz w:val="21"/>
                <w:szCs w:val="21"/>
              </w:rPr>
            </w:pPr>
            <w:r>
              <w:rPr>
                <w:rFonts w:cs="Times New Roman"/>
                <w:sz w:val="21"/>
                <w:szCs w:val="21"/>
              </w:rPr>
              <w:t>√</w:t>
            </w:r>
          </w:p>
        </w:tc>
      </w:tr>
    </w:tbl>
    <w:p w14:paraId="1350F295">
      <w:pPr>
        <w:pStyle w:val="16"/>
        <w:spacing w:before="31" w:after="31"/>
        <w:ind w:firstLine="0" w:firstLineChars="0"/>
        <w:rPr>
          <w:szCs w:val="24"/>
        </w:rPr>
      </w:pPr>
    </w:p>
    <w:p w14:paraId="2376F49B">
      <w:pPr>
        <w:pStyle w:val="21"/>
        <w:numPr>
          <w:ilvl w:val="2"/>
          <w:numId w:val="0"/>
        </w:numPr>
        <w:rPr>
          <w:sz w:val="24"/>
          <w:szCs w:val="24"/>
        </w:rPr>
      </w:pPr>
      <w:r>
        <w:rPr>
          <w:rFonts w:hint="eastAsia" w:eastAsia="宋体"/>
          <w:color w:val="000000"/>
        </w:rPr>
        <w:t>3.3.2 Current Status of Failure Investigation in the Nuclear Power Industry</w:t>
      </w:r>
    </w:p>
    <w:p w14:paraId="259293CF">
      <w:pPr>
        <w:pStyle w:val="16"/>
        <w:spacing w:before="31" w:after="31"/>
        <w:ind w:firstLine="420" w:firstLineChars="0"/>
        <w:rPr>
          <w:szCs w:val="24"/>
        </w:rPr>
      </w:pPr>
      <w:r>
        <w:rPr>
          <w:rFonts w:hint="eastAsia"/>
          <w:szCs w:val="24"/>
        </w:rPr>
        <w:t>(1) Due to confidentiality, security, and intellectual property issues in the nuclear power industry, failure investigation data related to core equipment in the nuclear power industry are mostly classified and rarely disclosed. This has created significant difficulties in conducting investigations, and the information obtained is mostly related to failure cases of supporting facilities in the nuclear power industry. As a result, the investigation coverage in the nuclear power industry is incomplete, and the data is insufficient. For example, there are almost no reports on irradiation failure of internal components in the reactor core. Qualitative and quantitative characterization of the service environment of failed components in steam generators and pressure vessel control rod drive mechanisms is lacking. However, there is relatively detailed information on failure investigations of facilities such as cooling water systems and heat exchangers. This situation directly results in investigators being unable to obtain comprehensive and systematic investigation data for core equipment in the nuclear power industry. Consequently, it becomes challenging to conduct effective comprehensive analysis of accidents and formulate corresponding preventive and improvement measures, limiting the prediction and prevention of similar failure incidents.</w:t>
      </w:r>
    </w:p>
    <w:p w14:paraId="033D3A34">
      <w:pPr>
        <w:pStyle w:val="16"/>
        <w:spacing w:before="31" w:after="31"/>
        <w:ind w:firstLine="420" w:firstLineChars="0"/>
        <w:rPr>
          <w:szCs w:val="24"/>
        </w:rPr>
      </w:pPr>
      <w:r>
        <w:rPr>
          <w:rFonts w:hint="eastAsia"/>
          <w:szCs w:val="24"/>
        </w:rPr>
        <w:t>(2) In failure investigations, the mastery of material and environmental information is fundamental. However, from the current perspective of failure investigations, most results are qualitative summaries of relevant parameters, lacking quantitative descriptions of actual parameters. This is especially apparent in the investigation of environmental factors, where the lack of quantitative information hinders effective analysis of the causes of accidents.</w:t>
      </w:r>
    </w:p>
    <w:p w14:paraId="5EEE93BD">
      <w:pPr>
        <w:pStyle w:val="16"/>
        <w:spacing w:before="31" w:after="31"/>
        <w:ind w:firstLine="420" w:firstLineChars="0"/>
        <w:rPr>
          <w:szCs w:val="24"/>
        </w:rPr>
      </w:pPr>
      <w:r>
        <w:rPr>
          <w:rFonts w:hint="eastAsia"/>
          <w:szCs w:val="24"/>
        </w:rPr>
        <w:t>(3) A common issue in failure investigations is the lack of necessary analysis and summaries of improvements and preventive measures for accidents. This poses a potential risk for future incidents of the same nature.</w:t>
      </w:r>
    </w:p>
    <w:p w14:paraId="01A69202">
      <w:pPr>
        <w:pStyle w:val="19"/>
        <w:numPr>
          <w:ilvl w:val="1"/>
          <w:numId w:val="0"/>
        </w:numPr>
        <w:rPr>
          <w:sz w:val="24"/>
          <w:szCs w:val="24"/>
        </w:rPr>
      </w:pPr>
      <w:r>
        <w:rPr>
          <w:rFonts w:hint="eastAsia" w:eastAsia="宋体"/>
          <w:color w:val="000000"/>
        </w:rPr>
        <w:t>3.4 Common Failure Locations in the Thermal Power Industry</w:t>
      </w:r>
    </w:p>
    <w:p w14:paraId="6E3C00C2">
      <w:pPr>
        <w:pStyle w:val="16"/>
        <w:spacing w:before="31" w:after="31"/>
        <w:ind w:firstLine="420" w:firstLineChars="0"/>
        <w:rPr>
          <w:szCs w:val="24"/>
        </w:rPr>
      </w:pPr>
      <w:r>
        <w:rPr>
          <w:rFonts w:hint="eastAsia"/>
          <w:szCs w:val="24"/>
        </w:rPr>
        <w:t>The schematic diagram of the boiler operation process in a thermal power plant is shown in Figure 3-.4: Boiler feedwater, heated by parallel-arranged economizer pipes, enters the boiler drum (no drum in a once-through boiler). It then descends through downcomer pipes to various bottom headers of the boiler, entering the heated section of the water-cooled wall tubes where vaporization occurs. When the water-vapor mixture in the water-cooled wall tubes reaches an equilibrium state, the vapor separates in the steam drum, and saturated steam is sent out of the steam drum into the superheater. The saturated steam is further heated in the superheater to become high-temperature superheated steam, used to drive the steam turbine generator to produce electricity. After performing work in the turbine, the high-temperature superheated steam's pressure drops to around 3 MPa, and the temperature reaches the saturation temperature. It is then sent to the reheater to be reheated, becoming reheated steam and continuing to the low-pressure turbine to drive the turbine generator. The steam discharged from the turbine has a temperature of less than 45°C and a pressure drop to 10 kPa. In the condenser, it condenses into condensate water, which is reused as the working medium for the boiler unit.</w:t>
      </w:r>
    </w:p>
    <w:p w14:paraId="0EF60EDD">
      <w:pPr>
        <w:pStyle w:val="16"/>
        <w:spacing w:before="31" w:after="31"/>
        <w:ind w:firstLine="420" w:firstLineChars="0"/>
        <w:rPr>
          <w:szCs w:val="24"/>
        </w:rPr>
      </w:pPr>
      <w:r>
        <w:rPr>
          <w:rFonts w:hint="eastAsia"/>
          <w:szCs w:val="24"/>
        </w:rPr>
        <w:t>Based on this process, the main operating equipment in a thermal power plant can be divided into three major parts: the boiler, steam turbine generator, and condenser. The commonly observed failure-prone locations usually refer to the "four tubes" of the boiler, the main steam pipeline, and the condenser pipeline circuit. This chapter focuses on investigating these failure-prone locations and has collected 26 failure cases. However, due to incomplete descriptions or information in some cases, only 12 typical failure cases in the thermal power industry are listed below.</w:t>
      </w:r>
    </w:p>
    <w:p w14:paraId="20594127">
      <w:pPr>
        <w:spacing w:line="312" w:lineRule="auto"/>
        <w:jc w:val="center"/>
        <w:rPr>
          <w:b/>
          <w:color w:val="000000"/>
          <w:szCs w:val="21"/>
        </w:rPr>
      </w:pPr>
      <w:r>
        <w:rPr>
          <w:rFonts w:hint="eastAsia"/>
          <w:b/>
          <w:color w:val="000000"/>
          <w:szCs w:val="21"/>
        </w:rPr>
        <w:t>Figure 3-.4 Schematic Diagram of the Steam Boiler Water Vapor System in a Thermal Power Plant</w:t>
      </w:r>
    </w:p>
    <w:p w14:paraId="1B2541D2">
      <w:pPr>
        <w:pStyle w:val="16"/>
        <w:spacing w:before="31" w:after="31"/>
        <w:ind w:firstLine="0" w:firstLineChars="0"/>
        <w:rPr>
          <w:szCs w:val="24"/>
        </w:rPr>
      </w:pPr>
    </w:p>
    <w:p w14:paraId="7F5AE828">
      <w:pPr>
        <w:pStyle w:val="19"/>
        <w:numPr>
          <w:ilvl w:val="1"/>
          <w:numId w:val="0"/>
        </w:numPr>
        <w:rPr>
          <w:sz w:val="24"/>
          <w:szCs w:val="24"/>
        </w:rPr>
      </w:pPr>
      <w:r>
        <w:rPr>
          <w:rFonts w:hint="eastAsia" w:eastAsia="宋体"/>
          <w:color w:val="000000"/>
        </w:rPr>
        <w:t>3.5 Thermal Power Industry Failure Case</w:t>
      </w:r>
    </w:p>
    <w:p w14:paraId="5D8942B0">
      <w:pPr>
        <w:pStyle w:val="21"/>
        <w:numPr>
          <w:ilvl w:val="2"/>
          <w:numId w:val="0"/>
        </w:numPr>
        <w:rPr>
          <w:rFonts w:eastAsia="宋体"/>
          <w:color w:val="000000"/>
        </w:rPr>
      </w:pPr>
      <w:r>
        <w:rPr>
          <w:rFonts w:hint="eastAsia" w:eastAsia="宋体"/>
          <w:color w:val="000000"/>
        </w:rPr>
        <w:t>3.5.1 Case 3-13: Subcritical Direct Current Boiler Water Wall Superheater Tube Rupture</w:t>
      </w:r>
    </w:p>
    <w:p w14:paraId="75D03306">
      <w:pPr>
        <w:pStyle w:val="16"/>
        <w:spacing w:before="31" w:after="31"/>
        <w:ind w:firstLine="0" w:firstLineChars="0"/>
        <w:rPr>
          <w:szCs w:val="24"/>
        </w:rPr>
      </w:pPr>
      <w:r>
        <w:rPr>
          <w:rFonts w:hint="eastAsia"/>
          <w:szCs w:val="24"/>
        </w:rPr>
        <w:t>(1) Case Name</w:t>
      </w:r>
    </w:p>
    <w:p w14:paraId="4F426C42">
      <w:pPr>
        <w:pStyle w:val="16"/>
        <w:spacing w:before="31" w:after="31"/>
        <w:ind w:firstLine="420" w:firstLineChars="0"/>
        <w:rPr>
          <w:szCs w:val="24"/>
        </w:rPr>
      </w:pPr>
      <w:r>
        <w:rPr>
          <w:rFonts w:hint="eastAsia"/>
          <w:szCs w:val="24"/>
        </w:rPr>
        <w:t>Huangpu Power Plant Subcritical UP-type Direct Current Boiler Water Wall Tube Superheater Rupture [36]</w:t>
      </w:r>
    </w:p>
    <w:p w14:paraId="423FFC37">
      <w:pPr>
        <w:pStyle w:val="16"/>
        <w:spacing w:before="31" w:after="31"/>
        <w:ind w:firstLine="0" w:firstLineChars="0"/>
        <w:rPr>
          <w:szCs w:val="24"/>
        </w:rPr>
      </w:pPr>
    </w:p>
    <w:p w14:paraId="2BBB9476">
      <w:pPr>
        <w:pStyle w:val="16"/>
        <w:spacing w:before="31" w:after="31"/>
        <w:ind w:firstLine="0" w:firstLineChars="0"/>
        <w:rPr>
          <w:szCs w:val="24"/>
        </w:rPr>
      </w:pPr>
      <w:r>
        <w:rPr>
          <w:rFonts w:hint="eastAsia"/>
          <w:szCs w:val="24"/>
        </w:rPr>
        <w:t>(2) Failure Process Description</w:t>
      </w:r>
    </w:p>
    <w:p w14:paraId="563B3B79">
      <w:pPr>
        <w:pStyle w:val="16"/>
        <w:spacing w:before="31" w:after="31"/>
        <w:ind w:firstLine="420" w:firstLineChars="0"/>
        <w:rPr>
          <w:szCs w:val="24"/>
        </w:rPr>
      </w:pPr>
      <w:r>
        <w:rPr>
          <w:rFonts w:hint="eastAsia"/>
          <w:szCs w:val="24"/>
        </w:rPr>
        <w:t>Boiler No. 5 at the Huangpu Power Plant is a subcritical pressure intermediate reheating coal-fired UP-type direct current boiler produced by Shanghai Boiler Factory, model SG-1025/16.7-M313. The unit was commissioned in December 1989, and after years of continuous operation, multiple tube ruptures occurred in the lower radiant section water wall.</w:t>
      </w:r>
    </w:p>
    <w:p w14:paraId="39656B2C">
      <w:pPr>
        <w:pStyle w:val="16"/>
        <w:spacing w:before="31" w:after="31"/>
        <w:ind w:firstLine="0" w:firstLineChars="0"/>
        <w:rPr>
          <w:szCs w:val="24"/>
        </w:rPr>
      </w:pPr>
    </w:p>
    <w:p w14:paraId="02CD4523">
      <w:pPr>
        <w:pStyle w:val="16"/>
        <w:spacing w:before="31" w:after="31"/>
        <w:ind w:firstLine="0" w:firstLineChars="0"/>
        <w:rPr>
          <w:szCs w:val="24"/>
        </w:rPr>
      </w:pPr>
      <w:r>
        <w:rPr>
          <w:rFonts w:hint="eastAsia"/>
          <w:szCs w:val="24"/>
        </w:rPr>
        <w:t>(3) Service Environment</w:t>
      </w:r>
    </w:p>
    <w:p w14:paraId="17E21480">
      <w:pPr>
        <w:pStyle w:val="16"/>
        <w:spacing w:before="31" w:after="31"/>
        <w:ind w:firstLine="420" w:firstLineChars="0"/>
        <w:rPr>
          <w:szCs w:val="24"/>
        </w:rPr>
      </w:pPr>
      <w:r>
        <w:rPr>
          <w:rFonts w:hint="eastAsia"/>
          <w:szCs w:val="24"/>
        </w:rPr>
        <w:t>The water wall consists of 1,396 membrane-type water wall tubes welded to flat steel, with an outer diameter of 22.0 mm (partially 25.0 mm). The furnace is divided from bottom to top into the ash hopper, lower radiant section, middle radiant section, and upper radiant section. The working medium ascends once in the water wall, and three mixing distributors are arranged in the middle to eliminate heat absorption deviation between tubes.</w:t>
      </w:r>
    </w:p>
    <w:p w14:paraId="57394299">
      <w:pPr>
        <w:pStyle w:val="16"/>
        <w:spacing w:before="31" w:after="31"/>
        <w:ind w:firstLine="0" w:firstLineChars="0"/>
        <w:rPr>
          <w:szCs w:val="24"/>
        </w:rPr>
      </w:pPr>
    </w:p>
    <w:p w14:paraId="4ABCDF18">
      <w:pPr>
        <w:pStyle w:val="16"/>
        <w:spacing w:before="31" w:after="31"/>
        <w:ind w:firstLine="0" w:firstLineChars="0"/>
        <w:rPr>
          <w:szCs w:val="24"/>
        </w:rPr>
      </w:pPr>
      <w:r>
        <w:rPr>
          <w:rFonts w:hint="eastAsia"/>
          <w:szCs w:val="24"/>
        </w:rPr>
        <w:t>(4) Failed Component and Material</w:t>
      </w:r>
    </w:p>
    <w:p w14:paraId="4AC76AB1">
      <w:pPr>
        <w:pStyle w:val="16"/>
        <w:spacing w:before="31" w:after="31"/>
        <w:ind w:firstLine="420" w:firstLineChars="0"/>
        <w:rPr>
          <w:szCs w:val="24"/>
        </w:rPr>
      </w:pPr>
      <w:r>
        <w:rPr>
          <w:rFonts w:hint="eastAsia"/>
          <w:szCs w:val="24"/>
        </w:rPr>
        <w:t>The material of the water wall tubes in the lower radiant section is 20G, with specifications of φ22.0mm × 5.5mm threaded tubes.</w:t>
      </w:r>
    </w:p>
    <w:p w14:paraId="5F54F35F">
      <w:pPr>
        <w:pStyle w:val="16"/>
        <w:spacing w:before="31" w:after="31"/>
        <w:ind w:firstLine="0" w:firstLineChars="0"/>
        <w:rPr>
          <w:szCs w:val="24"/>
        </w:rPr>
      </w:pPr>
    </w:p>
    <w:p w14:paraId="59097301">
      <w:pPr>
        <w:pStyle w:val="16"/>
        <w:spacing w:before="31" w:after="31"/>
        <w:ind w:firstLine="0" w:firstLineChars="0"/>
        <w:rPr>
          <w:szCs w:val="24"/>
        </w:rPr>
      </w:pPr>
      <w:r>
        <w:rPr>
          <w:rFonts w:hint="eastAsia"/>
          <w:szCs w:val="24"/>
        </w:rPr>
        <w:t>(5) Failure Morphology</w:t>
      </w:r>
    </w:p>
    <w:p w14:paraId="5A8DD1FE">
      <w:pPr>
        <w:pStyle w:val="16"/>
        <w:spacing w:before="31" w:after="31"/>
        <w:ind w:firstLine="420" w:firstLineChars="0"/>
        <w:rPr>
          <w:szCs w:val="24"/>
        </w:rPr>
      </w:pPr>
      <w:r>
        <w:rPr>
          <w:rFonts w:hint="eastAsia"/>
          <w:szCs w:val="24"/>
        </w:rPr>
        <w:t>(a) Momentary rupture caused by short-term rapid overheating to the high-temperature zone of Ac1 to Ac3</w:t>
      </w:r>
    </w:p>
    <w:p w14:paraId="0DBDD4F1">
      <w:pPr>
        <w:pStyle w:val="16"/>
        <w:spacing w:before="31" w:after="31"/>
        <w:ind w:firstLine="420" w:firstLineChars="0"/>
        <w:rPr>
          <w:szCs w:val="24"/>
        </w:rPr>
      </w:pPr>
      <w:r>
        <w:rPr>
          <w:rFonts w:hint="eastAsia"/>
          <w:szCs w:val="24"/>
        </w:rPr>
        <w:t>The original rupture point of the water wall tube exhibits significant plastic deformation, and the tube wall is significantly thinned at the rupture point. The cross-section of the tube at the rupture point changes from the original circular shape to an elliptical shape. There is no obvious oxidation on the surface, and there are no other longitudinal cracks parallel to the rupture near the rupture. The medium ejected from the original rupture point flushes nearby tubes, leading to thinning of the nearby tube wall and even the formation of new ruptures, as shown in Figure 3-13.1.</w:t>
      </w:r>
    </w:p>
    <w:p w14:paraId="595BDCD0">
      <w:pPr>
        <w:spacing w:before="156" w:beforeLines="50" w:after="468" w:afterLines="150" w:line="312" w:lineRule="auto"/>
        <w:jc w:val="center"/>
        <w:rPr>
          <w:rFonts w:hAnsi="宋体"/>
          <w:b/>
          <w:color w:val="000000"/>
          <w:szCs w:val="21"/>
        </w:rPr>
      </w:pPr>
      <w:r>
        <w:rPr>
          <w:rFonts w:hint="eastAsia" w:hAnsi="宋体"/>
          <w:b/>
          <w:color w:val="000000"/>
          <w:szCs w:val="21"/>
        </w:rPr>
        <w:t>Figure 3-13.1 Cross section of the original opening and the opening of the water wall pipe</w:t>
      </w:r>
    </w:p>
    <w:p w14:paraId="3433014A">
      <w:pPr>
        <w:pStyle w:val="16"/>
        <w:spacing w:before="31" w:after="31"/>
        <w:ind w:firstLine="420" w:firstLineChars="0"/>
        <w:rPr>
          <w:szCs w:val="24"/>
        </w:rPr>
      </w:pPr>
      <w:r>
        <w:rPr>
          <w:rFonts w:hint="eastAsia"/>
          <w:szCs w:val="24"/>
        </w:rPr>
        <w:t>(b) Momentary rupture caused by short-term rapid overheating to the low-temperature zone of Ac1 to Ac3</w:t>
      </w:r>
    </w:p>
    <w:p w14:paraId="23C532AD">
      <w:pPr>
        <w:pStyle w:val="16"/>
        <w:spacing w:before="31" w:after="31"/>
        <w:ind w:firstLine="420" w:firstLineChars="0"/>
        <w:rPr>
          <w:szCs w:val="24"/>
        </w:rPr>
      </w:pPr>
      <w:r>
        <w:rPr>
          <w:rFonts w:hint="eastAsia"/>
          <w:szCs w:val="24"/>
        </w:rPr>
        <w:t>The plastic deformation at the rupture point is not significant, and the tube wall is somewhat thinned. There is a certain amount of oxidation on the surface, and there are other longitudinal cracks parallel to the rupture near the rupture, as shown in Figure 3-13.2.</w:t>
      </w:r>
    </w:p>
    <w:p w14:paraId="2EDBD59A">
      <w:pPr>
        <w:spacing w:before="156" w:beforeLines="50" w:after="468" w:afterLines="150" w:line="312" w:lineRule="auto"/>
        <w:jc w:val="center"/>
        <w:rPr>
          <w:rFonts w:hAnsi="宋体"/>
          <w:b/>
          <w:color w:val="000000"/>
          <w:szCs w:val="21"/>
        </w:rPr>
      </w:pPr>
      <w:r>
        <w:rPr>
          <w:rFonts w:hint="eastAsia" w:hAnsi="宋体"/>
          <w:b/>
          <w:color w:val="000000"/>
          <w:szCs w:val="21"/>
        </w:rPr>
        <w:t>Figure 3-13.2 Cross section of the original opening and the opening of the water wall pipe [1]</w:t>
      </w:r>
    </w:p>
    <w:p w14:paraId="429E2F04">
      <w:pPr>
        <w:pStyle w:val="16"/>
        <w:spacing w:before="31" w:after="31"/>
        <w:ind w:firstLine="420" w:firstLineChars="0"/>
        <w:rPr>
          <w:szCs w:val="24"/>
        </w:rPr>
      </w:pPr>
      <w:r>
        <w:rPr>
          <w:rFonts w:hint="eastAsia"/>
          <w:szCs w:val="24"/>
        </w:rPr>
        <w:t>(c) Creep cracking caused by prolonged overheating</w:t>
      </w:r>
    </w:p>
    <w:p w14:paraId="497E7D86">
      <w:pPr>
        <w:pStyle w:val="16"/>
        <w:spacing w:before="31" w:after="31"/>
        <w:ind w:firstLine="420" w:firstLineChars="0"/>
        <w:rPr>
          <w:szCs w:val="24"/>
        </w:rPr>
      </w:pPr>
      <w:r>
        <w:rPr>
          <w:rFonts w:hint="eastAsia"/>
          <w:szCs w:val="24"/>
        </w:rPr>
        <w:t>The rupture point exhibits a brittle thick-lipped morphology, with obvious oxidation on the surface. There are other longitudinal cracks parallel to the rupture near the rupture, and the cross-section near the rupture has changed from the original circular shape to an elliptical shape. However, there is no obvious thinning near the rupture. The microstructure of the rupture point in the water wall tube is ferrite + carbides, and the lamellar carbides in the pearlite have completely globularized and disappeared, forming carbides distributed on the grain boundaries. Numerous creep cracks extend along the grain boundaries, and the cracks are filled with a large number of oxides. The water wall tube has been in a prolonged overheated state below the Ac1 temperature, resulting in severe surface oxidation, significant globularization, and creep deformation of the microstructure. The cracking is attributed to creep cracking caused by prolonged overheating.</w:t>
      </w:r>
    </w:p>
    <w:p w14:paraId="3617F78E">
      <w:pPr>
        <w:spacing w:before="156" w:beforeLines="50" w:after="468" w:afterLines="150" w:line="312" w:lineRule="auto"/>
        <w:jc w:val="center"/>
        <w:rPr>
          <w:sz w:val="24"/>
        </w:rPr>
      </w:pPr>
      <w:r>
        <w:rPr>
          <w:rFonts w:hint="eastAsia" w:hAnsi="宋体"/>
          <w:b/>
          <w:color w:val="000000"/>
          <w:szCs w:val="21"/>
        </w:rPr>
        <w:t>Figure 3-13.3 Cross section of the original opening and the opening of the water wall pipe</w:t>
      </w:r>
    </w:p>
    <w:p w14:paraId="5080CB57">
      <w:pPr>
        <w:pStyle w:val="16"/>
        <w:spacing w:before="31" w:after="31"/>
        <w:ind w:firstLine="0" w:firstLineChars="0"/>
        <w:rPr>
          <w:szCs w:val="24"/>
        </w:rPr>
      </w:pPr>
      <w:r>
        <w:rPr>
          <w:rFonts w:hint="eastAsia"/>
          <w:szCs w:val="24"/>
        </w:rPr>
        <w:t>(6) Failure Cause Analysis</w:t>
      </w:r>
    </w:p>
    <w:p w14:paraId="7805B0C1">
      <w:pPr>
        <w:pStyle w:val="16"/>
        <w:spacing w:before="31" w:after="31"/>
        <w:ind w:firstLine="420" w:firstLineChars="0"/>
        <w:rPr>
          <w:szCs w:val="24"/>
        </w:rPr>
      </w:pPr>
      <w:r>
        <w:rPr>
          <w:rFonts w:hint="eastAsia"/>
          <w:szCs w:val="24"/>
        </w:rPr>
        <w:t>The majority of water wall tube ruptures in Boiler No. 5 occur in the lower radiant section. The reason is that the water wall tube diameter is relatively small, and after long-term operation, the tube material undergoes aging, leading to severe leakage and rupture of the water wall tube, directly impacting the safe and reliable operation of the unit.</w:t>
      </w:r>
    </w:p>
    <w:p w14:paraId="0D5AC863">
      <w:pPr>
        <w:pStyle w:val="16"/>
        <w:spacing w:before="31" w:after="31"/>
        <w:ind w:firstLine="0" w:firstLineChars="0"/>
        <w:rPr>
          <w:szCs w:val="24"/>
        </w:rPr>
      </w:pPr>
    </w:p>
    <w:p w14:paraId="6EC64392">
      <w:pPr>
        <w:pStyle w:val="16"/>
        <w:spacing w:before="31" w:after="31"/>
        <w:ind w:firstLine="0" w:firstLineChars="0"/>
        <w:rPr>
          <w:szCs w:val="24"/>
        </w:rPr>
      </w:pPr>
      <w:r>
        <w:rPr>
          <w:rFonts w:hint="eastAsia"/>
          <w:szCs w:val="24"/>
        </w:rPr>
        <w:t>(7) Impact and Harm Caused</w:t>
      </w:r>
    </w:p>
    <w:p w14:paraId="471B2E6D">
      <w:pPr>
        <w:pStyle w:val="16"/>
        <w:spacing w:before="31" w:after="31"/>
        <w:ind w:firstLine="420" w:firstLineChars="0"/>
        <w:rPr>
          <w:szCs w:val="24"/>
        </w:rPr>
      </w:pPr>
      <w:r>
        <w:rPr>
          <w:rFonts w:hint="eastAsia"/>
          <w:szCs w:val="24"/>
        </w:rPr>
        <w:t>Null</w:t>
      </w:r>
    </w:p>
    <w:p w14:paraId="78D0E522">
      <w:pPr>
        <w:pStyle w:val="16"/>
        <w:spacing w:before="31" w:after="31"/>
        <w:ind w:firstLine="0" w:firstLineChars="0"/>
        <w:rPr>
          <w:szCs w:val="24"/>
        </w:rPr>
      </w:pPr>
    </w:p>
    <w:p w14:paraId="00F34BE1">
      <w:pPr>
        <w:pStyle w:val="16"/>
        <w:spacing w:before="31" w:after="31"/>
        <w:ind w:firstLine="0" w:firstLineChars="0"/>
        <w:rPr>
          <w:szCs w:val="24"/>
        </w:rPr>
      </w:pPr>
      <w:r>
        <w:rPr>
          <w:rFonts w:hint="eastAsia"/>
          <w:szCs w:val="24"/>
        </w:rPr>
        <w:t>(8) Conclusion and Improvement Measures</w:t>
      </w:r>
    </w:p>
    <w:p w14:paraId="10B2BA67">
      <w:pPr>
        <w:pStyle w:val="16"/>
        <w:spacing w:before="31" w:after="31"/>
        <w:ind w:firstLine="420" w:firstLineChars="0"/>
        <w:rPr>
          <w:szCs w:val="24"/>
        </w:rPr>
      </w:pPr>
      <w:r>
        <w:rPr>
          <w:rFonts w:hint="eastAsia"/>
          <w:szCs w:val="24"/>
        </w:rPr>
        <w:t>During the major overhaul of Unit No. 5 in November 2005, the entire lower radiant section of the water wall was overhauled and replaced. The scope of the lower radiant section transformation includes all tube screens within the range from the inlet weld of the middle radiant section water wall (original elevation 34150 mm) to the outlet weld of the ash hopper water wall (original elevation 15060 mm). This includes all tube screens, water-cooled sleeves, sight holes, soot blowing holes, ash blowing holes, and accessories such as sealing boxes and doors. The connection between the water wall and the rigid beam in this range was modified, eliminating the original comb-shaped plate seal weld and replacing it with a connection method involving a V-shaped plate and a 7-shaped pin to prevent water wall tube rupture. The sealing fin structure at the connection of the water wall lower radiant section inlet and outlet elbows, the water wall ash hopper outlet elbow, and the water wall middle radiant section inlet elbow was modified. The original H-shaped sealing strip at the elbows was removed, and the water wall tubes at these locations were not welded with sealing fins to prevent water wall tube rupture. The welding process used full argon arc welding, the material was 20G, and the welding wire used was TIG-J50. After welding, the weld was subjected to 100% radiographic testing to ensure the welding quality, eliminate defects such as welding protrusions exceeding the standard, and ensure the reliability of the water wall tube.</w:t>
      </w:r>
    </w:p>
    <w:p w14:paraId="33A5B5B8">
      <w:pPr>
        <w:pStyle w:val="16"/>
        <w:spacing w:before="31" w:after="31"/>
        <w:ind w:firstLine="0" w:firstLineChars="0"/>
        <w:rPr>
          <w:szCs w:val="24"/>
        </w:rPr>
      </w:pPr>
    </w:p>
    <w:p w14:paraId="773930F0">
      <w:pPr>
        <w:pStyle w:val="16"/>
        <w:spacing w:before="31" w:after="31"/>
        <w:ind w:firstLine="0" w:firstLineChars="0"/>
        <w:rPr>
          <w:szCs w:val="24"/>
        </w:rPr>
      </w:pPr>
    </w:p>
    <w:p w14:paraId="68176E9E">
      <w:pPr>
        <w:pStyle w:val="21"/>
        <w:numPr>
          <w:ilvl w:val="2"/>
          <w:numId w:val="0"/>
        </w:numPr>
        <w:rPr>
          <w:rFonts w:eastAsia="宋体"/>
          <w:color w:val="000000"/>
        </w:rPr>
      </w:pPr>
      <w:r>
        <w:rPr>
          <w:rFonts w:hint="eastAsia" w:eastAsia="宋体"/>
          <w:color w:val="000000"/>
        </w:rPr>
        <w:t>3.5.2 Case 3-14 Corrosion Fatigue Cracking of Water Wall Tubes</w:t>
      </w:r>
    </w:p>
    <w:p w14:paraId="65FB9C8E">
      <w:pPr>
        <w:pStyle w:val="16"/>
        <w:spacing w:before="31" w:after="31"/>
        <w:ind w:firstLine="0" w:firstLineChars="0"/>
        <w:rPr>
          <w:szCs w:val="24"/>
        </w:rPr>
      </w:pPr>
      <w:r>
        <w:rPr>
          <w:rFonts w:hint="eastAsia"/>
          <w:szCs w:val="24"/>
        </w:rPr>
        <w:t>(1) Case Name:</w:t>
      </w:r>
    </w:p>
    <w:p w14:paraId="00B1E8C7">
      <w:pPr>
        <w:pStyle w:val="16"/>
        <w:spacing w:before="31" w:after="31"/>
        <w:ind w:firstLine="420" w:firstLineChars="0"/>
        <w:rPr>
          <w:szCs w:val="24"/>
        </w:rPr>
      </w:pPr>
      <w:r>
        <w:rPr>
          <w:rFonts w:hint="eastAsia"/>
          <w:szCs w:val="24"/>
        </w:rPr>
        <w:t>Corrosion fatigue cracking of boiler water wall tubes at Hebei Xingtai Power Generation Co., Ltd [37].</w:t>
      </w:r>
    </w:p>
    <w:p w14:paraId="443BD111">
      <w:pPr>
        <w:pStyle w:val="16"/>
        <w:spacing w:before="31" w:after="31"/>
        <w:ind w:firstLine="0" w:firstLineChars="0"/>
        <w:rPr>
          <w:szCs w:val="24"/>
        </w:rPr>
      </w:pPr>
    </w:p>
    <w:p w14:paraId="45D04A8D">
      <w:pPr>
        <w:pStyle w:val="16"/>
        <w:spacing w:before="31" w:after="31"/>
        <w:ind w:firstLine="0" w:firstLineChars="0"/>
        <w:rPr>
          <w:szCs w:val="24"/>
        </w:rPr>
      </w:pPr>
      <w:r>
        <w:rPr>
          <w:rFonts w:hint="eastAsia"/>
          <w:szCs w:val="24"/>
        </w:rPr>
        <w:t>(2) Failure Process Description:</w:t>
      </w:r>
    </w:p>
    <w:p w14:paraId="62C8CC33">
      <w:pPr>
        <w:pStyle w:val="16"/>
        <w:spacing w:before="31" w:after="31"/>
        <w:ind w:firstLine="420" w:firstLineChars="0"/>
        <w:rPr>
          <w:szCs w:val="24"/>
        </w:rPr>
      </w:pPr>
      <w:r>
        <w:rPr>
          <w:rFonts w:hint="eastAsia"/>
          <w:szCs w:val="24"/>
        </w:rPr>
        <w:t>During the Class A overhaul in April 2007, the water wall tubes of Unit 9 at Hebei Xingtai Power Generation Co., Ltd, a DG 670/13.7-8 boiler manufactured by Dongfang Boiler Factory, were subjected to a comprehensive explosion prevention inspection. Suspicious areas were polished and subjected to magnetic particle inspection, revealing cracks on the fire side of the water wall.</w:t>
      </w:r>
    </w:p>
    <w:p w14:paraId="4C4EBD95">
      <w:pPr>
        <w:pStyle w:val="16"/>
        <w:spacing w:before="31" w:after="31"/>
        <w:ind w:firstLine="0" w:firstLineChars="0"/>
        <w:rPr>
          <w:szCs w:val="24"/>
        </w:rPr>
      </w:pPr>
    </w:p>
    <w:p w14:paraId="03CBDD0B">
      <w:pPr>
        <w:pStyle w:val="16"/>
        <w:spacing w:before="31" w:after="31"/>
        <w:ind w:firstLine="0" w:firstLineChars="0"/>
        <w:rPr>
          <w:szCs w:val="24"/>
        </w:rPr>
      </w:pPr>
      <w:r>
        <w:rPr>
          <w:rFonts w:hint="eastAsia"/>
          <w:szCs w:val="24"/>
        </w:rPr>
        <w:t>(3) Service Environment:</w:t>
      </w:r>
    </w:p>
    <w:p w14:paraId="3EEB8F4A">
      <w:pPr>
        <w:pStyle w:val="16"/>
        <w:spacing w:before="31" w:after="31"/>
        <w:ind w:firstLine="420" w:firstLineChars="0"/>
        <w:rPr>
          <w:szCs w:val="24"/>
        </w:rPr>
      </w:pPr>
      <w:r>
        <w:rPr>
          <w:rFonts w:hint="eastAsia"/>
          <w:szCs w:val="24"/>
        </w:rPr>
        <w:t>The furnace water wall consists of a total of 546 tubes, with 152 each on the front and rear walls, and 121 each on the left and right sides. The tubes on the rear vertical well walls total 112. The calculated circulation flow rate of water in the furnace water wall is approximately 1.7 m/s at full load, with a minimum circulation ratio of 3.9 (usually above 4.3). The water wall is suspended from the top plate beam using a hanger device. During boiler operation, the entire water wall expands downward, with a maximum expansion of 183 mm at the bottom header. As of the Class A overhaul on April 7, 2007, the boiler had accumulated 114,890.83 hours of operation with 139 startups and shutdowns.</w:t>
      </w:r>
    </w:p>
    <w:p w14:paraId="6DE4EEBC">
      <w:pPr>
        <w:pStyle w:val="16"/>
        <w:spacing w:before="31" w:after="31"/>
        <w:ind w:firstLine="0" w:firstLineChars="0"/>
        <w:rPr>
          <w:szCs w:val="24"/>
        </w:rPr>
      </w:pPr>
    </w:p>
    <w:p w14:paraId="02A78EDF">
      <w:pPr>
        <w:pStyle w:val="16"/>
        <w:spacing w:before="31" w:after="31"/>
        <w:ind w:firstLine="0" w:firstLineChars="0"/>
        <w:rPr>
          <w:szCs w:val="24"/>
        </w:rPr>
      </w:pPr>
      <w:r>
        <w:rPr>
          <w:rFonts w:hint="eastAsia"/>
          <w:szCs w:val="24"/>
        </w:rPr>
        <w:t>(4) Failed Components and Material:</w:t>
      </w:r>
    </w:p>
    <w:p w14:paraId="7120BC21">
      <w:pPr>
        <w:pStyle w:val="16"/>
        <w:spacing w:before="31" w:after="31"/>
        <w:ind w:firstLine="420" w:firstLineChars="0"/>
        <w:rPr>
          <w:szCs w:val="24"/>
        </w:rPr>
      </w:pPr>
      <w:r>
        <w:rPr>
          <w:rFonts w:hint="eastAsia"/>
          <w:szCs w:val="24"/>
        </w:rPr>
        <w:t>The material of the water wall tubes is 20G.</w:t>
      </w:r>
    </w:p>
    <w:p w14:paraId="0FDE23E5">
      <w:pPr>
        <w:pStyle w:val="16"/>
        <w:spacing w:before="31" w:after="31"/>
        <w:ind w:firstLine="0" w:firstLineChars="0"/>
        <w:rPr>
          <w:szCs w:val="24"/>
        </w:rPr>
      </w:pPr>
    </w:p>
    <w:p w14:paraId="5813D3F1">
      <w:pPr>
        <w:pStyle w:val="16"/>
        <w:spacing w:before="31" w:after="31"/>
        <w:ind w:firstLine="0" w:firstLineChars="0"/>
        <w:rPr>
          <w:szCs w:val="24"/>
        </w:rPr>
      </w:pPr>
      <w:r>
        <w:rPr>
          <w:rFonts w:hint="eastAsia"/>
          <w:szCs w:val="24"/>
        </w:rPr>
        <w:t>(5) Failure Morphology:</w:t>
      </w:r>
    </w:p>
    <w:p w14:paraId="0BB6B6E5">
      <w:pPr>
        <w:pStyle w:val="16"/>
        <w:spacing w:before="31" w:after="31"/>
        <w:ind w:firstLine="420" w:firstLineChars="0"/>
        <w:rPr>
          <w:szCs w:val="24"/>
        </w:rPr>
      </w:pPr>
      <w:r>
        <w:rPr>
          <w:rFonts w:hint="eastAsia"/>
          <w:szCs w:val="24"/>
        </w:rPr>
        <w:t>The external wall of the water wall tube shows no obvious swelling, thinning, bending, or deformation. The oxide layer is thicker on the fire side, with numerous corrosion pits beneath the oxide layer. Cracks are located in the middle region of the tube axis on the fire side, oriented parallel to the tube axis (see Figure 3-14.1), with a maximum depth of 1.7 mm. The inner wall of the tube has severe scaling but no cracks are observed. The fully welded membrane water wall has greater axial rigidity and smaller lateral rigidity. Its outer surface experiences the maximum thermal stress, making it prone to transverse cracks. The cracks are filled with gray corrosion products, indicating significant oxidation and corrosion during high-temperature fatigue crack propagation.</w:t>
      </w:r>
    </w:p>
    <w:p w14:paraId="57B3FFA3">
      <w:pPr>
        <w:spacing w:before="156" w:beforeLines="50" w:after="468" w:afterLines="150" w:line="312" w:lineRule="auto"/>
        <w:jc w:val="center"/>
        <w:rPr>
          <w:sz w:val="24"/>
        </w:rPr>
      </w:pPr>
      <w:r>
        <w:rPr>
          <w:rFonts w:hint="eastAsia" w:hAnsi="宋体"/>
          <w:b/>
          <w:color w:val="000000"/>
          <w:szCs w:val="21"/>
        </w:rPr>
        <w:t>Figure 3-14.1: Macroscopic morphology of cracks on the external surface of water wall tubes.</w:t>
      </w:r>
    </w:p>
    <w:p w14:paraId="2F62E5DC">
      <w:pPr>
        <w:pStyle w:val="16"/>
        <w:spacing w:before="31" w:after="31"/>
        <w:ind w:firstLine="0" w:firstLineChars="0"/>
        <w:rPr>
          <w:szCs w:val="24"/>
        </w:rPr>
      </w:pPr>
      <w:r>
        <w:rPr>
          <w:rFonts w:hint="eastAsia"/>
          <w:szCs w:val="24"/>
        </w:rPr>
        <w:t>(6) Failure Cause Analysis:</w:t>
      </w:r>
    </w:p>
    <w:p w14:paraId="0018F401">
      <w:pPr>
        <w:pStyle w:val="16"/>
        <w:spacing w:before="31" w:after="31"/>
        <w:ind w:firstLine="420" w:firstLineChars="0"/>
        <w:rPr>
          <w:szCs w:val="24"/>
        </w:rPr>
      </w:pPr>
      <w:r>
        <w:rPr>
          <w:rFonts w:hint="eastAsia"/>
          <w:szCs w:val="24"/>
        </w:rPr>
        <w:t>Transverse cracks with corrosive thermal fatigue were identified on the fire side of the water wall tubes in Boiler 9.</w:t>
      </w:r>
    </w:p>
    <w:p w14:paraId="58557DFD">
      <w:pPr>
        <w:pStyle w:val="16"/>
        <w:spacing w:before="31" w:after="31"/>
        <w:ind w:firstLine="0" w:firstLineChars="0"/>
        <w:rPr>
          <w:szCs w:val="24"/>
        </w:rPr>
      </w:pPr>
    </w:p>
    <w:p w14:paraId="62CF3285">
      <w:pPr>
        <w:pStyle w:val="16"/>
        <w:spacing w:before="31" w:after="31"/>
        <w:ind w:firstLine="0" w:firstLineChars="0"/>
        <w:rPr>
          <w:szCs w:val="24"/>
        </w:rPr>
      </w:pPr>
      <w:r>
        <w:rPr>
          <w:rFonts w:hint="eastAsia"/>
          <w:szCs w:val="24"/>
        </w:rPr>
        <w:t>(7) Impact and Harm Caused</w:t>
      </w:r>
    </w:p>
    <w:p w14:paraId="41D1F71A">
      <w:pPr>
        <w:pStyle w:val="16"/>
        <w:spacing w:before="31" w:after="31"/>
        <w:ind w:firstLine="420" w:firstLineChars="0"/>
        <w:rPr>
          <w:szCs w:val="24"/>
        </w:rPr>
      </w:pPr>
      <w:r>
        <w:rPr>
          <w:rFonts w:hint="eastAsia"/>
          <w:szCs w:val="24"/>
        </w:rPr>
        <w:t>Null</w:t>
      </w:r>
    </w:p>
    <w:p w14:paraId="2F0171AB">
      <w:pPr>
        <w:pStyle w:val="16"/>
        <w:spacing w:before="31" w:after="31"/>
        <w:ind w:firstLine="0" w:firstLineChars="0"/>
        <w:rPr>
          <w:szCs w:val="24"/>
        </w:rPr>
      </w:pPr>
    </w:p>
    <w:p w14:paraId="65728310">
      <w:pPr>
        <w:pStyle w:val="16"/>
        <w:spacing w:before="31" w:after="31"/>
        <w:ind w:firstLine="0" w:firstLineChars="0"/>
        <w:rPr>
          <w:szCs w:val="24"/>
        </w:rPr>
      </w:pPr>
      <w:r>
        <w:rPr>
          <w:rFonts w:hint="eastAsia"/>
          <w:szCs w:val="24"/>
        </w:rPr>
        <w:t>( 8) Conclusion and Improvement Measures:</w:t>
      </w:r>
    </w:p>
    <w:p w14:paraId="751AE3C3">
      <w:pPr>
        <w:pStyle w:val="16"/>
        <w:spacing w:before="31" w:after="31"/>
        <w:ind w:firstLine="420" w:firstLineChars="0"/>
        <w:rPr>
          <w:szCs w:val="24"/>
        </w:rPr>
      </w:pPr>
      <w:r>
        <w:rPr>
          <w:rFonts w:hint="eastAsia"/>
          <w:szCs w:val="24"/>
        </w:rPr>
        <w:t>a. Replace all sections of the water wall tubes with cracks in Boiler 9 and restore them according to maintenance procedures to ensure installation quality.</w:t>
      </w:r>
    </w:p>
    <w:p w14:paraId="23A09FB6">
      <w:pPr>
        <w:pStyle w:val="16"/>
        <w:spacing w:before="31" w:after="31"/>
        <w:ind w:firstLine="420" w:firstLineChars="0"/>
        <w:rPr>
          <w:szCs w:val="24"/>
        </w:rPr>
      </w:pPr>
      <w:r>
        <w:rPr>
          <w:rFonts w:hint="eastAsia"/>
          <w:szCs w:val="24"/>
        </w:rPr>
        <w:t>b. Install observation holes near the oil burners to enhance combustion monitoring.</w:t>
      </w:r>
    </w:p>
    <w:p w14:paraId="641BC3EF">
      <w:pPr>
        <w:pStyle w:val="16"/>
        <w:spacing w:before="31" w:after="31"/>
        <w:ind w:firstLine="420" w:firstLineChars="0"/>
        <w:rPr>
          <w:szCs w:val="24"/>
        </w:rPr>
      </w:pPr>
      <w:r>
        <w:rPr>
          <w:rFonts w:hint="eastAsia"/>
          <w:szCs w:val="24"/>
        </w:rPr>
        <w:t>c. Before the water pressure test after boiler maintenance, acid wash the water wall tubes. Acid washing not only removes scale but also forms a protective film on the inner wall, improving the corrosion resistance of the water wall tubes.</w:t>
      </w:r>
    </w:p>
    <w:p w14:paraId="18389838">
      <w:pPr>
        <w:pStyle w:val="16"/>
        <w:spacing w:before="31" w:after="31"/>
        <w:ind w:firstLine="420" w:firstLineChars="0"/>
        <w:rPr>
          <w:szCs w:val="24"/>
        </w:rPr>
      </w:pPr>
      <w:r>
        <w:rPr>
          <w:rFonts w:hint="eastAsia"/>
          <w:szCs w:val="24"/>
        </w:rPr>
        <w:t>d. Strictly control the quality of feedwater, makeup water, condensate water, boiler water, and steam. Take timely measures if issues are detected.</w:t>
      </w:r>
    </w:p>
    <w:p w14:paraId="4E346181">
      <w:pPr>
        <w:pStyle w:val="16"/>
        <w:spacing w:before="31" w:after="31"/>
        <w:ind w:firstLine="420" w:firstLineChars="0"/>
        <w:rPr>
          <w:szCs w:val="24"/>
        </w:rPr>
      </w:pPr>
      <w:r>
        <w:rPr>
          <w:rFonts w:hint="eastAsia"/>
          <w:szCs w:val="24"/>
        </w:rPr>
        <w:t>e. During unit startup, shutdown, and peaking, operators must strictly adhere to operating procedures to avoid forced cooling of the boiler during shutdown and limit prolonged low-load operation of the unit.</w:t>
      </w:r>
    </w:p>
    <w:p w14:paraId="4A8D5E71">
      <w:pPr>
        <w:pStyle w:val="16"/>
        <w:spacing w:before="31" w:after="31"/>
        <w:ind w:firstLine="420" w:firstLineChars="0"/>
        <w:rPr>
          <w:szCs w:val="24"/>
        </w:rPr>
      </w:pPr>
    </w:p>
    <w:p w14:paraId="2C6CE0F4">
      <w:pPr>
        <w:pStyle w:val="16"/>
        <w:spacing w:before="31" w:after="31"/>
        <w:ind w:firstLine="0" w:firstLineChars="0"/>
        <w:rPr>
          <w:szCs w:val="24"/>
        </w:rPr>
      </w:pPr>
    </w:p>
    <w:p w14:paraId="67FECA8D">
      <w:pPr>
        <w:pStyle w:val="16"/>
        <w:spacing w:before="31" w:after="31"/>
        <w:ind w:firstLine="420" w:firstLineChars="0"/>
        <w:rPr>
          <w:szCs w:val="24"/>
        </w:rPr>
      </w:pPr>
    </w:p>
    <w:p w14:paraId="34AD823A">
      <w:pPr>
        <w:pStyle w:val="21"/>
        <w:numPr>
          <w:ilvl w:val="2"/>
          <w:numId w:val="0"/>
        </w:numPr>
        <w:rPr>
          <w:rFonts w:eastAsia="宋体"/>
          <w:color w:val="000000"/>
        </w:rPr>
      </w:pPr>
      <w:r>
        <w:rPr>
          <w:rFonts w:hint="eastAsia" w:eastAsia="宋体"/>
          <w:color w:val="000000"/>
        </w:rPr>
        <w:t>3.5.3 Case 3-15 Short-term Overheating Burst of High-Temperature Superheater Tubes</w:t>
      </w:r>
    </w:p>
    <w:p w14:paraId="7F69C056">
      <w:pPr>
        <w:pStyle w:val="16"/>
        <w:spacing w:before="31" w:after="31"/>
        <w:ind w:firstLine="0" w:firstLineChars="0"/>
        <w:rPr>
          <w:szCs w:val="24"/>
        </w:rPr>
      </w:pPr>
      <w:r>
        <w:rPr>
          <w:rFonts w:hint="eastAsia"/>
          <w:szCs w:val="24"/>
        </w:rPr>
        <w:t>(1) Case Name:</w:t>
      </w:r>
    </w:p>
    <w:p w14:paraId="17049835">
      <w:pPr>
        <w:pStyle w:val="16"/>
        <w:spacing w:before="31" w:after="31"/>
        <w:ind w:firstLine="420" w:firstLineChars="0"/>
        <w:rPr>
          <w:szCs w:val="24"/>
        </w:rPr>
      </w:pPr>
      <w:r>
        <w:rPr>
          <w:rFonts w:hint="eastAsia"/>
          <w:szCs w:val="24"/>
        </w:rPr>
        <w:t>Accident of bursting in a 1025T/h high-temperature superheater in a thermal power plant [41].</w:t>
      </w:r>
    </w:p>
    <w:p w14:paraId="264FF190">
      <w:pPr>
        <w:pStyle w:val="16"/>
        <w:spacing w:before="31" w:after="31"/>
        <w:ind w:firstLine="420" w:firstLineChars="0"/>
        <w:rPr>
          <w:szCs w:val="24"/>
        </w:rPr>
      </w:pPr>
    </w:p>
    <w:p w14:paraId="63F2DFA7">
      <w:pPr>
        <w:pStyle w:val="16"/>
        <w:spacing w:before="31" w:after="31"/>
        <w:ind w:firstLine="0" w:firstLineChars="0"/>
        <w:rPr>
          <w:szCs w:val="24"/>
        </w:rPr>
      </w:pPr>
      <w:r>
        <w:rPr>
          <w:rFonts w:hint="eastAsia"/>
          <w:szCs w:val="24"/>
        </w:rPr>
        <w:t>(2) Failure Process Description:</w:t>
      </w:r>
    </w:p>
    <w:p w14:paraId="777AE84D">
      <w:pPr>
        <w:pStyle w:val="16"/>
        <w:spacing w:before="31" w:after="31"/>
        <w:ind w:firstLine="420" w:firstLineChars="0"/>
        <w:rPr>
          <w:szCs w:val="24"/>
        </w:rPr>
      </w:pPr>
      <w:r>
        <w:rPr>
          <w:rFonts w:hint="eastAsia"/>
          <w:szCs w:val="24"/>
        </w:rPr>
        <w:t>In a certain thermal power plant, the high-temperature superheater of Boiler 3 experienced two leakage and burst incidents in September and December 2005. The first incident occurred in the second row of the B-section at the outlet of the high-temperature superheater, where the first ring of straight tubes on the fire side had leakage at the adjacent weld. Macroscopic inspection revealed no corrosion pits on the inner and outer surfaces of the tubes. There was a bulge on the tube wall with a weld seam nearby, and longitudinal cracks were observed on the bulge, causing a leak at the weld. The second incident involved the bursting of a tube in the second ring of the tenth row of the B-section at the outlet of the high-temperature superheater. The burst opening resembled a trumpet mouth, with a noticeable thinning of the edge. The longitudinal length of the burst opening was approximately 80 mm, the widest part was about 68 mm, and the tube diameter exhibited swelling. The outer surface of the tube was washed away.</w:t>
      </w:r>
    </w:p>
    <w:p w14:paraId="412EBB9F">
      <w:pPr>
        <w:pStyle w:val="16"/>
        <w:spacing w:before="31" w:after="31"/>
        <w:ind w:firstLine="420" w:firstLineChars="0"/>
        <w:rPr>
          <w:szCs w:val="24"/>
        </w:rPr>
      </w:pPr>
    </w:p>
    <w:p w14:paraId="38E0A119">
      <w:pPr>
        <w:pStyle w:val="16"/>
        <w:spacing w:before="31" w:after="31"/>
        <w:ind w:firstLine="0" w:firstLineChars="0"/>
        <w:rPr>
          <w:szCs w:val="24"/>
        </w:rPr>
      </w:pPr>
      <w:r>
        <w:rPr>
          <w:rFonts w:hint="eastAsia"/>
          <w:szCs w:val="24"/>
        </w:rPr>
        <w:t>(3) Service Environment:</w:t>
      </w:r>
    </w:p>
    <w:p w14:paraId="1C9109DC">
      <w:pPr>
        <w:pStyle w:val="16"/>
        <w:spacing w:before="31" w:after="31"/>
        <w:ind w:firstLine="420" w:firstLineChars="0"/>
        <w:rPr>
          <w:szCs w:val="24"/>
        </w:rPr>
      </w:pPr>
      <w:r>
        <w:rPr>
          <w:rFonts w:hint="eastAsia"/>
          <w:szCs w:val="24"/>
        </w:rPr>
        <w:t>The boiler has a rated evaporation capacity of 1025 T/h, a unit capacity of 330 MW, a superheated steam pressure of 18.44 MPa, and a superheated steam outlet temperature of 540°C. The unit has been in operation for more than 60,000 hours.</w:t>
      </w:r>
    </w:p>
    <w:p w14:paraId="0334053B">
      <w:pPr>
        <w:pStyle w:val="16"/>
        <w:spacing w:before="31" w:after="31"/>
        <w:ind w:firstLine="420" w:firstLineChars="0"/>
        <w:rPr>
          <w:szCs w:val="24"/>
        </w:rPr>
      </w:pPr>
    </w:p>
    <w:p w14:paraId="7DB966C5">
      <w:pPr>
        <w:pStyle w:val="16"/>
        <w:spacing w:before="31" w:after="31"/>
        <w:ind w:firstLine="0" w:firstLineChars="0"/>
        <w:rPr>
          <w:szCs w:val="24"/>
        </w:rPr>
      </w:pPr>
      <w:r>
        <w:rPr>
          <w:rFonts w:hint="eastAsia"/>
          <w:szCs w:val="24"/>
        </w:rPr>
        <w:t>(4) Failed Components and Material:</w:t>
      </w:r>
    </w:p>
    <w:p w14:paraId="4CA89891">
      <w:pPr>
        <w:pStyle w:val="16"/>
        <w:spacing w:before="31" w:after="31"/>
        <w:ind w:firstLine="420" w:firstLineChars="0"/>
        <w:rPr>
          <w:szCs w:val="24"/>
        </w:rPr>
      </w:pPr>
      <w:r>
        <w:rPr>
          <w:rFonts w:hint="eastAsia"/>
          <w:szCs w:val="24"/>
        </w:rPr>
        <w:t>The material of the superheater tubes is 12GrMoWVTiB, with dimensions of φ51 mm × 8 mm.</w:t>
      </w:r>
    </w:p>
    <w:p w14:paraId="7AF1CCF6">
      <w:pPr>
        <w:pStyle w:val="16"/>
        <w:spacing w:before="31" w:after="31"/>
        <w:ind w:firstLine="420" w:firstLineChars="0"/>
        <w:rPr>
          <w:szCs w:val="24"/>
        </w:rPr>
      </w:pPr>
    </w:p>
    <w:p w14:paraId="2950F4DA">
      <w:pPr>
        <w:pStyle w:val="16"/>
        <w:spacing w:before="31" w:after="31"/>
        <w:ind w:firstLine="0" w:firstLineChars="0"/>
        <w:rPr>
          <w:szCs w:val="24"/>
        </w:rPr>
      </w:pPr>
      <w:r>
        <w:rPr>
          <w:rFonts w:hint="eastAsia"/>
          <w:szCs w:val="24"/>
        </w:rPr>
        <w:t>(5) Failure Morphology:</w:t>
      </w:r>
    </w:p>
    <w:p w14:paraId="21CE0FDC">
      <w:pPr>
        <w:pStyle w:val="16"/>
        <w:spacing w:before="31" w:after="31"/>
        <w:ind w:firstLine="420" w:firstLineChars="0"/>
        <w:rPr>
          <w:szCs w:val="24"/>
        </w:rPr>
      </w:pPr>
      <w:r>
        <w:rPr>
          <w:rFonts w:hint="eastAsia"/>
          <w:szCs w:val="24"/>
        </w:rPr>
        <w:t>The macroscopic morphology of the burst openings in the high-temperature superheater tubes is shown in Figures 3-15.1 and 3-15.2. Alloy analysis of the burst samples after the two leakage and burst incidents confirmed compliance with the GB5310-95 standard, indicating that there was no misuse of steel.</w:t>
      </w:r>
    </w:p>
    <w:p w14:paraId="234A6EAE">
      <w:pPr>
        <w:spacing w:before="156" w:beforeLines="50" w:after="468" w:afterLines="150" w:line="312" w:lineRule="auto"/>
        <w:jc w:val="center"/>
        <w:rPr>
          <w:rFonts w:hAnsi="宋体"/>
          <w:b/>
          <w:color w:val="000000"/>
          <w:szCs w:val="21"/>
        </w:rPr>
      </w:pPr>
      <w:r>
        <w:rPr>
          <w:rFonts w:hint="eastAsia" w:hAnsi="宋体"/>
          <w:b/>
          <w:color w:val="000000"/>
          <w:szCs w:val="21"/>
        </w:rPr>
        <w:t>Figure 3-15.1:* Macroscopic morphology after the first burst.   Figure 3-15.2:* "Trumpet" burst morphology after the second burst.</w:t>
      </w:r>
    </w:p>
    <w:p w14:paraId="7984CCB8">
      <w:pPr>
        <w:pStyle w:val="16"/>
        <w:spacing w:before="31" w:after="31"/>
        <w:ind w:firstLine="0" w:firstLineChars="0"/>
        <w:rPr>
          <w:szCs w:val="24"/>
        </w:rPr>
      </w:pPr>
      <w:r>
        <w:rPr>
          <w:rFonts w:hint="eastAsia"/>
          <w:szCs w:val="24"/>
        </w:rPr>
        <w:t>(6) Failure Cause Analysis:</w:t>
      </w:r>
    </w:p>
    <w:p w14:paraId="76AEA1EE">
      <w:pPr>
        <w:pStyle w:val="16"/>
        <w:spacing w:before="31" w:after="31"/>
        <w:ind w:firstLine="420" w:firstLineChars="0"/>
        <w:rPr>
          <w:szCs w:val="24"/>
        </w:rPr>
      </w:pPr>
      <w:r>
        <w:rPr>
          <w:rFonts w:hint="eastAsia"/>
          <w:szCs w:val="24"/>
        </w:rPr>
        <w:t>The preliminary judgment for the failure cause is overheating and short-term superheating of the tube wall. Due to the adoption of oxygen addition to the feedwater in Boiler #3, there may be a certain amount of free oxygen in the high-temperature and high-pressure steam system, creating conditions for oxidation and oxygen corrosion.</w:t>
      </w:r>
    </w:p>
    <w:p w14:paraId="248727AA">
      <w:pPr>
        <w:pStyle w:val="16"/>
        <w:spacing w:before="31" w:after="31"/>
        <w:ind w:firstLine="420" w:firstLineChars="0"/>
        <w:rPr>
          <w:szCs w:val="24"/>
        </w:rPr>
      </w:pPr>
    </w:p>
    <w:p w14:paraId="70097681">
      <w:pPr>
        <w:pStyle w:val="16"/>
        <w:spacing w:before="31" w:after="31"/>
        <w:ind w:firstLine="0" w:firstLineChars="0"/>
        <w:rPr>
          <w:szCs w:val="24"/>
        </w:rPr>
      </w:pPr>
      <w:r>
        <w:rPr>
          <w:rFonts w:hint="eastAsia"/>
          <w:szCs w:val="24"/>
        </w:rPr>
        <w:t>(7) Impact and Harm Caused</w:t>
      </w:r>
    </w:p>
    <w:p w14:paraId="36141339">
      <w:pPr>
        <w:pStyle w:val="16"/>
        <w:spacing w:before="31" w:after="31"/>
        <w:ind w:firstLine="420" w:firstLineChars="0"/>
        <w:rPr>
          <w:szCs w:val="24"/>
        </w:rPr>
      </w:pPr>
      <w:r>
        <w:rPr>
          <w:rFonts w:hint="eastAsia"/>
          <w:szCs w:val="24"/>
        </w:rPr>
        <w:t>Null</w:t>
      </w:r>
    </w:p>
    <w:p w14:paraId="3B323BF6">
      <w:pPr>
        <w:pStyle w:val="16"/>
        <w:spacing w:before="31" w:after="31"/>
        <w:ind w:firstLine="0" w:firstLineChars="0"/>
        <w:rPr>
          <w:szCs w:val="24"/>
        </w:rPr>
      </w:pPr>
    </w:p>
    <w:p w14:paraId="1133266F">
      <w:pPr>
        <w:pStyle w:val="16"/>
        <w:spacing w:before="31" w:after="31"/>
        <w:ind w:firstLine="0" w:firstLineChars="0"/>
        <w:rPr>
          <w:szCs w:val="24"/>
        </w:rPr>
      </w:pPr>
      <w:r>
        <w:rPr>
          <w:rFonts w:hint="eastAsia"/>
          <w:szCs w:val="24"/>
        </w:rPr>
        <w:t>(8) Conclusion and Improvement Measures:</w:t>
      </w:r>
    </w:p>
    <w:p w14:paraId="72563089">
      <w:pPr>
        <w:pStyle w:val="16"/>
        <w:spacing w:before="31" w:after="31"/>
        <w:ind w:firstLine="420" w:firstLineChars="0"/>
        <w:rPr>
          <w:szCs w:val="24"/>
        </w:rPr>
      </w:pPr>
      <w:r>
        <w:rPr>
          <w:rFonts w:hint="eastAsia"/>
          <w:szCs w:val="24"/>
        </w:rPr>
        <w:t>For Boiler #3, the oxygen addition treatment of feedwater needs further optimization and improvement based on the characteristics of high-temperature and high-pressure steam to effectively protect the tube material in the steam system. Since considerable amounts of oxide scales have formed in various parts of the existing system, it is recommended to take appropriate measures to promptly remove these oxide scales before restarting the system to prevent local overheating caused by the shedding of oxide scales leading to blockages.</w:t>
      </w:r>
    </w:p>
    <w:p w14:paraId="6F90EB28">
      <w:pPr>
        <w:pStyle w:val="16"/>
        <w:spacing w:before="31" w:after="31"/>
        <w:ind w:firstLine="420" w:firstLineChars="0"/>
        <w:rPr>
          <w:szCs w:val="24"/>
        </w:rPr>
      </w:pPr>
    </w:p>
    <w:p w14:paraId="259A533F">
      <w:pPr>
        <w:pStyle w:val="16"/>
        <w:spacing w:before="31" w:after="31"/>
        <w:ind w:firstLine="420" w:firstLineChars="0"/>
        <w:rPr>
          <w:szCs w:val="24"/>
        </w:rPr>
      </w:pPr>
    </w:p>
    <w:p w14:paraId="2C785927">
      <w:pPr>
        <w:pStyle w:val="21"/>
        <w:numPr>
          <w:ilvl w:val="2"/>
          <w:numId w:val="0"/>
        </w:numPr>
        <w:rPr>
          <w:rFonts w:eastAsia="宋体"/>
          <w:color w:val="000000"/>
        </w:rPr>
      </w:pPr>
      <w:r>
        <w:rPr>
          <w:rFonts w:hint="eastAsia" w:eastAsia="宋体"/>
          <w:color w:val="000000"/>
        </w:rPr>
        <w:t>3.5.4 Case 3-16 Burst of the Final Superheater Tubes</w:t>
      </w:r>
    </w:p>
    <w:p w14:paraId="2000E8AA">
      <w:pPr>
        <w:pStyle w:val="16"/>
        <w:spacing w:before="31" w:after="31"/>
        <w:ind w:firstLine="0" w:firstLineChars="0"/>
        <w:rPr>
          <w:szCs w:val="24"/>
        </w:rPr>
      </w:pPr>
      <w:r>
        <w:rPr>
          <w:rFonts w:hint="eastAsia"/>
          <w:szCs w:val="24"/>
        </w:rPr>
        <w:t>(1) Case Name:</w:t>
      </w:r>
    </w:p>
    <w:p w14:paraId="5DEA7DC6">
      <w:pPr>
        <w:pStyle w:val="16"/>
        <w:spacing w:before="31" w:after="31"/>
        <w:ind w:firstLine="420" w:firstLineChars="0"/>
        <w:rPr>
          <w:szCs w:val="24"/>
        </w:rPr>
      </w:pPr>
      <w:r>
        <w:rPr>
          <w:rFonts w:hint="eastAsia"/>
          <w:szCs w:val="24"/>
        </w:rPr>
        <w:t>Accident of bursting in the final superheater of a power plant [43].</w:t>
      </w:r>
    </w:p>
    <w:p w14:paraId="07E801BB">
      <w:pPr>
        <w:pStyle w:val="16"/>
        <w:spacing w:before="31" w:after="31"/>
        <w:ind w:firstLine="420" w:firstLineChars="0"/>
        <w:rPr>
          <w:szCs w:val="24"/>
        </w:rPr>
      </w:pPr>
    </w:p>
    <w:p w14:paraId="6A970C84">
      <w:pPr>
        <w:pStyle w:val="16"/>
        <w:spacing w:before="31" w:after="31"/>
        <w:ind w:firstLine="0" w:firstLineChars="0"/>
        <w:rPr>
          <w:szCs w:val="24"/>
        </w:rPr>
      </w:pPr>
      <w:r>
        <w:rPr>
          <w:rFonts w:hint="eastAsia"/>
          <w:szCs w:val="24"/>
        </w:rPr>
        <w:t>(2) Failure Process Description:</w:t>
      </w:r>
    </w:p>
    <w:p w14:paraId="3FC81CE3">
      <w:pPr>
        <w:pStyle w:val="16"/>
        <w:spacing w:before="31" w:after="31"/>
        <w:ind w:firstLine="420" w:firstLineChars="0"/>
        <w:rPr>
          <w:szCs w:val="24"/>
        </w:rPr>
      </w:pPr>
      <w:r>
        <w:rPr>
          <w:rFonts w:hint="eastAsia"/>
          <w:szCs w:val="24"/>
        </w:rPr>
        <w:t>In 2007, the boiler of Unit 2 in a certain power plant, a 300 MW subcritical pressure intermediate reheating controlled circulation drum boiler produced by Shanghai Boiler Co., Ltd., experienced two incidents of tube burst leakage in the final superheater. These incidents led to the unit shutdown, causing significant impacts on the safety and economic operation of the unit. Both incidents occurred near the bend of the final superheater. In April 2007, with Unit 2 operating at a load of 280 MW and both B and C coal mills in full operation, abnormal noise was detected near the throat angle of Boiler 2. It was preliminarily judged to be a leak in the final superheater or enveloping superheater tubes.</w:t>
      </w:r>
    </w:p>
    <w:p w14:paraId="7B0910BF">
      <w:pPr>
        <w:pStyle w:val="16"/>
        <w:spacing w:before="31" w:after="31"/>
        <w:ind w:firstLine="420" w:firstLineChars="0"/>
        <w:rPr>
          <w:szCs w:val="24"/>
        </w:rPr>
      </w:pPr>
    </w:p>
    <w:p w14:paraId="25D458E3">
      <w:pPr>
        <w:pStyle w:val="16"/>
        <w:spacing w:before="31" w:after="31"/>
        <w:ind w:firstLine="0" w:firstLineChars="0"/>
        <w:rPr>
          <w:szCs w:val="24"/>
        </w:rPr>
      </w:pPr>
      <w:r>
        <w:rPr>
          <w:rFonts w:hint="eastAsia"/>
          <w:szCs w:val="24"/>
        </w:rPr>
        <w:t>(3) Service Environment:</w:t>
      </w:r>
    </w:p>
    <w:p w14:paraId="5E62CCB6">
      <w:pPr>
        <w:pStyle w:val="16"/>
        <w:spacing w:before="31" w:after="31"/>
        <w:ind w:firstLine="420" w:firstLineChars="0"/>
        <w:rPr>
          <w:szCs w:val="24"/>
        </w:rPr>
      </w:pPr>
      <w:r>
        <w:rPr>
          <w:rFonts w:hint="eastAsia"/>
          <w:szCs w:val="24"/>
        </w:rPr>
        <w:t>Null</w:t>
      </w:r>
    </w:p>
    <w:p w14:paraId="0F545091">
      <w:pPr>
        <w:pStyle w:val="16"/>
        <w:spacing w:before="31" w:after="31"/>
        <w:ind w:firstLine="420" w:firstLineChars="0"/>
        <w:rPr>
          <w:szCs w:val="24"/>
        </w:rPr>
      </w:pPr>
    </w:p>
    <w:p w14:paraId="30A3741D">
      <w:pPr>
        <w:pStyle w:val="16"/>
        <w:spacing w:before="31" w:after="31"/>
        <w:ind w:firstLine="0" w:firstLineChars="0"/>
        <w:rPr>
          <w:szCs w:val="24"/>
        </w:rPr>
      </w:pPr>
      <w:r>
        <w:rPr>
          <w:rFonts w:hint="eastAsia"/>
          <w:szCs w:val="24"/>
        </w:rPr>
        <w:t>(4) Failed Components and Material:</w:t>
      </w:r>
    </w:p>
    <w:p w14:paraId="09AA412C">
      <w:pPr>
        <w:pStyle w:val="16"/>
        <w:spacing w:before="31" w:after="31"/>
        <w:ind w:firstLine="420" w:firstLineChars="0"/>
        <w:rPr>
          <w:szCs w:val="24"/>
        </w:rPr>
      </w:pPr>
      <w:r>
        <w:rPr>
          <w:rFonts w:hint="eastAsia"/>
          <w:szCs w:val="24"/>
        </w:rPr>
        <w:t>The material of the final superheater tubes is 102 steel.</w:t>
      </w:r>
    </w:p>
    <w:p w14:paraId="6392F725">
      <w:pPr>
        <w:pStyle w:val="16"/>
        <w:spacing w:before="31" w:after="31"/>
        <w:ind w:firstLine="420" w:firstLineChars="0"/>
        <w:rPr>
          <w:szCs w:val="24"/>
        </w:rPr>
      </w:pPr>
    </w:p>
    <w:p w14:paraId="18202F32">
      <w:pPr>
        <w:pStyle w:val="16"/>
        <w:spacing w:before="31" w:after="31"/>
        <w:ind w:firstLine="0" w:firstLineChars="0"/>
        <w:rPr>
          <w:szCs w:val="24"/>
        </w:rPr>
      </w:pPr>
      <w:r>
        <w:rPr>
          <w:rFonts w:hint="eastAsia"/>
          <w:szCs w:val="24"/>
        </w:rPr>
        <w:t>(5) Failure Component Morphology:</w:t>
      </w:r>
    </w:p>
    <w:p w14:paraId="25BF4218">
      <w:pPr>
        <w:pStyle w:val="16"/>
        <w:spacing w:before="31" w:after="31"/>
        <w:ind w:firstLine="420" w:firstLineChars="0"/>
        <w:rPr>
          <w:szCs w:val="24"/>
        </w:rPr>
      </w:pPr>
      <w:r>
        <w:rPr>
          <w:rFonts w:hint="eastAsia"/>
          <w:szCs w:val="24"/>
        </w:rPr>
        <w:t>The burst opening morphology of the outermost second tube segment in the 41st row from the left of the final superheater in April is shown in Figure 3-16.1. The opening exhibited a tearing pattern, was 40 mm long, 20 mm wide, with sharp and smooth edges, and only 0.4 mm at the opening edge—characteristic of short-term overheating burst. In June, the burst opening morphology of the third outermost tube segment from the left in the 42nd row of the final superheater near the fire side bend is shown in Figure 3-16.2. The tube surface had a thick oxide scale, the opening was 48 mm long (axial), 5 mm wide (circumferential), the opening edge was irregular and blunt, and there were axial cracks parallel to the opening. This tube exhibited characteristics of long-term overheating burst.</w:t>
      </w:r>
    </w:p>
    <w:p w14:paraId="73B0755B">
      <w:pPr>
        <w:spacing w:before="156" w:beforeLines="50" w:after="468" w:afterLines="150" w:line="312" w:lineRule="auto"/>
        <w:jc w:val="center"/>
        <w:rPr>
          <w:rFonts w:hAnsi="宋体"/>
          <w:b/>
          <w:color w:val="000000"/>
          <w:szCs w:val="21"/>
        </w:rPr>
      </w:pPr>
      <w:r>
        <w:rPr>
          <w:rFonts w:hint="eastAsia" w:hAnsi="宋体"/>
          <w:b/>
          <w:color w:val="000000"/>
          <w:szCs w:val="21"/>
        </w:rPr>
        <w:t>Figure 3-16.1: Burst opening morphology on April 24 [8]</w:t>
      </w:r>
    </w:p>
    <w:p w14:paraId="4B3CBA31">
      <w:pPr>
        <w:spacing w:before="156" w:beforeLines="50" w:after="468" w:afterLines="150" w:line="312" w:lineRule="auto"/>
        <w:jc w:val="center"/>
        <w:rPr>
          <w:sz w:val="24"/>
        </w:rPr>
      </w:pPr>
      <w:r>
        <w:rPr>
          <w:rFonts w:hint="eastAsia" w:hAnsi="宋体"/>
          <w:b/>
          <w:color w:val="000000"/>
          <w:szCs w:val="21"/>
        </w:rPr>
        <w:t>Figure 3-16.2: Burst opening morphology on June 6 [8].</w:t>
      </w:r>
    </w:p>
    <w:p w14:paraId="73BFCDC1">
      <w:pPr>
        <w:pStyle w:val="16"/>
        <w:spacing w:before="31" w:after="31"/>
        <w:ind w:firstLine="0" w:firstLineChars="0"/>
        <w:rPr>
          <w:szCs w:val="24"/>
        </w:rPr>
      </w:pPr>
      <w:r>
        <w:rPr>
          <w:rFonts w:hint="eastAsia"/>
          <w:szCs w:val="24"/>
        </w:rPr>
        <w:t>(6) Failure Cause Analysis:</w:t>
      </w:r>
    </w:p>
    <w:p w14:paraId="20454ACB">
      <w:pPr>
        <w:pStyle w:val="16"/>
        <w:spacing w:before="31" w:after="31"/>
        <w:ind w:firstLine="420" w:firstLineChars="0"/>
        <w:rPr>
          <w:szCs w:val="24"/>
        </w:rPr>
      </w:pPr>
      <w:r>
        <w:rPr>
          <w:rFonts w:hint="eastAsia"/>
          <w:szCs w:val="24"/>
        </w:rPr>
        <w:t>The analysis revealed that the burst of the final superheater tubes was caused by the presence of foreign objects blocking the tube ring, reducing the flow area, obstructing steam flow, and leading to long-term overheating of the tubes. The accumulation of oxide scale, unable to be blown away, gradually increased and caused blockages above the outlet bend, preventing normal steam flow and resulting in long-term overheating leading to tube bursting.</w:t>
      </w:r>
    </w:p>
    <w:p w14:paraId="1D5313F5">
      <w:pPr>
        <w:pStyle w:val="16"/>
        <w:spacing w:before="31" w:after="31"/>
        <w:ind w:firstLine="420" w:firstLineChars="0"/>
        <w:rPr>
          <w:szCs w:val="24"/>
        </w:rPr>
      </w:pPr>
    </w:p>
    <w:p w14:paraId="1731590D">
      <w:pPr>
        <w:pStyle w:val="16"/>
        <w:spacing w:before="31" w:after="31"/>
        <w:ind w:firstLine="0" w:firstLineChars="0"/>
        <w:rPr>
          <w:szCs w:val="24"/>
        </w:rPr>
      </w:pPr>
      <w:r>
        <w:rPr>
          <w:rFonts w:hint="eastAsia"/>
          <w:szCs w:val="24"/>
        </w:rPr>
        <w:t>(7) Impact and Harm Caused</w:t>
      </w:r>
    </w:p>
    <w:p w14:paraId="5B32004B">
      <w:pPr>
        <w:pStyle w:val="16"/>
        <w:spacing w:before="31" w:after="31"/>
        <w:ind w:firstLine="420" w:firstLineChars="0"/>
        <w:rPr>
          <w:szCs w:val="24"/>
        </w:rPr>
      </w:pPr>
      <w:r>
        <w:rPr>
          <w:rFonts w:hint="eastAsia"/>
          <w:szCs w:val="24"/>
        </w:rPr>
        <w:t>Null</w:t>
      </w:r>
    </w:p>
    <w:p w14:paraId="28421C68">
      <w:pPr>
        <w:pStyle w:val="16"/>
        <w:spacing w:before="31" w:after="31"/>
        <w:ind w:firstLine="420" w:firstLineChars="0"/>
        <w:rPr>
          <w:szCs w:val="24"/>
        </w:rPr>
      </w:pPr>
    </w:p>
    <w:p w14:paraId="0B488F7C">
      <w:pPr>
        <w:pStyle w:val="16"/>
        <w:spacing w:before="31" w:after="31"/>
        <w:ind w:firstLine="0" w:firstLineChars="0"/>
        <w:rPr>
          <w:szCs w:val="24"/>
        </w:rPr>
      </w:pPr>
      <w:r>
        <w:rPr>
          <w:rFonts w:hint="eastAsia"/>
          <w:szCs w:val="24"/>
        </w:rPr>
        <w:t>(8) Conclusion and Improvement Measures:</w:t>
      </w:r>
    </w:p>
    <w:p w14:paraId="79B54962">
      <w:pPr>
        <w:pStyle w:val="16"/>
        <w:spacing w:before="31" w:after="31"/>
        <w:ind w:firstLine="420" w:firstLineChars="0"/>
        <w:rPr>
          <w:szCs w:val="24"/>
        </w:rPr>
      </w:pPr>
      <w:r>
        <w:rPr>
          <w:rFonts w:hint="eastAsia"/>
          <w:szCs w:val="24"/>
        </w:rPr>
        <w:t>The third outermost tube segment in the 42nd row of the final superheater experienced burst due to blockage, showing signs of long-term overheating and aging. Replacement is necessary, and although a temporary cut and blockage were performed due to the urgency of repair time, a complete replacement will be carried out during minor maintenance. No foreign object blockage was found in the inlet and outlet junction box seats. The other burst and thinned sections in the final superheater were replaced, and all replacement tube segments underwent spectral review. Welds underwent heat treatment and passed ultrasonic testing.</w:t>
      </w:r>
    </w:p>
    <w:p w14:paraId="3ACD1D6D">
      <w:pPr>
        <w:pStyle w:val="16"/>
        <w:spacing w:before="31" w:after="31"/>
        <w:ind w:firstLine="420" w:firstLineChars="0"/>
        <w:rPr>
          <w:szCs w:val="24"/>
        </w:rPr>
      </w:pPr>
    </w:p>
    <w:p w14:paraId="69EEBCEE">
      <w:pPr>
        <w:pStyle w:val="16"/>
        <w:spacing w:before="31" w:after="31"/>
        <w:ind w:firstLine="420" w:firstLineChars="0"/>
        <w:rPr>
          <w:szCs w:val="24"/>
        </w:rPr>
      </w:pPr>
    </w:p>
    <w:p w14:paraId="06D2EA9B">
      <w:pPr>
        <w:pStyle w:val="21"/>
        <w:numPr>
          <w:ilvl w:val="2"/>
          <w:numId w:val="0"/>
        </w:numPr>
        <w:rPr>
          <w:rFonts w:eastAsia="宋体"/>
          <w:color w:val="000000"/>
        </w:rPr>
      </w:pPr>
      <w:r>
        <w:rPr>
          <w:rFonts w:hint="eastAsia" w:eastAsia="宋体"/>
          <w:color w:val="000000"/>
        </w:rPr>
        <w:t>3.5.5 Case 3-17 Burst of Screen Superheater Tubes</w:t>
      </w:r>
    </w:p>
    <w:p w14:paraId="647EDE40">
      <w:pPr>
        <w:pStyle w:val="16"/>
        <w:spacing w:before="31" w:after="31"/>
        <w:ind w:firstLine="0" w:firstLineChars="0"/>
        <w:rPr>
          <w:szCs w:val="24"/>
        </w:rPr>
      </w:pPr>
      <w:r>
        <w:rPr>
          <w:rFonts w:hint="eastAsia"/>
          <w:szCs w:val="24"/>
        </w:rPr>
        <w:t>(1) Case Name:</w:t>
      </w:r>
    </w:p>
    <w:p w14:paraId="722121F3">
      <w:pPr>
        <w:pStyle w:val="16"/>
        <w:spacing w:before="31" w:after="31"/>
        <w:ind w:firstLine="420" w:firstLineChars="0"/>
        <w:rPr>
          <w:szCs w:val="24"/>
        </w:rPr>
      </w:pPr>
      <w:r>
        <w:rPr>
          <w:rFonts w:hint="eastAsia"/>
          <w:szCs w:val="24"/>
        </w:rPr>
        <w:t>Accident of bursting in the screen superheater tubes at Guangdong Datang International Chaozhou Power Plant [44].</w:t>
      </w:r>
    </w:p>
    <w:p w14:paraId="7C206C46">
      <w:pPr>
        <w:pStyle w:val="16"/>
        <w:spacing w:before="31" w:after="31"/>
        <w:ind w:firstLine="420" w:firstLineChars="0"/>
        <w:rPr>
          <w:szCs w:val="24"/>
        </w:rPr>
      </w:pPr>
    </w:p>
    <w:p w14:paraId="02E6A328">
      <w:pPr>
        <w:pStyle w:val="16"/>
        <w:spacing w:before="31" w:after="31"/>
        <w:ind w:firstLine="0" w:firstLineChars="0"/>
        <w:rPr>
          <w:szCs w:val="24"/>
        </w:rPr>
      </w:pPr>
      <w:r>
        <w:rPr>
          <w:rFonts w:hint="eastAsia"/>
          <w:szCs w:val="24"/>
        </w:rPr>
        <w:t>(2) Failure Process Description:</w:t>
      </w:r>
    </w:p>
    <w:p w14:paraId="650DF465">
      <w:pPr>
        <w:pStyle w:val="16"/>
        <w:spacing w:before="31" w:after="31"/>
        <w:ind w:firstLine="420" w:firstLineChars="0"/>
        <w:rPr>
          <w:szCs w:val="24"/>
        </w:rPr>
      </w:pPr>
      <w:r>
        <w:rPr>
          <w:rFonts w:hint="eastAsia"/>
          <w:szCs w:val="24"/>
        </w:rPr>
        <w:t>Boiler 2 at Guangdong Datang International Chaozhou Power Plant is a boiler of type HG21890/25142YM4 produced by Harbin Boiler Co., Ltd., introducing technology from Mitsui Babcock Energy Company (MB), UK. On June 21, 2006, during boiler operation, it was observed that the leftmost 30th row and the 27th tube from the inside of the screen superheater were overheating, triggering a leakage alarm. After shutting down and cooling, an inspection inside the furnace revealed leakage in the 27th tube of the inlet screen of the screen superheater, and severe deformation in the 28th tube, with a burst opening as shown in Figure 3-17.1.</w:t>
      </w:r>
    </w:p>
    <w:p w14:paraId="6365AFBE">
      <w:pPr>
        <w:pStyle w:val="16"/>
        <w:spacing w:before="31" w:after="31"/>
        <w:ind w:firstLine="420" w:firstLineChars="0"/>
        <w:rPr>
          <w:szCs w:val="24"/>
        </w:rPr>
      </w:pPr>
    </w:p>
    <w:p w14:paraId="4F13EFD4">
      <w:pPr>
        <w:pStyle w:val="16"/>
        <w:spacing w:before="31" w:after="31"/>
        <w:ind w:firstLine="0" w:firstLineChars="0"/>
        <w:rPr>
          <w:szCs w:val="24"/>
        </w:rPr>
      </w:pPr>
      <w:r>
        <w:rPr>
          <w:rFonts w:hint="eastAsia"/>
          <w:szCs w:val="24"/>
        </w:rPr>
        <w:t>(3) Service Environment:</w:t>
      </w:r>
    </w:p>
    <w:p w14:paraId="4AE46FC2">
      <w:pPr>
        <w:pStyle w:val="16"/>
        <w:spacing w:before="31" w:after="31"/>
        <w:ind w:firstLine="420" w:firstLineChars="0"/>
        <w:rPr>
          <w:szCs w:val="24"/>
        </w:rPr>
      </w:pPr>
      <w:r>
        <w:rPr>
          <w:rFonts w:hint="eastAsia"/>
          <w:szCs w:val="24"/>
        </w:rPr>
        <w:t>Null</w:t>
      </w:r>
    </w:p>
    <w:p w14:paraId="38A033DA">
      <w:pPr>
        <w:pStyle w:val="16"/>
        <w:spacing w:before="31" w:after="31"/>
        <w:ind w:firstLine="420" w:firstLineChars="0"/>
        <w:rPr>
          <w:szCs w:val="24"/>
        </w:rPr>
      </w:pPr>
    </w:p>
    <w:p w14:paraId="74F20BE2">
      <w:pPr>
        <w:pStyle w:val="16"/>
        <w:spacing w:before="31" w:after="31"/>
        <w:ind w:firstLine="0" w:firstLineChars="0"/>
        <w:rPr>
          <w:szCs w:val="24"/>
        </w:rPr>
      </w:pPr>
      <w:r>
        <w:rPr>
          <w:rFonts w:hint="eastAsia"/>
          <w:szCs w:val="24"/>
        </w:rPr>
        <w:t>(4) Failed Components and Material:**</w:t>
      </w:r>
    </w:p>
    <w:p w14:paraId="04BEC734">
      <w:pPr>
        <w:pStyle w:val="16"/>
        <w:spacing w:before="31" w:after="31"/>
        <w:ind w:firstLine="420" w:firstLineChars="0"/>
        <w:rPr>
          <w:szCs w:val="24"/>
        </w:rPr>
      </w:pPr>
      <w:r>
        <w:rPr>
          <w:rFonts w:hint="eastAsia"/>
          <w:szCs w:val="24"/>
        </w:rPr>
        <w:t>Material of the superheater tubes is SA-213, T91.</w:t>
      </w:r>
    </w:p>
    <w:p w14:paraId="25ECD129">
      <w:pPr>
        <w:pStyle w:val="16"/>
        <w:spacing w:before="31" w:after="31"/>
        <w:ind w:firstLine="420" w:firstLineChars="0"/>
        <w:rPr>
          <w:szCs w:val="24"/>
        </w:rPr>
      </w:pPr>
    </w:p>
    <w:p w14:paraId="0920DF60">
      <w:pPr>
        <w:pStyle w:val="16"/>
        <w:spacing w:before="31" w:after="31"/>
        <w:ind w:firstLine="0" w:firstLineChars="0"/>
        <w:rPr>
          <w:szCs w:val="24"/>
        </w:rPr>
      </w:pPr>
      <w:r>
        <w:rPr>
          <w:rFonts w:hint="eastAsia"/>
          <w:szCs w:val="24"/>
        </w:rPr>
        <w:t>(5) Failure Component Morphology:</w:t>
      </w:r>
    </w:p>
    <w:p w14:paraId="4D26124F">
      <w:pPr>
        <w:pStyle w:val="16"/>
        <w:spacing w:before="31" w:after="31"/>
        <w:ind w:firstLine="420" w:firstLineChars="0"/>
        <w:rPr>
          <w:szCs w:val="24"/>
        </w:rPr>
      </w:pPr>
      <w:r>
        <w:rPr>
          <w:rFonts w:hint="eastAsia"/>
          <w:szCs w:val="24"/>
        </w:rPr>
        <w:t>Null</w:t>
      </w:r>
    </w:p>
    <w:p w14:paraId="48992F86">
      <w:pPr>
        <w:pStyle w:val="16"/>
        <w:spacing w:before="31" w:after="31"/>
        <w:ind w:firstLine="420" w:firstLineChars="0"/>
        <w:rPr>
          <w:szCs w:val="24"/>
        </w:rPr>
      </w:pPr>
    </w:p>
    <w:p w14:paraId="37C104D1">
      <w:pPr>
        <w:pStyle w:val="16"/>
        <w:spacing w:before="31" w:after="31"/>
        <w:ind w:firstLine="0" w:firstLineChars="0"/>
        <w:rPr>
          <w:szCs w:val="24"/>
        </w:rPr>
      </w:pPr>
      <w:r>
        <w:rPr>
          <w:rFonts w:hint="eastAsia"/>
          <w:szCs w:val="24"/>
        </w:rPr>
        <w:t>(6) Failure Cause Analysis:</w:t>
      </w:r>
    </w:p>
    <w:p w14:paraId="02E2974D">
      <w:pPr>
        <w:pStyle w:val="16"/>
        <w:spacing w:before="31" w:after="31"/>
        <w:ind w:firstLine="420" w:firstLineChars="0"/>
        <w:rPr>
          <w:szCs w:val="24"/>
        </w:rPr>
      </w:pPr>
      <w:r>
        <w:rPr>
          <w:rFonts w:hint="eastAsia"/>
          <w:szCs w:val="24"/>
        </w:rPr>
        <w:t>The leakage point at the 1st circle of the 15th row from the left in the final superheater was identified as the first rupture point. Through on-site inspection and macroscopic analysis of the fracture, it was observed that there was intense plastic deformation at the burst opening, and T91 throughout the tube exhibited swelling. Approximately 4% swelling was observed on the T91 side, 2 meters away from the burst opening. Combined with foreign objects in the screen superheater and the final superheater junction box, it was determined that the burst of the superheater tubes was caused by short-term overheating due to flow restriction by internal foreign objects. The rigid welded sealing form used for suspending tubes through the water-cooled wall was deemed structurally unreasonable. Additionally, the design clearance at the sealing weld was small, leading to the construction unit inadvertently welding directly onto the tube, causing cracking.</w:t>
      </w:r>
    </w:p>
    <w:p w14:paraId="43DEF41F">
      <w:pPr>
        <w:spacing w:before="156" w:beforeLines="50" w:after="468" w:afterLines="150" w:line="312" w:lineRule="auto"/>
        <w:jc w:val="center"/>
        <w:rPr>
          <w:sz w:val="24"/>
        </w:rPr>
      </w:pPr>
      <w:r>
        <w:rPr>
          <w:rFonts w:hint="eastAsia" w:hAnsi="宋体"/>
          <w:b/>
          <w:color w:val="000000"/>
          <w:szCs w:val="21"/>
        </w:rPr>
        <w:t>Figure 3-17.1:* Burst opening morphology of the screen superheater inlet pipe.</w:t>
      </w:r>
    </w:p>
    <w:p w14:paraId="5B482A84">
      <w:pPr>
        <w:pStyle w:val="16"/>
        <w:spacing w:before="31" w:after="31"/>
        <w:ind w:firstLine="0" w:firstLineChars="0"/>
        <w:rPr>
          <w:szCs w:val="24"/>
        </w:rPr>
      </w:pPr>
      <w:r>
        <w:rPr>
          <w:rFonts w:hint="eastAsia"/>
          <w:szCs w:val="24"/>
        </w:rPr>
        <w:t>(7) Impact and Harm Caused</w:t>
      </w:r>
    </w:p>
    <w:p w14:paraId="7A940150">
      <w:pPr>
        <w:pStyle w:val="16"/>
        <w:spacing w:before="31" w:after="31"/>
        <w:ind w:firstLine="420" w:firstLineChars="0"/>
        <w:rPr>
          <w:szCs w:val="24"/>
        </w:rPr>
      </w:pPr>
      <w:r>
        <w:rPr>
          <w:rFonts w:hint="eastAsia"/>
          <w:szCs w:val="24"/>
        </w:rPr>
        <w:t>Null</w:t>
      </w:r>
    </w:p>
    <w:p w14:paraId="1B034177">
      <w:pPr>
        <w:pStyle w:val="16"/>
        <w:spacing w:before="31" w:after="31"/>
        <w:ind w:firstLine="0" w:firstLineChars="0"/>
        <w:rPr>
          <w:szCs w:val="24"/>
        </w:rPr>
      </w:pPr>
    </w:p>
    <w:p w14:paraId="66F33F2E">
      <w:pPr>
        <w:pStyle w:val="16"/>
        <w:spacing w:before="31" w:after="31"/>
        <w:ind w:firstLine="0" w:firstLineChars="0"/>
        <w:rPr>
          <w:szCs w:val="24"/>
        </w:rPr>
      </w:pPr>
      <w:r>
        <w:rPr>
          <w:rFonts w:hint="eastAsia"/>
          <w:szCs w:val="24"/>
        </w:rPr>
        <w:t>(8) Conclusion and Improvement Measures:</w:t>
      </w:r>
    </w:p>
    <w:p w14:paraId="1CCBB675">
      <w:pPr>
        <w:pStyle w:val="16"/>
        <w:spacing w:before="31" w:after="31"/>
        <w:ind w:firstLine="420" w:firstLineChars="0"/>
        <w:rPr>
          <w:szCs w:val="24"/>
        </w:rPr>
      </w:pPr>
      <w:r>
        <w:rPr>
          <w:rFonts w:hint="eastAsia"/>
          <w:szCs w:val="24"/>
        </w:rPr>
        <w:t>a) Reduce structural stress. Pay attention to the quality of welded seals, carefully adjust the sealing clearances, strictly prohibit welding directly onto the tube, and avoid defects such as undercutting; b) Adopt double-sided sealing according to the drawings to enhance weld strength and improve fatigue fracture resistance; c) Control the level of external applied stress, pay attention to the speed of load rise and fall, ensure uniform heating of all components inside the furnace, avoid sudden temperature changes, and prevent thermal stress from concentrating at weak points in the structure; d) Use welded sealing for tubes passing through the water-cooled wall; e) Conduct thorough creep measurements on the entire screen superheater and final superheater, and replace tubes in the screen superheater (2 tubes with approximately 4% swelling) that exceed creep standards.</w:t>
      </w:r>
    </w:p>
    <w:p w14:paraId="4E236BD0">
      <w:pPr>
        <w:pStyle w:val="16"/>
        <w:spacing w:before="31" w:after="31"/>
        <w:ind w:firstLine="420" w:firstLineChars="0"/>
        <w:rPr>
          <w:szCs w:val="24"/>
        </w:rPr>
      </w:pPr>
    </w:p>
    <w:p w14:paraId="3FEBE514">
      <w:pPr>
        <w:pStyle w:val="21"/>
        <w:numPr>
          <w:ilvl w:val="2"/>
          <w:numId w:val="0"/>
        </w:numPr>
        <w:rPr>
          <w:rFonts w:eastAsia="宋体"/>
          <w:color w:val="000000"/>
        </w:rPr>
      </w:pPr>
      <w:r>
        <w:rPr>
          <w:rFonts w:hint="eastAsia" w:eastAsia="宋体"/>
          <w:color w:val="000000"/>
        </w:rPr>
        <w:t>3.5.6 Case 3-18 Burst of High-Temperature Reheater Tubes</w:t>
      </w:r>
    </w:p>
    <w:p w14:paraId="57BFF3ED">
      <w:pPr>
        <w:pStyle w:val="16"/>
        <w:spacing w:before="31" w:after="31"/>
        <w:ind w:firstLine="0" w:firstLineChars="0"/>
        <w:rPr>
          <w:szCs w:val="24"/>
        </w:rPr>
      </w:pPr>
      <w:r>
        <w:rPr>
          <w:rFonts w:hint="eastAsia"/>
          <w:szCs w:val="24"/>
        </w:rPr>
        <w:t>(1) Case Name:</w:t>
      </w:r>
    </w:p>
    <w:p w14:paraId="79FDA5C2">
      <w:pPr>
        <w:pStyle w:val="16"/>
        <w:spacing w:before="31" w:after="31"/>
        <w:ind w:firstLine="420" w:firstLineChars="0"/>
        <w:rPr>
          <w:szCs w:val="24"/>
        </w:rPr>
      </w:pPr>
      <w:r>
        <w:rPr>
          <w:rFonts w:hint="eastAsia"/>
          <w:szCs w:val="24"/>
        </w:rPr>
        <w:t>Accident of bursting in the high-temperature reheater tubes of Boiler 2 at Ningxia Zhongning Power Generation Co., Ltd. [46].</w:t>
      </w:r>
    </w:p>
    <w:p w14:paraId="12CCFB71">
      <w:pPr>
        <w:pStyle w:val="16"/>
        <w:spacing w:before="31" w:after="31"/>
        <w:ind w:firstLine="420" w:firstLineChars="0"/>
        <w:rPr>
          <w:szCs w:val="24"/>
        </w:rPr>
      </w:pPr>
    </w:p>
    <w:p w14:paraId="5CD6CA2F">
      <w:pPr>
        <w:pStyle w:val="16"/>
        <w:spacing w:before="31" w:after="31"/>
        <w:ind w:firstLine="0" w:firstLineChars="0"/>
        <w:rPr>
          <w:szCs w:val="24"/>
        </w:rPr>
      </w:pPr>
      <w:r>
        <w:rPr>
          <w:rFonts w:hint="eastAsia"/>
          <w:szCs w:val="24"/>
        </w:rPr>
        <w:t>(2) Failure Process Description:</w:t>
      </w:r>
    </w:p>
    <w:p w14:paraId="37174664">
      <w:pPr>
        <w:pStyle w:val="16"/>
        <w:spacing w:before="31" w:after="31"/>
        <w:ind w:firstLine="420" w:firstLineChars="0"/>
        <w:rPr>
          <w:szCs w:val="24"/>
        </w:rPr>
      </w:pPr>
      <w:r>
        <w:rPr>
          <w:rFonts w:hint="eastAsia"/>
          <w:szCs w:val="24"/>
        </w:rPr>
        <w:t>Boiler 2 at Ningxia Zhongning Power Generation Co., Ltd. was manufactured by Wuhan Boiler Co., Ltd., and it is a WGZ1112/17.50-3 subcritical drum boiler. Boiler 2 was commissioned on November 17, 2005, and on May 3, 2006, a high-temperature reheater tube burst occurred, specifically in tube #16-9 at an elevation of 49.3m. Due to the steam leakage from the burst tube, tubes #16-8, #17-6, #18-9, and the burst tube all experienced thinning and bursting due to the scouring effect of the leaking steam. After only 10 days of resuming operation, another burst occurred in tube #16-9 on May 20, at an elevation of around 50.3m. The burst locations included the upper part of the previously replaced tube section (along the steam flow direction), causing two openings. The surrounding tubes, #14-3,4,5,6, and #15-5,6,7,8 (eight tubes in total), were also affected, experiencing thinning and bursting due to the scouring effect.</w:t>
      </w:r>
    </w:p>
    <w:p w14:paraId="12F43197">
      <w:pPr>
        <w:pStyle w:val="16"/>
        <w:spacing w:before="31" w:after="31"/>
        <w:ind w:firstLine="420" w:firstLineChars="0"/>
        <w:rPr>
          <w:szCs w:val="24"/>
        </w:rPr>
      </w:pPr>
    </w:p>
    <w:p w14:paraId="3D1F175E">
      <w:pPr>
        <w:pStyle w:val="16"/>
        <w:spacing w:before="31" w:after="31"/>
        <w:ind w:firstLine="0" w:firstLineChars="0"/>
        <w:rPr>
          <w:szCs w:val="24"/>
        </w:rPr>
      </w:pPr>
      <w:r>
        <w:rPr>
          <w:rFonts w:hint="eastAsia"/>
          <w:szCs w:val="24"/>
        </w:rPr>
        <w:t>(3) Service Environment:</w:t>
      </w:r>
    </w:p>
    <w:p w14:paraId="6CD03CC0">
      <w:pPr>
        <w:pStyle w:val="16"/>
        <w:spacing w:before="31" w:after="31"/>
        <w:ind w:firstLine="420" w:firstLineChars="0"/>
        <w:rPr>
          <w:szCs w:val="24"/>
        </w:rPr>
      </w:pPr>
      <w:r>
        <w:rPr>
          <w:rFonts w:hint="eastAsia"/>
          <w:szCs w:val="24"/>
        </w:rPr>
        <w:t>Superheated steam temperature: 540°C; Inlet temperature of reheated steam: 324.5°C; Outlet temperature of reheated steam: 540°C.</w:t>
      </w:r>
    </w:p>
    <w:p w14:paraId="0BB77628">
      <w:pPr>
        <w:pStyle w:val="16"/>
        <w:spacing w:before="31" w:after="31"/>
        <w:ind w:firstLine="420" w:firstLineChars="0"/>
        <w:rPr>
          <w:szCs w:val="24"/>
        </w:rPr>
      </w:pPr>
    </w:p>
    <w:p w14:paraId="183C9F4C">
      <w:pPr>
        <w:pStyle w:val="16"/>
        <w:spacing w:before="31" w:after="31"/>
        <w:ind w:firstLine="0" w:firstLineChars="0"/>
        <w:rPr>
          <w:szCs w:val="24"/>
        </w:rPr>
      </w:pPr>
      <w:r>
        <w:rPr>
          <w:rFonts w:hint="eastAsia"/>
          <w:szCs w:val="24"/>
        </w:rPr>
        <w:t>(4) Failed Components and Material:</w:t>
      </w:r>
    </w:p>
    <w:p w14:paraId="68B7D404">
      <w:pPr>
        <w:pStyle w:val="16"/>
        <w:spacing w:before="31" w:after="31"/>
        <w:ind w:firstLine="420" w:firstLineChars="0"/>
        <w:rPr>
          <w:szCs w:val="24"/>
        </w:rPr>
      </w:pPr>
      <w:r>
        <w:rPr>
          <w:rFonts w:hint="eastAsia"/>
          <w:szCs w:val="24"/>
        </w:rPr>
        <w:t>Material of the high-temperature reheater tubes is T91, with specifications φ51mm×4.5mm.</w:t>
      </w:r>
    </w:p>
    <w:p w14:paraId="6F4D7A23">
      <w:pPr>
        <w:pStyle w:val="16"/>
        <w:spacing w:before="31" w:after="31"/>
        <w:ind w:firstLine="420" w:firstLineChars="0"/>
        <w:rPr>
          <w:szCs w:val="24"/>
        </w:rPr>
      </w:pPr>
    </w:p>
    <w:p w14:paraId="0A538502">
      <w:pPr>
        <w:pStyle w:val="16"/>
        <w:spacing w:before="31" w:after="31"/>
        <w:ind w:firstLine="0" w:firstLineChars="0"/>
        <w:rPr>
          <w:szCs w:val="24"/>
        </w:rPr>
      </w:pPr>
      <w:r>
        <w:rPr>
          <w:rFonts w:hint="eastAsia"/>
          <w:szCs w:val="24"/>
        </w:rPr>
        <w:t>(5) Failed Component Morphology:</w:t>
      </w:r>
    </w:p>
    <w:p w14:paraId="41224D9B">
      <w:pPr>
        <w:pStyle w:val="16"/>
        <w:spacing w:before="31" w:after="31"/>
        <w:ind w:firstLine="420" w:firstLineChars="0"/>
        <w:rPr>
          <w:szCs w:val="24"/>
        </w:rPr>
      </w:pPr>
      <w:r>
        <w:rPr>
          <w:rFonts w:hint="eastAsia"/>
          <w:szCs w:val="24"/>
        </w:rPr>
        <w:t>The first burst occurred in tube #16-9, with two burst openings along the longitudinal crack in the tube, as seen in Figure 3-18.1. The first opening was 65mm long, with a maximum width of 20mm, a measured diameter of φ57.4mm at the burst location, and a thickness of 3.1mm at the opening edge. There were numerous bark-like cracks parallel to the longitudinal axis near the opening. The second opening resulted from thinning and bursting due to steam leakage, as shown in Figure 3-18.2. Tubes #16-8 and #17-6, adjacent to the second opening, also experienced thinning and bursting to varying degrees. The minimum wall thickness at the burst opening edge was 0.3mm. The second burst occurred in the upper part of the previously replaced tube section (along the direction of medium flow) and had two openings, numbered 3# and 4# along the flow direction. The 3# opening was 70mm long with a maximum width of 6.5mm, and the 4# opening had three openings with lengths of 16mm, 22mm, and 15mm, and a maximum width of 5mm, as shown in Figure 3-18.3.</w:t>
      </w:r>
    </w:p>
    <w:p w14:paraId="3C51D7F3">
      <w:pPr>
        <w:spacing w:before="156" w:beforeLines="50" w:after="468" w:afterLines="150" w:line="312" w:lineRule="auto"/>
        <w:rPr>
          <w:rFonts w:hAnsi="宋体"/>
          <w:b/>
          <w:color w:val="000000"/>
          <w:szCs w:val="21"/>
        </w:rPr>
      </w:pPr>
      <w:r>
        <w:rPr>
          <w:rFonts w:hint="eastAsia" w:hAnsi="宋体"/>
          <w:b/>
          <w:color w:val="000000"/>
          <w:szCs w:val="21"/>
        </w:rPr>
        <w:t>Figure 3-18.1: Macroscopic morphology of the burst opening in tube #16-9.</w:t>
      </w:r>
    </w:p>
    <w:p w14:paraId="7E5C2470">
      <w:pPr>
        <w:spacing w:before="156" w:beforeLines="50" w:after="468" w:afterLines="150" w:line="312" w:lineRule="auto"/>
        <w:rPr>
          <w:rFonts w:hAnsi="宋体"/>
          <w:b/>
          <w:color w:val="000000"/>
          <w:szCs w:val="21"/>
        </w:rPr>
      </w:pPr>
      <w:r>
        <w:rPr>
          <w:rFonts w:hint="eastAsia" w:hAnsi="宋体"/>
          <w:b/>
          <w:color w:val="000000"/>
          <w:szCs w:val="21"/>
        </w:rPr>
        <w:t>Figure 3-18.2:* Macroscopic morphology of the burst in tube #16-8.</w:t>
      </w:r>
    </w:p>
    <w:p w14:paraId="76472F0E">
      <w:pPr>
        <w:spacing w:before="156" w:beforeLines="50" w:after="468" w:afterLines="150" w:line="312" w:lineRule="auto"/>
        <w:jc w:val="center"/>
        <w:rPr>
          <w:rFonts w:hAnsi="宋体"/>
          <w:b/>
          <w:color w:val="000000"/>
          <w:szCs w:val="21"/>
        </w:rPr>
      </w:pPr>
      <w:r>
        <w:rPr>
          <w:rFonts w:hint="eastAsia" w:hAnsi="宋体"/>
          <w:b/>
          <w:color w:val="000000"/>
          <w:szCs w:val="21"/>
        </w:rPr>
        <w:t>Figure 3-18.3:* Macroscopic morphology of the 3# and 4# openings in tube #16-9.</w:t>
      </w:r>
    </w:p>
    <w:p w14:paraId="23E5361B">
      <w:pPr>
        <w:pStyle w:val="16"/>
        <w:spacing w:before="31" w:after="31"/>
        <w:ind w:firstLine="0" w:firstLineChars="0"/>
        <w:rPr>
          <w:szCs w:val="24"/>
        </w:rPr>
      </w:pPr>
      <w:r>
        <w:rPr>
          <w:rFonts w:hint="eastAsia"/>
          <w:szCs w:val="24"/>
        </w:rPr>
        <w:t>(6) Failure Cause Analysis:</w:t>
      </w:r>
    </w:p>
    <w:p w14:paraId="2B5973C4">
      <w:pPr>
        <w:pStyle w:val="16"/>
        <w:spacing w:before="31" w:after="31"/>
        <w:ind w:firstLine="420" w:firstLineChars="0"/>
        <w:rPr>
          <w:szCs w:val="24"/>
        </w:rPr>
      </w:pPr>
      <w:r>
        <w:rPr>
          <w:rFonts w:hint="eastAsia"/>
          <w:szCs w:val="24"/>
        </w:rPr>
        <w:t>Boiler 2's high-temperature reheater had a very short operating time and suffered severe aging of its structure. The burst openings exhibited typical characteristics of long-term bursting, including tube diameter swelling, indicating tube bursting due to prolonged overheating.</w:t>
      </w:r>
    </w:p>
    <w:p w14:paraId="21BAE465">
      <w:pPr>
        <w:pStyle w:val="16"/>
        <w:spacing w:before="31" w:after="31"/>
        <w:ind w:firstLine="420" w:firstLineChars="0"/>
        <w:rPr>
          <w:szCs w:val="24"/>
        </w:rPr>
      </w:pPr>
    </w:p>
    <w:p w14:paraId="19D8C764">
      <w:pPr>
        <w:pStyle w:val="16"/>
        <w:spacing w:before="31" w:after="31"/>
        <w:ind w:firstLine="0" w:firstLineChars="0"/>
        <w:rPr>
          <w:szCs w:val="24"/>
        </w:rPr>
      </w:pPr>
      <w:r>
        <w:rPr>
          <w:rFonts w:hint="eastAsia"/>
          <w:szCs w:val="24"/>
        </w:rPr>
        <w:t>(7) Impact and Harm Caused</w:t>
      </w:r>
    </w:p>
    <w:p w14:paraId="2C6612DB">
      <w:pPr>
        <w:pStyle w:val="16"/>
        <w:spacing w:before="31" w:after="31"/>
        <w:ind w:firstLine="420" w:firstLineChars="0"/>
        <w:rPr>
          <w:szCs w:val="24"/>
        </w:rPr>
      </w:pPr>
      <w:r>
        <w:rPr>
          <w:rFonts w:hint="eastAsia"/>
          <w:szCs w:val="24"/>
        </w:rPr>
        <w:t>Null</w:t>
      </w:r>
    </w:p>
    <w:p w14:paraId="62EE38FE">
      <w:pPr>
        <w:pStyle w:val="16"/>
        <w:spacing w:before="31" w:after="31"/>
        <w:ind w:firstLine="420" w:firstLineChars="0"/>
        <w:rPr>
          <w:szCs w:val="24"/>
        </w:rPr>
      </w:pPr>
    </w:p>
    <w:p w14:paraId="680D5584">
      <w:pPr>
        <w:pStyle w:val="16"/>
        <w:spacing w:before="31" w:after="31"/>
        <w:ind w:firstLine="0" w:firstLineChars="0"/>
        <w:rPr>
          <w:szCs w:val="24"/>
        </w:rPr>
      </w:pPr>
      <w:r>
        <w:rPr>
          <w:rFonts w:hint="eastAsia"/>
          <w:szCs w:val="24"/>
        </w:rPr>
        <w:t>(8) Conclusion and Improvement Measures:</w:t>
      </w:r>
    </w:p>
    <w:p w14:paraId="6296A2B6">
      <w:pPr>
        <w:pStyle w:val="16"/>
        <w:spacing w:before="31" w:after="31"/>
        <w:ind w:firstLine="420" w:firstLineChars="0"/>
        <w:rPr>
          <w:szCs w:val="24"/>
        </w:rPr>
      </w:pPr>
      <w:r>
        <w:rPr>
          <w:rFonts w:hint="eastAsia"/>
          <w:szCs w:val="24"/>
        </w:rPr>
        <w:t>The analysis results indicate that all tubes in tube #16-9 have experienced overheating and can no longer guarantee normal performance under operating conditions. To prevent further tube bursting, it is decided to block this tube from the reheater inlet junction box to the reheater outlet junction box.</w:t>
      </w:r>
    </w:p>
    <w:p w14:paraId="47ED0053">
      <w:pPr>
        <w:pStyle w:val="16"/>
        <w:spacing w:before="31" w:after="31"/>
        <w:ind w:firstLine="420" w:firstLineChars="0"/>
        <w:rPr>
          <w:szCs w:val="24"/>
        </w:rPr>
      </w:pPr>
    </w:p>
    <w:p w14:paraId="6A3252AE">
      <w:pPr>
        <w:pStyle w:val="16"/>
        <w:spacing w:before="31" w:after="31"/>
        <w:ind w:firstLine="420" w:firstLineChars="0"/>
        <w:rPr>
          <w:szCs w:val="24"/>
        </w:rPr>
      </w:pPr>
    </w:p>
    <w:p w14:paraId="279AD7F2">
      <w:pPr>
        <w:pStyle w:val="21"/>
        <w:numPr>
          <w:ilvl w:val="2"/>
          <w:numId w:val="0"/>
        </w:numPr>
        <w:rPr>
          <w:rFonts w:eastAsia="宋体"/>
          <w:color w:val="000000"/>
        </w:rPr>
      </w:pPr>
      <w:r>
        <w:rPr>
          <w:rFonts w:hint="eastAsia" w:eastAsia="宋体"/>
          <w:color w:val="000000"/>
        </w:rPr>
        <w:t>3.5.7 Case 3-19 Leakage Accident of Low-Temperature Reheater Tubes in Unit 2 of Fushun Power Generation Co., Ltd. [48]</w:t>
      </w:r>
    </w:p>
    <w:p w14:paraId="7A5B269E">
      <w:pPr>
        <w:pStyle w:val="16"/>
        <w:spacing w:before="31" w:after="31"/>
        <w:ind w:firstLine="0" w:firstLineChars="0"/>
        <w:rPr>
          <w:szCs w:val="24"/>
        </w:rPr>
      </w:pPr>
      <w:r>
        <w:rPr>
          <w:rFonts w:hint="eastAsia"/>
          <w:szCs w:val="24"/>
        </w:rPr>
        <w:t>(1) Case Name:</w:t>
      </w:r>
    </w:p>
    <w:p w14:paraId="15E57516">
      <w:pPr>
        <w:pStyle w:val="16"/>
        <w:spacing w:before="31" w:after="31"/>
        <w:ind w:firstLine="420" w:firstLineChars="0"/>
        <w:rPr>
          <w:szCs w:val="24"/>
        </w:rPr>
      </w:pPr>
      <w:r>
        <w:rPr>
          <w:rFonts w:hint="eastAsia"/>
          <w:szCs w:val="24"/>
        </w:rPr>
        <w:t>Leakage Accident of Low-Temperature Reheater Tubes in Unit 2 of Fushun Power Generation Co., Ltd. [48].</w:t>
      </w:r>
    </w:p>
    <w:p w14:paraId="1EC97FDF">
      <w:pPr>
        <w:pStyle w:val="16"/>
        <w:spacing w:before="31" w:after="31"/>
        <w:ind w:firstLine="420" w:firstLineChars="0"/>
        <w:rPr>
          <w:szCs w:val="24"/>
        </w:rPr>
      </w:pPr>
    </w:p>
    <w:p w14:paraId="333B4E4D">
      <w:pPr>
        <w:pStyle w:val="16"/>
        <w:spacing w:before="31" w:after="31"/>
        <w:ind w:firstLine="0" w:firstLineChars="0"/>
        <w:rPr>
          <w:szCs w:val="24"/>
        </w:rPr>
      </w:pPr>
      <w:r>
        <w:rPr>
          <w:rFonts w:hint="eastAsia"/>
          <w:szCs w:val="24"/>
        </w:rPr>
        <w:t>(2) Failure Process Description:</w:t>
      </w:r>
    </w:p>
    <w:p w14:paraId="0537B3F9">
      <w:pPr>
        <w:pStyle w:val="16"/>
        <w:spacing w:before="31" w:after="31"/>
        <w:ind w:firstLine="420" w:firstLineChars="0"/>
        <w:rPr>
          <w:szCs w:val="24"/>
        </w:rPr>
      </w:pPr>
      <w:r>
        <w:rPr>
          <w:rFonts w:hint="eastAsia"/>
          <w:szCs w:val="24"/>
        </w:rPr>
        <w:t>The reheater tubes of Unit 2 at Fushun Power Generation Co., Ltd. experienced leaks on June 21 and June 28, 2006.</w:t>
      </w:r>
    </w:p>
    <w:p w14:paraId="44FFFC52">
      <w:pPr>
        <w:pStyle w:val="16"/>
        <w:spacing w:before="31" w:after="31"/>
        <w:ind w:firstLine="420" w:firstLineChars="0"/>
        <w:rPr>
          <w:szCs w:val="24"/>
        </w:rPr>
      </w:pPr>
    </w:p>
    <w:p w14:paraId="2B7FBDB7">
      <w:pPr>
        <w:pStyle w:val="16"/>
        <w:spacing w:before="31" w:after="31"/>
        <w:ind w:firstLine="0" w:firstLineChars="0"/>
        <w:rPr>
          <w:szCs w:val="24"/>
        </w:rPr>
      </w:pPr>
      <w:r>
        <w:rPr>
          <w:rFonts w:hint="eastAsia"/>
          <w:szCs w:val="24"/>
        </w:rPr>
        <w:t>(3) Service Environment:</w:t>
      </w:r>
    </w:p>
    <w:p w14:paraId="5E9DECD8">
      <w:pPr>
        <w:pStyle w:val="16"/>
        <w:spacing w:before="31" w:after="31"/>
        <w:ind w:firstLine="420" w:firstLineChars="0"/>
        <w:rPr>
          <w:szCs w:val="24"/>
        </w:rPr>
      </w:pPr>
      <w:r>
        <w:rPr>
          <w:rFonts w:hint="eastAsia"/>
          <w:szCs w:val="24"/>
        </w:rPr>
        <w:t>Main steam flow: 485 t/h; Main steam temperature: 535°C; Main steam pressure: 1219 MPa; Reheat steam temperature: 535°C; Feedwater pressure: 1517 MPa; Feedwater flow: 505 t/h; Flue gas temperature: 480°C on the left, 465°C on the right (leakage location); Reheater pressure: 117 MPa on the left, 117 MPa on the right; Furnace negative pressure: 20 Pa.</w:t>
      </w:r>
    </w:p>
    <w:p w14:paraId="6B9412BA">
      <w:pPr>
        <w:pStyle w:val="16"/>
        <w:spacing w:before="31" w:after="31"/>
        <w:ind w:firstLine="420" w:firstLineChars="0"/>
        <w:rPr>
          <w:szCs w:val="24"/>
        </w:rPr>
      </w:pPr>
    </w:p>
    <w:p w14:paraId="2A9F57DE">
      <w:pPr>
        <w:pStyle w:val="16"/>
        <w:spacing w:before="31" w:after="31"/>
        <w:ind w:firstLine="0" w:firstLineChars="0"/>
        <w:rPr>
          <w:szCs w:val="24"/>
        </w:rPr>
      </w:pPr>
      <w:r>
        <w:rPr>
          <w:rFonts w:hint="eastAsia"/>
          <w:szCs w:val="24"/>
        </w:rPr>
        <w:t>(4) Failed Components and Material:</w:t>
      </w:r>
    </w:p>
    <w:p w14:paraId="3DFAA183">
      <w:pPr>
        <w:pStyle w:val="16"/>
        <w:spacing w:before="31" w:after="31"/>
        <w:ind w:firstLine="420" w:firstLineChars="0"/>
        <w:rPr>
          <w:szCs w:val="24"/>
        </w:rPr>
      </w:pPr>
      <w:r>
        <w:rPr>
          <w:rFonts w:hint="eastAsia"/>
          <w:szCs w:val="24"/>
        </w:rPr>
        <w:t>The material of the low-temperature reheater tubes is 20 G, with specifications φ42 mm × 3.5 mm.</w:t>
      </w:r>
    </w:p>
    <w:p w14:paraId="5312EB77">
      <w:pPr>
        <w:pStyle w:val="16"/>
        <w:spacing w:before="31" w:after="31"/>
        <w:ind w:firstLine="420" w:firstLineChars="0"/>
        <w:rPr>
          <w:szCs w:val="24"/>
        </w:rPr>
      </w:pPr>
    </w:p>
    <w:p w14:paraId="17E01C02">
      <w:pPr>
        <w:pStyle w:val="16"/>
        <w:spacing w:before="31" w:after="31"/>
        <w:ind w:firstLine="0" w:firstLineChars="0"/>
        <w:rPr>
          <w:szCs w:val="24"/>
        </w:rPr>
      </w:pPr>
      <w:r>
        <w:rPr>
          <w:rFonts w:hint="eastAsia"/>
          <w:szCs w:val="24"/>
        </w:rPr>
        <w:t>(5) Failed Component Morphology:</w:t>
      </w:r>
    </w:p>
    <w:p w14:paraId="0B9F4229">
      <w:pPr>
        <w:pStyle w:val="16"/>
        <w:spacing w:before="31" w:after="31"/>
        <w:ind w:firstLine="420" w:firstLineChars="0"/>
        <w:rPr>
          <w:szCs w:val="24"/>
        </w:rPr>
      </w:pPr>
      <w:r>
        <w:rPr>
          <w:rFonts w:hint="eastAsia"/>
          <w:szCs w:val="24"/>
        </w:rPr>
        <w:t>Upon longitudinal sectioning of the leaked reheater tubes and those adjacent to the leakage, deposits of red water rust and yellow-brown scale were observed on the inner wall of the tubes. After removing the red water rust and yellow-brown scale, various-sized pitting corrosion pits were found on the inner wall of the tubes, as shown in Figure 3-19.1.</w:t>
      </w:r>
    </w:p>
    <w:p w14:paraId="2ED3D7AB">
      <w:pPr>
        <w:spacing w:before="156" w:beforeLines="50" w:after="468" w:afterLines="150" w:line="312" w:lineRule="auto"/>
        <w:jc w:val="center"/>
        <w:rPr>
          <w:rFonts w:hAnsi="宋体"/>
          <w:b/>
          <w:color w:val="000000"/>
          <w:szCs w:val="21"/>
        </w:rPr>
      </w:pPr>
      <w:r>
        <w:rPr>
          <w:rFonts w:hint="eastAsia" w:hAnsi="宋体"/>
          <w:b/>
          <w:color w:val="000000"/>
          <w:szCs w:val="21"/>
        </w:rPr>
        <w:t>Figure 3-19.1:* Corrosion pits on the inner wall of the tube.</w:t>
      </w:r>
    </w:p>
    <w:p w14:paraId="1005842E">
      <w:pPr>
        <w:pStyle w:val="16"/>
        <w:spacing w:before="31" w:after="31"/>
        <w:ind w:firstLine="0" w:firstLineChars="0"/>
        <w:rPr>
          <w:szCs w:val="24"/>
        </w:rPr>
      </w:pPr>
      <w:r>
        <w:rPr>
          <w:rFonts w:hint="eastAsia"/>
          <w:szCs w:val="24"/>
        </w:rPr>
        <w:t>(6) Failure Cause Analysis:</w:t>
      </w:r>
    </w:p>
    <w:p w14:paraId="3EAC9002">
      <w:pPr>
        <w:pStyle w:val="16"/>
        <w:spacing w:before="31" w:after="31"/>
        <w:ind w:firstLine="420" w:firstLineChars="0"/>
        <w:rPr>
          <w:szCs w:val="24"/>
        </w:rPr>
      </w:pPr>
      <w:r>
        <w:rPr>
          <w:rFonts w:hint="eastAsia"/>
          <w:szCs w:val="24"/>
        </w:rPr>
        <w:t>The analysis revealed that the metallographic structure of the low-temperature reheater tubes in Unit 2 was normal, and the chemical composition and mechanical properties of the tubes met the relevant standard requirements. The main cause of the leakage was localized corrosion of the tube wall due to oxygen corrosion in the condensate water and corrosion beneath the scale.</w:t>
      </w:r>
    </w:p>
    <w:p w14:paraId="7D1D7883">
      <w:pPr>
        <w:pStyle w:val="16"/>
        <w:spacing w:before="31" w:after="31"/>
        <w:ind w:firstLine="420" w:firstLineChars="0"/>
        <w:rPr>
          <w:szCs w:val="24"/>
        </w:rPr>
      </w:pPr>
    </w:p>
    <w:p w14:paraId="6EA526FC">
      <w:pPr>
        <w:pStyle w:val="16"/>
        <w:spacing w:before="31" w:after="31"/>
        <w:ind w:firstLine="0" w:firstLineChars="0"/>
        <w:rPr>
          <w:szCs w:val="24"/>
        </w:rPr>
      </w:pPr>
      <w:r>
        <w:rPr>
          <w:rFonts w:hint="eastAsia"/>
          <w:szCs w:val="24"/>
        </w:rPr>
        <w:t>(7) Impact and Harm Caused</w:t>
      </w:r>
    </w:p>
    <w:p w14:paraId="50D572E1">
      <w:pPr>
        <w:pStyle w:val="16"/>
        <w:spacing w:before="31" w:after="31"/>
        <w:ind w:firstLine="420" w:firstLineChars="0"/>
        <w:rPr>
          <w:szCs w:val="24"/>
        </w:rPr>
      </w:pPr>
      <w:r>
        <w:rPr>
          <w:rFonts w:hint="eastAsia"/>
          <w:szCs w:val="24"/>
        </w:rPr>
        <w:t>Null</w:t>
      </w:r>
    </w:p>
    <w:p w14:paraId="27A4F9C8">
      <w:pPr>
        <w:pStyle w:val="16"/>
        <w:spacing w:before="31" w:after="31"/>
        <w:ind w:firstLine="0" w:firstLineChars="0"/>
        <w:rPr>
          <w:szCs w:val="24"/>
        </w:rPr>
      </w:pPr>
    </w:p>
    <w:p w14:paraId="7F0F318A">
      <w:pPr>
        <w:pStyle w:val="16"/>
        <w:spacing w:before="31" w:after="31"/>
        <w:ind w:firstLine="0" w:firstLineChars="0"/>
        <w:rPr>
          <w:szCs w:val="24"/>
        </w:rPr>
      </w:pPr>
      <w:r>
        <w:rPr>
          <w:rFonts w:hint="eastAsia"/>
          <w:szCs w:val="24"/>
        </w:rPr>
        <w:t>(8) Conclusion and Improvement Measures:</w:t>
      </w:r>
    </w:p>
    <w:p w14:paraId="04EC6AB4">
      <w:pPr>
        <w:pStyle w:val="16"/>
        <w:spacing w:before="31" w:after="31"/>
        <w:ind w:firstLine="420" w:firstLineChars="0"/>
        <w:rPr>
          <w:szCs w:val="24"/>
        </w:rPr>
      </w:pPr>
      <w:r>
        <w:rPr>
          <w:rFonts w:hint="eastAsia"/>
          <w:szCs w:val="24"/>
        </w:rPr>
        <w:t>1. Ensure the quality of feedwater during the operation of the reheater tubes in Unit 2 of Fushun Power Generation Co., Ltd. and implement effective shutdown protection.</w:t>
      </w:r>
    </w:p>
    <w:p w14:paraId="7CC640B2">
      <w:pPr>
        <w:pStyle w:val="16"/>
        <w:spacing w:before="31" w:after="31"/>
        <w:ind w:firstLine="420" w:firstLineChars="0"/>
        <w:rPr>
          <w:szCs w:val="24"/>
        </w:rPr>
      </w:pPr>
      <w:r>
        <w:rPr>
          <w:rFonts w:hint="eastAsia"/>
          <w:szCs w:val="24"/>
        </w:rPr>
        <w:t>2. Conduct comprehensive inspections (thickness measurement, swelling, corrosion, stress, foreign objects, welds, etc.) on the low-temperature reheater tubes and other heat-receiving surface tubes. Regularly cut and inspect tubes in the monitoring section, study and explore the leakage and bursting patterns of heat-receiving surface tubes in each furnace, and formulate preventive measures.</w:t>
      </w:r>
    </w:p>
    <w:p w14:paraId="5CACED8A">
      <w:pPr>
        <w:pStyle w:val="16"/>
        <w:spacing w:before="31" w:after="31"/>
        <w:ind w:firstLine="420" w:firstLineChars="0"/>
        <w:rPr>
          <w:szCs w:val="24"/>
        </w:rPr>
      </w:pPr>
      <w:r>
        <w:rPr>
          <w:rFonts w:hint="eastAsia"/>
          <w:szCs w:val="24"/>
        </w:rPr>
        <w:t>3. Strengthen the supervision and management of metal technology, improve the records of heat-receiving surfaces, standardize the format of macroscopic inspection reports, assign responsibilities for inspection areas to specific personnel, and develop assessment methods.</w:t>
      </w:r>
    </w:p>
    <w:p w14:paraId="7121B127">
      <w:pPr>
        <w:pStyle w:val="16"/>
        <w:spacing w:before="31" w:after="31"/>
        <w:ind w:firstLine="420" w:firstLineChars="0"/>
        <w:rPr>
          <w:szCs w:val="24"/>
        </w:rPr>
      </w:pPr>
    </w:p>
    <w:p w14:paraId="34962632">
      <w:pPr>
        <w:pStyle w:val="21"/>
        <w:numPr>
          <w:ilvl w:val="2"/>
          <w:numId w:val="0"/>
        </w:numPr>
        <w:rPr>
          <w:rFonts w:eastAsia="宋体"/>
          <w:color w:val="000000"/>
        </w:rPr>
      </w:pPr>
      <w:r>
        <w:rPr>
          <w:rFonts w:hint="eastAsia" w:eastAsia="宋体"/>
          <w:color w:val="000000"/>
        </w:rPr>
        <w:t>3.5.8 Case 3-20 Boiler High-Temperature Reheater Tube Rupture Incident in a Power Plant [50]</w:t>
      </w:r>
    </w:p>
    <w:p w14:paraId="7F441DE8">
      <w:pPr>
        <w:pStyle w:val="16"/>
        <w:spacing w:before="31" w:after="31"/>
        <w:ind w:firstLine="0" w:firstLineChars="0"/>
        <w:rPr>
          <w:szCs w:val="24"/>
        </w:rPr>
      </w:pPr>
      <w:r>
        <w:rPr>
          <w:rFonts w:hint="eastAsia"/>
          <w:szCs w:val="24"/>
        </w:rPr>
        <w:t>(1) Case Name:</w:t>
      </w:r>
    </w:p>
    <w:p w14:paraId="733C5400">
      <w:pPr>
        <w:pStyle w:val="16"/>
        <w:spacing w:before="31" w:after="31"/>
        <w:ind w:firstLine="420" w:firstLineChars="0"/>
        <w:rPr>
          <w:szCs w:val="24"/>
        </w:rPr>
      </w:pPr>
      <w:r>
        <w:rPr>
          <w:rFonts w:hint="eastAsia"/>
          <w:szCs w:val="24"/>
        </w:rPr>
        <w:t>Boiler High-Temperature Reheater Tube Rupture Incident in a Power Plant [50].</w:t>
      </w:r>
    </w:p>
    <w:p w14:paraId="6C6F749D">
      <w:pPr>
        <w:pStyle w:val="16"/>
        <w:spacing w:before="31" w:after="31"/>
        <w:ind w:firstLine="420" w:firstLineChars="0"/>
        <w:rPr>
          <w:szCs w:val="24"/>
        </w:rPr>
      </w:pPr>
    </w:p>
    <w:p w14:paraId="0AD9AB8A">
      <w:pPr>
        <w:pStyle w:val="16"/>
        <w:spacing w:before="31" w:after="31"/>
        <w:ind w:firstLine="0" w:firstLineChars="0"/>
        <w:rPr>
          <w:szCs w:val="24"/>
        </w:rPr>
      </w:pPr>
      <w:r>
        <w:rPr>
          <w:rFonts w:hint="eastAsia"/>
          <w:szCs w:val="24"/>
        </w:rPr>
        <w:t>(2) Failure Process Description:</w:t>
      </w:r>
    </w:p>
    <w:p w14:paraId="5B969463">
      <w:pPr>
        <w:pStyle w:val="16"/>
        <w:spacing w:before="31" w:after="31"/>
        <w:ind w:firstLine="420" w:firstLineChars="0"/>
        <w:rPr>
          <w:szCs w:val="24"/>
        </w:rPr>
      </w:pPr>
      <w:r>
        <w:rPr>
          <w:rFonts w:hint="eastAsia"/>
          <w:szCs w:val="24"/>
        </w:rPr>
        <w:t xml:space="preserve">In a 300MW power generation unit at a certain power plant, equipped with a DG1025/18.2-Ⅱ6 boiler manufactured by Dongfang Boiler Factory, four incidents of high-temperature reheater tube rupture occurred within less than a year, after 168 hours of commissioning. Each rupture shared common characteristics: </w:t>
      </w:r>
    </w:p>
    <w:p w14:paraId="3AC79034">
      <w:pPr>
        <w:pStyle w:val="16"/>
        <w:spacing w:before="31" w:after="31"/>
        <w:ind w:firstLine="420" w:firstLineChars="0"/>
        <w:rPr>
          <w:szCs w:val="24"/>
        </w:rPr>
      </w:pPr>
      <w:r>
        <w:rPr>
          <w:rFonts w:hint="eastAsia"/>
          <w:szCs w:val="24"/>
        </w:rPr>
        <w:t>1. Ruptures occurred in the inner circle on the steam entry side of the tube row, approximately 0.5m above the lower bend, with the rupture located in steel 102 material, specifications φ60×4mm, in the upper part and TP347H material, specifications φ60×4mm in the lower short section, and TP347H material, specifications φ60×8.5mm in the bend. The rupture elevation was approximately 57m.</w:t>
      </w:r>
    </w:p>
    <w:p w14:paraId="14F3E67F">
      <w:pPr>
        <w:pStyle w:val="16"/>
        <w:spacing w:before="31" w:after="31"/>
        <w:ind w:firstLine="420" w:firstLineChars="0"/>
        <w:rPr>
          <w:szCs w:val="24"/>
        </w:rPr>
      </w:pPr>
      <w:r>
        <w:rPr>
          <w:rFonts w:hint="eastAsia"/>
          <w:szCs w:val="24"/>
        </w:rPr>
        <w:t>2. Ruptures occurred at the dissimilar steel joint of the 7th tube in the tube row.</w:t>
      </w:r>
    </w:p>
    <w:p w14:paraId="6BDE542D">
      <w:pPr>
        <w:pStyle w:val="16"/>
        <w:spacing w:before="31" w:after="31"/>
        <w:ind w:firstLine="420" w:firstLineChars="0"/>
        <w:rPr>
          <w:szCs w:val="24"/>
        </w:rPr>
      </w:pPr>
      <w:r>
        <w:rPr>
          <w:rFonts w:hint="eastAsia"/>
          <w:szCs w:val="24"/>
        </w:rPr>
        <w:t>3. The rupture position was at the joint between TP347H and steel 102, with cracking along the fusion line and heat-affected zone on the steel 102 side.</w:t>
      </w:r>
    </w:p>
    <w:p w14:paraId="4B502B79">
      <w:pPr>
        <w:pStyle w:val="16"/>
        <w:spacing w:before="31" w:after="31"/>
        <w:ind w:firstLine="420" w:firstLineChars="0"/>
        <w:rPr>
          <w:szCs w:val="24"/>
        </w:rPr>
      </w:pPr>
    </w:p>
    <w:p w14:paraId="5DA094CD">
      <w:pPr>
        <w:pStyle w:val="16"/>
        <w:spacing w:before="31" w:after="31"/>
        <w:ind w:firstLine="0" w:firstLineChars="0"/>
        <w:rPr>
          <w:szCs w:val="24"/>
        </w:rPr>
      </w:pPr>
      <w:r>
        <w:rPr>
          <w:rFonts w:hint="eastAsia"/>
          <w:szCs w:val="24"/>
        </w:rPr>
        <w:t>(3) Service Environment:</w:t>
      </w:r>
    </w:p>
    <w:p w14:paraId="74796020">
      <w:pPr>
        <w:pStyle w:val="16"/>
        <w:spacing w:before="31" w:after="31"/>
        <w:ind w:firstLine="420" w:firstLineChars="0"/>
        <w:rPr>
          <w:szCs w:val="24"/>
        </w:rPr>
      </w:pPr>
      <w:r>
        <w:rPr>
          <w:rFonts w:hint="eastAsia"/>
          <w:szCs w:val="24"/>
        </w:rPr>
        <w:t>Reheater inlet steam temperature: 496 ℃, outlet steam temperature: 541 ℃; Inlet flue gas temperature: 865 ℃, outlet flue gas temperature: 806 ℃, flue gas velocity: 9.5 m/s.</w:t>
      </w:r>
    </w:p>
    <w:p w14:paraId="6F699BCA">
      <w:pPr>
        <w:pStyle w:val="16"/>
        <w:spacing w:before="31" w:after="31"/>
        <w:ind w:firstLine="420" w:firstLineChars="0"/>
        <w:rPr>
          <w:szCs w:val="24"/>
        </w:rPr>
      </w:pPr>
    </w:p>
    <w:p w14:paraId="418A9170">
      <w:pPr>
        <w:pStyle w:val="16"/>
        <w:spacing w:before="31" w:after="31"/>
        <w:ind w:firstLine="0" w:firstLineChars="0"/>
        <w:rPr>
          <w:szCs w:val="24"/>
        </w:rPr>
      </w:pPr>
      <w:r>
        <w:rPr>
          <w:rFonts w:hint="eastAsia"/>
          <w:szCs w:val="24"/>
        </w:rPr>
        <w:t>(4) Failed Components and Material:</w:t>
      </w:r>
    </w:p>
    <w:p w14:paraId="7BFA55AB">
      <w:pPr>
        <w:pStyle w:val="16"/>
        <w:spacing w:before="31" w:after="31"/>
        <w:ind w:firstLine="420" w:firstLineChars="0"/>
        <w:rPr>
          <w:szCs w:val="24"/>
        </w:rPr>
      </w:pPr>
      <w:r>
        <w:rPr>
          <w:rFonts w:hint="eastAsia"/>
          <w:szCs w:val="24"/>
        </w:rPr>
        <w:t>Reheater, material: steel 102, specifications: φ60×4mm; TP347H, specifications: φ60×4mm and φ60×8.5mm.</w:t>
      </w:r>
    </w:p>
    <w:p w14:paraId="4DB5751C">
      <w:pPr>
        <w:pStyle w:val="16"/>
        <w:spacing w:before="31" w:after="31"/>
        <w:ind w:firstLine="420" w:firstLineChars="0"/>
        <w:rPr>
          <w:szCs w:val="24"/>
        </w:rPr>
      </w:pPr>
    </w:p>
    <w:p w14:paraId="455A93E8">
      <w:pPr>
        <w:pStyle w:val="16"/>
        <w:spacing w:before="31" w:after="31"/>
        <w:ind w:firstLine="0" w:firstLineChars="0"/>
        <w:rPr>
          <w:szCs w:val="24"/>
        </w:rPr>
      </w:pPr>
      <w:r>
        <w:rPr>
          <w:rFonts w:hint="eastAsia"/>
          <w:szCs w:val="24"/>
        </w:rPr>
        <w:t>(5) Failed Component Morphology:</w:t>
      </w:r>
    </w:p>
    <w:p w14:paraId="3EE8F1DD">
      <w:pPr>
        <w:pStyle w:val="16"/>
        <w:spacing w:before="31" w:after="31"/>
        <w:ind w:firstLine="420" w:firstLineChars="0"/>
        <w:rPr>
          <w:szCs w:val="24"/>
        </w:rPr>
      </w:pPr>
      <w:r>
        <w:rPr>
          <w:rFonts w:hint="eastAsia"/>
          <w:szCs w:val="24"/>
        </w:rPr>
        <w:t>The four incidents of dissimilar steel joint ruptures showed normal diameters on both TP347H and steel 102 sides, with no signs of swelling. The ruptures were slender, and the outer surface exhibited transverse circumferential fractures along the bevel edge of the steel 102 fusion line. On the inner surface of the tube, the rupture occurred along the steel 102 fusion line, ≤5mm from the bevel edge, extending in both directions. The fracture surface was smooth with no apparent plastic deformation, indicating brittle fracture. Examining the crack pattern, it was evident that the cracks originated from the outer wall and gradually propagated towards the inner wall. Figure 3-20.1 shows the cracks and rupture surface of the dissimilar steel joint.</w:t>
      </w:r>
    </w:p>
    <w:p w14:paraId="7C02274F">
      <w:pPr>
        <w:spacing w:before="156" w:beforeLines="50" w:after="468" w:afterLines="150" w:line="312" w:lineRule="auto"/>
        <w:jc w:val="center"/>
        <w:rPr>
          <w:sz w:val="24"/>
        </w:rPr>
      </w:pPr>
      <w:r>
        <w:rPr>
          <w:rFonts w:hint="eastAsia" w:hAnsi="宋体"/>
          <w:b/>
          <w:color w:val="000000"/>
          <w:szCs w:val="21"/>
        </w:rPr>
        <w:t>Figure 3-20.1:* Cracks and rupture surface of the dissimilar steel joint.</w:t>
      </w:r>
    </w:p>
    <w:p w14:paraId="79AB0917">
      <w:pPr>
        <w:pStyle w:val="16"/>
        <w:spacing w:before="31" w:after="31"/>
        <w:ind w:firstLine="0" w:firstLineChars="0"/>
        <w:rPr>
          <w:szCs w:val="24"/>
        </w:rPr>
      </w:pPr>
      <w:r>
        <w:rPr>
          <w:rFonts w:hint="eastAsia"/>
          <w:szCs w:val="24"/>
        </w:rPr>
        <w:t>(6) Failure Cause Analysis:</w:t>
      </w:r>
    </w:p>
    <w:p w14:paraId="3188C040">
      <w:pPr>
        <w:pStyle w:val="16"/>
        <w:spacing w:before="31" w:after="31"/>
        <w:ind w:firstLine="420" w:firstLineChars="0"/>
        <w:rPr>
          <w:szCs w:val="24"/>
        </w:rPr>
      </w:pPr>
      <w:r>
        <w:rPr>
          <w:rFonts w:hint="eastAsia"/>
          <w:szCs w:val="24"/>
        </w:rPr>
        <w:t>The primary cause of the tube ruptures was the poor structure of the high-temperature reheater tube arrangement. The substandard welding quality of the dissimilar steel joint, with serious unfused defects in the weld, incomplete penetration, and significant weld lumps, served as a secondary cause.</w:t>
      </w:r>
    </w:p>
    <w:p w14:paraId="66442BB1">
      <w:pPr>
        <w:pStyle w:val="16"/>
        <w:spacing w:before="31" w:after="31"/>
        <w:ind w:firstLine="420" w:firstLineChars="0"/>
        <w:rPr>
          <w:szCs w:val="24"/>
        </w:rPr>
      </w:pPr>
    </w:p>
    <w:p w14:paraId="604D1A56">
      <w:pPr>
        <w:pStyle w:val="16"/>
        <w:spacing w:before="31" w:after="31"/>
        <w:ind w:firstLine="0" w:firstLineChars="0"/>
        <w:rPr>
          <w:szCs w:val="24"/>
        </w:rPr>
      </w:pPr>
      <w:r>
        <w:rPr>
          <w:rFonts w:hint="eastAsia"/>
          <w:szCs w:val="24"/>
        </w:rPr>
        <w:t>(7) Impact and Harm Caused</w:t>
      </w:r>
    </w:p>
    <w:p w14:paraId="08F84ACF">
      <w:pPr>
        <w:pStyle w:val="16"/>
        <w:spacing w:before="31" w:after="31"/>
        <w:ind w:firstLine="420" w:firstLineChars="0"/>
        <w:rPr>
          <w:szCs w:val="24"/>
        </w:rPr>
      </w:pPr>
      <w:r>
        <w:rPr>
          <w:rFonts w:hint="eastAsia"/>
          <w:szCs w:val="24"/>
        </w:rPr>
        <w:t>Null</w:t>
      </w:r>
    </w:p>
    <w:p w14:paraId="385A9A73">
      <w:pPr>
        <w:pStyle w:val="16"/>
        <w:spacing w:before="31" w:after="31"/>
        <w:ind w:firstLine="420" w:firstLineChars="0"/>
        <w:rPr>
          <w:szCs w:val="24"/>
        </w:rPr>
      </w:pPr>
    </w:p>
    <w:p w14:paraId="06E410E9">
      <w:pPr>
        <w:pStyle w:val="16"/>
        <w:spacing w:before="31" w:after="31"/>
        <w:ind w:firstLine="0" w:firstLineChars="0"/>
        <w:rPr>
          <w:szCs w:val="24"/>
        </w:rPr>
      </w:pPr>
      <w:r>
        <w:rPr>
          <w:rFonts w:hint="eastAsia"/>
          <w:szCs w:val="24"/>
        </w:rPr>
        <w:t>(8) Conclusion and Improvement Measures:</w:t>
      </w:r>
    </w:p>
    <w:p w14:paraId="76697A08">
      <w:pPr>
        <w:pStyle w:val="16"/>
        <w:spacing w:before="31" w:after="31"/>
        <w:ind w:firstLine="420" w:firstLineChars="0"/>
        <w:rPr>
          <w:szCs w:val="24"/>
        </w:rPr>
      </w:pPr>
      <w:r>
        <w:rPr>
          <w:rFonts w:hint="eastAsia"/>
          <w:szCs w:val="24"/>
        </w:rPr>
        <w:t>1. Use expansion joints with a bending radius of R200 mm to eliminate the original φ60×8.5 mm thick-walled small-radius bend, better absorbing thermal expansion, and avoiding flow deviations.</w:t>
      </w:r>
    </w:p>
    <w:p w14:paraId="477B785F">
      <w:pPr>
        <w:pStyle w:val="16"/>
        <w:spacing w:before="31" w:after="31"/>
        <w:ind w:firstLine="420" w:firstLineChars="0"/>
        <w:rPr>
          <w:szCs w:val="24"/>
        </w:rPr>
      </w:pPr>
      <w:r>
        <w:rPr>
          <w:rFonts w:hint="eastAsia"/>
          <w:szCs w:val="24"/>
        </w:rPr>
        <w:t>2. Apply the principle of using expansion joints to absorb the differential expansion caused by the different thermal expansion coefficients of the 7th and 8th tubes.</w:t>
      </w:r>
    </w:p>
    <w:p w14:paraId="66C5AAE7">
      <w:pPr>
        <w:pStyle w:val="16"/>
        <w:spacing w:before="31" w:after="31"/>
        <w:ind w:firstLine="420" w:firstLineChars="0"/>
        <w:rPr>
          <w:szCs w:val="24"/>
        </w:rPr>
      </w:pPr>
    </w:p>
    <w:p w14:paraId="483A4A51">
      <w:pPr>
        <w:pStyle w:val="16"/>
        <w:spacing w:before="31" w:after="31"/>
        <w:ind w:firstLine="420" w:firstLineChars="0"/>
        <w:rPr>
          <w:szCs w:val="24"/>
        </w:rPr>
      </w:pPr>
    </w:p>
    <w:p w14:paraId="7F41DC90">
      <w:pPr>
        <w:pStyle w:val="21"/>
        <w:numPr>
          <w:ilvl w:val="2"/>
          <w:numId w:val="0"/>
        </w:numPr>
        <w:rPr>
          <w:rFonts w:eastAsia="宋体"/>
          <w:color w:val="000000"/>
        </w:rPr>
      </w:pPr>
      <w:r>
        <w:rPr>
          <w:rFonts w:hint="eastAsia" w:eastAsia="宋体"/>
          <w:color w:val="000000"/>
        </w:rPr>
        <w:t>3.5.9 Case 3-21: Secondary Rupture of Economizer Tubes</w:t>
      </w:r>
    </w:p>
    <w:p w14:paraId="1CB78A08">
      <w:pPr>
        <w:pStyle w:val="16"/>
        <w:spacing w:before="31" w:after="31"/>
        <w:ind w:firstLine="0" w:firstLineChars="0"/>
        <w:rPr>
          <w:szCs w:val="24"/>
        </w:rPr>
      </w:pPr>
      <w:r>
        <w:rPr>
          <w:rFonts w:hint="eastAsia"/>
          <w:szCs w:val="24"/>
        </w:rPr>
        <w:t>(1) Case Name:</w:t>
      </w:r>
    </w:p>
    <w:p w14:paraId="4837295A">
      <w:pPr>
        <w:pStyle w:val="16"/>
        <w:spacing w:before="31" w:after="31"/>
        <w:ind w:firstLine="420" w:firstLineChars="0"/>
        <w:rPr>
          <w:szCs w:val="24"/>
        </w:rPr>
      </w:pPr>
      <w:r>
        <w:rPr>
          <w:rFonts w:hint="eastAsia"/>
          <w:szCs w:val="24"/>
        </w:rPr>
        <w:t>Secondary Rupture of Economizer Tubes in a Boiler at a Power Plant in Guangdong Province.</w:t>
      </w:r>
    </w:p>
    <w:p w14:paraId="073A3060">
      <w:pPr>
        <w:pStyle w:val="16"/>
        <w:spacing w:before="31" w:after="31"/>
        <w:ind w:firstLine="420" w:firstLineChars="0"/>
        <w:rPr>
          <w:szCs w:val="24"/>
        </w:rPr>
      </w:pPr>
    </w:p>
    <w:p w14:paraId="5E5E7BB6">
      <w:pPr>
        <w:pStyle w:val="16"/>
        <w:spacing w:before="31" w:after="31"/>
        <w:ind w:firstLine="0" w:firstLineChars="0"/>
        <w:rPr>
          <w:szCs w:val="24"/>
        </w:rPr>
      </w:pPr>
      <w:r>
        <w:rPr>
          <w:rFonts w:hint="eastAsia"/>
          <w:szCs w:val="24"/>
        </w:rPr>
        <w:t>(2) Failure Process Description:</w:t>
      </w:r>
    </w:p>
    <w:p w14:paraId="69BCCEBB">
      <w:pPr>
        <w:pStyle w:val="16"/>
        <w:spacing w:before="31" w:after="31"/>
        <w:ind w:firstLine="420" w:firstLineChars="0"/>
        <w:rPr>
          <w:szCs w:val="24"/>
        </w:rPr>
      </w:pPr>
      <w:r>
        <w:rPr>
          <w:rFonts w:hint="eastAsia"/>
          <w:szCs w:val="24"/>
        </w:rPr>
        <w:t>In May 2003, abnormal sounds were detected in the economizer of Boiler 1 at a thermal power plant in Guangdong Province, manufactured by Harbin Boiler Factory. Upon inspection, it was found that the weld seam (original installation weld seam) of the 32nd row outlet oblique tube in the economizer's B-side inlet junction box had burst due to gas holes. This release of steam and water punctured the 33rd and 34th row oblique tubes, leading to further expansion of the ruptured tubes. The incident occurred at the joint between the outlet junction box and the economizer tube's connecting weld seam.</w:t>
      </w:r>
    </w:p>
    <w:p w14:paraId="0B53BF11">
      <w:pPr>
        <w:pStyle w:val="16"/>
        <w:spacing w:before="31" w:after="31"/>
        <w:ind w:firstLine="420" w:firstLineChars="0"/>
        <w:rPr>
          <w:szCs w:val="24"/>
        </w:rPr>
      </w:pPr>
    </w:p>
    <w:p w14:paraId="26D5AE91">
      <w:pPr>
        <w:pStyle w:val="16"/>
        <w:spacing w:before="31" w:after="31"/>
        <w:ind w:firstLine="0" w:firstLineChars="0"/>
        <w:rPr>
          <w:szCs w:val="24"/>
        </w:rPr>
      </w:pPr>
      <w:r>
        <w:rPr>
          <w:rFonts w:hint="eastAsia"/>
          <w:szCs w:val="24"/>
        </w:rPr>
        <w:t>(3) Service Environment:</w:t>
      </w:r>
    </w:p>
    <w:p w14:paraId="6E96BDC6">
      <w:pPr>
        <w:pStyle w:val="16"/>
        <w:spacing w:before="31" w:after="31"/>
        <w:ind w:firstLine="420" w:firstLineChars="0"/>
        <w:rPr>
          <w:szCs w:val="24"/>
        </w:rPr>
      </w:pPr>
      <w:r>
        <w:rPr>
          <w:rFonts w:hint="eastAsia"/>
          <w:szCs w:val="24"/>
        </w:rPr>
        <w:t>Flue gas temperature: 368℃.</w:t>
      </w:r>
    </w:p>
    <w:p w14:paraId="27FB519D">
      <w:pPr>
        <w:pStyle w:val="16"/>
        <w:spacing w:before="31" w:after="31"/>
        <w:ind w:firstLine="420" w:firstLineChars="0"/>
        <w:rPr>
          <w:szCs w:val="24"/>
        </w:rPr>
      </w:pPr>
    </w:p>
    <w:p w14:paraId="6F76B119">
      <w:pPr>
        <w:pStyle w:val="16"/>
        <w:spacing w:before="31" w:after="31"/>
        <w:ind w:firstLine="0" w:firstLineChars="0"/>
        <w:rPr>
          <w:szCs w:val="24"/>
        </w:rPr>
      </w:pPr>
      <w:r>
        <w:rPr>
          <w:rFonts w:hint="eastAsia"/>
          <w:szCs w:val="24"/>
        </w:rPr>
        <w:t>(4) Failed Components and Material:</w:t>
      </w:r>
    </w:p>
    <w:p w14:paraId="37750DB5">
      <w:pPr>
        <w:pStyle w:val="16"/>
        <w:spacing w:before="31" w:after="31"/>
        <w:ind w:firstLine="420" w:firstLineChars="0"/>
        <w:rPr>
          <w:szCs w:val="24"/>
        </w:rPr>
      </w:pPr>
      <w:r>
        <w:rPr>
          <w:rFonts w:hint="eastAsia"/>
          <w:szCs w:val="24"/>
        </w:rPr>
        <w:t>Economizer tube material: 20G steel, specifications: φ32×4mm.</w:t>
      </w:r>
    </w:p>
    <w:p w14:paraId="209BBBE3">
      <w:pPr>
        <w:pStyle w:val="16"/>
        <w:spacing w:before="31" w:after="31"/>
        <w:ind w:firstLine="420" w:firstLineChars="0"/>
        <w:rPr>
          <w:szCs w:val="24"/>
        </w:rPr>
      </w:pPr>
    </w:p>
    <w:p w14:paraId="1183B2DB">
      <w:pPr>
        <w:pStyle w:val="16"/>
        <w:spacing w:before="31" w:after="31"/>
        <w:ind w:firstLine="0" w:firstLineChars="0"/>
        <w:rPr>
          <w:szCs w:val="24"/>
        </w:rPr>
      </w:pPr>
      <w:r>
        <w:rPr>
          <w:rFonts w:hint="eastAsia"/>
          <w:szCs w:val="24"/>
        </w:rPr>
        <w:t>(5) Failed Component Morphology:</w:t>
      </w:r>
    </w:p>
    <w:p w14:paraId="047148AA">
      <w:pPr>
        <w:pStyle w:val="16"/>
        <w:spacing w:before="31" w:after="31"/>
        <w:ind w:firstLine="420" w:firstLineChars="0"/>
        <w:rPr>
          <w:szCs w:val="24"/>
        </w:rPr>
      </w:pPr>
      <w:r>
        <w:rPr>
          <w:rFonts w:hint="eastAsia"/>
          <w:szCs w:val="24"/>
        </w:rPr>
        <w:t>Null</w:t>
      </w:r>
    </w:p>
    <w:p w14:paraId="08FD51B7">
      <w:pPr>
        <w:pStyle w:val="16"/>
        <w:spacing w:before="31" w:after="31"/>
        <w:ind w:firstLine="420" w:firstLineChars="0"/>
        <w:rPr>
          <w:szCs w:val="24"/>
        </w:rPr>
      </w:pPr>
    </w:p>
    <w:p w14:paraId="7934968B">
      <w:pPr>
        <w:pStyle w:val="16"/>
        <w:spacing w:before="31" w:after="31"/>
        <w:ind w:firstLine="0" w:firstLineChars="0"/>
        <w:rPr>
          <w:szCs w:val="24"/>
        </w:rPr>
      </w:pPr>
      <w:r>
        <w:rPr>
          <w:rFonts w:hint="eastAsia"/>
          <w:szCs w:val="24"/>
        </w:rPr>
        <w:t>(6) Failure Cause Analysis:</w:t>
      </w:r>
    </w:p>
    <w:p w14:paraId="7180541F">
      <w:pPr>
        <w:pStyle w:val="16"/>
        <w:spacing w:before="31" w:after="31"/>
        <w:ind w:firstLine="420" w:firstLineChars="0"/>
        <w:rPr>
          <w:szCs w:val="24"/>
        </w:rPr>
      </w:pPr>
      <w:r>
        <w:rPr>
          <w:rFonts w:hint="eastAsia"/>
          <w:szCs w:val="24"/>
        </w:rPr>
        <w:t>The main cause of the economizer tube failure and rupture in Boiler 1 was the presence of numerous defects, such as gas holes, in the weld seam connecting the economizer's inlet junction box to the economizer tube. This resulted in reduced mechanical performance at the weld seam. Over the nearly 17 years of boiler operation, accumulation of dissolved oxygen in the feedwater due to occurrences such as leaks in the condenser caused oxidation point corrosion. This corrosion affected the inner wall of the economizer tube (including the weld seam), accelerating the weakening of mechanical strength at the weld seam and ultimately leading to leakage failure. Two weeks later, a second tube rupture occurred, involving a newly welded joint from the emergency repair of the first rupture. The second rupture resulted from poor welding quality and the presence of penetrating gas holes, indicating a lapse in maintenance quality control.</w:t>
      </w:r>
    </w:p>
    <w:p w14:paraId="63280C64">
      <w:pPr>
        <w:pStyle w:val="16"/>
        <w:spacing w:before="31" w:after="31"/>
        <w:ind w:firstLine="420" w:firstLineChars="0"/>
        <w:rPr>
          <w:szCs w:val="24"/>
        </w:rPr>
      </w:pPr>
    </w:p>
    <w:p w14:paraId="12703E29">
      <w:pPr>
        <w:pStyle w:val="16"/>
        <w:spacing w:before="31" w:after="31"/>
        <w:ind w:firstLine="0" w:firstLineChars="0"/>
        <w:rPr>
          <w:szCs w:val="24"/>
        </w:rPr>
      </w:pPr>
      <w:r>
        <w:rPr>
          <w:rFonts w:hint="eastAsia"/>
          <w:szCs w:val="24"/>
        </w:rPr>
        <w:t>(7) Impact and Harm Caused</w:t>
      </w:r>
    </w:p>
    <w:p w14:paraId="770D5899">
      <w:pPr>
        <w:pStyle w:val="16"/>
        <w:spacing w:before="31" w:after="31"/>
        <w:ind w:firstLine="420" w:firstLineChars="0"/>
        <w:rPr>
          <w:szCs w:val="24"/>
        </w:rPr>
      </w:pPr>
      <w:r>
        <w:rPr>
          <w:rFonts w:hint="eastAsia"/>
          <w:szCs w:val="24"/>
        </w:rPr>
        <w:t>Null</w:t>
      </w:r>
    </w:p>
    <w:p w14:paraId="560CDE24">
      <w:pPr>
        <w:pStyle w:val="16"/>
        <w:spacing w:before="31" w:after="31"/>
        <w:ind w:firstLine="420" w:firstLineChars="0"/>
        <w:rPr>
          <w:szCs w:val="24"/>
        </w:rPr>
      </w:pPr>
    </w:p>
    <w:p w14:paraId="46B2EEF5">
      <w:pPr>
        <w:pStyle w:val="16"/>
        <w:spacing w:before="31" w:after="31"/>
        <w:ind w:firstLine="0" w:firstLineChars="0"/>
        <w:rPr>
          <w:szCs w:val="24"/>
        </w:rPr>
      </w:pPr>
      <w:r>
        <w:rPr>
          <w:rFonts w:hint="eastAsia"/>
          <w:szCs w:val="24"/>
        </w:rPr>
        <w:t>(8) Conclusion and Improvement Measures:</w:t>
      </w:r>
    </w:p>
    <w:p w14:paraId="59860BB6">
      <w:pPr>
        <w:pStyle w:val="16"/>
        <w:spacing w:before="31" w:after="31"/>
        <w:ind w:firstLine="420" w:firstLineChars="0"/>
        <w:rPr>
          <w:szCs w:val="24"/>
        </w:rPr>
      </w:pPr>
      <w:r>
        <w:rPr>
          <w:rFonts w:hint="eastAsia"/>
          <w:szCs w:val="24"/>
        </w:rPr>
        <w:t>1. Control and maintain the quality of boiler water and condensed water during shutdowns. Conduct comprehensive inspections and maintenance of the condenser system during unit shutdowns to alleviate and eliminate the corrosion impact on the inner wall of economizer tubes caused by abnormal water quality factors.</w:t>
      </w:r>
    </w:p>
    <w:p w14:paraId="067C35BD">
      <w:pPr>
        <w:pStyle w:val="16"/>
        <w:spacing w:before="31" w:after="31"/>
        <w:ind w:firstLine="420" w:firstLineChars="0"/>
        <w:rPr>
          <w:szCs w:val="24"/>
        </w:rPr>
      </w:pPr>
      <w:r>
        <w:rPr>
          <w:rFonts w:hint="eastAsia"/>
          <w:szCs w:val="24"/>
        </w:rPr>
        <w:t>2. Utilize downtime for major and minor repairs to perform non-destructive testing on weld seams in relevant areas of the other two boilers of the same model at the plant, preventing similar accidents from recurring.</w:t>
      </w:r>
    </w:p>
    <w:p w14:paraId="6626475C">
      <w:pPr>
        <w:pStyle w:val="16"/>
        <w:spacing w:before="31" w:after="31"/>
        <w:ind w:firstLine="420" w:firstLineChars="0"/>
        <w:rPr>
          <w:szCs w:val="24"/>
        </w:rPr>
      </w:pPr>
      <w:r>
        <w:rPr>
          <w:rFonts w:hint="eastAsia"/>
          <w:szCs w:val="24"/>
        </w:rPr>
        <w:t>3. Strengthen engineering quality control and management during temporary repairs and emergency repairs.</w:t>
      </w:r>
    </w:p>
    <w:p w14:paraId="658C7AFF">
      <w:pPr>
        <w:pStyle w:val="16"/>
        <w:spacing w:before="31" w:after="31"/>
        <w:ind w:firstLine="420" w:firstLineChars="0"/>
        <w:rPr>
          <w:szCs w:val="24"/>
        </w:rPr>
      </w:pPr>
    </w:p>
    <w:p w14:paraId="59577C06">
      <w:pPr>
        <w:pStyle w:val="16"/>
        <w:spacing w:before="31" w:after="31"/>
        <w:ind w:firstLine="420" w:firstLineChars="0"/>
        <w:rPr>
          <w:szCs w:val="24"/>
        </w:rPr>
      </w:pPr>
    </w:p>
    <w:p w14:paraId="0C3DE7E5">
      <w:pPr>
        <w:pStyle w:val="21"/>
        <w:numPr>
          <w:ilvl w:val="2"/>
          <w:numId w:val="0"/>
        </w:numPr>
        <w:rPr>
          <w:rFonts w:eastAsia="宋体"/>
          <w:color w:val="000000"/>
        </w:rPr>
      </w:pPr>
      <w:r>
        <w:rPr>
          <w:rFonts w:hint="eastAsia" w:eastAsia="宋体"/>
          <w:color w:val="000000"/>
        </w:rPr>
        <w:t>3.5.10 Case 3-22: Rupture of Main Steam Pipeline in Datong Power Generation Co., Ltd. Unit #2</w:t>
      </w:r>
    </w:p>
    <w:p w14:paraId="3DF5FD61">
      <w:pPr>
        <w:pStyle w:val="16"/>
        <w:spacing w:before="31" w:after="31"/>
        <w:ind w:firstLine="0" w:firstLineChars="0"/>
        <w:rPr>
          <w:szCs w:val="24"/>
        </w:rPr>
      </w:pPr>
      <w:r>
        <w:rPr>
          <w:rFonts w:hint="eastAsia"/>
          <w:szCs w:val="24"/>
        </w:rPr>
        <w:t>(1) Case Name:</w:t>
      </w:r>
    </w:p>
    <w:p w14:paraId="21064D21">
      <w:pPr>
        <w:pStyle w:val="16"/>
        <w:spacing w:before="31" w:after="31"/>
        <w:ind w:firstLine="420" w:firstLineChars="0"/>
        <w:rPr>
          <w:szCs w:val="24"/>
        </w:rPr>
      </w:pPr>
      <w:r>
        <w:rPr>
          <w:rFonts w:hint="eastAsia"/>
          <w:szCs w:val="24"/>
        </w:rPr>
        <w:t>Rupture of Main Steam Pipeline in Datong Power Generation Co., Ltd. Unit #2, Qinghai Huadian Datong Power Generation Co., Ltd.</w:t>
      </w:r>
    </w:p>
    <w:p w14:paraId="09C9AB21">
      <w:pPr>
        <w:pStyle w:val="16"/>
        <w:spacing w:before="31" w:after="31"/>
        <w:ind w:firstLine="420" w:firstLineChars="0"/>
        <w:rPr>
          <w:szCs w:val="24"/>
        </w:rPr>
      </w:pPr>
    </w:p>
    <w:p w14:paraId="18B6D70D">
      <w:pPr>
        <w:pStyle w:val="16"/>
        <w:spacing w:before="31" w:after="31"/>
        <w:ind w:firstLine="0" w:firstLineChars="0"/>
        <w:rPr>
          <w:szCs w:val="24"/>
        </w:rPr>
      </w:pPr>
      <w:r>
        <w:rPr>
          <w:rFonts w:hint="eastAsia"/>
          <w:szCs w:val="24"/>
        </w:rPr>
        <w:t>(2) Failure Process Description:</w:t>
      </w:r>
    </w:p>
    <w:p w14:paraId="3964BAD5">
      <w:pPr>
        <w:pStyle w:val="16"/>
        <w:spacing w:before="31" w:after="31"/>
        <w:ind w:firstLine="420" w:firstLineChars="0"/>
        <w:rPr>
          <w:szCs w:val="24"/>
        </w:rPr>
      </w:pPr>
      <w:r>
        <w:rPr>
          <w:rFonts w:hint="eastAsia"/>
          <w:szCs w:val="24"/>
        </w:rPr>
        <w:t>During the commissioning phase, the main steam pipeline of Unit #2 at Qinghai Huadian Datong Power Generation Co., Ltd.'s 2×300MW project ruptured on October 31, 2006, during the boiler tightness test and safety valve adjustment.</w:t>
      </w:r>
    </w:p>
    <w:p w14:paraId="68603E31">
      <w:pPr>
        <w:pStyle w:val="16"/>
        <w:spacing w:before="31" w:after="31"/>
        <w:ind w:firstLine="420" w:firstLineChars="0"/>
        <w:rPr>
          <w:szCs w:val="24"/>
        </w:rPr>
      </w:pPr>
    </w:p>
    <w:p w14:paraId="4F3EBC36">
      <w:pPr>
        <w:pStyle w:val="16"/>
        <w:spacing w:before="31" w:after="31"/>
        <w:ind w:firstLine="0" w:firstLineChars="0"/>
        <w:rPr>
          <w:szCs w:val="24"/>
        </w:rPr>
      </w:pPr>
      <w:r>
        <w:rPr>
          <w:rFonts w:hint="eastAsia"/>
          <w:szCs w:val="24"/>
        </w:rPr>
        <w:t>(3) Service Environment:</w:t>
      </w:r>
    </w:p>
    <w:p w14:paraId="34C7385D">
      <w:pPr>
        <w:pStyle w:val="16"/>
        <w:spacing w:before="31" w:after="31"/>
        <w:ind w:firstLine="420" w:firstLineChars="0"/>
        <w:rPr>
          <w:szCs w:val="24"/>
        </w:rPr>
      </w:pPr>
      <w:r>
        <w:rPr>
          <w:rFonts w:hint="eastAsia"/>
          <w:szCs w:val="24"/>
        </w:rPr>
        <w:t>At the time of rupture, the main steam parameters were 13.36MPa and 483℃, representing the highest parameters since the initial ignition on October 17, 2006, for Boiler #2.</w:t>
      </w:r>
    </w:p>
    <w:p w14:paraId="59CA0BF8">
      <w:pPr>
        <w:pStyle w:val="16"/>
        <w:spacing w:before="31" w:after="31"/>
        <w:ind w:firstLine="420" w:firstLineChars="0"/>
        <w:rPr>
          <w:szCs w:val="24"/>
        </w:rPr>
      </w:pPr>
    </w:p>
    <w:p w14:paraId="373A0E2C">
      <w:pPr>
        <w:pStyle w:val="16"/>
        <w:spacing w:before="31" w:after="31"/>
        <w:ind w:firstLine="0" w:firstLineChars="0"/>
        <w:rPr>
          <w:szCs w:val="24"/>
        </w:rPr>
      </w:pPr>
      <w:r>
        <w:rPr>
          <w:rFonts w:hint="eastAsia"/>
          <w:szCs w:val="24"/>
        </w:rPr>
        <w:t>(4) Failed Component and Material:</w:t>
      </w:r>
    </w:p>
    <w:p w14:paraId="493E8919">
      <w:pPr>
        <w:pStyle w:val="16"/>
        <w:spacing w:before="31" w:after="31"/>
        <w:ind w:firstLine="420" w:firstLineChars="0"/>
        <w:rPr>
          <w:szCs w:val="24"/>
        </w:rPr>
      </w:pPr>
      <w:r>
        <w:rPr>
          <w:rFonts w:hint="eastAsia"/>
          <w:szCs w:val="24"/>
        </w:rPr>
        <w:t>Material of the main steam pipeline: P91.</w:t>
      </w:r>
    </w:p>
    <w:p w14:paraId="7F1E591F">
      <w:pPr>
        <w:pStyle w:val="16"/>
        <w:spacing w:before="31" w:after="31"/>
        <w:ind w:firstLine="420" w:firstLineChars="0"/>
        <w:rPr>
          <w:szCs w:val="24"/>
        </w:rPr>
      </w:pPr>
    </w:p>
    <w:p w14:paraId="4A4E00AF">
      <w:pPr>
        <w:pStyle w:val="16"/>
        <w:spacing w:before="31" w:after="31"/>
        <w:ind w:firstLine="0" w:firstLineChars="0"/>
        <w:rPr>
          <w:szCs w:val="24"/>
        </w:rPr>
      </w:pPr>
      <w:r>
        <w:rPr>
          <w:rFonts w:hint="eastAsia"/>
          <w:szCs w:val="24"/>
        </w:rPr>
        <w:t>(5) Component Failure Appearance:</w:t>
      </w:r>
    </w:p>
    <w:p w14:paraId="2D7D0E52">
      <w:pPr>
        <w:pStyle w:val="16"/>
        <w:spacing w:before="31" w:after="31"/>
        <w:ind w:firstLine="420" w:firstLineChars="0"/>
        <w:rPr>
          <w:szCs w:val="24"/>
        </w:rPr>
      </w:pPr>
      <w:r>
        <w:rPr>
          <w:rFonts w:hint="eastAsia"/>
          <w:szCs w:val="24"/>
        </w:rPr>
        <w:t>The rupture occurred at approximately 17m elevation on the vertical pipe in the turbine room. The crack extended along the longitudinal direction of the pipe, approximately 900mm in length, exhibiting brittle fracture characteristics. The crack was about 2m away from the nearest weld. See Figure 3-22.1 for the cracking details.</w:t>
      </w:r>
    </w:p>
    <w:p w14:paraId="27BFEC89">
      <w:pPr>
        <w:spacing w:before="156" w:beforeLines="50" w:after="468" w:afterLines="150" w:line="312" w:lineRule="auto"/>
        <w:jc w:val="center"/>
        <w:rPr>
          <w:rFonts w:hAnsi="宋体"/>
          <w:b/>
          <w:color w:val="000000"/>
          <w:szCs w:val="21"/>
        </w:rPr>
      </w:pPr>
      <w:r>
        <w:rPr>
          <w:rFonts w:hint="eastAsia" w:hAnsi="宋体"/>
          <w:b/>
          <w:color w:val="000000"/>
          <w:szCs w:val="21"/>
        </w:rPr>
        <w:t>Figure 3-22.1: Appearance of the cracked section of the pipe.</w:t>
      </w:r>
    </w:p>
    <w:p w14:paraId="08E21EE3">
      <w:pPr>
        <w:pStyle w:val="16"/>
        <w:spacing w:before="31" w:after="31"/>
        <w:ind w:firstLine="0" w:firstLineChars="0"/>
        <w:rPr>
          <w:szCs w:val="24"/>
        </w:rPr>
      </w:pPr>
      <w:r>
        <w:rPr>
          <w:rFonts w:hint="eastAsia"/>
          <w:szCs w:val="24"/>
        </w:rPr>
        <w:t>(6) Failure Cause Analysis:</w:t>
      </w:r>
    </w:p>
    <w:p w14:paraId="65C79925">
      <w:pPr>
        <w:pStyle w:val="16"/>
        <w:spacing w:before="31" w:after="31"/>
        <w:ind w:firstLine="420" w:firstLineChars="0"/>
        <w:rPr>
          <w:szCs w:val="24"/>
        </w:rPr>
      </w:pPr>
      <w:r>
        <w:rPr>
          <w:rFonts w:hint="eastAsia"/>
          <w:szCs w:val="24"/>
        </w:rPr>
        <w:t>The main steam pipeline for Unit #2 was supplied by China Water Resources and Electric Power Materials &amp; Equipment (Group) Corp. According to the quality assurance documents, the manufacturer of this batch of pipelines was stated as SMANT TUBES from the United States. However, there were clear suspicions of forgery in the quality assurance documents (related to the material of the pipe).</w:t>
      </w:r>
    </w:p>
    <w:p w14:paraId="354B0080">
      <w:pPr>
        <w:pStyle w:val="16"/>
        <w:spacing w:before="31" w:after="31"/>
        <w:ind w:firstLine="420" w:firstLineChars="0"/>
        <w:rPr>
          <w:szCs w:val="24"/>
        </w:rPr>
      </w:pPr>
    </w:p>
    <w:p w14:paraId="195F0319">
      <w:pPr>
        <w:pStyle w:val="16"/>
        <w:spacing w:before="31" w:after="31"/>
        <w:ind w:firstLine="0" w:firstLineChars="0"/>
        <w:rPr>
          <w:szCs w:val="24"/>
        </w:rPr>
      </w:pPr>
      <w:r>
        <w:rPr>
          <w:rFonts w:hint="eastAsia"/>
          <w:szCs w:val="24"/>
        </w:rPr>
        <w:t>(7) Impact and Harm Caused:</w:t>
      </w:r>
    </w:p>
    <w:p w14:paraId="6D068C54">
      <w:pPr>
        <w:pStyle w:val="16"/>
        <w:spacing w:before="31" w:after="31"/>
        <w:ind w:firstLine="420" w:firstLineChars="0"/>
        <w:rPr>
          <w:szCs w:val="24"/>
        </w:rPr>
      </w:pPr>
      <w:r>
        <w:rPr>
          <w:rFonts w:hint="eastAsia"/>
          <w:szCs w:val="24"/>
        </w:rPr>
        <w:t>The rupture resulted in 2 fatalities and 1 injury.</w:t>
      </w:r>
    </w:p>
    <w:p w14:paraId="2F425FD6">
      <w:pPr>
        <w:pStyle w:val="16"/>
        <w:spacing w:before="31" w:after="31"/>
        <w:ind w:firstLine="420" w:firstLineChars="0"/>
        <w:rPr>
          <w:szCs w:val="24"/>
        </w:rPr>
      </w:pPr>
    </w:p>
    <w:p w14:paraId="20636F2F">
      <w:pPr>
        <w:pStyle w:val="16"/>
        <w:spacing w:before="31" w:after="31"/>
        <w:ind w:firstLine="0" w:firstLineChars="0"/>
        <w:rPr>
          <w:szCs w:val="24"/>
        </w:rPr>
      </w:pPr>
      <w:r>
        <w:rPr>
          <w:rFonts w:hint="eastAsia"/>
          <w:szCs w:val="24"/>
        </w:rPr>
        <w:t>(8) Conclusion and Improvement Measures:</w:t>
      </w:r>
    </w:p>
    <w:p w14:paraId="21AD1AC5">
      <w:pPr>
        <w:pStyle w:val="16"/>
        <w:spacing w:before="31" w:after="31"/>
        <w:ind w:firstLine="420" w:firstLineChars="0"/>
        <w:rPr>
          <w:szCs w:val="24"/>
        </w:rPr>
      </w:pPr>
      <w:r>
        <w:rPr>
          <w:rFonts w:hint="eastAsia"/>
          <w:szCs w:val="24"/>
        </w:rPr>
        <w:t>The power plant decided to replace the entire main steam and reheating section pipelines for Unit #2.</w:t>
      </w:r>
    </w:p>
    <w:p w14:paraId="08E8AFFE">
      <w:pPr>
        <w:pStyle w:val="16"/>
        <w:spacing w:before="31" w:after="31"/>
        <w:ind w:firstLine="0" w:firstLineChars="0"/>
        <w:rPr>
          <w:szCs w:val="24"/>
        </w:rPr>
      </w:pPr>
    </w:p>
    <w:p w14:paraId="61B44E21">
      <w:pPr>
        <w:pStyle w:val="21"/>
        <w:numPr>
          <w:ilvl w:val="2"/>
          <w:numId w:val="0"/>
        </w:numPr>
        <w:rPr>
          <w:rFonts w:eastAsia="宋体"/>
          <w:color w:val="000000"/>
        </w:rPr>
      </w:pPr>
      <w:r>
        <w:rPr>
          <w:rFonts w:hint="eastAsia" w:eastAsia="宋体"/>
          <w:color w:val="000000"/>
        </w:rPr>
        <w:t>3.5.11 Case 3-23: Ammonia Corrosion on the Steam Side of Copper Tubes in Liaocheng Power Plant Condenser</w:t>
      </w:r>
    </w:p>
    <w:p w14:paraId="5D26444B">
      <w:pPr>
        <w:pStyle w:val="16"/>
        <w:spacing w:before="31" w:after="31"/>
        <w:ind w:firstLine="0" w:firstLineChars="0"/>
        <w:rPr>
          <w:szCs w:val="24"/>
        </w:rPr>
      </w:pPr>
      <w:r>
        <w:rPr>
          <w:rFonts w:hint="eastAsia"/>
          <w:szCs w:val="24"/>
        </w:rPr>
        <w:t>(1) Case Name:</w:t>
      </w:r>
    </w:p>
    <w:p w14:paraId="2016D833">
      <w:pPr>
        <w:pStyle w:val="16"/>
        <w:spacing w:before="31" w:after="31"/>
        <w:ind w:firstLine="420" w:firstLineChars="0"/>
        <w:rPr>
          <w:szCs w:val="24"/>
        </w:rPr>
      </w:pPr>
      <w:r>
        <w:rPr>
          <w:rFonts w:hint="eastAsia"/>
          <w:szCs w:val="24"/>
        </w:rPr>
        <w:t>Ammonia Corrosion on the Steam Side of Copper Tubes in Liaocheng Power Plant Condenser[54]</w:t>
      </w:r>
    </w:p>
    <w:p w14:paraId="2770E609">
      <w:pPr>
        <w:pStyle w:val="16"/>
        <w:spacing w:before="31" w:after="31"/>
        <w:ind w:firstLine="0" w:firstLineChars="0"/>
        <w:rPr>
          <w:szCs w:val="24"/>
        </w:rPr>
      </w:pPr>
    </w:p>
    <w:p w14:paraId="3135A204">
      <w:pPr>
        <w:pStyle w:val="16"/>
        <w:spacing w:before="31" w:after="31"/>
        <w:ind w:firstLine="0" w:firstLineChars="0"/>
        <w:rPr>
          <w:szCs w:val="24"/>
        </w:rPr>
      </w:pPr>
      <w:r>
        <w:rPr>
          <w:rFonts w:hint="eastAsia"/>
          <w:szCs w:val="24"/>
        </w:rPr>
        <w:t>(2) Failure Process Description:</w:t>
      </w:r>
    </w:p>
    <w:p w14:paraId="71953683">
      <w:pPr>
        <w:pStyle w:val="16"/>
        <w:spacing w:before="31" w:after="31"/>
        <w:ind w:firstLine="420" w:firstLineChars="0"/>
        <w:rPr>
          <w:szCs w:val="24"/>
        </w:rPr>
      </w:pPr>
      <w:r>
        <w:rPr>
          <w:rFonts w:hint="eastAsia"/>
          <w:szCs w:val="24"/>
        </w:rPr>
        <w:t>In September 2002, Shandong Liaocheng Power Plant commissioned a 600MW subcritical, intermediate reheat, four-cylinder, four-row steam, single-axis, condensing steam turbine unit. In November 2005, during a leak inspection of the condenser, severe leakage was discovered in copper tubes, leading to a subsequent tube extraction inspection.</w:t>
      </w:r>
    </w:p>
    <w:p w14:paraId="04592F3D">
      <w:pPr>
        <w:pStyle w:val="16"/>
        <w:spacing w:before="31" w:after="31"/>
        <w:ind w:firstLine="0" w:firstLineChars="0"/>
        <w:rPr>
          <w:szCs w:val="24"/>
        </w:rPr>
      </w:pPr>
    </w:p>
    <w:p w14:paraId="6C75DD25">
      <w:pPr>
        <w:pStyle w:val="16"/>
        <w:spacing w:before="31" w:after="31"/>
        <w:ind w:firstLine="0" w:firstLineChars="0"/>
        <w:rPr>
          <w:szCs w:val="24"/>
        </w:rPr>
      </w:pPr>
      <w:r>
        <w:rPr>
          <w:rFonts w:hint="eastAsia"/>
          <w:szCs w:val="24"/>
        </w:rPr>
        <w:t>(3) Service Environment:</w:t>
      </w:r>
    </w:p>
    <w:p w14:paraId="00B1D82B">
      <w:pPr>
        <w:pStyle w:val="16"/>
        <w:spacing w:before="31" w:after="31"/>
        <w:ind w:firstLine="420" w:firstLineChars="0"/>
        <w:rPr>
          <w:szCs w:val="24"/>
        </w:rPr>
      </w:pPr>
      <w:r>
        <w:rPr>
          <w:rFonts w:hint="eastAsia"/>
          <w:szCs w:val="24"/>
        </w:rPr>
        <w:t>Null</w:t>
      </w:r>
    </w:p>
    <w:p w14:paraId="41BEA9AF">
      <w:pPr>
        <w:pStyle w:val="16"/>
        <w:spacing w:before="31" w:after="31"/>
        <w:ind w:firstLine="0" w:firstLineChars="0"/>
        <w:rPr>
          <w:szCs w:val="24"/>
        </w:rPr>
      </w:pPr>
    </w:p>
    <w:p w14:paraId="4A808407">
      <w:pPr>
        <w:pStyle w:val="16"/>
        <w:spacing w:before="31" w:after="31"/>
        <w:ind w:firstLine="0" w:firstLineChars="0"/>
        <w:rPr>
          <w:szCs w:val="24"/>
        </w:rPr>
      </w:pPr>
      <w:r>
        <w:rPr>
          <w:rFonts w:hint="eastAsia"/>
          <w:szCs w:val="24"/>
        </w:rPr>
        <w:t>(4) Failed Component and Material:</w:t>
      </w:r>
    </w:p>
    <w:p w14:paraId="3F55E399">
      <w:pPr>
        <w:pStyle w:val="16"/>
        <w:spacing w:before="31" w:after="31"/>
        <w:ind w:firstLine="420" w:firstLineChars="0"/>
        <w:rPr>
          <w:szCs w:val="24"/>
        </w:rPr>
      </w:pPr>
      <w:r>
        <w:rPr>
          <w:rFonts w:hint="eastAsia"/>
          <w:szCs w:val="24"/>
        </w:rPr>
        <w:t>The extracted copper tubes in the withdrawal zone were made of B30 phosphor bronze, known for its high corrosion resistance. The remaining tubes were made of brass.</w:t>
      </w:r>
    </w:p>
    <w:p w14:paraId="5D09435D">
      <w:pPr>
        <w:pStyle w:val="16"/>
        <w:spacing w:before="31" w:after="31"/>
        <w:ind w:firstLine="0" w:firstLineChars="0"/>
        <w:rPr>
          <w:szCs w:val="24"/>
        </w:rPr>
      </w:pPr>
    </w:p>
    <w:p w14:paraId="476A3E5F">
      <w:pPr>
        <w:pStyle w:val="16"/>
        <w:spacing w:before="31" w:after="31"/>
        <w:ind w:firstLine="0" w:firstLineChars="0"/>
        <w:rPr>
          <w:szCs w:val="24"/>
        </w:rPr>
      </w:pPr>
      <w:r>
        <w:rPr>
          <w:rFonts w:hint="eastAsia"/>
          <w:szCs w:val="24"/>
        </w:rPr>
        <w:t>(5) Component Failure Appearance:</w:t>
      </w:r>
    </w:p>
    <w:p w14:paraId="51E79874">
      <w:pPr>
        <w:pStyle w:val="16"/>
        <w:spacing w:before="31" w:after="31"/>
        <w:ind w:firstLine="420" w:firstLineChars="0"/>
        <w:rPr>
          <w:szCs w:val="24"/>
        </w:rPr>
      </w:pPr>
      <w:r>
        <w:rPr>
          <w:rFonts w:hint="eastAsia"/>
          <w:szCs w:val="24"/>
        </w:rPr>
        <w:t>Null</w:t>
      </w:r>
    </w:p>
    <w:p w14:paraId="3CD08118">
      <w:pPr>
        <w:pStyle w:val="16"/>
        <w:spacing w:before="31" w:after="31"/>
        <w:ind w:firstLine="0" w:firstLineChars="0"/>
        <w:rPr>
          <w:szCs w:val="24"/>
        </w:rPr>
      </w:pPr>
    </w:p>
    <w:p w14:paraId="25F53F3A">
      <w:pPr>
        <w:pStyle w:val="16"/>
        <w:spacing w:before="31" w:after="31"/>
        <w:ind w:firstLine="0" w:firstLineChars="0"/>
        <w:rPr>
          <w:szCs w:val="24"/>
        </w:rPr>
      </w:pPr>
      <w:r>
        <w:rPr>
          <w:rFonts w:hint="eastAsia"/>
          <w:szCs w:val="24"/>
        </w:rPr>
        <w:t>(6) Failure Cause Analysis:</w:t>
      </w:r>
    </w:p>
    <w:p w14:paraId="4C874ED0">
      <w:pPr>
        <w:pStyle w:val="16"/>
        <w:spacing w:before="31" w:after="31"/>
        <w:ind w:firstLine="420" w:firstLineChars="0"/>
        <w:rPr>
          <w:szCs w:val="24"/>
        </w:rPr>
      </w:pPr>
      <w:r>
        <w:rPr>
          <w:rFonts w:hint="eastAsia"/>
          <w:szCs w:val="24"/>
        </w:rPr>
        <w:t>The corrosion of the sampled copper tubes exhibited the following common characteristics: ① Corrosion occurred at the contact point between the outer wall of the copper tube and the baffle, generally in a streamlined shape with a wider bottom; ② Problematic copper tubes were mainly concentrated in the lower part of the withdrawal zone; ③ The corroded copper tube surfaces showed obvious verdigris. The corroded tubes experienced varying degrees of thinning. Water quality analysis revealed that, in the condenser's withdrawal zone, due to local enrichment and the influence of subcooling at the baffle, the ammonia concentration was tens or hundreds of times higher than in the main condensate water, possibly reaching thousands of times. Severe ammonia corrosion was observed in the copper tubes just below the withdrawal zone.</w:t>
      </w:r>
    </w:p>
    <w:p w14:paraId="7DE76AFC">
      <w:pPr>
        <w:pStyle w:val="16"/>
        <w:spacing w:before="31" w:after="31"/>
        <w:ind w:firstLine="0" w:firstLineChars="0"/>
        <w:rPr>
          <w:szCs w:val="24"/>
        </w:rPr>
      </w:pPr>
    </w:p>
    <w:p w14:paraId="32003531">
      <w:pPr>
        <w:pStyle w:val="16"/>
        <w:spacing w:before="31" w:after="31"/>
        <w:ind w:firstLine="0" w:firstLineChars="0"/>
        <w:rPr>
          <w:szCs w:val="24"/>
        </w:rPr>
      </w:pPr>
      <w:r>
        <w:rPr>
          <w:rFonts w:hint="eastAsia"/>
          <w:szCs w:val="24"/>
        </w:rPr>
        <w:t>(7) Impact and Harm Caused:</w:t>
      </w:r>
    </w:p>
    <w:p w14:paraId="4D056527">
      <w:pPr>
        <w:pStyle w:val="16"/>
        <w:spacing w:before="31" w:after="31"/>
        <w:ind w:firstLine="420" w:firstLineChars="0"/>
        <w:rPr>
          <w:szCs w:val="24"/>
        </w:rPr>
      </w:pPr>
      <w:r>
        <w:rPr>
          <w:rFonts w:hint="eastAsia"/>
          <w:szCs w:val="24"/>
        </w:rPr>
        <w:t>Null</w:t>
      </w:r>
    </w:p>
    <w:p w14:paraId="63066687">
      <w:pPr>
        <w:pStyle w:val="16"/>
        <w:spacing w:before="31" w:after="31"/>
        <w:ind w:firstLine="0" w:firstLineChars="0"/>
        <w:rPr>
          <w:szCs w:val="24"/>
        </w:rPr>
      </w:pPr>
    </w:p>
    <w:p w14:paraId="07982F53">
      <w:pPr>
        <w:pStyle w:val="16"/>
        <w:spacing w:before="31" w:after="31"/>
        <w:ind w:firstLine="0" w:firstLineChars="0"/>
        <w:rPr>
          <w:szCs w:val="24"/>
        </w:rPr>
      </w:pPr>
      <w:r>
        <w:rPr>
          <w:rFonts w:hint="eastAsia"/>
          <w:szCs w:val="24"/>
        </w:rPr>
        <w:t>(8) Conclusion and Improvement Measures:</w:t>
      </w:r>
    </w:p>
    <w:p w14:paraId="745C344D">
      <w:pPr>
        <w:pStyle w:val="16"/>
        <w:spacing w:before="31" w:after="31"/>
        <w:ind w:firstLine="420" w:firstLineChars="0"/>
        <w:rPr>
          <w:szCs w:val="24"/>
        </w:rPr>
      </w:pPr>
      <w:r>
        <w:rPr>
          <w:rFonts w:hint="eastAsia"/>
          <w:szCs w:val="24"/>
        </w:rPr>
        <w:t>1) Adjust the feedwater pH to maintain it within the range of 9.0 to 9.3; 2) During unit overhauls, replace the copper tubes below and near the withdrawal zone with ammonia-corrosion-resistant phosphor bronze tubes (B30) to eliminate potential hazards; 3) Enhance and complete the magnesium alloy anode protection in the condenser, maintaining the copper tubes and steel in a thermodynamically stable state, effectively preventing electrochemical corrosion such as impact, tension, galvanic corrosion, and electrochemical corrosion between the tube plate and the water chamber, gaps, bacteria, etc.; 4) In the procurement contract for the 2×600MW Phase II project condenser, replace all originally specified materials (BFe30-1-1, HSn70-1AB) with TP316L stainless steel tubes.</w:t>
      </w:r>
    </w:p>
    <w:p w14:paraId="104F742C">
      <w:pPr>
        <w:pStyle w:val="16"/>
        <w:spacing w:before="31" w:after="31"/>
        <w:ind w:firstLine="0" w:firstLineChars="0"/>
        <w:rPr>
          <w:szCs w:val="24"/>
        </w:rPr>
      </w:pPr>
    </w:p>
    <w:p w14:paraId="53287BBF">
      <w:pPr>
        <w:pStyle w:val="16"/>
        <w:spacing w:before="31" w:after="31"/>
        <w:ind w:firstLine="0" w:firstLineChars="0"/>
        <w:rPr>
          <w:szCs w:val="24"/>
        </w:rPr>
      </w:pPr>
    </w:p>
    <w:p w14:paraId="53203E54">
      <w:pPr>
        <w:pStyle w:val="21"/>
        <w:numPr>
          <w:ilvl w:val="2"/>
          <w:numId w:val="0"/>
        </w:numPr>
        <w:rPr>
          <w:rFonts w:eastAsia="宋体"/>
          <w:color w:val="000000"/>
        </w:rPr>
      </w:pPr>
      <w:r>
        <w:rPr>
          <w:rFonts w:hint="eastAsia" w:eastAsia="宋体"/>
          <w:color w:val="000000"/>
        </w:rPr>
        <w:t>3.5.12 Case 3-24: Copper Tube Corrosion in Condenser at Harbin Third Power Plant</w:t>
      </w:r>
    </w:p>
    <w:p w14:paraId="17040498">
      <w:pPr>
        <w:pStyle w:val="16"/>
        <w:spacing w:before="31" w:after="31"/>
        <w:ind w:firstLine="0" w:firstLineChars="0"/>
        <w:rPr>
          <w:szCs w:val="24"/>
        </w:rPr>
      </w:pPr>
      <w:r>
        <w:rPr>
          <w:rFonts w:hint="eastAsia"/>
          <w:szCs w:val="24"/>
        </w:rPr>
        <w:t>(1) Case Name:</w:t>
      </w:r>
    </w:p>
    <w:p w14:paraId="1030FA29">
      <w:pPr>
        <w:pStyle w:val="16"/>
        <w:spacing w:before="31" w:after="31"/>
        <w:ind w:firstLine="420" w:firstLineChars="0"/>
        <w:rPr>
          <w:szCs w:val="24"/>
        </w:rPr>
      </w:pPr>
      <w:r>
        <w:rPr>
          <w:rFonts w:hint="eastAsia"/>
          <w:szCs w:val="24"/>
        </w:rPr>
        <w:t>Copper Tube Corrosion in Condenser at Harbin Third Power Plant[55]</w:t>
      </w:r>
    </w:p>
    <w:p w14:paraId="41F9C08D">
      <w:pPr>
        <w:pStyle w:val="16"/>
        <w:spacing w:before="31" w:after="31"/>
        <w:ind w:firstLine="0" w:firstLineChars="0"/>
        <w:rPr>
          <w:szCs w:val="24"/>
        </w:rPr>
      </w:pPr>
    </w:p>
    <w:p w14:paraId="255CA9E8">
      <w:pPr>
        <w:pStyle w:val="16"/>
        <w:spacing w:before="31" w:after="31"/>
        <w:ind w:firstLine="0" w:firstLineChars="0"/>
        <w:rPr>
          <w:szCs w:val="24"/>
        </w:rPr>
      </w:pPr>
      <w:r>
        <w:rPr>
          <w:rFonts w:hint="eastAsia"/>
          <w:szCs w:val="24"/>
        </w:rPr>
        <w:t>(2) Failure Process Description:</w:t>
      </w:r>
    </w:p>
    <w:p w14:paraId="6EEEE419">
      <w:pPr>
        <w:pStyle w:val="16"/>
        <w:spacing w:before="31" w:after="31"/>
        <w:ind w:firstLine="420" w:firstLineChars="0"/>
        <w:rPr>
          <w:szCs w:val="24"/>
        </w:rPr>
      </w:pPr>
      <w:r>
        <w:rPr>
          <w:rFonts w:hint="eastAsia"/>
          <w:szCs w:val="24"/>
        </w:rPr>
        <w:t>Unit 3 of Harbin Third Power Plant is the first domestically designed 600MW unit. Since the commissioning of the condenser in 1995, frequent leaks have occurred in the copper tubes, progressively worsening over time. During a major overhaul of Unit 3, it was discovered that approximately 3% of the leaking copper tubes had been identified and sealed. Severe corrosion damage to the copper tubes was observed during this overhaul, primarily in the form of localized pitting corrosion, with as many as 7 to 10 corrosion pits within a 1-meter length.</w:t>
      </w:r>
    </w:p>
    <w:p w14:paraId="5DB18379">
      <w:pPr>
        <w:pStyle w:val="16"/>
        <w:spacing w:before="31" w:after="31"/>
        <w:ind w:firstLine="0" w:firstLineChars="0"/>
        <w:rPr>
          <w:szCs w:val="24"/>
        </w:rPr>
      </w:pPr>
    </w:p>
    <w:p w14:paraId="7E0DA47A">
      <w:pPr>
        <w:pStyle w:val="16"/>
        <w:spacing w:before="31" w:after="31"/>
        <w:ind w:firstLine="0" w:firstLineChars="0"/>
        <w:rPr>
          <w:szCs w:val="24"/>
        </w:rPr>
      </w:pPr>
      <w:r>
        <w:rPr>
          <w:rFonts w:hint="eastAsia"/>
          <w:szCs w:val="24"/>
        </w:rPr>
        <w:t>(3) Service Environment:</w:t>
      </w:r>
    </w:p>
    <w:p w14:paraId="6C6BCF42">
      <w:pPr>
        <w:pStyle w:val="16"/>
        <w:spacing w:before="31" w:after="31"/>
        <w:ind w:firstLine="420" w:firstLineChars="0"/>
        <w:rPr>
          <w:szCs w:val="24"/>
        </w:rPr>
      </w:pPr>
      <w:r>
        <w:rPr>
          <w:rFonts w:hint="eastAsia"/>
          <w:szCs w:val="24"/>
        </w:rPr>
        <w:t>Null</w:t>
      </w:r>
    </w:p>
    <w:p w14:paraId="7EFB0963">
      <w:pPr>
        <w:pStyle w:val="16"/>
        <w:spacing w:before="31" w:after="31"/>
        <w:ind w:firstLine="0" w:firstLineChars="0"/>
        <w:rPr>
          <w:szCs w:val="24"/>
        </w:rPr>
      </w:pPr>
    </w:p>
    <w:p w14:paraId="7FA42940">
      <w:pPr>
        <w:pStyle w:val="16"/>
        <w:spacing w:before="31" w:after="31"/>
        <w:ind w:firstLine="0" w:firstLineChars="0"/>
        <w:rPr>
          <w:szCs w:val="24"/>
        </w:rPr>
      </w:pPr>
      <w:r>
        <w:rPr>
          <w:rFonts w:hint="eastAsia"/>
          <w:szCs w:val="24"/>
        </w:rPr>
        <w:t>(4) Failed Component and Material:</w:t>
      </w:r>
    </w:p>
    <w:p w14:paraId="57CF7A0E">
      <w:pPr>
        <w:pStyle w:val="16"/>
        <w:spacing w:before="31" w:after="31"/>
        <w:ind w:firstLine="420" w:firstLineChars="0"/>
        <w:rPr>
          <w:szCs w:val="24"/>
        </w:rPr>
      </w:pPr>
      <w:r>
        <w:rPr>
          <w:rFonts w:hint="eastAsia"/>
          <w:szCs w:val="24"/>
        </w:rPr>
        <w:t>The copper tubes in the condenser's condensing section were made of HSn7021A brass, while those in the withdrawal zone were made of B30 phosphor bronze.</w:t>
      </w:r>
    </w:p>
    <w:p w14:paraId="4D8A4406">
      <w:pPr>
        <w:pStyle w:val="16"/>
        <w:spacing w:before="31" w:after="31"/>
        <w:ind w:firstLine="0" w:firstLineChars="0"/>
        <w:rPr>
          <w:szCs w:val="24"/>
        </w:rPr>
      </w:pPr>
    </w:p>
    <w:p w14:paraId="4C608B52">
      <w:pPr>
        <w:pStyle w:val="16"/>
        <w:spacing w:before="31" w:after="31"/>
        <w:ind w:firstLine="0" w:firstLineChars="0"/>
        <w:rPr>
          <w:szCs w:val="24"/>
        </w:rPr>
      </w:pPr>
      <w:r>
        <w:rPr>
          <w:rFonts w:hint="eastAsia"/>
          <w:szCs w:val="24"/>
        </w:rPr>
        <w:t>(5) Component Failure Appearance:</w:t>
      </w:r>
    </w:p>
    <w:p w14:paraId="2ECDAD45">
      <w:pPr>
        <w:pStyle w:val="16"/>
        <w:spacing w:before="31" w:after="31"/>
        <w:ind w:firstLine="420" w:firstLineChars="0"/>
        <w:rPr>
          <w:szCs w:val="24"/>
        </w:rPr>
      </w:pPr>
      <w:r>
        <w:rPr>
          <w:rFonts w:hint="eastAsia"/>
          <w:szCs w:val="24"/>
        </w:rPr>
        <w:t>Null</w:t>
      </w:r>
    </w:p>
    <w:p w14:paraId="237CF9CC">
      <w:pPr>
        <w:pStyle w:val="16"/>
        <w:spacing w:before="31" w:after="31"/>
        <w:ind w:firstLine="0" w:firstLineChars="0"/>
        <w:rPr>
          <w:szCs w:val="24"/>
        </w:rPr>
      </w:pPr>
    </w:p>
    <w:p w14:paraId="0C87D6C3">
      <w:pPr>
        <w:pStyle w:val="16"/>
        <w:spacing w:before="31" w:after="31"/>
        <w:ind w:firstLine="0" w:firstLineChars="0"/>
        <w:rPr>
          <w:szCs w:val="24"/>
        </w:rPr>
      </w:pPr>
      <w:r>
        <w:rPr>
          <w:rFonts w:hint="eastAsia"/>
          <w:szCs w:val="24"/>
        </w:rPr>
        <w:t>(6) Failure Cause Analysis:</w:t>
      </w:r>
    </w:p>
    <w:p w14:paraId="5246AD89">
      <w:pPr>
        <w:pStyle w:val="16"/>
        <w:spacing w:before="31" w:after="31"/>
        <w:ind w:firstLine="420" w:firstLineChars="0"/>
        <w:rPr>
          <w:szCs w:val="24"/>
        </w:rPr>
      </w:pPr>
      <w:r>
        <w:rPr>
          <w:rFonts w:hint="eastAsia"/>
          <w:szCs w:val="24"/>
        </w:rPr>
        <w:t>Considering the distribution of corroded tubes, the inlet chamber exhibited more severe corrosion than the outlet chamber. Additionally, the lower parts were more affected than the upper parts, and the sides more than the center. Analyzing the specific shapes of the corrosion damage, the distribution of copper tube chemical compositions, it was concluded that: ① Corrosion in the copper tubes was primarily caused by sub-deposit corrosion. Differential oxygen supply and medium concentration caused by deposits led to localized corrosion and perforation; ② Defects in the material of the condenser's copper tubes resulted in preferential corrosion and perforation at these defect locations.</w:t>
      </w:r>
    </w:p>
    <w:p w14:paraId="7C7C5189">
      <w:pPr>
        <w:pStyle w:val="16"/>
        <w:spacing w:before="31" w:after="31"/>
        <w:ind w:firstLine="0" w:firstLineChars="0"/>
        <w:rPr>
          <w:szCs w:val="24"/>
        </w:rPr>
      </w:pPr>
    </w:p>
    <w:p w14:paraId="4850DCC5">
      <w:pPr>
        <w:pStyle w:val="16"/>
        <w:spacing w:before="31" w:after="31"/>
        <w:ind w:firstLine="0" w:firstLineChars="0"/>
        <w:rPr>
          <w:szCs w:val="24"/>
        </w:rPr>
      </w:pPr>
      <w:r>
        <w:rPr>
          <w:rFonts w:hint="eastAsia"/>
          <w:szCs w:val="24"/>
        </w:rPr>
        <w:t>(7) Impact and Harm Caused:</w:t>
      </w:r>
    </w:p>
    <w:p w14:paraId="61324FE6">
      <w:pPr>
        <w:pStyle w:val="16"/>
        <w:spacing w:before="31" w:after="31"/>
        <w:ind w:firstLine="420" w:firstLineChars="0"/>
        <w:rPr>
          <w:szCs w:val="24"/>
        </w:rPr>
      </w:pPr>
      <w:r>
        <w:rPr>
          <w:rFonts w:hint="eastAsia"/>
          <w:szCs w:val="24"/>
        </w:rPr>
        <w:t>Null</w:t>
      </w:r>
    </w:p>
    <w:p w14:paraId="62301EB1">
      <w:pPr>
        <w:pStyle w:val="16"/>
        <w:spacing w:before="31" w:after="31"/>
        <w:ind w:firstLine="0" w:firstLineChars="0"/>
        <w:rPr>
          <w:szCs w:val="24"/>
        </w:rPr>
      </w:pPr>
    </w:p>
    <w:p w14:paraId="6B165AF8">
      <w:pPr>
        <w:pStyle w:val="16"/>
        <w:spacing w:before="31" w:after="31"/>
        <w:ind w:firstLine="0" w:firstLineChars="0"/>
        <w:rPr>
          <w:szCs w:val="24"/>
        </w:rPr>
      </w:pPr>
      <w:r>
        <w:rPr>
          <w:rFonts w:hint="eastAsia"/>
          <w:szCs w:val="24"/>
        </w:rPr>
        <w:t>(8) Conclusion and Improvement Measures:</w:t>
      </w:r>
    </w:p>
    <w:p w14:paraId="53ACC0CC">
      <w:pPr>
        <w:pStyle w:val="16"/>
        <w:spacing w:before="31" w:after="31"/>
        <w:ind w:firstLine="420" w:firstLineChars="0"/>
        <w:rPr>
          <w:szCs w:val="24"/>
        </w:rPr>
      </w:pPr>
      <w:r>
        <w:rPr>
          <w:rFonts w:hint="eastAsia"/>
          <w:szCs w:val="24"/>
        </w:rPr>
        <w:t>1) Emphasize cleaning during the standby period to keep the inner surface of the copper tubes in a clean state, preventing corrosion during downtime; 2) Install filters in the circulating water system and conduct regular inspections. Promptly replace damaged filters to prevent foreign objects like stones from entering the condenser's plugged copper tubes. Address the corrosion on the tube plate and the tube ends with appropriate coating and corrosion protection when necessary; 3) Due to poor water quality in the circulating water system of Unit 3, which contains a high concentration of suspended solids, thorough cleaning of the jelly balls system during condenser operation is crucial. Ensure the jelly ball system operates normally, with a ball collection rate of over 95%, to minimize deposition on the inner surface of the copper tubes; 4) Strengthen supervision and management of the circulating water, adjust water quality reasonably, control concentration ratios, and choose anti-scaling agents economically and safely without causing scaling.</w:t>
      </w:r>
    </w:p>
    <w:p w14:paraId="256D30BF">
      <w:pPr>
        <w:pStyle w:val="16"/>
        <w:spacing w:before="31" w:after="31"/>
        <w:ind w:firstLine="0" w:firstLineChars="0"/>
        <w:rPr>
          <w:szCs w:val="24"/>
        </w:rPr>
      </w:pPr>
    </w:p>
    <w:p w14:paraId="68F3D2AC">
      <w:pPr>
        <w:pStyle w:val="19"/>
        <w:numPr>
          <w:ilvl w:val="1"/>
          <w:numId w:val="0"/>
        </w:numPr>
        <w:rPr>
          <w:rFonts w:eastAsia="宋体"/>
          <w:color w:val="000000"/>
        </w:rPr>
      </w:pPr>
      <w:r>
        <w:rPr>
          <w:rFonts w:hint="eastAsia" w:eastAsia="宋体"/>
          <w:color w:val="000000"/>
        </w:rPr>
        <w:t>3.6 Summary of Failure Investigation in the Thermal Power Industry</w:t>
      </w:r>
    </w:p>
    <w:p w14:paraId="6CE5EEAB">
      <w:pPr>
        <w:pStyle w:val="21"/>
        <w:numPr>
          <w:ilvl w:val="2"/>
          <w:numId w:val="0"/>
        </w:numPr>
        <w:rPr>
          <w:rFonts w:eastAsia="宋体"/>
          <w:color w:val="000000"/>
        </w:rPr>
      </w:pPr>
      <w:r>
        <w:rPr>
          <w:rFonts w:hint="eastAsia" w:eastAsia="宋体"/>
          <w:color w:val="000000"/>
        </w:rPr>
        <w:t>3.6.1 Main Failure Modes and Issues</w:t>
      </w:r>
    </w:p>
    <w:p w14:paraId="4C01FC53">
      <w:pPr>
        <w:pStyle w:val="16"/>
        <w:spacing w:before="31" w:after="31"/>
        <w:ind w:firstLine="0" w:firstLineChars="0"/>
        <w:rPr>
          <w:szCs w:val="24"/>
        </w:rPr>
      </w:pPr>
      <w:r>
        <w:rPr>
          <w:rFonts w:hint="eastAsia"/>
          <w:szCs w:val="24"/>
        </w:rPr>
        <w:t>3.6.1.1 Primary Failure Modes</w:t>
      </w:r>
    </w:p>
    <w:p w14:paraId="0339CCB4">
      <w:pPr>
        <w:pStyle w:val="16"/>
        <w:spacing w:before="31" w:after="31"/>
        <w:ind w:firstLine="420" w:firstLineChars="0"/>
        <w:rPr>
          <w:szCs w:val="24"/>
        </w:rPr>
      </w:pPr>
      <w:r>
        <w:rPr>
          <w:rFonts w:hint="eastAsia"/>
          <w:szCs w:val="24"/>
        </w:rPr>
        <w:t>From the results of failure investigations, common failure modes in various core components of the thermal power industry include: (1) short-term overheating, long-term overheating, alkaline corrosion, hydrogen damage, corrosion towards the fire side, and thermal fatigue cracking in water-cooled walls; (2) high-temperature creep, short-term overheating, high-temperature flue gas corrosion, and wear on the convective heating surfaces in superheaters and reheaters; (3) low-temperature corrosion and wear in economizers; (4) ductile failure, brittle failure, high-temperature failure, fatigue failure, and fractures in main steam pipelines; (5) dezincification corrosion, ammonia corrosion, and chloride ion corrosion in condenser tubes. Different failure modes represent different causes. Specific investigation cases have been categorized based on material factors, production construction, design factors, and environmental factors, as detailed in Tables 3-5 and 3-6.</w:t>
      </w:r>
    </w:p>
    <w:p w14:paraId="5B6ED2FB">
      <w:pPr>
        <w:pStyle w:val="16"/>
        <w:spacing w:before="31" w:after="31"/>
        <w:ind w:firstLine="0" w:firstLineChars="0"/>
        <w:rPr>
          <w:szCs w:val="24"/>
        </w:rPr>
      </w:pPr>
    </w:p>
    <w:p w14:paraId="45A0CCDD">
      <w:pPr>
        <w:pStyle w:val="16"/>
        <w:spacing w:before="31" w:after="31"/>
        <w:ind w:firstLine="0" w:firstLineChars="0"/>
        <w:rPr>
          <w:szCs w:val="24"/>
        </w:rPr>
      </w:pPr>
      <w:r>
        <w:rPr>
          <w:rFonts w:hint="eastAsia"/>
          <w:szCs w:val="24"/>
        </w:rPr>
        <w:t>3.6.1.2 Existing Issues</w:t>
      </w:r>
    </w:p>
    <w:p w14:paraId="44E0176C">
      <w:pPr>
        <w:pStyle w:val="16"/>
        <w:spacing w:before="31" w:after="31"/>
        <w:ind w:firstLine="240" w:firstLineChars="100"/>
        <w:rPr>
          <w:szCs w:val="24"/>
        </w:rPr>
      </w:pPr>
      <w:r>
        <w:rPr>
          <w:rFonts w:hint="eastAsia"/>
          <w:szCs w:val="24"/>
        </w:rPr>
        <w:t>Through failure investigations, it was found that there are common issues in the production of the thermal power industry, including: 1) unreasonable structural design; 2) irrational combustion methods; 3) substandard coal and steam quality; 4) inadequate material quality; 5) substandard production construction quality; 6) non-compliance with operating procedures by personnel, leading to frequent accidents in the core equipment of the thermal power industry. Additionally, with the development of ultra-supercritical and ultra-ultra-supercritical boilers in China in recent years, higher requirements for the material and performance of boiler steel have been proposed. However, corresponding usage norms and industry standards have not yet been established domestically, posing potential threats to boiler production.</w:t>
      </w:r>
    </w:p>
    <w:p w14:paraId="63EF5B9B">
      <w:pPr>
        <w:pStyle w:val="16"/>
        <w:spacing w:before="468" w:beforeLines="150" w:after="156" w:afterLines="50"/>
        <w:ind w:firstLine="0" w:firstLineChars="0"/>
        <w:jc w:val="center"/>
        <w:rPr>
          <w:rFonts w:cs="Times New Roman"/>
          <w:b/>
          <w:sz w:val="21"/>
          <w:szCs w:val="21"/>
        </w:rPr>
      </w:pPr>
      <w:r>
        <w:rPr>
          <w:rFonts w:hint="eastAsia" w:cs="Times New Roman"/>
          <w:b/>
          <w:sz w:val="21"/>
          <w:szCs w:val="21"/>
        </w:rPr>
        <w:t>Table 3-5 Summary of Failure Causes in Investigated Cases in the Thermal Power Industry</w:t>
      </w:r>
    </w:p>
    <w:tbl>
      <w:tblPr>
        <w:tblStyle w:val="9"/>
        <w:tblW w:w="0" w:type="auto"/>
        <w:jc w:val="center"/>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914"/>
        <w:gridCol w:w="2998"/>
        <w:gridCol w:w="928"/>
        <w:gridCol w:w="181"/>
        <w:gridCol w:w="1120"/>
        <w:gridCol w:w="142"/>
        <w:gridCol w:w="774"/>
        <w:gridCol w:w="248"/>
        <w:gridCol w:w="1217"/>
      </w:tblGrid>
      <w:tr w14:paraId="6EE99683">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01" w:type="dxa"/>
            <w:vMerge w:val="restart"/>
            <w:tcBorders>
              <w:left w:val="nil"/>
              <w:right w:val="nil"/>
            </w:tcBorders>
            <w:vAlign w:val="center"/>
          </w:tcPr>
          <w:p w14:paraId="709A2D2F">
            <w:pPr>
              <w:pStyle w:val="16"/>
              <w:spacing w:beforeLines="0" w:afterLines="0"/>
              <w:ind w:firstLine="0" w:firstLineChars="0"/>
              <w:jc w:val="center"/>
              <w:rPr>
                <w:rFonts w:cs="Times New Roman"/>
                <w:sz w:val="21"/>
                <w:szCs w:val="21"/>
              </w:rPr>
            </w:pPr>
            <w:r>
              <w:rPr>
                <w:rFonts w:hint="eastAsia" w:cs="Times New Roman"/>
                <w:sz w:val="21"/>
                <w:szCs w:val="21"/>
              </w:rPr>
              <w:t>Case No</w:t>
            </w:r>
          </w:p>
        </w:tc>
        <w:tc>
          <w:tcPr>
            <w:tcW w:w="3800" w:type="dxa"/>
            <w:vMerge w:val="restart"/>
            <w:tcBorders>
              <w:left w:val="nil"/>
              <w:right w:val="nil"/>
            </w:tcBorders>
            <w:vAlign w:val="center"/>
          </w:tcPr>
          <w:p w14:paraId="65C46925">
            <w:pPr>
              <w:pStyle w:val="16"/>
              <w:spacing w:beforeLines="0" w:afterLines="0"/>
              <w:ind w:firstLine="0" w:firstLineChars="0"/>
              <w:jc w:val="center"/>
              <w:rPr>
                <w:rFonts w:cs="Times New Roman"/>
                <w:sz w:val="21"/>
                <w:szCs w:val="21"/>
              </w:rPr>
            </w:pPr>
            <w:r>
              <w:rPr>
                <w:rFonts w:hint="eastAsia" w:cs="Times New Roman"/>
                <w:sz w:val="21"/>
                <w:szCs w:val="21"/>
              </w:rPr>
              <w:t>Case Name</w:t>
            </w:r>
          </w:p>
        </w:tc>
        <w:tc>
          <w:tcPr>
            <w:tcW w:w="3252" w:type="dxa"/>
            <w:gridSpan w:val="7"/>
            <w:tcBorders>
              <w:left w:val="nil"/>
              <w:right w:val="nil"/>
            </w:tcBorders>
            <w:vAlign w:val="center"/>
          </w:tcPr>
          <w:p w14:paraId="3B02A10F">
            <w:pPr>
              <w:pStyle w:val="16"/>
              <w:spacing w:beforeLines="0" w:afterLines="0"/>
              <w:ind w:firstLine="0" w:firstLineChars="0"/>
              <w:jc w:val="center"/>
              <w:rPr>
                <w:rFonts w:cs="Times New Roman"/>
                <w:sz w:val="21"/>
                <w:szCs w:val="21"/>
              </w:rPr>
            </w:pPr>
            <w:r>
              <w:rPr>
                <w:rFonts w:hint="eastAsia" w:cs="Times New Roman"/>
                <w:sz w:val="21"/>
                <w:szCs w:val="21"/>
              </w:rPr>
              <w:t>Failure Causes</w:t>
            </w:r>
          </w:p>
        </w:tc>
      </w:tr>
      <w:tr w14:paraId="79E8EA78">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01" w:type="dxa"/>
            <w:vMerge w:val="continue"/>
            <w:tcBorders>
              <w:left w:val="nil"/>
              <w:bottom w:val="single" w:color="auto" w:sz="12" w:space="0"/>
              <w:right w:val="nil"/>
            </w:tcBorders>
            <w:vAlign w:val="center"/>
          </w:tcPr>
          <w:p w14:paraId="1240062B">
            <w:pPr>
              <w:pStyle w:val="16"/>
              <w:spacing w:beforeLines="0" w:afterLines="0"/>
              <w:ind w:firstLine="0" w:firstLineChars="0"/>
              <w:jc w:val="center"/>
              <w:rPr>
                <w:rFonts w:cs="Times New Roman"/>
                <w:sz w:val="21"/>
                <w:szCs w:val="21"/>
              </w:rPr>
            </w:pPr>
          </w:p>
        </w:tc>
        <w:tc>
          <w:tcPr>
            <w:tcW w:w="3800" w:type="dxa"/>
            <w:vMerge w:val="continue"/>
            <w:tcBorders>
              <w:left w:val="nil"/>
              <w:bottom w:val="single" w:color="auto" w:sz="12" w:space="0"/>
              <w:right w:val="nil"/>
            </w:tcBorders>
            <w:vAlign w:val="center"/>
          </w:tcPr>
          <w:p w14:paraId="3D396CB9">
            <w:pPr>
              <w:pStyle w:val="16"/>
              <w:spacing w:beforeLines="0" w:afterLines="0"/>
              <w:ind w:firstLine="0" w:firstLineChars="0"/>
              <w:jc w:val="center"/>
              <w:rPr>
                <w:rFonts w:cs="Times New Roman"/>
                <w:sz w:val="21"/>
                <w:szCs w:val="21"/>
              </w:rPr>
            </w:pPr>
          </w:p>
        </w:tc>
        <w:tc>
          <w:tcPr>
            <w:tcW w:w="654" w:type="dxa"/>
            <w:tcBorders>
              <w:left w:val="nil"/>
              <w:bottom w:val="single" w:color="auto" w:sz="12" w:space="0"/>
              <w:right w:val="nil"/>
            </w:tcBorders>
            <w:vAlign w:val="center"/>
          </w:tcPr>
          <w:p w14:paraId="5F0CCB86">
            <w:pPr>
              <w:pStyle w:val="16"/>
              <w:spacing w:beforeLines="0" w:afterLines="0"/>
              <w:ind w:firstLine="0" w:firstLineChars="0"/>
              <w:jc w:val="center"/>
              <w:rPr>
                <w:rFonts w:cs="Times New Roman"/>
                <w:sz w:val="21"/>
                <w:szCs w:val="21"/>
              </w:rPr>
            </w:pPr>
            <w:r>
              <w:rPr>
                <w:rFonts w:hint="eastAsia" w:cs="Times New Roman"/>
                <w:sz w:val="21"/>
                <w:szCs w:val="21"/>
              </w:rPr>
              <w:t>Material</w:t>
            </w:r>
          </w:p>
          <w:p w14:paraId="08E8B71D">
            <w:pPr>
              <w:pStyle w:val="16"/>
              <w:spacing w:beforeLines="0" w:afterLines="0"/>
              <w:ind w:firstLine="0" w:firstLineChars="0"/>
              <w:jc w:val="center"/>
              <w:rPr>
                <w:rFonts w:cs="Times New Roman"/>
                <w:sz w:val="21"/>
                <w:szCs w:val="21"/>
              </w:rPr>
            </w:pPr>
            <w:r>
              <w:rPr>
                <w:rFonts w:hint="eastAsia" w:cs="Times New Roman"/>
                <w:sz w:val="21"/>
                <w:szCs w:val="21"/>
              </w:rPr>
              <w:t>Itself</w:t>
            </w:r>
          </w:p>
        </w:tc>
        <w:tc>
          <w:tcPr>
            <w:tcW w:w="917" w:type="dxa"/>
            <w:gridSpan w:val="2"/>
            <w:tcBorders>
              <w:left w:val="nil"/>
              <w:bottom w:val="single" w:color="auto" w:sz="12" w:space="0"/>
              <w:right w:val="nil"/>
            </w:tcBorders>
            <w:vAlign w:val="center"/>
          </w:tcPr>
          <w:p w14:paraId="62C5886F">
            <w:pPr>
              <w:pStyle w:val="16"/>
              <w:spacing w:beforeLines="0" w:afterLines="0"/>
              <w:ind w:firstLine="0" w:firstLineChars="0"/>
              <w:jc w:val="center"/>
              <w:rPr>
                <w:rFonts w:cs="Times New Roman"/>
                <w:sz w:val="21"/>
                <w:szCs w:val="21"/>
              </w:rPr>
            </w:pPr>
            <w:r>
              <w:rPr>
                <w:rFonts w:hint="eastAsia" w:cs="Times New Roman"/>
                <w:sz w:val="21"/>
                <w:szCs w:val="21"/>
              </w:rPr>
              <w:t>Production</w:t>
            </w:r>
          </w:p>
          <w:p w14:paraId="4F0FED4E">
            <w:pPr>
              <w:pStyle w:val="16"/>
              <w:spacing w:beforeLines="0" w:afterLines="0"/>
              <w:ind w:firstLine="0" w:firstLineChars="0"/>
              <w:jc w:val="center"/>
              <w:rPr>
                <w:rFonts w:cs="Times New Roman"/>
                <w:sz w:val="21"/>
                <w:szCs w:val="21"/>
              </w:rPr>
            </w:pPr>
            <w:r>
              <w:rPr>
                <w:rFonts w:hint="eastAsia" w:cs="Times New Roman"/>
                <w:sz w:val="21"/>
                <w:szCs w:val="21"/>
              </w:rPr>
              <w:t>and Construction</w:t>
            </w:r>
          </w:p>
        </w:tc>
        <w:tc>
          <w:tcPr>
            <w:tcW w:w="646" w:type="dxa"/>
            <w:gridSpan w:val="2"/>
            <w:tcBorders>
              <w:left w:val="nil"/>
              <w:bottom w:val="single" w:color="auto" w:sz="12" w:space="0"/>
              <w:right w:val="nil"/>
            </w:tcBorders>
            <w:vAlign w:val="center"/>
          </w:tcPr>
          <w:p w14:paraId="310FA127">
            <w:pPr>
              <w:pStyle w:val="16"/>
              <w:spacing w:beforeLines="0" w:afterLines="0"/>
              <w:ind w:firstLine="0" w:firstLineChars="0"/>
              <w:jc w:val="center"/>
              <w:rPr>
                <w:rFonts w:cs="Times New Roman"/>
                <w:sz w:val="21"/>
                <w:szCs w:val="21"/>
              </w:rPr>
            </w:pPr>
            <w:r>
              <w:rPr>
                <w:rFonts w:hint="eastAsia" w:cs="Times New Roman"/>
                <w:sz w:val="21"/>
                <w:szCs w:val="21"/>
              </w:rPr>
              <w:t>Design</w:t>
            </w:r>
          </w:p>
          <w:p w14:paraId="3FA62A83">
            <w:pPr>
              <w:pStyle w:val="16"/>
              <w:spacing w:beforeLines="0" w:afterLines="0"/>
              <w:ind w:firstLine="0" w:firstLineChars="0"/>
              <w:jc w:val="center"/>
              <w:rPr>
                <w:rFonts w:cs="Times New Roman"/>
                <w:sz w:val="21"/>
                <w:szCs w:val="21"/>
              </w:rPr>
            </w:pPr>
            <w:r>
              <w:rPr>
                <w:rFonts w:hint="eastAsia" w:cs="Times New Roman"/>
                <w:sz w:val="21"/>
                <w:szCs w:val="21"/>
              </w:rPr>
              <w:t>Reasons</w:t>
            </w:r>
          </w:p>
        </w:tc>
        <w:tc>
          <w:tcPr>
            <w:tcW w:w="1035" w:type="dxa"/>
            <w:gridSpan w:val="2"/>
            <w:tcBorders>
              <w:left w:val="nil"/>
              <w:bottom w:val="single" w:color="auto" w:sz="12" w:space="0"/>
              <w:right w:val="nil"/>
            </w:tcBorders>
            <w:vAlign w:val="center"/>
          </w:tcPr>
          <w:p w14:paraId="64B9B928">
            <w:pPr>
              <w:pStyle w:val="16"/>
              <w:spacing w:beforeLines="0" w:afterLines="0"/>
              <w:ind w:firstLine="0" w:firstLineChars="0"/>
              <w:jc w:val="center"/>
              <w:rPr>
                <w:rFonts w:cs="Times New Roman"/>
                <w:sz w:val="21"/>
                <w:szCs w:val="21"/>
              </w:rPr>
            </w:pPr>
            <w:r>
              <w:rPr>
                <w:rFonts w:hint="eastAsia" w:cs="Times New Roman"/>
                <w:sz w:val="21"/>
                <w:szCs w:val="21"/>
              </w:rPr>
              <w:t>Environmental</w:t>
            </w:r>
          </w:p>
          <w:p w14:paraId="44011E01">
            <w:pPr>
              <w:pStyle w:val="16"/>
              <w:spacing w:beforeLines="0" w:afterLines="0"/>
              <w:ind w:firstLine="0" w:firstLineChars="0"/>
              <w:jc w:val="center"/>
              <w:rPr>
                <w:rFonts w:cs="Times New Roman"/>
                <w:sz w:val="21"/>
                <w:szCs w:val="21"/>
              </w:rPr>
            </w:pPr>
            <w:r>
              <w:rPr>
                <w:rFonts w:hint="eastAsia" w:cs="Times New Roman"/>
                <w:sz w:val="21"/>
                <w:szCs w:val="21"/>
              </w:rPr>
              <w:t>Factors</w:t>
            </w:r>
          </w:p>
        </w:tc>
      </w:tr>
      <w:tr w14:paraId="2C99B691">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01" w:type="dxa"/>
            <w:tcBorders>
              <w:left w:val="nil"/>
              <w:bottom w:val="nil"/>
              <w:right w:val="nil"/>
            </w:tcBorders>
            <w:vAlign w:val="center"/>
          </w:tcPr>
          <w:p w14:paraId="77780330">
            <w:pPr>
              <w:pStyle w:val="16"/>
              <w:spacing w:beforeLines="0" w:afterLines="0"/>
              <w:ind w:firstLine="0" w:firstLineChars="0"/>
              <w:jc w:val="center"/>
              <w:rPr>
                <w:rFonts w:cs="Times New Roman"/>
                <w:sz w:val="21"/>
                <w:szCs w:val="21"/>
              </w:rPr>
            </w:pPr>
            <w:r>
              <w:rPr>
                <w:rFonts w:hint="eastAsia" w:cs="Times New Roman"/>
                <w:sz w:val="21"/>
                <w:szCs w:val="21"/>
              </w:rPr>
              <w:t>Case 3-13</w:t>
            </w:r>
          </w:p>
        </w:tc>
        <w:tc>
          <w:tcPr>
            <w:tcW w:w="3800" w:type="dxa"/>
            <w:tcBorders>
              <w:left w:val="nil"/>
              <w:bottom w:val="nil"/>
              <w:right w:val="nil"/>
            </w:tcBorders>
            <w:vAlign w:val="center"/>
          </w:tcPr>
          <w:p w14:paraId="521F438B">
            <w:pPr>
              <w:rPr>
                <w:color w:val="000000"/>
                <w:szCs w:val="21"/>
              </w:rPr>
            </w:pPr>
            <w:r>
              <w:rPr>
                <w:rFonts w:hint="eastAsia"/>
                <w:color w:val="000000"/>
                <w:szCs w:val="21"/>
              </w:rPr>
              <w:t>Huangpu Power Plant Subcritical UP-type DC Boiler Water-Cooled Wall Tube Overheating and Bursting</w:t>
            </w:r>
          </w:p>
        </w:tc>
        <w:tc>
          <w:tcPr>
            <w:tcW w:w="781" w:type="dxa"/>
            <w:gridSpan w:val="2"/>
            <w:tcBorders>
              <w:left w:val="nil"/>
              <w:bottom w:val="nil"/>
              <w:right w:val="nil"/>
            </w:tcBorders>
            <w:vAlign w:val="center"/>
          </w:tcPr>
          <w:p w14:paraId="146F161F">
            <w:pPr>
              <w:spacing w:line="312" w:lineRule="auto"/>
              <w:jc w:val="center"/>
              <w:rPr>
                <w:szCs w:val="21"/>
              </w:rPr>
            </w:pPr>
          </w:p>
        </w:tc>
        <w:tc>
          <w:tcPr>
            <w:tcW w:w="890" w:type="dxa"/>
            <w:gridSpan w:val="2"/>
            <w:tcBorders>
              <w:left w:val="nil"/>
              <w:bottom w:val="nil"/>
              <w:right w:val="nil"/>
            </w:tcBorders>
            <w:vAlign w:val="center"/>
          </w:tcPr>
          <w:p w14:paraId="04B068F3">
            <w:pPr>
              <w:pStyle w:val="16"/>
              <w:spacing w:beforeLines="0" w:afterLines="0"/>
              <w:ind w:firstLine="0" w:firstLineChars="0"/>
              <w:jc w:val="center"/>
              <w:rPr>
                <w:rFonts w:cs="Times New Roman"/>
                <w:sz w:val="21"/>
                <w:szCs w:val="21"/>
              </w:rPr>
            </w:pPr>
          </w:p>
        </w:tc>
        <w:tc>
          <w:tcPr>
            <w:tcW w:w="778" w:type="dxa"/>
            <w:gridSpan w:val="2"/>
            <w:tcBorders>
              <w:left w:val="nil"/>
              <w:bottom w:val="nil"/>
              <w:right w:val="nil"/>
            </w:tcBorders>
            <w:vAlign w:val="center"/>
          </w:tcPr>
          <w:p w14:paraId="7EB6E2E7">
            <w:pPr>
              <w:pStyle w:val="16"/>
              <w:spacing w:beforeLines="0" w:afterLines="0"/>
              <w:ind w:firstLine="0" w:firstLineChars="0"/>
              <w:jc w:val="center"/>
              <w:rPr>
                <w:rFonts w:cs="Times New Roman"/>
                <w:sz w:val="21"/>
                <w:szCs w:val="21"/>
              </w:rPr>
            </w:pPr>
            <w:r>
              <w:rPr>
                <w:rFonts w:cs="Times New Roman"/>
                <w:sz w:val="21"/>
                <w:szCs w:val="21"/>
              </w:rPr>
              <w:t>√</w:t>
            </w:r>
          </w:p>
        </w:tc>
        <w:tc>
          <w:tcPr>
            <w:tcW w:w="803" w:type="dxa"/>
            <w:tcBorders>
              <w:left w:val="nil"/>
              <w:bottom w:val="nil"/>
              <w:right w:val="nil"/>
            </w:tcBorders>
            <w:vAlign w:val="center"/>
          </w:tcPr>
          <w:p w14:paraId="492BB3B3">
            <w:pPr>
              <w:pStyle w:val="16"/>
              <w:spacing w:beforeLines="0" w:afterLines="0"/>
              <w:ind w:firstLine="0" w:firstLineChars="0"/>
              <w:jc w:val="center"/>
              <w:rPr>
                <w:rFonts w:cs="Times New Roman"/>
                <w:sz w:val="21"/>
                <w:szCs w:val="21"/>
              </w:rPr>
            </w:pPr>
            <w:r>
              <w:rPr>
                <w:rFonts w:cs="Times New Roman"/>
                <w:sz w:val="21"/>
                <w:szCs w:val="21"/>
              </w:rPr>
              <w:t>√</w:t>
            </w:r>
          </w:p>
        </w:tc>
      </w:tr>
      <w:tr w14:paraId="7C41C1D8">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01" w:type="dxa"/>
            <w:tcBorders>
              <w:top w:val="nil"/>
              <w:left w:val="nil"/>
              <w:bottom w:val="nil"/>
              <w:right w:val="nil"/>
            </w:tcBorders>
            <w:vAlign w:val="center"/>
          </w:tcPr>
          <w:p w14:paraId="1FFD98AB">
            <w:pPr>
              <w:pStyle w:val="16"/>
              <w:spacing w:beforeLines="0" w:afterLines="0"/>
              <w:ind w:firstLine="0" w:firstLineChars="0"/>
              <w:jc w:val="center"/>
              <w:rPr>
                <w:rFonts w:cs="Times New Roman"/>
                <w:sz w:val="21"/>
                <w:szCs w:val="21"/>
              </w:rPr>
            </w:pPr>
            <w:r>
              <w:rPr>
                <w:rFonts w:hint="eastAsia" w:cs="Times New Roman"/>
                <w:sz w:val="21"/>
                <w:szCs w:val="21"/>
              </w:rPr>
              <w:t>Case 3-14</w:t>
            </w:r>
          </w:p>
        </w:tc>
        <w:tc>
          <w:tcPr>
            <w:tcW w:w="3800" w:type="dxa"/>
            <w:tcBorders>
              <w:top w:val="nil"/>
              <w:left w:val="nil"/>
              <w:bottom w:val="nil"/>
              <w:right w:val="nil"/>
            </w:tcBorders>
            <w:vAlign w:val="center"/>
          </w:tcPr>
          <w:p w14:paraId="5ED6903E">
            <w:pPr>
              <w:rPr>
                <w:color w:val="000000"/>
                <w:szCs w:val="21"/>
              </w:rPr>
            </w:pPr>
            <w:r>
              <w:rPr>
                <w:rFonts w:hint="eastAsia"/>
              </w:rPr>
              <w:t xml:space="preserve">Hebei Xingtai Power Co., Ltd. Boiler Water-Cooled Wall Tube Corrosion Fatigue Cracking </w:t>
            </w:r>
          </w:p>
        </w:tc>
        <w:tc>
          <w:tcPr>
            <w:tcW w:w="781" w:type="dxa"/>
            <w:gridSpan w:val="2"/>
            <w:tcBorders>
              <w:top w:val="nil"/>
              <w:left w:val="nil"/>
              <w:bottom w:val="nil"/>
              <w:right w:val="nil"/>
            </w:tcBorders>
            <w:vAlign w:val="center"/>
          </w:tcPr>
          <w:p w14:paraId="6868763C">
            <w:pPr>
              <w:pStyle w:val="16"/>
              <w:spacing w:beforeLines="0" w:afterLines="0"/>
              <w:ind w:firstLine="0" w:firstLineChars="0"/>
              <w:jc w:val="center"/>
              <w:rPr>
                <w:rFonts w:cs="Times New Roman"/>
                <w:sz w:val="21"/>
                <w:szCs w:val="21"/>
              </w:rPr>
            </w:pPr>
            <w:r>
              <w:rPr>
                <w:rFonts w:cs="Times New Roman"/>
                <w:sz w:val="21"/>
                <w:szCs w:val="21"/>
              </w:rPr>
              <w:t>√</w:t>
            </w:r>
          </w:p>
        </w:tc>
        <w:tc>
          <w:tcPr>
            <w:tcW w:w="890" w:type="dxa"/>
            <w:gridSpan w:val="2"/>
            <w:tcBorders>
              <w:top w:val="nil"/>
              <w:left w:val="nil"/>
              <w:bottom w:val="nil"/>
              <w:right w:val="nil"/>
            </w:tcBorders>
            <w:vAlign w:val="center"/>
          </w:tcPr>
          <w:p w14:paraId="0A8CC23A">
            <w:pPr>
              <w:pStyle w:val="16"/>
              <w:spacing w:beforeLines="0" w:afterLines="0"/>
              <w:ind w:firstLine="0" w:firstLineChars="0"/>
              <w:jc w:val="center"/>
              <w:rPr>
                <w:rFonts w:cs="Times New Roman"/>
                <w:sz w:val="21"/>
                <w:szCs w:val="21"/>
              </w:rPr>
            </w:pPr>
          </w:p>
        </w:tc>
        <w:tc>
          <w:tcPr>
            <w:tcW w:w="778" w:type="dxa"/>
            <w:gridSpan w:val="2"/>
            <w:tcBorders>
              <w:top w:val="nil"/>
              <w:left w:val="nil"/>
              <w:bottom w:val="nil"/>
              <w:right w:val="nil"/>
            </w:tcBorders>
            <w:vAlign w:val="center"/>
          </w:tcPr>
          <w:p w14:paraId="5503EA29">
            <w:pPr>
              <w:pStyle w:val="16"/>
              <w:spacing w:beforeLines="0" w:afterLines="0"/>
              <w:ind w:firstLine="0" w:firstLineChars="0"/>
              <w:jc w:val="center"/>
              <w:rPr>
                <w:rFonts w:cs="Times New Roman"/>
                <w:sz w:val="21"/>
                <w:szCs w:val="21"/>
              </w:rPr>
            </w:pPr>
          </w:p>
        </w:tc>
        <w:tc>
          <w:tcPr>
            <w:tcW w:w="803" w:type="dxa"/>
            <w:tcBorders>
              <w:top w:val="nil"/>
              <w:left w:val="nil"/>
              <w:bottom w:val="nil"/>
              <w:right w:val="nil"/>
            </w:tcBorders>
            <w:vAlign w:val="center"/>
          </w:tcPr>
          <w:p w14:paraId="123AFE7D">
            <w:pPr>
              <w:pStyle w:val="16"/>
              <w:spacing w:beforeLines="0" w:afterLines="0"/>
              <w:ind w:firstLine="0" w:firstLineChars="0"/>
              <w:jc w:val="center"/>
              <w:rPr>
                <w:rFonts w:cs="Times New Roman"/>
                <w:sz w:val="21"/>
                <w:szCs w:val="21"/>
              </w:rPr>
            </w:pPr>
            <w:r>
              <w:rPr>
                <w:rFonts w:cs="Times New Roman"/>
                <w:sz w:val="21"/>
                <w:szCs w:val="21"/>
              </w:rPr>
              <w:t>√</w:t>
            </w:r>
          </w:p>
        </w:tc>
      </w:tr>
      <w:tr w14:paraId="15285DE2">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01" w:type="dxa"/>
            <w:tcBorders>
              <w:top w:val="nil"/>
              <w:left w:val="nil"/>
              <w:bottom w:val="nil"/>
              <w:right w:val="nil"/>
            </w:tcBorders>
            <w:vAlign w:val="center"/>
          </w:tcPr>
          <w:p w14:paraId="01B683C4">
            <w:pPr>
              <w:pStyle w:val="16"/>
              <w:spacing w:beforeLines="0" w:afterLines="0"/>
              <w:ind w:firstLine="0" w:firstLineChars="0"/>
              <w:jc w:val="center"/>
              <w:rPr>
                <w:rFonts w:cs="Times New Roman"/>
                <w:sz w:val="21"/>
                <w:szCs w:val="21"/>
              </w:rPr>
            </w:pPr>
            <w:r>
              <w:rPr>
                <w:rFonts w:hint="eastAsia" w:cs="Times New Roman"/>
                <w:sz w:val="21"/>
                <w:szCs w:val="21"/>
              </w:rPr>
              <w:t>Case 3-15</w:t>
            </w:r>
          </w:p>
        </w:tc>
        <w:tc>
          <w:tcPr>
            <w:tcW w:w="3800" w:type="dxa"/>
            <w:tcBorders>
              <w:top w:val="nil"/>
              <w:left w:val="nil"/>
              <w:bottom w:val="nil"/>
              <w:right w:val="nil"/>
            </w:tcBorders>
            <w:vAlign w:val="center"/>
          </w:tcPr>
          <w:p w14:paraId="51E9B943">
            <w:pPr>
              <w:rPr>
                <w:color w:val="000000"/>
                <w:szCs w:val="21"/>
              </w:rPr>
            </w:pPr>
            <w:r>
              <w:rPr>
                <w:rFonts w:hint="eastAsia" w:hAnsi="宋体"/>
                <w:color w:val="000000"/>
                <w:szCs w:val="21"/>
              </w:rPr>
              <w:t>Power Plant 1025T/h High-Temperature Superheater Bursting Accident</w:t>
            </w:r>
          </w:p>
        </w:tc>
        <w:tc>
          <w:tcPr>
            <w:tcW w:w="781" w:type="dxa"/>
            <w:gridSpan w:val="2"/>
            <w:tcBorders>
              <w:top w:val="nil"/>
              <w:left w:val="nil"/>
              <w:bottom w:val="nil"/>
              <w:right w:val="nil"/>
            </w:tcBorders>
            <w:vAlign w:val="center"/>
          </w:tcPr>
          <w:p w14:paraId="0E752EFD">
            <w:pPr>
              <w:pStyle w:val="16"/>
              <w:spacing w:beforeLines="0" w:afterLines="0"/>
              <w:ind w:firstLine="0" w:firstLineChars="0"/>
              <w:jc w:val="center"/>
              <w:rPr>
                <w:rFonts w:cs="Times New Roman"/>
                <w:sz w:val="21"/>
                <w:szCs w:val="21"/>
              </w:rPr>
            </w:pPr>
          </w:p>
        </w:tc>
        <w:tc>
          <w:tcPr>
            <w:tcW w:w="890" w:type="dxa"/>
            <w:gridSpan w:val="2"/>
            <w:tcBorders>
              <w:top w:val="nil"/>
              <w:left w:val="nil"/>
              <w:bottom w:val="nil"/>
              <w:right w:val="nil"/>
            </w:tcBorders>
            <w:vAlign w:val="center"/>
          </w:tcPr>
          <w:p w14:paraId="40985CC1">
            <w:pPr>
              <w:pStyle w:val="16"/>
              <w:spacing w:beforeLines="0" w:afterLines="0"/>
              <w:ind w:firstLine="0" w:firstLineChars="0"/>
              <w:jc w:val="center"/>
              <w:rPr>
                <w:rFonts w:cs="Times New Roman"/>
                <w:sz w:val="21"/>
                <w:szCs w:val="21"/>
              </w:rPr>
            </w:pPr>
          </w:p>
        </w:tc>
        <w:tc>
          <w:tcPr>
            <w:tcW w:w="778" w:type="dxa"/>
            <w:gridSpan w:val="2"/>
            <w:tcBorders>
              <w:top w:val="nil"/>
              <w:left w:val="nil"/>
              <w:bottom w:val="nil"/>
              <w:right w:val="nil"/>
            </w:tcBorders>
            <w:vAlign w:val="center"/>
          </w:tcPr>
          <w:p w14:paraId="302B1E79">
            <w:pPr>
              <w:pStyle w:val="16"/>
              <w:spacing w:beforeLines="0" w:afterLines="0"/>
              <w:ind w:firstLine="0" w:firstLineChars="0"/>
              <w:jc w:val="center"/>
              <w:rPr>
                <w:rFonts w:cs="Times New Roman"/>
                <w:sz w:val="21"/>
                <w:szCs w:val="21"/>
              </w:rPr>
            </w:pPr>
          </w:p>
        </w:tc>
        <w:tc>
          <w:tcPr>
            <w:tcW w:w="803" w:type="dxa"/>
            <w:tcBorders>
              <w:top w:val="nil"/>
              <w:left w:val="nil"/>
              <w:bottom w:val="nil"/>
              <w:right w:val="nil"/>
            </w:tcBorders>
            <w:vAlign w:val="center"/>
          </w:tcPr>
          <w:p w14:paraId="013CD0F1">
            <w:pPr>
              <w:pStyle w:val="16"/>
              <w:spacing w:beforeLines="0" w:afterLines="0"/>
              <w:ind w:firstLine="0" w:firstLineChars="0"/>
              <w:jc w:val="center"/>
              <w:rPr>
                <w:rFonts w:cs="Times New Roman"/>
                <w:sz w:val="21"/>
                <w:szCs w:val="21"/>
              </w:rPr>
            </w:pPr>
            <w:r>
              <w:rPr>
                <w:rFonts w:cs="Times New Roman"/>
                <w:sz w:val="21"/>
                <w:szCs w:val="21"/>
              </w:rPr>
              <w:t>√</w:t>
            </w:r>
          </w:p>
        </w:tc>
      </w:tr>
      <w:tr w14:paraId="4AC07708">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01" w:type="dxa"/>
            <w:tcBorders>
              <w:top w:val="nil"/>
              <w:left w:val="nil"/>
              <w:bottom w:val="nil"/>
              <w:right w:val="nil"/>
            </w:tcBorders>
            <w:vAlign w:val="center"/>
          </w:tcPr>
          <w:p w14:paraId="48A660A6">
            <w:pPr>
              <w:pStyle w:val="16"/>
              <w:spacing w:beforeLines="0" w:afterLines="0"/>
              <w:ind w:firstLine="0" w:firstLineChars="0"/>
              <w:jc w:val="center"/>
              <w:rPr>
                <w:rFonts w:cs="Times New Roman"/>
                <w:sz w:val="21"/>
                <w:szCs w:val="21"/>
              </w:rPr>
            </w:pPr>
            <w:r>
              <w:rPr>
                <w:rFonts w:hint="eastAsia" w:cs="Times New Roman"/>
                <w:sz w:val="21"/>
                <w:szCs w:val="21"/>
              </w:rPr>
              <w:t>Case 3-16</w:t>
            </w:r>
          </w:p>
        </w:tc>
        <w:tc>
          <w:tcPr>
            <w:tcW w:w="3800" w:type="dxa"/>
            <w:tcBorders>
              <w:top w:val="nil"/>
              <w:left w:val="nil"/>
              <w:bottom w:val="nil"/>
              <w:right w:val="nil"/>
            </w:tcBorders>
            <w:vAlign w:val="center"/>
          </w:tcPr>
          <w:p w14:paraId="31D69277">
            <w:pPr>
              <w:rPr>
                <w:color w:val="000000"/>
                <w:szCs w:val="21"/>
              </w:rPr>
            </w:pPr>
            <w:r>
              <w:rPr>
                <w:rFonts w:hint="eastAsia" w:hAnsi="宋体"/>
                <w:color w:val="000000"/>
                <w:szCs w:val="21"/>
              </w:rPr>
              <w:t xml:space="preserve">Boiler Reheater Bursting Accident in a Power Plant </w:t>
            </w:r>
          </w:p>
        </w:tc>
        <w:tc>
          <w:tcPr>
            <w:tcW w:w="781" w:type="dxa"/>
            <w:gridSpan w:val="2"/>
            <w:tcBorders>
              <w:top w:val="nil"/>
              <w:left w:val="nil"/>
              <w:bottom w:val="nil"/>
              <w:right w:val="nil"/>
            </w:tcBorders>
            <w:vAlign w:val="center"/>
          </w:tcPr>
          <w:p w14:paraId="0FBDAC69">
            <w:pPr>
              <w:pStyle w:val="16"/>
              <w:spacing w:beforeLines="0" w:afterLines="0"/>
              <w:ind w:firstLine="0" w:firstLineChars="0"/>
              <w:jc w:val="center"/>
              <w:rPr>
                <w:rFonts w:cs="Times New Roman"/>
                <w:sz w:val="21"/>
                <w:szCs w:val="21"/>
              </w:rPr>
            </w:pPr>
          </w:p>
        </w:tc>
        <w:tc>
          <w:tcPr>
            <w:tcW w:w="890" w:type="dxa"/>
            <w:gridSpan w:val="2"/>
            <w:tcBorders>
              <w:top w:val="nil"/>
              <w:left w:val="nil"/>
              <w:bottom w:val="nil"/>
              <w:right w:val="nil"/>
            </w:tcBorders>
            <w:vAlign w:val="center"/>
          </w:tcPr>
          <w:p w14:paraId="7A8BEF10">
            <w:pPr>
              <w:pStyle w:val="16"/>
              <w:spacing w:beforeLines="0" w:afterLines="0"/>
              <w:ind w:firstLine="0" w:firstLineChars="0"/>
              <w:jc w:val="center"/>
              <w:rPr>
                <w:rFonts w:cs="Times New Roman"/>
                <w:sz w:val="21"/>
                <w:szCs w:val="21"/>
              </w:rPr>
            </w:pPr>
            <w:r>
              <w:rPr>
                <w:rFonts w:cs="Times New Roman"/>
                <w:sz w:val="21"/>
                <w:szCs w:val="21"/>
              </w:rPr>
              <w:t>√</w:t>
            </w:r>
          </w:p>
        </w:tc>
        <w:tc>
          <w:tcPr>
            <w:tcW w:w="778" w:type="dxa"/>
            <w:gridSpan w:val="2"/>
            <w:tcBorders>
              <w:top w:val="nil"/>
              <w:left w:val="nil"/>
              <w:bottom w:val="nil"/>
              <w:right w:val="nil"/>
            </w:tcBorders>
            <w:vAlign w:val="center"/>
          </w:tcPr>
          <w:p w14:paraId="655F3E7C">
            <w:pPr>
              <w:pStyle w:val="16"/>
              <w:spacing w:beforeLines="0" w:afterLines="0"/>
              <w:ind w:firstLine="0" w:firstLineChars="0"/>
              <w:jc w:val="center"/>
              <w:rPr>
                <w:rFonts w:cs="Times New Roman"/>
                <w:sz w:val="21"/>
                <w:szCs w:val="21"/>
              </w:rPr>
            </w:pPr>
          </w:p>
        </w:tc>
        <w:tc>
          <w:tcPr>
            <w:tcW w:w="803" w:type="dxa"/>
            <w:tcBorders>
              <w:top w:val="nil"/>
              <w:left w:val="nil"/>
              <w:bottom w:val="nil"/>
              <w:right w:val="nil"/>
            </w:tcBorders>
            <w:vAlign w:val="center"/>
          </w:tcPr>
          <w:p w14:paraId="11ECF6B0">
            <w:pPr>
              <w:pStyle w:val="16"/>
              <w:spacing w:beforeLines="0" w:afterLines="0"/>
              <w:ind w:firstLine="0" w:firstLineChars="0"/>
              <w:jc w:val="center"/>
              <w:rPr>
                <w:rFonts w:cs="Times New Roman"/>
                <w:sz w:val="21"/>
                <w:szCs w:val="21"/>
              </w:rPr>
            </w:pPr>
            <w:r>
              <w:rPr>
                <w:rFonts w:cs="Times New Roman"/>
                <w:sz w:val="21"/>
                <w:szCs w:val="21"/>
              </w:rPr>
              <w:t>√</w:t>
            </w:r>
          </w:p>
        </w:tc>
      </w:tr>
      <w:tr w14:paraId="0B50DA56">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01" w:type="dxa"/>
            <w:tcBorders>
              <w:top w:val="nil"/>
              <w:left w:val="nil"/>
              <w:bottom w:val="nil"/>
              <w:right w:val="nil"/>
            </w:tcBorders>
            <w:vAlign w:val="center"/>
          </w:tcPr>
          <w:p w14:paraId="54A3577B">
            <w:pPr>
              <w:pStyle w:val="16"/>
              <w:spacing w:beforeLines="0" w:afterLines="0"/>
              <w:ind w:firstLine="0" w:firstLineChars="0"/>
              <w:jc w:val="center"/>
              <w:rPr>
                <w:rFonts w:cs="Times New Roman"/>
                <w:sz w:val="21"/>
                <w:szCs w:val="21"/>
              </w:rPr>
            </w:pPr>
            <w:r>
              <w:rPr>
                <w:rFonts w:hint="eastAsia" w:cs="Times New Roman"/>
                <w:sz w:val="21"/>
                <w:szCs w:val="21"/>
              </w:rPr>
              <w:t>Case 3-17</w:t>
            </w:r>
          </w:p>
        </w:tc>
        <w:tc>
          <w:tcPr>
            <w:tcW w:w="3800" w:type="dxa"/>
            <w:tcBorders>
              <w:top w:val="nil"/>
              <w:left w:val="nil"/>
              <w:bottom w:val="nil"/>
              <w:right w:val="nil"/>
            </w:tcBorders>
            <w:vAlign w:val="center"/>
          </w:tcPr>
          <w:p w14:paraId="195FE0E7">
            <w:pPr>
              <w:rPr>
                <w:color w:val="000000"/>
                <w:szCs w:val="21"/>
              </w:rPr>
            </w:pPr>
            <w:r>
              <w:rPr>
                <w:rFonts w:hint="eastAsia" w:hAnsi="宋体"/>
                <w:color w:val="000000"/>
                <w:szCs w:val="21"/>
              </w:rPr>
              <w:t>Guangdong Datang International Chaozhou Power Plant Screen-Type Superheater Tube Bursting Accident</w:t>
            </w:r>
          </w:p>
        </w:tc>
        <w:tc>
          <w:tcPr>
            <w:tcW w:w="781" w:type="dxa"/>
            <w:gridSpan w:val="2"/>
            <w:tcBorders>
              <w:top w:val="nil"/>
              <w:left w:val="nil"/>
              <w:bottom w:val="nil"/>
              <w:right w:val="nil"/>
            </w:tcBorders>
            <w:vAlign w:val="center"/>
          </w:tcPr>
          <w:p w14:paraId="0E43C1E2">
            <w:pPr>
              <w:pStyle w:val="16"/>
              <w:spacing w:beforeLines="0" w:afterLines="0"/>
              <w:ind w:firstLine="0" w:firstLineChars="0"/>
              <w:jc w:val="center"/>
              <w:rPr>
                <w:rFonts w:cs="Times New Roman"/>
                <w:sz w:val="21"/>
                <w:szCs w:val="21"/>
              </w:rPr>
            </w:pPr>
          </w:p>
        </w:tc>
        <w:tc>
          <w:tcPr>
            <w:tcW w:w="890" w:type="dxa"/>
            <w:gridSpan w:val="2"/>
            <w:tcBorders>
              <w:top w:val="nil"/>
              <w:left w:val="nil"/>
              <w:bottom w:val="nil"/>
              <w:right w:val="nil"/>
            </w:tcBorders>
            <w:vAlign w:val="center"/>
          </w:tcPr>
          <w:p w14:paraId="5871A4E9">
            <w:pPr>
              <w:pStyle w:val="16"/>
              <w:spacing w:beforeLines="0" w:afterLines="0"/>
              <w:ind w:firstLine="0" w:firstLineChars="0"/>
              <w:jc w:val="center"/>
              <w:rPr>
                <w:rFonts w:cs="Times New Roman"/>
                <w:sz w:val="21"/>
                <w:szCs w:val="21"/>
              </w:rPr>
            </w:pPr>
            <w:r>
              <w:rPr>
                <w:rFonts w:cs="Times New Roman"/>
                <w:sz w:val="21"/>
                <w:szCs w:val="21"/>
              </w:rPr>
              <w:t>√</w:t>
            </w:r>
          </w:p>
        </w:tc>
        <w:tc>
          <w:tcPr>
            <w:tcW w:w="778" w:type="dxa"/>
            <w:gridSpan w:val="2"/>
            <w:tcBorders>
              <w:top w:val="nil"/>
              <w:left w:val="nil"/>
              <w:bottom w:val="nil"/>
              <w:right w:val="nil"/>
            </w:tcBorders>
            <w:vAlign w:val="center"/>
          </w:tcPr>
          <w:p w14:paraId="1AD06620">
            <w:pPr>
              <w:pStyle w:val="16"/>
              <w:spacing w:beforeLines="0" w:afterLines="0"/>
              <w:ind w:firstLine="0" w:firstLineChars="0"/>
              <w:jc w:val="center"/>
              <w:rPr>
                <w:rFonts w:cs="Times New Roman"/>
                <w:sz w:val="21"/>
                <w:szCs w:val="21"/>
              </w:rPr>
            </w:pPr>
            <w:r>
              <w:rPr>
                <w:rFonts w:cs="Times New Roman"/>
                <w:sz w:val="21"/>
                <w:szCs w:val="21"/>
              </w:rPr>
              <w:t>√</w:t>
            </w:r>
          </w:p>
        </w:tc>
        <w:tc>
          <w:tcPr>
            <w:tcW w:w="803" w:type="dxa"/>
            <w:tcBorders>
              <w:top w:val="nil"/>
              <w:left w:val="nil"/>
              <w:bottom w:val="nil"/>
              <w:right w:val="nil"/>
            </w:tcBorders>
            <w:vAlign w:val="center"/>
          </w:tcPr>
          <w:p w14:paraId="47EA872E">
            <w:pPr>
              <w:pStyle w:val="16"/>
              <w:spacing w:beforeLines="0" w:afterLines="0"/>
              <w:ind w:firstLine="0" w:firstLineChars="0"/>
              <w:jc w:val="center"/>
              <w:rPr>
                <w:rFonts w:cs="Times New Roman"/>
                <w:sz w:val="21"/>
                <w:szCs w:val="21"/>
              </w:rPr>
            </w:pPr>
          </w:p>
        </w:tc>
      </w:tr>
      <w:tr w14:paraId="3EFA87BF">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01" w:type="dxa"/>
            <w:tcBorders>
              <w:top w:val="nil"/>
              <w:left w:val="nil"/>
              <w:bottom w:val="nil"/>
              <w:right w:val="nil"/>
            </w:tcBorders>
            <w:vAlign w:val="center"/>
          </w:tcPr>
          <w:p w14:paraId="37D4DAED">
            <w:pPr>
              <w:pStyle w:val="16"/>
              <w:spacing w:beforeLines="0" w:afterLines="0"/>
              <w:ind w:firstLine="0" w:firstLineChars="0"/>
              <w:jc w:val="center"/>
              <w:rPr>
                <w:rFonts w:cs="Times New Roman"/>
                <w:sz w:val="21"/>
                <w:szCs w:val="21"/>
              </w:rPr>
            </w:pPr>
            <w:r>
              <w:rPr>
                <w:rFonts w:hint="eastAsia" w:cs="Times New Roman"/>
                <w:sz w:val="21"/>
                <w:szCs w:val="21"/>
              </w:rPr>
              <w:t>Case 3-18</w:t>
            </w:r>
          </w:p>
        </w:tc>
        <w:tc>
          <w:tcPr>
            <w:tcW w:w="3800" w:type="dxa"/>
            <w:tcBorders>
              <w:top w:val="nil"/>
              <w:left w:val="nil"/>
              <w:bottom w:val="nil"/>
              <w:right w:val="nil"/>
            </w:tcBorders>
            <w:vAlign w:val="center"/>
          </w:tcPr>
          <w:p w14:paraId="7BDF8D16">
            <w:pPr>
              <w:rPr>
                <w:color w:val="000000"/>
                <w:szCs w:val="21"/>
              </w:rPr>
            </w:pPr>
            <w:r>
              <w:rPr>
                <w:rFonts w:hint="eastAsia" w:hAnsi="宋体"/>
                <w:color w:val="000000"/>
                <w:szCs w:val="21"/>
              </w:rPr>
              <w:t>Ningxia Zhongning Power Co., Ltd. No. 2 Boiler High-Temperature Reheater Bursting Accident</w:t>
            </w:r>
          </w:p>
        </w:tc>
        <w:tc>
          <w:tcPr>
            <w:tcW w:w="781" w:type="dxa"/>
            <w:gridSpan w:val="2"/>
            <w:tcBorders>
              <w:top w:val="nil"/>
              <w:left w:val="nil"/>
              <w:bottom w:val="nil"/>
              <w:right w:val="nil"/>
            </w:tcBorders>
            <w:vAlign w:val="center"/>
          </w:tcPr>
          <w:p w14:paraId="4A3480C6">
            <w:pPr>
              <w:pStyle w:val="16"/>
              <w:spacing w:beforeLines="0" w:afterLines="0"/>
              <w:ind w:firstLine="0" w:firstLineChars="0"/>
              <w:jc w:val="center"/>
              <w:rPr>
                <w:rFonts w:cs="Times New Roman"/>
                <w:sz w:val="21"/>
                <w:szCs w:val="21"/>
              </w:rPr>
            </w:pPr>
          </w:p>
        </w:tc>
        <w:tc>
          <w:tcPr>
            <w:tcW w:w="890" w:type="dxa"/>
            <w:gridSpan w:val="2"/>
            <w:tcBorders>
              <w:top w:val="nil"/>
              <w:left w:val="nil"/>
              <w:bottom w:val="nil"/>
              <w:right w:val="nil"/>
            </w:tcBorders>
            <w:vAlign w:val="center"/>
          </w:tcPr>
          <w:p w14:paraId="5B3D0877">
            <w:pPr>
              <w:pStyle w:val="16"/>
              <w:spacing w:beforeLines="0" w:afterLines="0"/>
              <w:ind w:firstLine="0" w:firstLineChars="0"/>
              <w:jc w:val="center"/>
              <w:rPr>
                <w:rFonts w:cs="Times New Roman"/>
                <w:sz w:val="21"/>
                <w:szCs w:val="21"/>
              </w:rPr>
            </w:pPr>
          </w:p>
        </w:tc>
        <w:tc>
          <w:tcPr>
            <w:tcW w:w="778" w:type="dxa"/>
            <w:gridSpan w:val="2"/>
            <w:tcBorders>
              <w:top w:val="nil"/>
              <w:left w:val="nil"/>
              <w:bottom w:val="nil"/>
              <w:right w:val="nil"/>
            </w:tcBorders>
            <w:vAlign w:val="center"/>
          </w:tcPr>
          <w:p w14:paraId="4F7AA395">
            <w:pPr>
              <w:pStyle w:val="16"/>
              <w:spacing w:beforeLines="0" w:afterLines="0"/>
              <w:ind w:firstLine="0" w:firstLineChars="0"/>
              <w:jc w:val="center"/>
              <w:rPr>
                <w:rFonts w:cs="Times New Roman"/>
                <w:sz w:val="21"/>
                <w:szCs w:val="21"/>
              </w:rPr>
            </w:pPr>
          </w:p>
        </w:tc>
        <w:tc>
          <w:tcPr>
            <w:tcW w:w="803" w:type="dxa"/>
            <w:tcBorders>
              <w:top w:val="nil"/>
              <w:left w:val="nil"/>
              <w:bottom w:val="nil"/>
              <w:right w:val="nil"/>
            </w:tcBorders>
            <w:vAlign w:val="center"/>
          </w:tcPr>
          <w:p w14:paraId="2EE2699D">
            <w:pPr>
              <w:pStyle w:val="16"/>
              <w:spacing w:beforeLines="0" w:afterLines="0"/>
              <w:ind w:firstLine="0" w:firstLineChars="0"/>
              <w:jc w:val="center"/>
              <w:rPr>
                <w:rFonts w:cs="Times New Roman"/>
                <w:sz w:val="21"/>
                <w:szCs w:val="21"/>
              </w:rPr>
            </w:pPr>
            <w:r>
              <w:rPr>
                <w:rFonts w:cs="Times New Roman"/>
                <w:sz w:val="21"/>
                <w:szCs w:val="21"/>
              </w:rPr>
              <w:t>√</w:t>
            </w:r>
          </w:p>
        </w:tc>
      </w:tr>
      <w:tr w14:paraId="78552BDB">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01" w:type="dxa"/>
            <w:tcBorders>
              <w:top w:val="nil"/>
              <w:left w:val="nil"/>
              <w:bottom w:val="nil"/>
              <w:right w:val="nil"/>
            </w:tcBorders>
            <w:vAlign w:val="center"/>
          </w:tcPr>
          <w:p w14:paraId="2C3690D1">
            <w:pPr>
              <w:pStyle w:val="16"/>
              <w:spacing w:beforeLines="0" w:afterLines="0"/>
              <w:ind w:firstLine="0" w:firstLineChars="0"/>
              <w:jc w:val="center"/>
              <w:rPr>
                <w:rFonts w:cs="Times New Roman"/>
                <w:sz w:val="21"/>
                <w:szCs w:val="21"/>
              </w:rPr>
            </w:pPr>
            <w:r>
              <w:rPr>
                <w:rFonts w:hint="eastAsia" w:cs="Times New Roman"/>
                <w:sz w:val="21"/>
                <w:szCs w:val="21"/>
              </w:rPr>
              <w:t>Case 3-19</w:t>
            </w:r>
          </w:p>
        </w:tc>
        <w:tc>
          <w:tcPr>
            <w:tcW w:w="3800" w:type="dxa"/>
            <w:tcBorders>
              <w:top w:val="nil"/>
              <w:left w:val="nil"/>
              <w:bottom w:val="nil"/>
              <w:right w:val="nil"/>
            </w:tcBorders>
            <w:vAlign w:val="center"/>
          </w:tcPr>
          <w:p w14:paraId="445E6104">
            <w:pPr>
              <w:rPr>
                <w:color w:val="000000"/>
                <w:szCs w:val="21"/>
              </w:rPr>
            </w:pPr>
            <w:r>
              <w:rPr>
                <w:rFonts w:hint="eastAsia" w:hAnsi="宋体"/>
                <w:color w:val="000000"/>
                <w:szCs w:val="21"/>
              </w:rPr>
              <w:t>Fushun Power Co., Ltd. No. 2 Boiler Low-Temperature Reheater Tube Leakage Accident</w:t>
            </w:r>
          </w:p>
        </w:tc>
        <w:tc>
          <w:tcPr>
            <w:tcW w:w="781" w:type="dxa"/>
            <w:gridSpan w:val="2"/>
            <w:tcBorders>
              <w:top w:val="nil"/>
              <w:left w:val="nil"/>
              <w:bottom w:val="nil"/>
              <w:right w:val="nil"/>
            </w:tcBorders>
            <w:vAlign w:val="center"/>
          </w:tcPr>
          <w:p w14:paraId="73BCAE0B">
            <w:pPr>
              <w:pStyle w:val="16"/>
              <w:spacing w:beforeLines="0" w:afterLines="0"/>
              <w:ind w:firstLine="0" w:firstLineChars="0"/>
              <w:jc w:val="center"/>
              <w:rPr>
                <w:rFonts w:cs="Times New Roman"/>
                <w:sz w:val="21"/>
                <w:szCs w:val="21"/>
              </w:rPr>
            </w:pPr>
          </w:p>
        </w:tc>
        <w:tc>
          <w:tcPr>
            <w:tcW w:w="890" w:type="dxa"/>
            <w:gridSpan w:val="2"/>
            <w:tcBorders>
              <w:top w:val="nil"/>
              <w:left w:val="nil"/>
              <w:bottom w:val="nil"/>
              <w:right w:val="nil"/>
            </w:tcBorders>
            <w:vAlign w:val="center"/>
          </w:tcPr>
          <w:p w14:paraId="286DC2CD">
            <w:pPr>
              <w:pStyle w:val="16"/>
              <w:spacing w:beforeLines="0" w:afterLines="0"/>
              <w:ind w:firstLine="0" w:firstLineChars="0"/>
              <w:jc w:val="center"/>
              <w:rPr>
                <w:rFonts w:cs="Times New Roman"/>
                <w:sz w:val="21"/>
                <w:szCs w:val="21"/>
              </w:rPr>
            </w:pPr>
          </w:p>
        </w:tc>
        <w:tc>
          <w:tcPr>
            <w:tcW w:w="778" w:type="dxa"/>
            <w:gridSpan w:val="2"/>
            <w:tcBorders>
              <w:top w:val="nil"/>
              <w:left w:val="nil"/>
              <w:bottom w:val="nil"/>
              <w:right w:val="nil"/>
            </w:tcBorders>
            <w:vAlign w:val="center"/>
          </w:tcPr>
          <w:p w14:paraId="15D6EE0B">
            <w:pPr>
              <w:pStyle w:val="16"/>
              <w:spacing w:beforeLines="0" w:afterLines="0"/>
              <w:ind w:firstLine="0" w:firstLineChars="0"/>
              <w:jc w:val="center"/>
              <w:rPr>
                <w:rFonts w:cs="Times New Roman"/>
                <w:sz w:val="21"/>
                <w:szCs w:val="21"/>
              </w:rPr>
            </w:pPr>
          </w:p>
        </w:tc>
        <w:tc>
          <w:tcPr>
            <w:tcW w:w="803" w:type="dxa"/>
            <w:tcBorders>
              <w:top w:val="nil"/>
              <w:left w:val="nil"/>
              <w:bottom w:val="nil"/>
              <w:right w:val="nil"/>
            </w:tcBorders>
            <w:vAlign w:val="center"/>
          </w:tcPr>
          <w:p w14:paraId="7176DEFB">
            <w:pPr>
              <w:pStyle w:val="16"/>
              <w:spacing w:beforeLines="0" w:afterLines="0"/>
              <w:ind w:firstLine="0" w:firstLineChars="0"/>
              <w:jc w:val="center"/>
              <w:rPr>
                <w:rFonts w:cs="Times New Roman"/>
                <w:sz w:val="21"/>
                <w:szCs w:val="21"/>
              </w:rPr>
            </w:pPr>
            <w:r>
              <w:rPr>
                <w:rFonts w:cs="Times New Roman"/>
                <w:sz w:val="21"/>
                <w:szCs w:val="21"/>
              </w:rPr>
              <w:t>√</w:t>
            </w:r>
          </w:p>
        </w:tc>
      </w:tr>
      <w:tr w14:paraId="4E1C0240">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01" w:type="dxa"/>
            <w:tcBorders>
              <w:top w:val="nil"/>
              <w:left w:val="nil"/>
              <w:bottom w:val="nil"/>
              <w:right w:val="nil"/>
            </w:tcBorders>
            <w:vAlign w:val="center"/>
          </w:tcPr>
          <w:p w14:paraId="76806751">
            <w:pPr>
              <w:pStyle w:val="16"/>
              <w:spacing w:beforeLines="0" w:afterLines="0"/>
              <w:ind w:firstLine="0" w:firstLineChars="0"/>
              <w:jc w:val="center"/>
              <w:rPr>
                <w:rFonts w:cs="Times New Roman"/>
                <w:sz w:val="21"/>
                <w:szCs w:val="21"/>
              </w:rPr>
            </w:pPr>
            <w:r>
              <w:rPr>
                <w:rFonts w:hint="eastAsia" w:cs="Times New Roman"/>
                <w:sz w:val="21"/>
                <w:szCs w:val="21"/>
              </w:rPr>
              <w:t>Case 3-20</w:t>
            </w:r>
          </w:p>
        </w:tc>
        <w:tc>
          <w:tcPr>
            <w:tcW w:w="3800" w:type="dxa"/>
            <w:tcBorders>
              <w:top w:val="nil"/>
              <w:left w:val="nil"/>
              <w:bottom w:val="nil"/>
              <w:right w:val="nil"/>
            </w:tcBorders>
            <w:vAlign w:val="center"/>
          </w:tcPr>
          <w:p w14:paraId="37088AE2">
            <w:pPr>
              <w:rPr>
                <w:color w:val="000000"/>
                <w:szCs w:val="21"/>
              </w:rPr>
            </w:pPr>
            <w:r>
              <w:rPr>
                <w:rFonts w:hint="eastAsia"/>
                <w:color w:val="000000"/>
                <w:szCs w:val="21"/>
              </w:rPr>
              <w:t xml:space="preserve">Boiler High-Temperature Reheater Bursting Accident in a Power Plant </w:t>
            </w:r>
          </w:p>
        </w:tc>
        <w:tc>
          <w:tcPr>
            <w:tcW w:w="781" w:type="dxa"/>
            <w:gridSpan w:val="2"/>
            <w:tcBorders>
              <w:top w:val="nil"/>
              <w:left w:val="nil"/>
              <w:bottom w:val="nil"/>
              <w:right w:val="nil"/>
            </w:tcBorders>
            <w:vAlign w:val="center"/>
          </w:tcPr>
          <w:p w14:paraId="5DC4CEB3">
            <w:pPr>
              <w:pStyle w:val="16"/>
              <w:spacing w:beforeLines="0" w:afterLines="0"/>
              <w:ind w:firstLine="0" w:firstLineChars="0"/>
              <w:jc w:val="center"/>
              <w:rPr>
                <w:rFonts w:cs="Times New Roman"/>
                <w:sz w:val="21"/>
                <w:szCs w:val="21"/>
              </w:rPr>
            </w:pPr>
          </w:p>
        </w:tc>
        <w:tc>
          <w:tcPr>
            <w:tcW w:w="890" w:type="dxa"/>
            <w:gridSpan w:val="2"/>
            <w:tcBorders>
              <w:top w:val="nil"/>
              <w:left w:val="nil"/>
              <w:bottom w:val="nil"/>
              <w:right w:val="nil"/>
            </w:tcBorders>
            <w:vAlign w:val="center"/>
          </w:tcPr>
          <w:p w14:paraId="623A979F">
            <w:pPr>
              <w:pStyle w:val="16"/>
              <w:spacing w:beforeLines="0" w:afterLines="0"/>
              <w:ind w:firstLine="0" w:firstLineChars="0"/>
              <w:jc w:val="center"/>
              <w:rPr>
                <w:rFonts w:cs="Times New Roman"/>
                <w:sz w:val="21"/>
                <w:szCs w:val="21"/>
              </w:rPr>
            </w:pPr>
            <w:r>
              <w:rPr>
                <w:rFonts w:cs="Times New Roman"/>
                <w:sz w:val="21"/>
                <w:szCs w:val="21"/>
              </w:rPr>
              <w:t>√</w:t>
            </w:r>
          </w:p>
        </w:tc>
        <w:tc>
          <w:tcPr>
            <w:tcW w:w="778" w:type="dxa"/>
            <w:gridSpan w:val="2"/>
            <w:tcBorders>
              <w:top w:val="nil"/>
              <w:left w:val="nil"/>
              <w:bottom w:val="nil"/>
              <w:right w:val="nil"/>
            </w:tcBorders>
            <w:vAlign w:val="center"/>
          </w:tcPr>
          <w:p w14:paraId="7CD78C7E">
            <w:pPr>
              <w:pStyle w:val="16"/>
              <w:spacing w:beforeLines="0" w:afterLines="0"/>
              <w:ind w:firstLine="0" w:firstLineChars="0"/>
              <w:jc w:val="center"/>
              <w:rPr>
                <w:rFonts w:cs="Times New Roman"/>
                <w:sz w:val="21"/>
                <w:szCs w:val="21"/>
              </w:rPr>
            </w:pPr>
            <w:r>
              <w:rPr>
                <w:rFonts w:cs="Times New Roman"/>
                <w:sz w:val="21"/>
                <w:szCs w:val="21"/>
              </w:rPr>
              <w:t>√</w:t>
            </w:r>
          </w:p>
        </w:tc>
        <w:tc>
          <w:tcPr>
            <w:tcW w:w="803" w:type="dxa"/>
            <w:tcBorders>
              <w:top w:val="nil"/>
              <w:left w:val="nil"/>
              <w:bottom w:val="nil"/>
              <w:right w:val="nil"/>
            </w:tcBorders>
            <w:vAlign w:val="center"/>
          </w:tcPr>
          <w:p w14:paraId="7435C6E4">
            <w:pPr>
              <w:pStyle w:val="16"/>
              <w:spacing w:beforeLines="0" w:afterLines="0"/>
              <w:ind w:firstLine="0" w:firstLineChars="0"/>
              <w:jc w:val="center"/>
              <w:rPr>
                <w:rFonts w:cs="Times New Roman"/>
                <w:sz w:val="21"/>
                <w:szCs w:val="21"/>
              </w:rPr>
            </w:pPr>
          </w:p>
        </w:tc>
      </w:tr>
      <w:tr w14:paraId="126F1A99">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01" w:type="dxa"/>
            <w:tcBorders>
              <w:top w:val="nil"/>
              <w:left w:val="nil"/>
              <w:bottom w:val="nil"/>
              <w:right w:val="nil"/>
            </w:tcBorders>
            <w:vAlign w:val="center"/>
          </w:tcPr>
          <w:p w14:paraId="238F40F8">
            <w:pPr>
              <w:pStyle w:val="16"/>
              <w:spacing w:beforeLines="0" w:afterLines="0"/>
              <w:ind w:firstLine="0" w:firstLineChars="0"/>
              <w:jc w:val="center"/>
              <w:rPr>
                <w:rFonts w:cs="Times New Roman"/>
                <w:sz w:val="21"/>
                <w:szCs w:val="21"/>
              </w:rPr>
            </w:pPr>
            <w:r>
              <w:rPr>
                <w:rFonts w:hint="eastAsia" w:cs="Times New Roman"/>
                <w:sz w:val="21"/>
                <w:szCs w:val="21"/>
              </w:rPr>
              <w:t>Case 3-21</w:t>
            </w:r>
          </w:p>
        </w:tc>
        <w:tc>
          <w:tcPr>
            <w:tcW w:w="3800" w:type="dxa"/>
            <w:tcBorders>
              <w:top w:val="nil"/>
              <w:left w:val="nil"/>
              <w:bottom w:val="nil"/>
              <w:right w:val="nil"/>
            </w:tcBorders>
            <w:vAlign w:val="center"/>
          </w:tcPr>
          <w:p w14:paraId="49BC3D44">
            <w:pPr>
              <w:spacing w:line="312" w:lineRule="auto"/>
              <w:jc w:val="left"/>
              <w:rPr>
                <w:color w:val="000000"/>
                <w:szCs w:val="21"/>
              </w:rPr>
            </w:pPr>
            <w:r>
              <w:rPr>
                <w:rFonts w:hint="eastAsia"/>
                <w:color w:val="000000"/>
                <w:szCs w:val="21"/>
              </w:rPr>
              <w:t xml:space="preserve">Screen Heater Tube Secondary Bursting in a Boiler of a Guangdong Province Power Plant </w:t>
            </w:r>
          </w:p>
        </w:tc>
        <w:tc>
          <w:tcPr>
            <w:tcW w:w="781" w:type="dxa"/>
            <w:gridSpan w:val="2"/>
            <w:tcBorders>
              <w:top w:val="nil"/>
              <w:left w:val="nil"/>
              <w:bottom w:val="nil"/>
              <w:right w:val="nil"/>
            </w:tcBorders>
            <w:vAlign w:val="center"/>
          </w:tcPr>
          <w:p w14:paraId="55872501">
            <w:pPr>
              <w:pStyle w:val="16"/>
              <w:spacing w:beforeLines="0" w:afterLines="0"/>
              <w:ind w:firstLine="0" w:firstLineChars="0"/>
              <w:jc w:val="center"/>
              <w:rPr>
                <w:rFonts w:cs="Times New Roman"/>
                <w:sz w:val="21"/>
                <w:szCs w:val="21"/>
              </w:rPr>
            </w:pPr>
          </w:p>
        </w:tc>
        <w:tc>
          <w:tcPr>
            <w:tcW w:w="890" w:type="dxa"/>
            <w:gridSpan w:val="2"/>
            <w:tcBorders>
              <w:top w:val="nil"/>
              <w:left w:val="nil"/>
              <w:bottom w:val="nil"/>
              <w:right w:val="nil"/>
            </w:tcBorders>
            <w:vAlign w:val="center"/>
          </w:tcPr>
          <w:p w14:paraId="3CA38642">
            <w:pPr>
              <w:pStyle w:val="16"/>
              <w:spacing w:beforeLines="0" w:afterLines="0"/>
              <w:ind w:firstLine="0" w:firstLineChars="0"/>
              <w:jc w:val="center"/>
              <w:rPr>
                <w:rFonts w:cs="Times New Roman"/>
                <w:sz w:val="21"/>
                <w:szCs w:val="21"/>
              </w:rPr>
            </w:pPr>
            <w:r>
              <w:rPr>
                <w:rFonts w:cs="Times New Roman"/>
                <w:sz w:val="21"/>
                <w:szCs w:val="21"/>
              </w:rPr>
              <w:t>√</w:t>
            </w:r>
          </w:p>
        </w:tc>
        <w:tc>
          <w:tcPr>
            <w:tcW w:w="778" w:type="dxa"/>
            <w:gridSpan w:val="2"/>
            <w:tcBorders>
              <w:top w:val="nil"/>
              <w:left w:val="nil"/>
              <w:bottom w:val="nil"/>
              <w:right w:val="nil"/>
            </w:tcBorders>
            <w:vAlign w:val="center"/>
          </w:tcPr>
          <w:p w14:paraId="68626538">
            <w:pPr>
              <w:pStyle w:val="16"/>
              <w:spacing w:beforeLines="0" w:afterLines="0"/>
              <w:ind w:firstLine="0" w:firstLineChars="0"/>
              <w:jc w:val="center"/>
              <w:rPr>
                <w:rFonts w:cs="Times New Roman"/>
                <w:sz w:val="21"/>
                <w:szCs w:val="21"/>
              </w:rPr>
            </w:pPr>
          </w:p>
        </w:tc>
        <w:tc>
          <w:tcPr>
            <w:tcW w:w="803" w:type="dxa"/>
            <w:tcBorders>
              <w:top w:val="nil"/>
              <w:left w:val="nil"/>
              <w:bottom w:val="nil"/>
              <w:right w:val="nil"/>
            </w:tcBorders>
            <w:vAlign w:val="center"/>
          </w:tcPr>
          <w:p w14:paraId="21D20DFB">
            <w:pPr>
              <w:pStyle w:val="16"/>
              <w:spacing w:beforeLines="0" w:afterLines="0"/>
              <w:ind w:firstLine="0" w:firstLineChars="0"/>
              <w:jc w:val="center"/>
              <w:rPr>
                <w:rFonts w:cs="Times New Roman"/>
                <w:sz w:val="21"/>
                <w:szCs w:val="21"/>
              </w:rPr>
            </w:pPr>
            <w:r>
              <w:rPr>
                <w:rFonts w:cs="Times New Roman"/>
                <w:sz w:val="21"/>
                <w:szCs w:val="21"/>
              </w:rPr>
              <w:t>√</w:t>
            </w:r>
          </w:p>
        </w:tc>
      </w:tr>
      <w:tr w14:paraId="4A5DC7E4">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01" w:type="dxa"/>
            <w:tcBorders>
              <w:top w:val="nil"/>
              <w:left w:val="nil"/>
              <w:bottom w:val="nil"/>
              <w:right w:val="nil"/>
            </w:tcBorders>
            <w:vAlign w:val="center"/>
          </w:tcPr>
          <w:p w14:paraId="4B5C0CD7">
            <w:pPr>
              <w:pStyle w:val="16"/>
              <w:spacing w:beforeLines="0" w:afterLines="0"/>
              <w:ind w:firstLine="0" w:firstLineChars="0"/>
              <w:jc w:val="center"/>
              <w:rPr>
                <w:rFonts w:cs="Times New Roman"/>
                <w:sz w:val="21"/>
                <w:szCs w:val="21"/>
              </w:rPr>
            </w:pPr>
            <w:r>
              <w:rPr>
                <w:rFonts w:hint="eastAsia" w:cs="Times New Roman"/>
                <w:sz w:val="21"/>
                <w:szCs w:val="21"/>
              </w:rPr>
              <w:t>Case 3-22</w:t>
            </w:r>
          </w:p>
        </w:tc>
        <w:tc>
          <w:tcPr>
            <w:tcW w:w="3800" w:type="dxa"/>
            <w:tcBorders>
              <w:top w:val="nil"/>
              <w:left w:val="nil"/>
              <w:bottom w:val="nil"/>
              <w:right w:val="nil"/>
            </w:tcBorders>
            <w:vAlign w:val="center"/>
          </w:tcPr>
          <w:p w14:paraId="256562DB">
            <w:pPr>
              <w:spacing w:line="312" w:lineRule="auto"/>
              <w:rPr>
                <w:color w:val="000000"/>
                <w:szCs w:val="21"/>
              </w:rPr>
            </w:pPr>
            <w:r>
              <w:rPr>
                <w:rFonts w:hint="eastAsia" w:hAnsi="宋体"/>
                <w:color w:val="000000"/>
                <w:szCs w:val="21"/>
              </w:rPr>
              <w:t>Qinghai Huadian Datong Power Co., Ltd. Unit 2 Main Steam Pipeline Bursting Accident</w:t>
            </w:r>
          </w:p>
        </w:tc>
        <w:tc>
          <w:tcPr>
            <w:tcW w:w="781" w:type="dxa"/>
            <w:gridSpan w:val="2"/>
            <w:tcBorders>
              <w:top w:val="nil"/>
              <w:left w:val="nil"/>
              <w:bottom w:val="nil"/>
              <w:right w:val="nil"/>
            </w:tcBorders>
            <w:vAlign w:val="center"/>
          </w:tcPr>
          <w:p w14:paraId="3D8E41BA">
            <w:pPr>
              <w:pStyle w:val="16"/>
              <w:spacing w:beforeLines="0" w:afterLines="0"/>
              <w:ind w:firstLine="0" w:firstLineChars="0"/>
              <w:jc w:val="center"/>
              <w:rPr>
                <w:rFonts w:cs="Times New Roman"/>
                <w:sz w:val="21"/>
                <w:szCs w:val="21"/>
              </w:rPr>
            </w:pPr>
            <w:r>
              <w:rPr>
                <w:rFonts w:cs="Times New Roman"/>
                <w:sz w:val="21"/>
                <w:szCs w:val="21"/>
              </w:rPr>
              <w:t>√</w:t>
            </w:r>
          </w:p>
        </w:tc>
        <w:tc>
          <w:tcPr>
            <w:tcW w:w="890" w:type="dxa"/>
            <w:gridSpan w:val="2"/>
            <w:tcBorders>
              <w:top w:val="nil"/>
              <w:left w:val="nil"/>
              <w:bottom w:val="nil"/>
              <w:right w:val="nil"/>
            </w:tcBorders>
            <w:vAlign w:val="center"/>
          </w:tcPr>
          <w:p w14:paraId="157C5211">
            <w:pPr>
              <w:pStyle w:val="16"/>
              <w:spacing w:beforeLines="0" w:afterLines="0"/>
              <w:ind w:firstLine="0" w:firstLineChars="0"/>
              <w:jc w:val="center"/>
              <w:rPr>
                <w:rFonts w:cs="Times New Roman"/>
                <w:sz w:val="21"/>
                <w:szCs w:val="21"/>
              </w:rPr>
            </w:pPr>
          </w:p>
        </w:tc>
        <w:tc>
          <w:tcPr>
            <w:tcW w:w="778" w:type="dxa"/>
            <w:gridSpan w:val="2"/>
            <w:tcBorders>
              <w:top w:val="nil"/>
              <w:left w:val="nil"/>
              <w:bottom w:val="nil"/>
              <w:right w:val="nil"/>
            </w:tcBorders>
            <w:vAlign w:val="center"/>
          </w:tcPr>
          <w:p w14:paraId="5D651351">
            <w:pPr>
              <w:pStyle w:val="16"/>
              <w:spacing w:beforeLines="0" w:afterLines="0"/>
              <w:ind w:firstLine="0" w:firstLineChars="0"/>
              <w:jc w:val="center"/>
              <w:rPr>
                <w:rFonts w:cs="Times New Roman"/>
                <w:sz w:val="21"/>
                <w:szCs w:val="21"/>
              </w:rPr>
            </w:pPr>
          </w:p>
        </w:tc>
        <w:tc>
          <w:tcPr>
            <w:tcW w:w="803" w:type="dxa"/>
            <w:tcBorders>
              <w:top w:val="nil"/>
              <w:left w:val="nil"/>
              <w:bottom w:val="nil"/>
              <w:right w:val="nil"/>
            </w:tcBorders>
            <w:vAlign w:val="center"/>
          </w:tcPr>
          <w:p w14:paraId="09A2ECA9">
            <w:pPr>
              <w:pStyle w:val="16"/>
              <w:spacing w:beforeLines="0" w:afterLines="0"/>
              <w:ind w:firstLine="0" w:firstLineChars="0"/>
              <w:jc w:val="center"/>
              <w:rPr>
                <w:rFonts w:cs="Times New Roman"/>
                <w:sz w:val="21"/>
                <w:szCs w:val="21"/>
              </w:rPr>
            </w:pPr>
          </w:p>
        </w:tc>
      </w:tr>
      <w:tr w14:paraId="0AEDF034">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01" w:type="dxa"/>
            <w:tcBorders>
              <w:top w:val="nil"/>
              <w:left w:val="nil"/>
              <w:bottom w:val="nil"/>
              <w:right w:val="nil"/>
            </w:tcBorders>
            <w:vAlign w:val="center"/>
          </w:tcPr>
          <w:p w14:paraId="0ACA4E06">
            <w:pPr>
              <w:pStyle w:val="16"/>
              <w:spacing w:beforeLines="0" w:afterLines="0"/>
              <w:ind w:firstLine="0" w:firstLineChars="0"/>
              <w:jc w:val="center"/>
              <w:rPr>
                <w:rFonts w:cs="Times New Roman"/>
                <w:sz w:val="21"/>
                <w:szCs w:val="21"/>
              </w:rPr>
            </w:pPr>
            <w:r>
              <w:rPr>
                <w:rFonts w:hint="eastAsia" w:cs="Times New Roman"/>
                <w:sz w:val="21"/>
                <w:szCs w:val="21"/>
              </w:rPr>
              <w:t>Case 3-23</w:t>
            </w:r>
          </w:p>
        </w:tc>
        <w:tc>
          <w:tcPr>
            <w:tcW w:w="3800" w:type="dxa"/>
            <w:tcBorders>
              <w:top w:val="nil"/>
              <w:left w:val="nil"/>
              <w:bottom w:val="nil"/>
              <w:right w:val="nil"/>
            </w:tcBorders>
            <w:vAlign w:val="center"/>
          </w:tcPr>
          <w:p w14:paraId="0E1FE7A4">
            <w:pPr>
              <w:rPr>
                <w:color w:val="000000"/>
                <w:szCs w:val="21"/>
              </w:rPr>
            </w:pPr>
            <w:r>
              <w:rPr>
                <w:rFonts w:hint="eastAsia"/>
                <w:color w:val="000000"/>
                <w:szCs w:val="21"/>
              </w:rPr>
              <w:t>Condenser Copper Tube Ammonia Corrosion in Liaocheng Power Plant</w:t>
            </w:r>
          </w:p>
        </w:tc>
        <w:tc>
          <w:tcPr>
            <w:tcW w:w="781" w:type="dxa"/>
            <w:gridSpan w:val="2"/>
            <w:tcBorders>
              <w:top w:val="nil"/>
              <w:left w:val="nil"/>
              <w:bottom w:val="nil"/>
              <w:right w:val="nil"/>
            </w:tcBorders>
            <w:vAlign w:val="center"/>
          </w:tcPr>
          <w:p w14:paraId="79063F8A">
            <w:pPr>
              <w:pStyle w:val="16"/>
              <w:spacing w:beforeLines="0" w:afterLines="0"/>
              <w:ind w:firstLine="0" w:firstLineChars="0"/>
              <w:jc w:val="center"/>
              <w:rPr>
                <w:rFonts w:cs="Times New Roman"/>
                <w:sz w:val="21"/>
                <w:szCs w:val="21"/>
              </w:rPr>
            </w:pPr>
            <w:r>
              <w:rPr>
                <w:rFonts w:cs="Times New Roman"/>
                <w:sz w:val="21"/>
                <w:szCs w:val="21"/>
              </w:rPr>
              <w:t>√</w:t>
            </w:r>
          </w:p>
        </w:tc>
        <w:tc>
          <w:tcPr>
            <w:tcW w:w="890" w:type="dxa"/>
            <w:gridSpan w:val="2"/>
            <w:tcBorders>
              <w:top w:val="nil"/>
              <w:left w:val="nil"/>
              <w:bottom w:val="nil"/>
              <w:right w:val="nil"/>
            </w:tcBorders>
            <w:vAlign w:val="center"/>
          </w:tcPr>
          <w:p w14:paraId="7FC07D7A">
            <w:pPr>
              <w:pStyle w:val="16"/>
              <w:spacing w:beforeLines="0" w:afterLines="0"/>
              <w:ind w:firstLine="0" w:firstLineChars="0"/>
              <w:jc w:val="center"/>
              <w:rPr>
                <w:rFonts w:cs="Times New Roman"/>
                <w:sz w:val="21"/>
                <w:szCs w:val="21"/>
              </w:rPr>
            </w:pPr>
          </w:p>
        </w:tc>
        <w:tc>
          <w:tcPr>
            <w:tcW w:w="778" w:type="dxa"/>
            <w:gridSpan w:val="2"/>
            <w:tcBorders>
              <w:top w:val="nil"/>
              <w:left w:val="nil"/>
              <w:bottom w:val="nil"/>
              <w:right w:val="nil"/>
            </w:tcBorders>
            <w:vAlign w:val="center"/>
          </w:tcPr>
          <w:p w14:paraId="169AA457">
            <w:pPr>
              <w:pStyle w:val="16"/>
              <w:spacing w:beforeLines="0" w:afterLines="0"/>
              <w:ind w:firstLine="0" w:firstLineChars="0"/>
              <w:jc w:val="center"/>
              <w:rPr>
                <w:rFonts w:cs="Times New Roman"/>
                <w:sz w:val="21"/>
                <w:szCs w:val="21"/>
              </w:rPr>
            </w:pPr>
          </w:p>
        </w:tc>
        <w:tc>
          <w:tcPr>
            <w:tcW w:w="803" w:type="dxa"/>
            <w:tcBorders>
              <w:top w:val="nil"/>
              <w:left w:val="nil"/>
              <w:bottom w:val="nil"/>
              <w:right w:val="nil"/>
            </w:tcBorders>
            <w:vAlign w:val="center"/>
          </w:tcPr>
          <w:p w14:paraId="459F4A30">
            <w:pPr>
              <w:pStyle w:val="16"/>
              <w:spacing w:beforeLines="0" w:afterLines="0"/>
              <w:ind w:firstLine="0" w:firstLineChars="0"/>
              <w:jc w:val="center"/>
              <w:rPr>
                <w:rFonts w:cs="Times New Roman"/>
                <w:sz w:val="21"/>
                <w:szCs w:val="21"/>
              </w:rPr>
            </w:pPr>
            <w:r>
              <w:rPr>
                <w:rFonts w:cs="Times New Roman"/>
                <w:sz w:val="21"/>
                <w:szCs w:val="21"/>
              </w:rPr>
              <w:t>√</w:t>
            </w:r>
          </w:p>
        </w:tc>
      </w:tr>
      <w:tr w14:paraId="1D90E53C">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01" w:type="dxa"/>
            <w:tcBorders>
              <w:top w:val="nil"/>
              <w:left w:val="nil"/>
              <w:bottom w:val="single" w:color="auto" w:sz="12" w:space="0"/>
              <w:right w:val="nil"/>
            </w:tcBorders>
            <w:vAlign w:val="center"/>
          </w:tcPr>
          <w:p w14:paraId="6524A96B">
            <w:pPr>
              <w:pStyle w:val="16"/>
              <w:spacing w:beforeLines="0" w:afterLines="0"/>
              <w:ind w:firstLine="0" w:firstLineChars="0"/>
              <w:jc w:val="center"/>
              <w:rPr>
                <w:rFonts w:cs="Times New Roman"/>
                <w:sz w:val="21"/>
                <w:szCs w:val="21"/>
              </w:rPr>
            </w:pPr>
            <w:r>
              <w:rPr>
                <w:rFonts w:hint="eastAsia" w:cs="Times New Roman"/>
                <w:sz w:val="21"/>
                <w:szCs w:val="21"/>
              </w:rPr>
              <w:t>Case 3-24</w:t>
            </w:r>
          </w:p>
        </w:tc>
        <w:tc>
          <w:tcPr>
            <w:tcW w:w="3800" w:type="dxa"/>
            <w:tcBorders>
              <w:top w:val="nil"/>
              <w:left w:val="nil"/>
              <w:bottom w:val="single" w:color="auto" w:sz="12" w:space="0"/>
              <w:right w:val="nil"/>
            </w:tcBorders>
            <w:vAlign w:val="center"/>
          </w:tcPr>
          <w:p w14:paraId="4A84665B">
            <w:pPr>
              <w:spacing w:line="312" w:lineRule="auto"/>
              <w:rPr>
                <w:color w:val="000000"/>
                <w:szCs w:val="21"/>
              </w:rPr>
            </w:pPr>
            <w:r>
              <w:rPr>
                <w:rFonts w:hint="eastAsia"/>
                <w:color w:val="000000"/>
                <w:szCs w:val="21"/>
              </w:rPr>
              <w:t>Corrosion of Condenser Copper Tubes in Ha San Power Plant</w:t>
            </w:r>
          </w:p>
        </w:tc>
        <w:tc>
          <w:tcPr>
            <w:tcW w:w="781" w:type="dxa"/>
            <w:gridSpan w:val="2"/>
            <w:tcBorders>
              <w:top w:val="nil"/>
              <w:left w:val="nil"/>
              <w:bottom w:val="single" w:color="auto" w:sz="12" w:space="0"/>
              <w:right w:val="nil"/>
            </w:tcBorders>
            <w:vAlign w:val="center"/>
          </w:tcPr>
          <w:p w14:paraId="54578DE5">
            <w:pPr>
              <w:pStyle w:val="16"/>
              <w:spacing w:beforeLines="0" w:afterLines="0"/>
              <w:ind w:firstLine="0" w:firstLineChars="0"/>
              <w:jc w:val="center"/>
              <w:rPr>
                <w:rFonts w:cs="Times New Roman"/>
                <w:sz w:val="21"/>
                <w:szCs w:val="21"/>
              </w:rPr>
            </w:pPr>
            <w:r>
              <w:rPr>
                <w:rFonts w:cs="Times New Roman"/>
                <w:sz w:val="21"/>
                <w:szCs w:val="21"/>
              </w:rPr>
              <w:t>√</w:t>
            </w:r>
          </w:p>
        </w:tc>
        <w:tc>
          <w:tcPr>
            <w:tcW w:w="890" w:type="dxa"/>
            <w:gridSpan w:val="2"/>
            <w:tcBorders>
              <w:top w:val="nil"/>
              <w:left w:val="nil"/>
              <w:bottom w:val="single" w:color="auto" w:sz="12" w:space="0"/>
              <w:right w:val="nil"/>
            </w:tcBorders>
            <w:vAlign w:val="center"/>
          </w:tcPr>
          <w:p w14:paraId="3DEB660E">
            <w:pPr>
              <w:pStyle w:val="16"/>
              <w:spacing w:beforeLines="0" w:afterLines="0"/>
              <w:ind w:firstLine="0" w:firstLineChars="0"/>
              <w:jc w:val="center"/>
              <w:rPr>
                <w:rFonts w:cs="Times New Roman"/>
                <w:sz w:val="21"/>
                <w:szCs w:val="21"/>
              </w:rPr>
            </w:pPr>
          </w:p>
        </w:tc>
        <w:tc>
          <w:tcPr>
            <w:tcW w:w="778" w:type="dxa"/>
            <w:gridSpan w:val="2"/>
            <w:tcBorders>
              <w:top w:val="nil"/>
              <w:left w:val="nil"/>
              <w:bottom w:val="single" w:color="auto" w:sz="12" w:space="0"/>
              <w:right w:val="nil"/>
            </w:tcBorders>
            <w:vAlign w:val="center"/>
          </w:tcPr>
          <w:p w14:paraId="0AB6F517">
            <w:pPr>
              <w:pStyle w:val="16"/>
              <w:spacing w:beforeLines="0" w:afterLines="0"/>
              <w:ind w:firstLine="0" w:firstLineChars="0"/>
              <w:jc w:val="center"/>
              <w:rPr>
                <w:rFonts w:cs="Times New Roman"/>
                <w:sz w:val="21"/>
                <w:szCs w:val="21"/>
              </w:rPr>
            </w:pPr>
          </w:p>
        </w:tc>
        <w:tc>
          <w:tcPr>
            <w:tcW w:w="803" w:type="dxa"/>
            <w:tcBorders>
              <w:top w:val="nil"/>
              <w:left w:val="nil"/>
              <w:bottom w:val="single" w:color="auto" w:sz="12" w:space="0"/>
              <w:right w:val="nil"/>
            </w:tcBorders>
            <w:vAlign w:val="center"/>
          </w:tcPr>
          <w:p w14:paraId="27E52A34">
            <w:pPr>
              <w:pStyle w:val="16"/>
              <w:spacing w:beforeLines="0" w:afterLines="0"/>
              <w:ind w:firstLine="0" w:firstLineChars="0"/>
              <w:jc w:val="center"/>
              <w:rPr>
                <w:rFonts w:cs="Times New Roman"/>
                <w:sz w:val="21"/>
                <w:szCs w:val="21"/>
              </w:rPr>
            </w:pPr>
            <w:r>
              <w:rPr>
                <w:rFonts w:cs="Times New Roman"/>
                <w:sz w:val="21"/>
                <w:szCs w:val="21"/>
              </w:rPr>
              <w:t>√</w:t>
            </w:r>
          </w:p>
        </w:tc>
      </w:tr>
    </w:tbl>
    <w:p w14:paraId="5AB6E831">
      <w:pPr>
        <w:pStyle w:val="16"/>
        <w:spacing w:before="468" w:beforeLines="150" w:after="156" w:afterLines="50"/>
        <w:ind w:firstLine="0" w:firstLineChars="0"/>
        <w:jc w:val="center"/>
        <w:rPr>
          <w:rFonts w:cs="Times New Roman"/>
          <w:b/>
          <w:sz w:val="21"/>
          <w:szCs w:val="21"/>
        </w:rPr>
      </w:pPr>
      <w:r>
        <w:rPr>
          <w:rFonts w:hint="eastAsia" w:cs="Times New Roman"/>
          <w:b/>
          <w:sz w:val="21"/>
          <w:szCs w:val="21"/>
        </w:rPr>
        <w:t>Table 3-6 Summary of Failure Causes in Unlisted Cases in the Thermal Power Industry</w:t>
      </w:r>
    </w:p>
    <w:tbl>
      <w:tblPr>
        <w:tblStyle w:val="9"/>
        <w:tblW w:w="0" w:type="auto"/>
        <w:jc w:val="center"/>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751"/>
        <w:gridCol w:w="3161"/>
        <w:gridCol w:w="928"/>
        <w:gridCol w:w="181"/>
        <w:gridCol w:w="1120"/>
        <w:gridCol w:w="142"/>
        <w:gridCol w:w="774"/>
        <w:gridCol w:w="248"/>
        <w:gridCol w:w="1217"/>
      </w:tblGrid>
      <w:tr w14:paraId="4C0FA9FF">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751" w:type="dxa"/>
            <w:vMerge w:val="restart"/>
            <w:tcBorders>
              <w:left w:val="nil"/>
              <w:right w:val="nil"/>
            </w:tcBorders>
            <w:vAlign w:val="center"/>
          </w:tcPr>
          <w:p w14:paraId="35F67EE3">
            <w:pPr>
              <w:pStyle w:val="16"/>
              <w:spacing w:beforeLines="0" w:afterLines="0"/>
              <w:ind w:firstLine="0" w:firstLineChars="0"/>
              <w:jc w:val="center"/>
              <w:rPr>
                <w:rFonts w:cs="Times New Roman"/>
                <w:sz w:val="21"/>
                <w:szCs w:val="21"/>
              </w:rPr>
            </w:pPr>
            <w:r>
              <w:rPr>
                <w:rFonts w:hint="eastAsia" w:cs="Times New Roman"/>
                <w:sz w:val="21"/>
                <w:szCs w:val="21"/>
              </w:rPr>
              <w:t>Case No</w:t>
            </w:r>
          </w:p>
        </w:tc>
        <w:tc>
          <w:tcPr>
            <w:tcW w:w="3161" w:type="dxa"/>
            <w:vMerge w:val="restart"/>
            <w:tcBorders>
              <w:left w:val="nil"/>
              <w:right w:val="nil"/>
            </w:tcBorders>
            <w:vAlign w:val="center"/>
          </w:tcPr>
          <w:p w14:paraId="4C6E9132">
            <w:pPr>
              <w:pStyle w:val="16"/>
              <w:spacing w:beforeLines="0" w:afterLines="0"/>
              <w:ind w:firstLine="0" w:firstLineChars="0"/>
              <w:jc w:val="center"/>
              <w:rPr>
                <w:rFonts w:cs="Times New Roman"/>
                <w:sz w:val="21"/>
                <w:szCs w:val="21"/>
              </w:rPr>
            </w:pPr>
            <w:r>
              <w:rPr>
                <w:rFonts w:hint="eastAsia" w:cs="Times New Roman"/>
                <w:sz w:val="21"/>
                <w:szCs w:val="21"/>
              </w:rPr>
              <w:t>Case Name</w:t>
            </w:r>
          </w:p>
        </w:tc>
        <w:tc>
          <w:tcPr>
            <w:tcW w:w="4610" w:type="dxa"/>
            <w:gridSpan w:val="7"/>
            <w:tcBorders>
              <w:left w:val="nil"/>
              <w:right w:val="nil"/>
            </w:tcBorders>
            <w:vAlign w:val="center"/>
          </w:tcPr>
          <w:p w14:paraId="48C516FC">
            <w:pPr>
              <w:pStyle w:val="16"/>
              <w:spacing w:beforeLines="0" w:afterLines="0"/>
              <w:ind w:firstLine="0" w:firstLineChars="0"/>
              <w:jc w:val="center"/>
              <w:rPr>
                <w:rFonts w:cs="Times New Roman"/>
                <w:sz w:val="21"/>
                <w:szCs w:val="21"/>
              </w:rPr>
            </w:pPr>
            <w:r>
              <w:rPr>
                <w:rFonts w:hint="eastAsia" w:cs="Times New Roman"/>
                <w:sz w:val="21"/>
                <w:szCs w:val="21"/>
              </w:rPr>
              <w:t>Failure Causes</w:t>
            </w:r>
          </w:p>
        </w:tc>
      </w:tr>
      <w:tr w14:paraId="42065556">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751" w:type="dxa"/>
            <w:vMerge w:val="continue"/>
            <w:tcBorders>
              <w:left w:val="nil"/>
              <w:bottom w:val="single" w:color="auto" w:sz="12" w:space="0"/>
              <w:right w:val="nil"/>
            </w:tcBorders>
            <w:vAlign w:val="center"/>
          </w:tcPr>
          <w:p w14:paraId="0FF97D6C">
            <w:pPr>
              <w:pStyle w:val="16"/>
              <w:spacing w:beforeLines="0" w:afterLines="0"/>
              <w:ind w:firstLine="0" w:firstLineChars="0"/>
              <w:jc w:val="center"/>
              <w:rPr>
                <w:rFonts w:cs="Times New Roman"/>
                <w:sz w:val="21"/>
                <w:szCs w:val="21"/>
              </w:rPr>
            </w:pPr>
          </w:p>
        </w:tc>
        <w:tc>
          <w:tcPr>
            <w:tcW w:w="3161" w:type="dxa"/>
            <w:vMerge w:val="continue"/>
            <w:tcBorders>
              <w:left w:val="nil"/>
              <w:bottom w:val="single" w:color="auto" w:sz="12" w:space="0"/>
              <w:right w:val="nil"/>
            </w:tcBorders>
            <w:vAlign w:val="center"/>
          </w:tcPr>
          <w:p w14:paraId="714D4D48">
            <w:pPr>
              <w:pStyle w:val="16"/>
              <w:spacing w:beforeLines="0" w:afterLines="0"/>
              <w:ind w:firstLine="0" w:firstLineChars="0"/>
              <w:jc w:val="center"/>
              <w:rPr>
                <w:rFonts w:cs="Times New Roman"/>
                <w:sz w:val="21"/>
                <w:szCs w:val="21"/>
              </w:rPr>
            </w:pPr>
          </w:p>
        </w:tc>
        <w:tc>
          <w:tcPr>
            <w:tcW w:w="928" w:type="dxa"/>
            <w:tcBorders>
              <w:left w:val="nil"/>
              <w:bottom w:val="single" w:color="auto" w:sz="12" w:space="0"/>
              <w:right w:val="nil"/>
            </w:tcBorders>
            <w:vAlign w:val="center"/>
          </w:tcPr>
          <w:p w14:paraId="3D9AB413">
            <w:pPr>
              <w:pStyle w:val="16"/>
              <w:spacing w:beforeLines="0" w:afterLines="0"/>
              <w:ind w:firstLine="0" w:firstLineChars="0"/>
              <w:jc w:val="center"/>
              <w:rPr>
                <w:rFonts w:cs="Times New Roman"/>
                <w:sz w:val="21"/>
                <w:szCs w:val="21"/>
              </w:rPr>
            </w:pPr>
            <w:r>
              <w:rPr>
                <w:rFonts w:hint="eastAsia" w:cs="Times New Roman"/>
                <w:sz w:val="21"/>
                <w:szCs w:val="21"/>
              </w:rPr>
              <w:t>Material</w:t>
            </w:r>
          </w:p>
          <w:p w14:paraId="72FB0C8C">
            <w:pPr>
              <w:pStyle w:val="16"/>
              <w:spacing w:beforeLines="0" w:afterLines="0"/>
              <w:ind w:firstLine="0" w:firstLineChars="0"/>
              <w:jc w:val="center"/>
              <w:rPr>
                <w:rFonts w:cs="Times New Roman"/>
                <w:sz w:val="21"/>
                <w:szCs w:val="21"/>
              </w:rPr>
            </w:pPr>
            <w:r>
              <w:rPr>
                <w:rFonts w:hint="eastAsia" w:cs="Times New Roman"/>
                <w:sz w:val="21"/>
                <w:szCs w:val="21"/>
              </w:rPr>
              <w:t>Itself</w:t>
            </w:r>
          </w:p>
        </w:tc>
        <w:tc>
          <w:tcPr>
            <w:tcW w:w="1301" w:type="dxa"/>
            <w:gridSpan w:val="2"/>
            <w:tcBorders>
              <w:left w:val="nil"/>
              <w:bottom w:val="single" w:color="auto" w:sz="12" w:space="0"/>
              <w:right w:val="nil"/>
            </w:tcBorders>
            <w:vAlign w:val="center"/>
          </w:tcPr>
          <w:p w14:paraId="241D5A49">
            <w:pPr>
              <w:pStyle w:val="16"/>
              <w:spacing w:beforeLines="0" w:afterLines="0"/>
              <w:ind w:firstLine="0" w:firstLineChars="0"/>
              <w:jc w:val="center"/>
              <w:rPr>
                <w:rFonts w:cs="Times New Roman"/>
                <w:sz w:val="21"/>
                <w:szCs w:val="21"/>
              </w:rPr>
            </w:pPr>
            <w:r>
              <w:rPr>
                <w:rFonts w:hint="eastAsia" w:cs="Times New Roman"/>
                <w:sz w:val="21"/>
                <w:szCs w:val="21"/>
              </w:rPr>
              <w:t>Production</w:t>
            </w:r>
          </w:p>
          <w:p w14:paraId="151D6D13">
            <w:pPr>
              <w:pStyle w:val="16"/>
              <w:spacing w:beforeLines="0" w:afterLines="0"/>
              <w:ind w:firstLine="0" w:firstLineChars="0"/>
              <w:jc w:val="center"/>
              <w:rPr>
                <w:rFonts w:cs="Times New Roman"/>
                <w:sz w:val="21"/>
                <w:szCs w:val="21"/>
              </w:rPr>
            </w:pPr>
            <w:r>
              <w:rPr>
                <w:rFonts w:hint="eastAsia" w:cs="Times New Roman"/>
                <w:sz w:val="21"/>
                <w:szCs w:val="21"/>
              </w:rPr>
              <w:t>and Construction</w:t>
            </w:r>
          </w:p>
        </w:tc>
        <w:tc>
          <w:tcPr>
            <w:tcW w:w="916" w:type="dxa"/>
            <w:gridSpan w:val="2"/>
            <w:tcBorders>
              <w:left w:val="nil"/>
              <w:bottom w:val="single" w:color="auto" w:sz="12" w:space="0"/>
              <w:right w:val="nil"/>
            </w:tcBorders>
            <w:vAlign w:val="center"/>
          </w:tcPr>
          <w:p w14:paraId="24EE417A">
            <w:pPr>
              <w:pStyle w:val="16"/>
              <w:spacing w:beforeLines="0" w:afterLines="0"/>
              <w:ind w:firstLine="0" w:firstLineChars="0"/>
              <w:jc w:val="center"/>
              <w:rPr>
                <w:rFonts w:cs="Times New Roman"/>
                <w:sz w:val="21"/>
                <w:szCs w:val="21"/>
              </w:rPr>
            </w:pPr>
            <w:r>
              <w:rPr>
                <w:rFonts w:hint="eastAsia" w:cs="Times New Roman"/>
                <w:sz w:val="21"/>
                <w:szCs w:val="21"/>
              </w:rPr>
              <w:t>Design</w:t>
            </w:r>
          </w:p>
          <w:p w14:paraId="6352BB69">
            <w:pPr>
              <w:pStyle w:val="16"/>
              <w:spacing w:beforeLines="0" w:afterLines="0"/>
              <w:ind w:firstLine="0" w:firstLineChars="0"/>
              <w:jc w:val="center"/>
              <w:rPr>
                <w:rFonts w:cs="Times New Roman"/>
                <w:sz w:val="21"/>
                <w:szCs w:val="21"/>
              </w:rPr>
            </w:pPr>
            <w:r>
              <w:rPr>
                <w:rFonts w:hint="eastAsia" w:cs="Times New Roman"/>
                <w:sz w:val="21"/>
                <w:szCs w:val="21"/>
              </w:rPr>
              <w:t>Reasons</w:t>
            </w:r>
          </w:p>
        </w:tc>
        <w:tc>
          <w:tcPr>
            <w:tcW w:w="1465" w:type="dxa"/>
            <w:gridSpan w:val="2"/>
            <w:tcBorders>
              <w:left w:val="nil"/>
              <w:bottom w:val="single" w:color="auto" w:sz="12" w:space="0"/>
              <w:right w:val="nil"/>
            </w:tcBorders>
            <w:vAlign w:val="center"/>
          </w:tcPr>
          <w:p w14:paraId="77ECA008">
            <w:pPr>
              <w:pStyle w:val="16"/>
              <w:spacing w:beforeLines="0" w:afterLines="0"/>
              <w:ind w:firstLine="0" w:firstLineChars="0"/>
              <w:jc w:val="center"/>
              <w:rPr>
                <w:rFonts w:cs="Times New Roman"/>
                <w:sz w:val="21"/>
                <w:szCs w:val="21"/>
              </w:rPr>
            </w:pPr>
            <w:r>
              <w:rPr>
                <w:rFonts w:hint="eastAsia" w:cs="Times New Roman"/>
                <w:sz w:val="21"/>
                <w:szCs w:val="21"/>
              </w:rPr>
              <w:t>Environmental</w:t>
            </w:r>
          </w:p>
          <w:p w14:paraId="4BC43A88">
            <w:pPr>
              <w:pStyle w:val="16"/>
              <w:spacing w:beforeLines="0" w:afterLines="0"/>
              <w:ind w:firstLine="0" w:firstLineChars="0"/>
              <w:jc w:val="center"/>
              <w:rPr>
                <w:rFonts w:cs="Times New Roman"/>
                <w:sz w:val="21"/>
                <w:szCs w:val="21"/>
              </w:rPr>
            </w:pPr>
            <w:r>
              <w:rPr>
                <w:rFonts w:hint="eastAsia" w:cs="Times New Roman"/>
                <w:sz w:val="21"/>
                <w:szCs w:val="21"/>
              </w:rPr>
              <w:t>Factors</w:t>
            </w:r>
          </w:p>
        </w:tc>
      </w:tr>
      <w:tr w14:paraId="1767E846">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751" w:type="dxa"/>
            <w:tcBorders>
              <w:left w:val="nil"/>
              <w:bottom w:val="nil"/>
              <w:right w:val="nil"/>
            </w:tcBorders>
            <w:vAlign w:val="center"/>
          </w:tcPr>
          <w:p w14:paraId="0804AD98">
            <w:pPr>
              <w:pStyle w:val="16"/>
              <w:spacing w:beforeLines="0" w:afterLines="0"/>
              <w:ind w:firstLine="0" w:firstLineChars="0"/>
              <w:jc w:val="center"/>
              <w:rPr>
                <w:rFonts w:cs="Times New Roman"/>
                <w:sz w:val="21"/>
                <w:szCs w:val="21"/>
              </w:rPr>
            </w:pPr>
            <w:r>
              <w:rPr>
                <w:rFonts w:cs="Times New Roman"/>
                <w:sz w:val="21"/>
                <w:szCs w:val="21"/>
              </w:rPr>
              <w:t>1</w:t>
            </w:r>
          </w:p>
        </w:tc>
        <w:tc>
          <w:tcPr>
            <w:tcW w:w="3161" w:type="dxa"/>
            <w:tcBorders>
              <w:left w:val="nil"/>
              <w:bottom w:val="nil"/>
              <w:right w:val="nil"/>
            </w:tcBorders>
            <w:vAlign w:val="center"/>
          </w:tcPr>
          <w:p w14:paraId="36846288">
            <w:pPr>
              <w:rPr>
                <w:color w:val="000000"/>
                <w:szCs w:val="21"/>
              </w:rPr>
            </w:pPr>
            <w:r>
              <w:rPr>
                <w:rFonts w:hint="eastAsia"/>
                <w:color w:val="000000"/>
                <w:szCs w:val="21"/>
              </w:rPr>
              <w:t>Fularji Power Plant Boiler Water-Cooled Wall Tube Hydrogen Corrosion Bursting</w:t>
            </w:r>
          </w:p>
        </w:tc>
        <w:tc>
          <w:tcPr>
            <w:tcW w:w="1109" w:type="dxa"/>
            <w:gridSpan w:val="2"/>
            <w:tcBorders>
              <w:left w:val="nil"/>
              <w:bottom w:val="nil"/>
              <w:right w:val="nil"/>
            </w:tcBorders>
            <w:vAlign w:val="center"/>
          </w:tcPr>
          <w:p w14:paraId="0FC4CBBC">
            <w:pPr>
              <w:pStyle w:val="16"/>
              <w:spacing w:beforeLines="0" w:afterLines="0"/>
              <w:ind w:firstLine="0" w:firstLineChars="0"/>
              <w:jc w:val="center"/>
              <w:rPr>
                <w:rFonts w:cs="Times New Roman"/>
                <w:sz w:val="21"/>
                <w:szCs w:val="21"/>
              </w:rPr>
            </w:pPr>
            <w:r>
              <w:rPr>
                <w:rFonts w:cs="Times New Roman"/>
                <w:sz w:val="21"/>
                <w:szCs w:val="21"/>
              </w:rPr>
              <w:t>√</w:t>
            </w:r>
          </w:p>
        </w:tc>
        <w:tc>
          <w:tcPr>
            <w:tcW w:w="1262" w:type="dxa"/>
            <w:gridSpan w:val="2"/>
            <w:tcBorders>
              <w:left w:val="nil"/>
              <w:bottom w:val="nil"/>
              <w:right w:val="nil"/>
            </w:tcBorders>
            <w:vAlign w:val="center"/>
          </w:tcPr>
          <w:p w14:paraId="0BC893FD">
            <w:pPr>
              <w:pStyle w:val="16"/>
              <w:spacing w:beforeLines="0" w:afterLines="0"/>
              <w:ind w:firstLine="0" w:firstLineChars="0"/>
              <w:jc w:val="center"/>
              <w:rPr>
                <w:rFonts w:cs="Times New Roman"/>
                <w:sz w:val="21"/>
                <w:szCs w:val="21"/>
              </w:rPr>
            </w:pPr>
          </w:p>
        </w:tc>
        <w:tc>
          <w:tcPr>
            <w:tcW w:w="1022" w:type="dxa"/>
            <w:gridSpan w:val="2"/>
            <w:tcBorders>
              <w:left w:val="nil"/>
              <w:bottom w:val="nil"/>
              <w:right w:val="nil"/>
            </w:tcBorders>
            <w:vAlign w:val="center"/>
          </w:tcPr>
          <w:p w14:paraId="28E1F63A">
            <w:pPr>
              <w:pStyle w:val="16"/>
              <w:spacing w:beforeLines="0" w:afterLines="0"/>
              <w:ind w:firstLine="0" w:firstLineChars="0"/>
              <w:jc w:val="center"/>
              <w:rPr>
                <w:rFonts w:cs="Times New Roman"/>
                <w:sz w:val="21"/>
                <w:szCs w:val="21"/>
              </w:rPr>
            </w:pPr>
          </w:p>
        </w:tc>
        <w:tc>
          <w:tcPr>
            <w:tcW w:w="1217" w:type="dxa"/>
            <w:tcBorders>
              <w:left w:val="nil"/>
              <w:bottom w:val="nil"/>
              <w:right w:val="nil"/>
            </w:tcBorders>
            <w:vAlign w:val="center"/>
          </w:tcPr>
          <w:p w14:paraId="7FAFD413">
            <w:pPr>
              <w:pStyle w:val="16"/>
              <w:spacing w:beforeLines="0" w:afterLines="0"/>
              <w:ind w:firstLine="0" w:firstLineChars="0"/>
              <w:jc w:val="center"/>
              <w:rPr>
                <w:rFonts w:cs="Times New Roman"/>
                <w:sz w:val="21"/>
                <w:szCs w:val="21"/>
              </w:rPr>
            </w:pPr>
            <w:r>
              <w:rPr>
                <w:rFonts w:cs="Times New Roman"/>
                <w:sz w:val="21"/>
                <w:szCs w:val="21"/>
              </w:rPr>
              <w:t>√</w:t>
            </w:r>
          </w:p>
        </w:tc>
      </w:tr>
      <w:tr w14:paraId="63504B29">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751" w:type="dxa"/>
            <w:tcBorders>
              <w:top w:val="nil"/>
              <w:left w:val="nil"/>
              <w:bottom w:val="nil"/>
              <w:right w:val="nil"/>
            </w:tcBorders>
            <w:vAlign w:val="center"/>
          </w:tcPr>
          <w:p w14:paraId="08467337">
            <w:pPr>
              <w:pStyle w:val="16"/>
              <w:spacing w:beforeLines="0" w:afterLines="0"/>
              <w:ind w:firstLine="0" w:firstLineChars="0"/>
              <w:jc w:val="center"/>
              <w:rPr>
                <w:rFonts w:cs="Times New Roman"/>
                <w:sz w:val="21"/>
                <w:szCs w:val="21"/>
              </w:rPr>
            </w:pPr>
            <w:r>
              <w:rPr>
                <w:rFonts w:cs="Times New Roman"/>
                <w:sz w:val="21"/>
                <w:szCs w:val="21"/>
              </w:rPr>
              <w:t>2</w:t>
            </w:r>
          </w:p>
        </w:tc>
        <w:tc>
          <w:tcPr>
            <w:tcW w:w="3161" w:type="dxa"/>
            <w:tcBorders>
              <w:top w:val="nil"/>
              <w:left w:val="nil"/>
              <w:bottom w:val="nil"/>
              <w:right w:val="nil"/>
            </w:tcBorders>
            <w:vAlign w:val="center"/>
          </w:tcPr>
          <w:p w14:paraId="11BEB7C9">
            <w:pPr>
              <w:rPr>
                <w:color w:val="000000"/>
                <w:szCs w:val="21"/>
              </w:rPr>
            </w:pPr>
            <w:r>
              <w:rPr>
                <w:rFonts w:hint="eastAsia"/>
              </w:rPr>
              <w:t xml:space="preserve">Leakage in Water-Cooled Wall Tubes in a Power Plant in Guangdong </w:t>
            </w:r>
          </w:p>
        </w:tc>
        <w:tc>
          <w:tcPr>
            <w:tcW w:w="1109" w:type="dxa"/>
            <w:gridSpan w:val="2"/>
            <w:tcBorders>
              <w:top w:val="nil"/>
              <w:left w:val="nil"/>
              <w:bottom w:val="nil"/>
              <w:right w:val="nil"/>
            </w:tcBorders>
            <w:vAlign w:val="center"/>
          </w:tcPr>
          <w:p w14:paraId="5C9D5357">
            <w:pPr>
              <w:pStyle w:val="16"/>
              <w:spacing w:beforeLines="0" w:afterLines="0"/>
              <w:ind w:firstLine="0" w:firstLineChars="0"/>
              <w:jc w:val="center"/>
              <w:rPr>
                <w:rFonts w:cs="Times New Roman"/>
                <w:sz w:val="21"/>
                <w:szCs w:val="21"/>
              </w:rPr>
            </w:pPr>
          </w:p>
        </w:tc>
        <w:tc>
          <w:tcPr>
            <w:tcW w:w="1262" w:type="dxa"/>
            <w:gridSpan w:val="2"/>
            <w:tcBorders>
              <w:top w:val="nil"/>
              <w:left w:val="nil"/>
              <w:bottom w:val="nil"/>
              <w:right w:val="nil"/>
            </w:tcBorders>
            <w:vAlign w:val="center"/>
          </w:tcPr>
          <w:p w14:paraId="1A9308B9">
            <w:pPr>
              <w:pStyle w:val="16"/>
              <w:spacing w:beforeLines="0" w:afterLines="0"/>
              <w:ind w:firstLine="0" w:firstLineChars="0"/>
              <w:jc w:val="center"/>
              <w:rPr>
                <w:rFonts w:cs="Times New Roman"/>
                <w:sz w:val="21"/>
                <w:szCs w:val="21"/>
              </w:rPr>
            </w:pPr>
            <w:r>
              <w:rPr>
                <w:rFonts w:cs="Times New Roman"/>
                <w:sz w:val="21"/>
                <w:szCs w:val="21"/>
              </w:rPr>
              <w:t>√</w:t>
            </w:r>
          </w:p>
        </w:tc>
        <w:tc>
          <w:tcPr>
            <w:tcW w:w="1022" w:type="dxa"/>
            <w:gridSpan w:val="2"/>
            <w:tcBorders>
              <w:top w:val="nil"/>
              <w:left w:val="nil"/>
              <w:bottom w:val="nil"/>
              <w:right w:val="nil"/>
            </w:tcBorders>
            <w:vAlign w:val="center"/>
          </w:tcPr>
          <w:p w14:paraId="15C26C10">
            <w:pPr>
              <w:pStyle w:val="16"/>
              <w:spacing w:beforeLines="0" w:afterLines="0"/>
              <w:ind w:firstLine="0" w:firstLineChars="0"/>
              <w:jc w:val="center"/>
              <w:rPr>
                <w:rFonts w:cs="Times New Roman"/>
                <w:sz w:val="21"/>
                <w:szCs w:val="21"/>
              </w:rPr>
            </w:pPr>
          </w:p>
        </w:tc>
        <w:tc>
          <w:tcPr>
            <w:tcW w:w="1217" w:type="dxa"/>
            <w:tcBorders>
              <w:top w:val="nil"/>
              <w:left w:val="nil"/>
              <w:bottom w:val="nil"/>
              <w:right w:val="nil"/>
            </w:tcBorders>
            <w:vAlign w:val="center"/>
          </w:tcPr>
          <w:p w14:paraId="5EB866E5">
            <w:pPr>
              <w:pStyle w:val="16"/>
              <w:spacing w:beforeLines="0" w:afterLines="0"/>
              <w:ind w:firstLine="0" w:firstLineChars="0"/>
              <w:jc w:val="center"/>
              <w:rPr>
                <w:rFonts w:cs="Times New Roman"/>
                <w:sz w:val="21"/>
                <w:szCs w:val="21"/>
              </w:rPr>
            </w:pPr>
          </w:p>
        </w:tc>
      </w:tr>
      <w:tr w14:paraId="76CED4E5">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347" w:hRule="atLeast"/>
          <w:jc w:val="center"/>
        </w:trPr>
        <w:tc>
          <w:tcPr>
            <w:tcW w:w="751" w:type="dxa"/>
            <w:tcBorders>
              <w:top w:val="nil"/>
              <w:left w:val="nil"/>
              <w:bottom w:val="nil"/>
              <w:right w:val="nil"/>
            </w:tcBorders>
            <w:vAlign w:val="center"/>
          </w:tcPr>
          <w:p w14:paraId="1A605A49">
            <w:pPr>
              <w:pStyle w:val="16"/>
              <w:spacing w:beforeLines="0" w:afterLines="0"/>
              <w:ind w:firstLine="0" w:firstLineChars="0"/>
              <w:jc w:val="center"/>
              <w:rPr>
                <w:rFonts w:cs="Times New Roman"/>
                <w:sz w:val="21"/>
                <w:szCs w:val="21"/>
              </w:rPr>
            </w:pPr>
            <w:r>
              <w:rPr>
                <w:rFonts w:cs="Times New Roman"/>
                <w:sz w:val="21"/>
                <w:szCs w:val="21"/>
              </w:rPr>
              <w:t>3</w:t>
            </w:r>
          </w:p>
        </w:tc>
        <w:tc>
          <w:tcPr>
            <w:tcW w:w="3161" w:type="dxa"/>
            <w:tcBorders>
              <w:top w:val="nil"/>
              <w:left w:val="nil"/>
              <w:bottom w:val="nil"/>
              <w:right w:val="nil"/>
            </w:tcBorders>
            <w:vAlign w:val="center"/>
          </w:tcPr>
          <w:p w14:paraId="7D7455B1">
            <w:pPr>
              <w:rPr>
                <w:color w:val="000000"/>
                <w:szCs w:val="21"/>
              </w:rPr>
            </w:pPr>
            <w:r>
              <w:rPr>
                <w:rFonts w:hint="eastAsia"/>
                <w:color w:val="000000"/>
                <w:szCs w:val="21"/>
              </w:rPr>
              <w:t>High-Temperature Corrosion Bursting of Water-Cooled Wall Tubes in No. 4 Furnace of Kaili Power Plant</w:t>
            </w:r>
          </w:p>
        </w:tc>
        <w:tc>
          <w:tcPr>
            <w:tcW w:w="1109" w:type="dxa"/>
            <w:gridSpan w:val="2"/>
            <w:tcBorders>
              <w:top w:val="nil"/>
              <w:left w:val="nil"/>
              <w:bottom w:val="nil"/>
              <w:right w:val="nil"/>
            </w:tcBorders>
            <w:vAlign w:val="center"/>
          </w:tcPr>
          <w:p w14:paraId="730869D3">
            <w:pPr>
              <w:pStyle w:val="16"/>
              <w:spacing w:beforeLines="0" w:afterLines="0"/>
              <w:ind w:firstLine="0" w:firstLineChars="0"/>
              <w:jc w:val="center"/>
              <w:rPr>
                <w:rFonts w:cs="Times New Roman"/>
                <w:sz w:val="21"/>
                <w:szCs w:val="21"/>
              </w:rPr>
            </w:pPr>
          </w:p>
        </w:tc>
        <w:tc>
          <w:tcPr>
            <w:tcW w:w="1262" w:type="dxa"/>
            <w:gridSpan w:val="2"/>
            <w:tcBorders>
              <w:top w:val="nil"/>
              <w:left w:val="nil"/>
              <w:bottom w:val="nil"/>
              <w:right w:val="nil"/>
            </w:tcBorders>
            <w:vAlign w:val="center"/>
          </w:tcPr>
          <w:p w14:paraId="24D0ADAE">
            <w:pPr>
              <w:pStyle w:val="16"/>
              <w:spacing w:beforeLines="0" w:afterLines="0"/>
              <w:ind w:firstLine="0" w:firstLineChars="0"/>
              <w:jc w:val="center"/>
              <w:rPr>
                <w:rFonts w:cs="Times New Roman"/>
                <w:sz w:val="21"/>
                <w:szCs w:val="21"/>
              </w:rPr>
            </w:pPr>
          </w:p>
        </w:tc>
        <w:tc>
          <w:tcPr>
            <w:tcW w:w="1022" w:type="dxa"/>
            <w:gridSpan w:val="2"/>
            <w:tcBorders>
              <w:top w:val="nil"/>
              <w:left w:val="nil"/>
              <w:bottom w:val="nil"/>
              <w:right w:val="nil"/>
            </w:tcBorders>
            <w:vAlign w:val="center"/>
          </w:tcPr>
          <w:p w14:paraId="74A3A095">
            <w:pPr>
              <w:pStyle w:val="16"/>
              <w:spacing w:beforeLines="0" w:afterLines="0"/>
              <w:ind w:firstLine="0" w:firstLineChars="0"/>
              <w:jc w:val="center"/>
              <w:rPr>
                <w:rFonts w:cs="Times New Roman"/>
                <w:sz w:val="21"/>
                <w:szCs w:val="21"/>
              </w:rPr>
            </w:pPr>
          </w:p>
        </w:tc>
        <w:tc>
          <w:tcPr>
            <w:tcW w:w="1217" w:type="dxa"/>
            <w:tcBorders>
              <w:top w:val="nil"/>
              <w:left w:val="nil"/>
              <w:bottom w:val="nil"/>
              <w:right w:val="nil"/>
            </w:tcBorders>
            <w:vAlign w:val="center"/>
          </w:tcPr>
          <w:p w14:paraId="4454730F">
            <w:pPr>
              <w:pStyle w:val="16"/>
              <w:spacing w:beforeLines="0" w:afterLines="0"/>
              <w:ind w:firstLine="0" w:firstLineChars="0"/>
              <w:jc w:val="center"/>
              <w:rPr>
                <w:rFonts w:cs="Times New Roman"/>
                <w:sz w:val="21"/>
                <w:szCs w:val="21"/>
              </w:rPr>
            </w:pPr>
            <w:r>
              <w:rPr>
                <w:rFonts w:cs="Times New Roman"/>
                <w:sz w:val="21"/>
                <w:szCs w:val="21"/>
              </w:rPr>
              <w:t>√</w:t>
            </w:r>
          </w:p>
        </w:tc>
      </w:tr>
      <w:tr w14:paraId="753E1A58">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751" w:type="dxa"/>
            <w:tcBorders>
              <w:top w:val="nil"/>
              <w:left w:val="nil"/>
              <w:bottom w:val="nil"/>
              <w:right w:val="nil"/>
            </w:tcBorders>
            <w:vAlign w:val="center"/>
          </w:tcPr>
          <w:p w14:paraId="77CA5C36">
            <w:pPr>
              <w:pStyle w:val="16"/>
              <w:spacing w:beforeLines="0" w:afterLines="0"/>
              <w:ind w:firstLine="0" w:firstLineChars="0"/>
              <w:jc w:val="center"/>
              <w:rPr>
                <w:rFonts w:cs="Times New Roman"/>
                <w:sz w:val="21"/>
                <w:szCs w:val="21"/>
              </w:rPr>
            </w:pPr>
            <w:r>
              <w:rPr>
                <w:rFonts w:cs="Times New Roman"/>
                <w:sz w:val="21"/>
                <w:szCs w:val="21"/>
              </w:rPr>
              <w:t>4</w:t>
            </w:r>
          </w:p>
        </w:tc>
        <w:tc>
          <w:tcPr>
            <w:tcW w:w="3161" w:type="dxa"/>
            <w:tcBorders>
              <w:top w:val="nil"/>
              <w:left w:val="nil"/>
              <w:bottom w:val="nil"/>
              <w:right w:val="nil"/>
            </w:tcBorders>
            <w:vAlign w:val="center"/>
          </w:tcPr>
          <w:p w14:paraId="294069BF">
            <w:pPr>
              <w:rPr>
                <w:color w:val="000000"/>
                <w:szCs w:val="21"/>
              </w:rPr>
            </w:pPr>
            <w:r>
              <w:rPr>
                <w:rFonts w:hint="eastAsia"/>
              </w:rPr>
              <w:t>Superheater Bursting in Shaoguan Power Plant Boiler due to High-Temperature Overheating</w:t>
            </w:r>
          </w:p>
        </w:tc>
        <w:tc>
          <w:tcPr>
            <w:tcW w:w="1109" w:type="dxa"/>
            <w:gridSpan w:val="2"/>
            <w:tcBorders>
              <w:top w:val="nil"/>
              <w:left w:val="nil"/>
              <w:bottom w:val="nil"/>
              <w:right w:val="nil"/>
            </w:tcBorders>
            <w:vAlign w:val="center"/>
          </w:tcPr>
          <w:p w14:paraId="27258E0B">
            <w:pPr>
              <w:pStyle w:val="16"/>
              <w:spacing w:beforeLines="0" w:afterLines="0"/>
              <w:ind w:firstLine="0" w:firstLineChars="0"/>
              <w:jc w:val="center"/>
              <w:rPr>
                <w:rFonts w:cs="Times New Roman"/>
                <w:sz w:val="21"/>
                <w:szCs w:val="21"/>
              </w:rPr>
            </w:pPr>
          </w:p>
        </w:tc>
        <w:tc>
          <w:tcPr>
            <w:tcW w:w="1262" w:type="dxa"/>
            <w:gridSpan w:val="2"/>
            <w:tcBorders>
              <w:top w:val="nil"/>
              <w:left w:val="nil"/>
              <w:bottom w:val="nil"/>
              <w:right w:val="nil"/>
            </w:tcBorders>
            <w:vAlign w:val="center"/>
          </w:tcPr>
          <w:p w14:paraId="66C704AD">
            <w:pPr>
              <w:pStyle w:val="16"/>
              <w:spacing w:beforeLines="0" w:afterLines="0"/>
              <w:ind w:firstLine="0" w:firstLineChars="0"/>
              <w:jc w:val="center"/>
              <w:rPr>
                <w:rFonts w:cs="Times New Roman"/>
                <w:sz w:val="21"/>
                <w:szCs w:val="21"/>
              </w:rPr>
            </w:pPr>
            <w:r>
              <w:rPr>
                <w:rFonts w:cs="Times New Roman"/>
                <w:sz w:val="21"/>
                <w:szCs w:val="21"/>
              </w:rPr>
              <w:t>√</w:t>
            </w:r>
          </w:p>
        </w:tc>
        <w:tc>
          <w:tcPr>
            <w:tcW w:w="1022" w:type="dxa"/>
            <w:gridSpan w:val="2"/>
            <w:tcBorders>
              <w:top w:val="nil"/>
              <w:left w:val="nil"/>
              <w:bottom w:val="nil"/>
              <w:right w:val="nil"/>
            </w:tcBorders>
            <w:vAlign w:val="center"/>
          </w:tcPr>
          <w:p w14:paraId="7C0B4207">
            <w:pPr>
              <w:pStyle w:val="16"/>
              <w:spacing w:beforeLines="0" w:afterLines="0"/>
              <w:ind w:firstLine="0" w:firstLineChars="0"/>
              <w:jc w:val="center"/>
              <w:rPr>
                <w:rFonts w:cs="Times New Roman"/>
                <w:sz w:val="21"/>
                <w:szCs w:val="21"/>
              </w:rPr>
            </w:pPr>
          </w:p>
        </w:tc>
        <w:tc>
          <w:tcPr>
            <w:tcW w:w="1217" w:type="dxa"/>
            <w:tcBorders>
              <w:top w:val="nil"/>
              <w:left w:val="nil"/>
              <w:bottom w:val="nil"/>
              <w:right w:val="nil"/>
            </w:tcBorders>
            <w:vAlign w:val="center"/>
          </w:tcPr>
          <w:p w14:paraId="56F0F6EF">
            <w:pPr>
              <w:pStyle w:val="16"/>
              <w:spacing w:beforeLines="0" w:afterLines="0"/>
              <w:ind w:firstLine="0" w:firstLineChars="0"/>
              <w:jc w:val="center"/>
              <w:rPr>
                <w:rFonts w:cs="Times New Roman"/>
                <w:sz w:val="21"/>
                <w:szCs w:val="21"/>
              </w:rPr>
            </w:pPr>
          </w:p>
        </w:tc>
      </w:tr>
      <w:tr w14:paraId="6EF34904">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751" w:type="dxa"/>
            <w:tcBorders>
              <w:top w:val="nil"/>
              <w:left w:val="nil"/>
              <w:bottom w:val="nil"/>
              <w:right w:val="nil"/>
            </w:tcBorders>
            <w:vAlign w:val="center"/>
          </w:tcPr>
          <w:p w14:paraId="6A8594E8">
            <w:pPr>
              <w:pStyle w:val="16"/>
              <w:spacing w:beforeLines="0" w:afterLines="0"/>
              <w:ind w:firstLine="0" w:firstLineChars="0"/>
              <w:jc w:val="center"/>
              <w:rPr>
                <w:rFonts w:cs="Times New Roman"/>
                <w:sz w:val="21"/>
                <w:szCs w:val="21"/>
              </w:rPr>
            </w:pPr>
            <w:r>
              <w:rPr>
                <w:rFonts w:cs="Times New Roman"/>
                <w:sz w:val="21"/>
                <w:szCs w:val="21"/>
              </w:rPr>
              <w:t>5</w:t>
            </w:r>
          </w:p>
        </w:tc>
        <w:tc>
          <w:tcPr>
            <w:tcW w:w="3161" w:type="dxa"/>
            <w:tcBorders>
              <w:top w:val="nil"/>
              <w:left w:val="nil"/>
              <w:bottom w:val="nil"/>
              <w:right w:val="nil"/>
            </w:tcBorders>
            <w:vAlign w:val="center"/>
          </w:tcPr>
          <w:p w14:paraId="21AE7AB3">
            <w:pPr>
              <w:rPr>
                <w:color w:val="000000"/>
                <w:szCs w:val="21"/>
              </w:rPr>
            </w:pPr>
            <w:r>
              <w:rPr>
                <w:rFonts w:hint="eastAsia" w:hAnsi="宋体"/>
                <w:color w:val="000000"/>
                <w:szCs w:val="21"/>
              </w:rPr>
              <w:t xml:space="preserve">Wall Overheater Pulling Tube Fracture Accident in Cangdong Power Plant </w:t>
            </w:r>
          </w:p>
        </w:tc>
        <w:tc>
          <w:tcPr>
            <w:tcW w:w="1109" w:type="dxa"/>
            <w:gridSpan w:val="2"/>
            <w:tcBorders>
              <w:top w:val="nil"/>
              <w:left w:val="nil"/>
              <w:bottom w:val="nil"/>
              <w:right w:val="nil"/>
            </w:tcBorders>
            <w:vAlign w:val="center"/>
          </w:tcPr>
          <w:p w14:paraId="3DA5E684">
            <w:pPr>
              <w:pStyle w:val="16"/>
              <w:spacing w:beforeLines="0" w:afterLines="0"/>
              <w:ind w:firstLine="0" w:firstLineChars="0"/>
              <w:jc w:val="center"/>
              <w:rPr>
                <w:rFonts w:cs="Times New Roman"/>
                <w:sz w:val="21"/>
                <w:szCs w:val="21"/>
              </w:rPr>
            </w:pPr>
          </w:p>
        </w:tc>
        <w:tc>
          <w:tcPr>
            <w:tcW w:w="1262" w:type="dxa"/>
            <w:gridSpan w:val="2"/>
            <w:tcBorders>
              <w:top w:val="nil"/>
              <w:left w:val="nil"/>
              <w:bottom w:val="nil"/>
              <w:right w:val="nil"/>
            </w:tcBorders>
            <w:vAlign w:val="center"/>
          </w:tcPr>
          <w:p w14:paraId="2089265A">
            <w:pPr>
              <w:pStyle w:val="16"/>
              <w:spacing w:beforeLines="0" w:afterLines="0"/>
              <w:ind w:firstLine="0" w:firstLineChars="0"/>
              <w:jc w:val="center"/>
              <w:rPr>
                <w:rFonts w:cs="Times New Roman"/>
                <w:sz w:val="21"/>
                <w:szCs w:val="21"/>
              </w:rPr>
            </w:pPr>
          </w:p>
        </w:tc>
        <w:tc>
          <w:tcPr>
            <w:tcW w:w="1022" w:type="dxa"/>
            <w:gridSpan w:val="2"/>
            <w:tcBorders>
              <w:top w:val="nil"/>
              <w:left w:val="nil"/>
              <w:bottom w:val="nil"/>
              <w:right w:val="nil"/>
            </w:tcBorders>
            <w:vAlign w:val="center"/>
          </w:tcPr>
          <w:p w14:paraId="489120B6">
            <w:pPr>
              <w:pStyle w:val="16"/>
              <w:spacing w:beforeLines="0" w:afterLines="0"/>
              <w:ind w:firstLine="0" w:firstLineChars="0"/>
              <w:jc w:val="center"/>
              <w:rPr>
                <w:rFonts w:cs="Times New Roman"/>
                <w:sz w:val="21"/>
                <w:szCs w:val="21"/>
              </w:rPr>
            </w:pPr>
            <w:r>
              <w:rPr>
                <w:rFonts w:cs="Times New Roman"/>
                <w:sz w:val="21"/>
                <w:szCs w:val="21"/>
              </w:rPr>
              <w:t>√</w:t>
            </w:r>
          </w:p>
        </w:tc>
        <w:tc>
          <w:tcPr>
            <w:tcW w:w="1217" w:type="dxa"/>
            <w:tcBorders>
              <w:top w:val="nil"/>
              <w:left w:val="nil"/>
              <w:bottom w:val="nil"/>
              <w:right w:val="nil"/>
            </w:tcBorders>
            <w:vAlign w:val="center"/>
          </w:tcPr>
          <w:p w14:paraId="02A0D40B">
            <w:pPr>
              <w:pStyle w:val="16"/>
              <w:spacing w:beforeLines="0" w:afterLines="0"/>
              <w:ind w:firstLine="0" w:firstLineChars="0"/>
              <w:jc w:val="center"/>
              <w:rPr>
                <w:rFonts w:cs="Times New Roman"/>
                <w:sz w:val="21"/>
                <w:szCs w:val="21"/>
              </w:rPr>
            </w:pPr>
          </w:p>
        </w:tc>
      </w:tr>
      <w:tr w14:paraId="722A0399">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751" w:type="dxa"/>
            <w:tcBorders>
              <w:top w:val="nil"/>
              <w:left w:val="nil"/>
              <w:bottom w:val="nil"/>
              <w:right w:val="nil"/>
            </w:tcBorders>
            <w:vAlign w:val="center"/>
          </w:tcPr>
          <w:p w14:paraId="0644FFF1">
            <w:pPr>
              <w:pStyle w:val="16"/>
              <w:spacing w:beforeLines="0" w:afterLines="0"/>
              <w:ind w:firstLine="0" w:firstLineChars="0"/>
              <w:jc w:val="center"/>
              <w:rPr>
                <w:rFonts w:cs="Times New Roman"/>
                <w:sz w:val="21"/>
                <w:szCs w:val="21"/>
              </w:rPr>
            </w:pPr>
            <w:r>
              <w:rPr>
                <w:rFonts w:cs="Times New Roman"/>
                <w:sz w:val="21"/>
                <w:szCs w:val="21"/>
              </w:rPr>
              <w:t>6</w:t>
            </w:r>
          </w:p>
        </w:tc>
        <w:tc>
          <w:tcPr>
            <w:tcW w:w="3161" w:type="dxa"/>
            <w:tcBorders>
              <w:top w:val="nil"/>
              <w:left w:val="nil"/>
              <w:bottom w:val="nil"/>
              <w:right w:val="nil"/>
            </w:tcBorders>
            <w:vAlign w:val="center"/>
          </w:tcPr>
          <w:p w14:paraId="201B70BB">
            <w:pPr>
              <w:rPr>
                <w:color w:val="000000"/>
                <w:szCs w:val="21"/>
              </w:rPr>
            </w:pPr>
            <w:r>
              <w:rPr>
                <w:rFonts w:hint="eastAsia" w:hAnsi="宋体"/>
                <w:color w:val="000000"/>
                <w:szCs w:val="21"/>
              </w:rPr>
              <w:t xml:space="preserve">Level 3 Reheater Tube Bursting Accident in Zhuhai Power Plant </w:t>
            </w:r>
          </w:p>
        </w:tc>
        <w:tc>
          <w:tcPr>
            <w:tcW w:w="1109" w:type="dxa"/>
            <w:gridSpan w:val="2"/>
            <w:tcBorders>
              <w:top w:val="nil"/>
              <w:left w:val="nil"/>
              <w:bottom w:val="nil"/>
              <w:right w:val="nil"/>
            </w:tcBorders>
            <w:vAlign w:val="center"/>
          </w:tcPr>
          <w:p w14:paraId="57C087E7">
            <w:pPr>
              <w:pStyle w:val="16"/>
              <w:spacing w:beforeLines="0" w:afterLines="0"/>
              <w:ind w:firstLine="0" w:firstLineChars="0"/>
              <w:jc w:val="center"/>
              <w:rPr>
                <w:rFonts w:cs="Times New Roman"/>
                <w:sz w:val="21"/>
                <w:szCs w:val="21"/>
              </w:rPr>
            </w:pPr>
          </w:p>
        </w:tc>
        <w:tc>
          <w:tcPr>
            <w:tcW w:w="1262" w:type="dxa"/>
            <w:gridSpan w:val="2"/>
            <w:tcBorders>
              <w:top w:val="nil"/>
              <w:left w:val="nil"/>
              <w:bottom w:val="nil"/>
              <w:right w:val="nil"/>
            </w:tcBorders>
            <w:vAlign w:val="center"/>
          </w:tcPr>
          <w:p w14:paraId="102A9E2F">
            <w:pPr>
              <w:pStyle w:val="16"/>
              <w:spacing w:beforeLines="0" w:afterLines="0"/>
              <w:ind w:firstLine="0" w:firstLineChars="0"/>
              <w:jc w:val="center"/>
              <w:rPr>
                <w:rFonts w:cs="Times New Roman"/>
                <w:sz w:val="21"/>
                <w:szCs w:val="21"/>
              </w:rPr>
            </w:pPr>
            <w:r>
              <w:rPr>
                <w:rFonts w:cs="Times New Roman"/>
                <w:sz w:val="21"/>
                <w:szCs w:val="21"/>
              </w:rPr>
              <w:t>√</w:t>
            </w:r>
          </w:p>
        </w:tc>
        <w:tc>
          <w:tcPr>
            <w:tcW w:w="1022" w:type="dxa"/>
            <w:gridSpan w:val="2"/>
            <w:tcBorders>
              <w:top w:val="nil"/>
              <w:left w:val="nil"/>
              <w:bottom w:val="nil"/>
              <w:right w:val="nil"/>
            </w:tcBorders>
            <w:vAlign w:val="center"/>
          </w:tcPr>
          <w:p w14:paraId="4E032ED1">
            <w:pPr>
              <w:pStyle w:val="16"/>
              <w:spacing w:beforeLines="0" w:afterLines="0"/>
              <w:ind w:firstLine="0" w:firstLineChars="0"/>
              <w:jc w:val="center"/>
              <w:rPr>
                <w:rFonts w:cs="Times New Roman"/>
                <w:sz w:val="21"/>
                <w:szCs w:val="21"/>
              </w:rPr>
            </w:pPr>
          </w:p>
        </w:tc>
        <w:tc>
          <w:tcPr>
            <w:tcW w:w="1217" w:type="dxa"/>
            <w:tcBorders>
              <w:top w:val="nil"/>
              <w:left w:val="nil"/>
              <w:bottom w:val="nil"/>
              <w:right w:val="nil"/>
            </w:tcBorders>
            <w:vAlign w:val="center"/>
          </w:tcPr>
          <w:p w14:paraId="6B27D52D">
            <w:pPr>
              <w:pStyle w:val="16"/>
              <w:spacing w:beforeLines="0" w:afterLines="0"/>
              <w:ind w:firstLine="0" w:firstLineChars="0"/>
              <w:jc w:val="center"/>
              <w:rPr>
                <w:rFonts w:cs="Times New Roman"/>
                <w:sz w:val="21"/>
                <w:szCs w:val="21"/>
              </w:rPr>
            </w:pPr>
          </w:p>
        </w:tc>
      </w:tr>
      <w:tr w14:paraId="735A15DE">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751" w:type="dxa"/>
            <w:tcBorders>
              <w:top w:val="nil"/>
              <w:left w:val="nil"/>
              <w:bottom w:val="nil"/>
              <w:right w:val="nil"/>
            </w:tcBorders>
            <w:vAlign w:val="center"/>
          </w:tcPr>
          <w:p w14:paraId="50D90648">
            <w:pPr>
              <w:pStyle w:val="16"/>
              <w:spacing w:beforeLines="0" w:afterLines="0"/>
              <w:ind w:firstLine="0" w:firstLineChars="0"/>
              <w:jc w:val="center"/>
              <w:rPr>
                <w:rFonts w:cs="Times New Roman"/>
                <w:sz w:val="21"/>
                <w:szCs w:val="21"/>
              </w:rPr>
            </w:pPr>
            <w:r>
              <w:rPr>
                <w:rFonts w:cs="Times New Roman"/>
                <w:sz w:val="21"/>
                <w:szCs w:val="21"/>
              </w:rPr>
              <w:t>7</w:t>
            </w:r>
          </w:p>
        </w:tc>
        <w:tc>
          <w:tcPr>
            <w:tcW w:w="3161" w:type="dxa"/>
            <w:tcBorders>
              <w:top w:val="nil"/>
              <w:left w:val="nil"/>
              <w:bottom w:val="nil"/>
              <w:right w:val="nil"/>
            </w:tcBorders>
            <w:vAlign w:val="center"/>
          </w:tcPr>
          <w:p w14:paraId="30D2E22E">
            <w:pPr>
              <w:rPr>
                <w:color w:val="000000"/>
                <w:szCs w:val="21"/>
              </w:rPr>
            </w:pPr>
            <w:r>
              <w:rPr>
                <w:rFonts w:hint="eastAsia"/>
              </w:rPr>
              <w:t>Boiler Reheater Bursting Accident in a Power Plant</w:t>
            </w:r>
          </w:p>
        </w:tc>
        <w:tc>
          <w:tcPr>
            <w:tcW w:w="1109" w:type="dxa"/>
            <w:gridSpan w:val="2"/>
            <w:tcBorders>
              <w:top w:val="nil"/>
              <w:left w:val="nil"/>
              <w:bottom w:val="nil"/>
              <w:right w:val="nil"/>
            </w:tcBorders>
            <w:vAlign w:val="center"/>
          </w:tcPr>
          <w:p w14:paraId="253BD960">
            <w:pPr>
              <w:pStyle w:val="16"/>
              <w:spacing w:beforeLines="0" w:afterLines="0"/>
              <w:ind w:firstLine="0" w:firstLineChars="0"/>
              <w:jc w:val="center"/>
              <w:rPr>
                <w:rFonts w:cs="Times New Roman"/>
                <w:sz w:val="21"/>
                <w:szCs w:val="21"/>
              </w:rPr>
            </w:pPr>
          </w:p>
        </w:tc>
        <w:tc>
          <w:tcPr>
            <w:tcW w:w="1262" w:type="dxa"/>
            <w:gridSpan w:val="2"/>
            <w:tcBorders>
              <w:top w:val="nil"/>
              <w:left w:val="nil"/>
              <w:bottom w:val="nil"/>
              <w:right w:val="nil"/>
            </w:tcBorders>
            <w:vAlign w:val="center"/>
          </w:tcPr>
          <w:p w14:paraId="040F097A">
            <w:pPr>
              <w:pStyle w:val="16"/>
              <w:spacing w:beforeLines="0" w:afterLines="0"/>
              <w:ind w:firstLine="0" w:firstLineChars="0"/>
              <w:jc w:val="center"/>
              <w:rPr>
                <w:rFonts w:cs="Times New Roman"/>
                <w:sz w:val="21"/>
                <w:szCs w:val="21"/>
              </w:rPr>
            </w:pPr>
          </w:p>
        </w:tc>
        <w:tc>
          <w:tcPr>
            <w:tcW w:w="1022" w:type="dxa"/>
            <w:gridSpan w:val="2"/>
            <w:tcBorders>
              <w:top w:val="nil"/>
              <w:left w:val="nil"/>
              <w:bottom w:val="nil"/>
              <w:right w:val="nil"/>
            </w:tcBorders>
            <w:vAlign w:val="center"/>
          </w:tcPr>
          <w:p w14:paraId="4FEB3961">
            <w:pPr>
              <w:pStyle w:val="16"/>
              <w:spacing w:beforeLines="0" w:afterLines="0"/>
              <w:ind w:firstLine="0" w:firstLineChars="0"/>
              <w:jc w:val="center"/>
              <w:rPr>
                <w:rFonts w:cs="Times New Roman"/>
                <w:sz w:val="21"/>
                <w:szCs w:val="21"/>
              </w:rPr>
            </w:pPr>
            <w:r>
              <w:rPr>
                <w:rFonts w:cs="Times New Roman"/>
                <w:sz w:val="21"/>
                <w:szCs w:val="21"/>
              </w:rPr>
              <w:t>√</w:t>
            </w:r>
          </w:p>
        </w:tc>
        <w:tc>
          <w:tcPr>
            <w:tcW w:w="1217" w:type="dxa"/>
            <w:tcBorders>
              <w:top w:val="nil"/>
              <w:left w:val="nil"/>
              <w:bottom w:val="nil"/>
              <w:right w:val="nil"/>
            </w:tcBorders>
            <w:vAlign w:val="center"/>
          </w:tcPr>
          <w:p w14:paraId="0E051096">
            <w:pPr>
              <w:pStyle w:val="16"/>
              <w:spacing w:beforeLines="0" w:afterLines="0"/>
              <w:ind w:firstLine="0" w:firstLineChars="0"/>
              <w:jc w:val="center"/>
              <w:rPr>
                <w:rFonts w:cs="Times New Roman"/>
                <w:sz w:val="21"/>
                <w:szCs w:val="21"/>
              </w:rPr>
            </w:pPr>
            <w:r>
              <w:rPr>
                <w:rFonts w:cs="Times New Roman"/>
                <w:sz w:val="21"/>
                <w:szCs w:val="21"/>
              </w:rPr>
              <w:t>√</w:t>
            </w:r>
          </w:p>
        </w:tc>
      </w:tr>
      <w:tr w14:paraId="08E6B205">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751" w:type="dxa"/>
            <w:tcBorders>
              <w:top w:val="nil"/>
              <w:left w:val="nil"/>
              <w:bottom w:val="nil"/>
              <w:right w:val="nil"/>
            </w:tcBorders>
            <w:vAlign w:val="center"/>
          </w:tcPr>
          <w:p w14:paraId="6205DB82">
            <w:pPr>
              <w:pStyle w:val="16"/>
              <w:spacing w:beforeLines="0" w:afterLines="0"/>
              <w:ind w:firstLine="0" w:firstLineChars="0"/>
              <w:jc w:val="center"/>
              <w:rPr>
                <w:rFonts w:cs="Times New Roman"/>
                <w:sz w:val="21"/>
                <w:szCs w:val="21"/>
              </w:rPr>
            </w:pPr>
            <w:r>
              <w:rPr>
                <w:rFonts w:cs="Times New Roman"/>
                <w:sz w:val="21"/>
                <w:szCs w:val="21"/>
              </w:rPr>
              <w:t>8</w:t>
            </w:r>
          </w:p>
        </w:tc>
        <w:tc>
          <w:tcPr>
            <w:tcW w:w="3161" w:type="dxa"/>
            <w:tcBorders>
              <w:top w:val="nil"/>
              <w:left w:val="nil"/>
              <w:bottom w:val="nil"/>
              <w:right w:val="nil"/>
            </w:tcBorders>
            <w:vAlign w:val="center"/>
          </w:tcPr>
          <w:p w14:paraId="15C2FFCB">
            <w:pPr>
              <w:rPr>
                <w:color w:val="000000"/>
                <w:szCs w:val="21"/>
              </w:rPr>
            </w:pPr>
            <w:r>
              <w:rPr>
                <w:rFonts w:hint="eastAsia"/>
              </w:rPr>
              <w:t xml:space="preserve">Breakage of Spiral Tube Elbow in a Company's Economizer </w:t>
            </w:r>
          </w:p>
        </w:tc>
        <w:tc>
          <w:tcPr>
            <w:tcW w:w="1109" w:type="dxa"/>
            <w:gridSpan w:val="2"/>
            <w:tcBorders>
              <w:top w:val="nil"/>
              <w:left w:val="nil"/>
              <w:bottom w:val="nil"/>
              <w:right w:val="nil"/>
            </w:tcBorders>
            <w:vAlign w:val="center"/>
          </w:tcPr>
          <w:p w14:paraId="74DBC1FF">
            <w:pPr>
              <w:pStyle w:val="16"/>
              <w:spacing w:beforeLines="0" w:afterLines="0"/>
              <w:ind w:firstLine="0" w:firstLineChars="0"/>
              <w:jc w:val="center"/>
              <w:rPr>
                <w:rFonts w:cs="Times New Roman"/>
                <w:sz w:val="21"/>
                <w:szCs w:val="21"/>
              </w:rPr>
            </w:pPr>
            <w:r>
              <w:rPr>
                <w:rFonts w:cs="Times New Roman"/>
                <w:sz w:val="21"/>
                <w:szCs w:val="21"/>
              </w:rPr>
              <w:t>√</w:t>
            </w:r>
          </w:p>
        </w:tc>
        <w:tc>
          <w:tcPr>
            <w:tcW w:w="1262" w:type="dxa"/>
            <w:gridSpan w:val="2"/>
            <w:tcBorders>
              <w:top w:val="nil"/>
              <w:left w:val="nil"/>
              <w:bottom w:val="nil"/>
              <w:right w:val="nil"/>
            </w:tcBorders>
            <w:vAlign w:val="center"/>
          </w:tcPr>
          <w:p w14:paraId="2DAE36C5">
            <w:pPr>
              <w:pStyle w:val="16"/>
              <w:spacing w:beforeLines="0" w:afterLines="0"/>
              <w:ind w:firstLine="0" w:firstLineChars="0"/>
              <w:jc w:val="center"/>
              <w:rPr>
                <w:rFonts w:cs="Times New Roman"/>
                <w:sz w:val="21"/>
                <w:szCs w:val="21"/>
              </w:rPr>
            </w:pPr>
          </w:p>
        </w:tc>
        <w:tc>
          <w:tcPr>
            <w:tcW w:w="1022" w:type="dxa"/>
            <w:gridSpan w:val="2"/>
            <w:tcBorders>
              <w:top w:val="nil"/>
              <w:left w:val="nil"/>
              <w:bottom w:val="nil"/>
              <w:right w:val="nil"/>
            </w:tcBorders>
            <w:vAlign w:val="center"/>
          </w:tcPr>
          <w:p w14:paraId="0F77E309">
            <w:pPr>
              <w:pStyle w:val="16"/>
              <w:spacing w:beforeLines="0" w:afterLines="0"/>
              <w:ind w:firstLine="0" w:firstLineChars="0"/>
              <w:jc w:val="center"/>
              <w:rPr>
                <w:rFonts w:cs="Times New Roman"/>
                <w:sz w:val="21"/>
                <w:szCs w:val="21"/>
              </w:rPr>
            </w:pPr>
          </w:p>
        </w:tc>
        <w:tc>
          <w:tcPr>
            <w:tcW w:w="1217" w:type="dxa"/>
            <w:tcBorders>
              <w:top w:val="nil"/>
              <w:left w:val="nil"/>
              <w:bottom w:val="nil"/>
              <w:right w:val="nil"/>
            </w:tcBorders>
            <w:vAlign w:val="center"/>
          </w:tcPr>
          <w:p w14:paraId="054D7DFB">
            <w:pPr>
              <w:pStyle w:val="16"/>
              <w:spacing w:beforeLines="0" w:afterLines="0"/>
              <w:ind w:firstLine="0" w:firstLineChars="0"/>
              <w:jc w:val="center"/>
              <w:rPr>
                <w:rFonts w:cs="Times New Roman"/>
                <w:sz w:val="21"/>
                <w:szCs w:val="21"/>
              </w:rPr>
            </w:pPr>
          </w:p>
        </w:tc>
      </w:tr>
      <w:tr w14:paraId="4569A91D">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751" w:type="dxa"/>
            <w:tcBorders>
              <w:top w:val="nil"/>
              <w:left w:val="nil"/>
              <w:bottom w:val="nil"/>
              <w:right w:val="nil"/>
            </w:tcBorders>
            <w:vAlign w:val="center"/>
          </w:tcPr>
          <w:p w14:paraId="15482743">
            <w:pPr>
              <w:pStyle w:val="16"/>
              <w:spacing w:beforeLines="0" w:afterLines="0"/>
              <w:ind w:firstLine="0" w:firstLineChars="0"/>
              <w:jc w:val="center"/>
              <w:rPr>
                <w:rFonts w:cs="Times New Roman"/>
                <w:sz w:val="21"/>
                <w:szCs w:val="21"/>
              </w:rPr>
            </w:pPr>
            <w:r>
              <w:rPr>
                <w:rFonts w:cs="Times New Roman"/>
                <w:sz w:val="21"/>
                <w:szCs w:val="21"/>
              </w:rPr>
              <w:t>9</w:t>
            </w:r>
          </w:p>
        </w:tc>
        <w:tc>
          <w:tcPr>
            <w:tcW w:w="3161" w:type="dxa"/>
            <w:tcBorders>
              <w:top w:val="nil"/>
              <w:left w:val="nil"/>
              <w:bottom w:val="nil"/>
              <w:right w:val="nil"/>
            </w:tcBorders>
            <w:vAlign w:val="center"/>
          </w:tcPr>
          <w:p w14:paraId="0C16E6B9">
            <w:pPr>
              <w:rPr>
                <w:color w:val="000000"/>
                <w:szCs w:val="21"/>
              </w:rPr>
            </w:pPr>
            <w:r>
              <w:rPr>
                <w:rFonts w:hint="eastAsia"/>
              </w:rPr>
              <w:t xml:space="preserve">Cracking of U-shaped Tube in a Power Plant's Economizer </w:t>
            </w:r>
          </w:p>
        </w:tc>
        <w:tc>
          <w:tcPr>
            <w:tcW w:w="1109" w:type="dxa"/>
            <w:gridSpan w:val="2"/>
            <w:tcBorders>
              <w:top w:val="nil"/>
              <w:left w:val="nil"/>
              <w:bottom w:val="nil"/>
              <w:right w:val="nil"/>
            </w:tcBorders>
            <w:vAlign w:val="center"/>
          </w:tcPr>
          <w:p w14:paraId="659DEF37">
            <w:pPr>
              <w:pStyle w:val="16"/>
              <w:spacing w:beforeLines="0" w:afterLines="0"/>
              <w:ind w:firstLine="0" w:firstLineChars="0"/>
              <w:jc w:val="center"/>
              <w:rPr>
                <w:rFonts w:cs="Times New Roman"/>
                <w:sz w:val="21"/>
                <w:szCs w:val="21"/>
              </w:rPr>
            </w:pPr>
            <w:r>
              <w:rPr>
                <w:rFonts w:cs="Times New Roman"/>
                <w:sz w:val="21"/>
                <w:szCs w:val="21"/>
              </w:rPr>
              <w:t>√</w:t>
            </w:r>
          </w:p>
        </w:tc>
        <w:tc>
          <w:tcPr>
            <w:tcW w:w="1262" w:type="dxa"/>
            <w:gridSpan w:val="2"/>
            <w:tcBorders>
              <w:top w:val="nil"/>
              <w:left w:val="nil"/>
              <w:bottom w:val="nil"/>
              <w:right w:val="nil"/>
            </w:tcBorders>
            <w:vAlign w:val="center"/>
          </w:tcPr>
          <w:p w14:paraId="76EF1108">
            <w:pPr>
              <w:pStyle w:val="16"/>
              <w:spacing w:beforeLines="0" w:afterLines="0"/>
              <w:ind w:firstLine="0" w:firstLineChars="0"/>
              <w:jc w:val="center"/>
              <w:rPr>
                <w:rFonts w:cs="Times New Roman"/>
                <w:sz w:val="21"/>
                <w:szCs w:val="21"/>
              </w:rPr>
            </w:pPr>
          </w:p>
        </w:tc>
        <w:tc>
          <w:tcPr>
            <w:tcW w:w="1022" w:type="dxa"/>
            <w:gridSpan w:val="2"/>
            <w:tcBorders>
              <w:top w:val="nil"/>
              <w:left w:val="nil"/>
              <w:bottom w:val="nil"/>
              <w:right w:val="nil"/>
            </w:tcBorders>
            <w:vAlign w:val="center"/>
          </w:tcPr>
          <w:p w14:paraId="4C6D4A01">
            <w:pPr>
              <w:pStyle w:val="16"/>
              <w:spacing w:beforeLines="0" w:afterLines="0"/>
              <w:ind w:firstLine="0" w:firstLineChars="0"/>
              <w:jc w:val="center"/>
              <w:rPr>
                <w:rFonts w:cs="Times New Roman"/>
                <w:sz w:val="21"/>
                <w:szCs w:val="21"/>
              </w:rPr>
            </w:pPr>
          </w:p>
        </w:tc>
        <w:tc>
          <w:tcPr>
            <w:tcW w:w="1217" w:type="dxa"/>
            <w:tcBorders>
              <w:top w:val="nil"/>
              <w:left w:val="nil"/>
              <w:bottom w:val="nil"/>
              <w:right w:val="nil"/>
            </w:tcBorders>
            <w:vAlign w:val="center"/>
          </w:tcPr>
          <w:p w14:paraId="17BCE9FF">
            <w:pPr>
              <w:pStyle w:val="16"/>
              <w:spacing w:beforeLines="0" w:afterLines="0"/>
              <w:ind w:firstLine="0" w:firstLineChars="0"/>
              <w:jc w:val="center"/>
              <w:rPr>
                <w:rFonts w:cs="Times New Roman"/>
                <w:sz w:val="21"/>
                <w:szCs w:val="21"/>
              </w:rPr>
            </w:pPr>
            <w:r>
              <w:rPr>
                <w:rFonts w:cs="Times New Roman"/>
                <w:sz w:val="21"/>
                <w:szCs w:val="21"/>
              </w:rPr>
              <w:t>√</w:t>
            </w:r>
          </w:p>
        </w:tc>
      </w:tr>
      <w:tr w14:paraId="01E78E2D">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751" w:type="dxa"/>
            <w:tcBorders>
              <w:top w:val="nil"/>
              <w:left w:val="nil"/>
              <w:bottom w:val="nil"/>
              <w:right w:val="nil"/>
            </w:tcBorders>
            <w:vAlign w:val="center"/>
          </w:tcPr>
          <w:p w14:paraId="01899056">
            <w:pPr>
              <w:pStyle w:val="16"/>
              <w:spacing w:beforeLines="0" w:afterLines="0"/>
              <w:ind w:firstLine="0" w:firstLineChars="0"/>
              <w:jc w:val="center"/>
              <w:rPr>
                <w:rFonts w:cs="Times New Roman"/>
                <w:sz w:val="21"/>
                <w:szCs w:val="21"/>
              </w:rPr>
            </w:pPr>
            <w:r>
              <w:rPr>
                <w:rFonts w:cs="Times New Roman"/>
                <w:sz w:val="21"/>
                <w:szCs w:val="21"/>
              </w:rPr>
              <w:t>10</w:t>
            </w:r>
          </w:p>
        </w:tc>
        <w:tc>
          <w:tcPr>
            <w:tcW w:w="3161" w:type="dxa"/>
            <w:tcBorders>
              <w:top w:val="nil"/>
              <w:left w:val="nil"/>
              <w:bottom w:val="nil"/>
              <w:right w:val="nil"/>
            </w:tcBorders>
            <w:vAlign w:val="center"/>
          </w:tcPr>
          <w:p w14:paraId="1572DBB5">
            <w:pPr>
              <w:spacing w:line="312" w:lineRule="auto"/>
              <w:rPr>
                <w:color w:val="000000"/>
                <w:szCs w:val="21"/>
              </w:rPr>
            </w:pPr>
            <w:r>
              <w:rPr>
                <w:rFonts w:hint="eastAsia"/>
                <w:color w:val="000000"/>
                <w:szCs w:val="21"/>
              </w:rPr>
              <w:t xml:space="preserve">Leakage and Fracture of Welded Joint in Main Steam Pipeline of Huaneng Xinhua Power Plant Unit 6 </w:t>
            </w:r>
          </w:p>
        </w:tc>
        <w:tc>
          <w:tcPr>
            <w:tcW w:w="1109" w:type="dxa"/>
            <w:gridSpan w:val="2"/>
            <w:tcBorders>
              <w:top w:val="nil"/>
              <w:left w:val="nil"/>
              <w:bottom w:val="nil"/>
              <w:right w:val="nil"/>
            </w:tcBorders>
            <w:vAlign w:val="center"/>
          </w:tcPr>
          <w:p w14:paraId="72636586">
            <w:pPr>
              <w:pStyle w:val="16"/>
              <w:spacing w:beforeLines="0" w:afterLines="0"/>
              <w:ind w:firstLine="0" w:firstLineChars="0"/>
              <w:jc w:val="center"/>
              <w:rPr>
                <w:rFonts w:cs="Times New Roman"/>
                <w:sz w:val="21"/>
                <w:szCs w:val="21"/>
              </w:rPr>
            </w:pPr>
            <w:r>
              <w:rPr>
                <w:rFonts w:cs="Times New Roman"/>
                <w:sz w:val="21"/>
                <w:szCs w:val="21"/>
              </w:rPr>
              <w:t>√</w:t>
            </w:r>
          </w:p>
        </w:tc>
        <w:tc>
          <w:tcPr>
            <w:tcW w:w="1262" w:type="dxa"/>
            <w:gridSpan w:val="2"/>
            <w:tcBorders>
              <w:top w:val="nil"/>
              <w:left w:val="nil"/>
              <w:bottom w:val="nil"/>
              <w:right w:val="nil"/>
            </w:tcBorders>
            <w:vAlign w:val="center"/>
          </w:tcPr>
          <w:p w14:paraId="6A3AC8EA">
            <w:pPr>
              <w:pStyle w:val="16"/>
              <w:spacing w:beforeLines="0" w:afterLines="0"/>
              <w:ind w:firstLine="0" w:firstLineChars="0"/>
              <w:jc w:val="center"/>
              <w:rPr>
                <w:rFonts w:cs="Times New Roman"/>
                <w:sz w:val="21"/>
                <w:szCs w:val="21"/>
              </w:rPr>
            </w:pPr>
            <w:r>
              <w:rPr>
                <w:rFonts w:cs="Times New Roman"/>
                <w:sz w:val="21"/>
                <w:szCs w:val="21"/>
              </w:rPr>
              <w:t>√</w:t>
            </w:r>
          </w:p>
        </w:tc>
        <w:tc>
          <w:tcPr>
            <w:tcW w:w="1022" w:type="dxa"/>
            <w:gridSpan w:val="2"/>
            <w:tcBorders>
              <w:top w:val="nil"/>
              <w:left w:val="nil"/>
              <w:bottom w:val="nil"/>
              <w:right w:val="nil"/>
            </w:tcBorders>
            <w:vAlign w:val="center"/>
          </w:tcPr>
          <w:p w14:paraId="6C3AAB92">
            <w:pPr>
              <w:pStyle w:val="16"/>
              <w:spacing w:beforeLines="0" w:afterLines="0"/>
              <w:ind w:firstLine="0" w:firstLineChars="0"/>
              <w:jc w:val="center"/>
              <w:rPr>
                <w:rFonts w:cs="Times New Roman"/>
                <w:sz w:val="21"/>
                <w:szCs w:val="21"/>
              </w:rPr>
            </w:pPr>
          </w:p>
        </w:tc>
        <w:tc>
          <w:tcPr>
            <w:tcW w:w="1217" w:type="dxa"/>
            <w:tcBorders>
              <w:top w:val="nil"/>
              <w:left w:val="nil"/>
              <w:bottom w:val="nil"/>
              <w:right w:val="nil"/>
            </w:tcBorders>
            <w:vAlign w:val="center"/>
          </w:tcPr>
          <w:p w14:paraId="21D4F5D4">
            <w:pPr>
              <w:pStyle w:val="16"/>
              <w:spacing w:beforeLines="0" w:afterLines="0"/>
              <w:ind w:firstLine="0" w:firstLineChars="0"/>
              <w:jc w:val="center"/>
              <w:rPr>
                <w:rFonts w:cs="Times New Roman"/>
                <w:sz w:val="21"/>
                <w:szCs w:val="21"/>
              </w:rPr>
            </w:pPr>
          </w:p>
        </w:tc>
      </w:tr>
      <w:tr w14:paraId="3D33BBCD">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751" w:type="dxa"/>
            <w:tcBorders>
              <w:top w:val="nil"/>
              <w:left w:val="nil"/>
              <w:bottom w:val="nil"/>
              <w:right w:val="nil"/>
            </w:tcBorders>
            <w:vAlign w:val="center"/>
          </w:tcPr>
          <w:p w14:paraId="2B4604C1">
            <w:pPr>
              <w:pStyle w:val="16"/>
              <w:spacing w:beforeLines="0" w:afterLines="0"/>
              <w:ind w:firstLine="0" w:firstLineChars="0"/>
              <w:jc w:val="center"/>
              <w:rPr>
                <w:rFonts w:cs="Times New Roman"/>
                <w:sz w:val="21"/>
                <w:szCs w:val="21"/>
              </w:rPr>
            </w:pPr>
            <w:r>
              <w:rPr>
                <w:rFonts w:cs="Times New Roman"/>
                <w:sz w:val="21"/>
                <w:szCs w:val="21"/>
              </w:rPr>
              <w:t>12</w:t>
            </w:r>
          </w:p>
        </w:tc>
        <w:tc>
          <w:tcPr>
            <w:tcW w:w="3161" w:type="dxa"/>
            <w:tcBorders>
              <w:top w:val="nil"/>
              <w:left w:val="nil"/>
              <w:bottom w:val="nil"/>
              <w:right w:val="nil"/>
            </w:tcBorders>
            <w:vAlign w:val="center"/>
          </w:tcPr>
          <w:p w14:paraId="383120A1">
            <w:pPr>
              <w:rPr>
                <w:color w:val="000000"/>
                <w:szCs w:val="21"/>
              </w:rPr>
            </w:pPr>
            <w:r>
              <w:rPr>
                <w:rFonts w:hint="eastAsia"/>
              </w:rPr>
              <w:t>Bursting Accident in the Main Steam Pipeline of Shantou Shentou Second Power Plant</w:t>
            </w:r>
          </w:p>
        </w:tc>
        <w:tc>
          <w:tcPr>
            <w:tcW w:w="1109" w:type="dxa"/>
            <w:gridSpan w:val="2"/>
            <w:tcBorders>
              <w:top w:val="nil"/>
              <w:left w:val="nil"/>
              <w:bottom w:val="nil"/>
              <w:right w:val="nil"/>
            </w:tcBorders>
            <w:vAlign w:val="center"/>
          </w:tcPr>
          <w:p w14:paraId="4FBD9A07">
            <w:pPr>
              <w:pStyle w:val="16"/>
              <w:spacing w:beforeLines="0" w:afterLines="0"/>
              <w:ind w:firstLine="0" w:firstLineChars="0"/>
              <w:jc w:val="center"/>
              <w:rPr>
                <w:rFonts w:cs="Times New Roman"/>
                <w:sz w:val="21"/>
                <w:szCs w:val="21"/>
              </w:rPr>
            </w:pPr>
            <w:r>
              <w:rPr>
                <w:rFonts w:cs="Times New Roman"/>
                <w:sz w:val="21"/>
                <w:szCs w:val="21"/>
              </w:rPr>
              <w:t>√</w:t>
            </w:r>
          </w:p>
        </w:tc>
        <w:tc>
          <w:tcPr>
            <w:tcW w:w="1262" w:type="dxa"/>
            <w:gridSpan w:val="2"/>
            <w:tcBorders>
              <w:top w:val="nil"/>
              <w:left w:val="nil"/>
              <w:bottom w:val="nil"/>
              <w:right w:val="nil"/>
            </w:tcBorders>
            <w:vAlign w:val="center"/>
          </w:tcPr>
          <w:p w14:paraId="37CADAB5">
            <w:pPr>
              <w:pStyle w:val="16"/>
              <w:spacing w:beforeLines="0" w:afterLines="0"/>
              <w:ind w:firstLine="0" w:firstLineChars="0"/>
              <w:jc w:val="center"/>
              <w:rPr>
                <w:rFonts w:cs="Times New Roman"/>
                <w:sz w:val="21"/>
                <w:szCs w:val="21"/>
              </w:rPr>
            </w:pPr>
          </w:p>
        </w:tc>
        <w:tc>
          <w:tcPr>
            <w:tcW w:w="1022" w:type="dxa"/>
            <w:gridSpan w:val="2"/>
            <w:tcBorders>
              <w:top w:val="nil"/>
              <w:left w:val="nil"/>
              <w:bottom w:val="nil"/>
              <w:right w:val="nil"/>
            </w:tcBorders>
            <w:vAlign w:val="center"/>
          </w:tcPr>
          <w:p w14:paraId="7C351543">
            <w:pPr>
              <w:pStyle w:val="16"/>
              <w:spacing w:beforeLines="0" w:afterLines="0"/>
              <w:ind w:firstLine="0" w:firstLineChars="0"/>
              <w:jc w:val="center"/>
              <w:rPr>
                <w:rFonts w:cs="Times New Roman"/>
                <w:sz w:val="21"/>
                <w:szCs w:val="21"/>
              </w:rPr>
            </w:pPr>
          </w:p>
        </w:tc>
        <w:tc>
          <w:tcPr>
            <w:tcW w:w="1217" w:type="dxa"/>
            <w:tcBorders>
              <w:top w:val="nil"/>
              <w:left w:val="nil"/>
              <w:bottom w:val="nil"/>
              <w:right w:val="nil"/>
            </w:tcBorders>
            <w:vAlign w:val="center"/>
          </w:tcPr>
          <w:p w14:paraId="1B7D9E6F">
            <w:pPr>
              <w:pStyle w:val="16"/>
              <w:spacing w:beforeLines="0" w:afterLines="0"/>
              <w:ind w:firstLine="0" w:firstLineChars="0"/>
              <w:jc w:val="center"/>
              <w:rPr>
                <w:rFonts w:cs="Times New Roman"/>
                <w:sz w:val="21"/>
                <w:szCs w:val="21"/>
              </w:rPr>
            </w:pPr>
          </w:p>
        </w:tc>
      </w:tr>
      <w:tr w14:paraId="11A2E69D">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751" w:type="dxa"/>
            <w:tcBorders>
              <w:top w:val="nil"/>
              <w:left w:val="nil"/>
              <w:bottom w:val="nil"/>
              <w:right w:val="nil"/>
            </w:tcBorders>
            <w:vAlign w:val="center"/>
          </w:tcPr>
          <w:p w14:paraId="04B87926">
            <w:pPr>
              <w:pStyle w:val="16"/>
              <w:spacing w:beforeLines="0" w:afterLines="0"/>
              <w:ind w:firstLine="0" w:firstLineChars="0"/>
              <w:jc w:val="center"/>
              <w:rPr>
                <w:rFonts w:cs="Times New Roman"/>
                <w:sz w:val="21"/>
                <w:szCs w:val="21"/>
              </w:rPr>
            </w:pPr>
            <w:r>
              <w:rPr>
                <w:rFonts w:hint="eastAsia" w:cs="Times New Roman"/>
                <w:sz w:val="21"/>
                <w:szCs w:val="21"/>
              </w:rPr>
              <w:t>13</w:t>
            </w:r>
          </w:p>
        </w:tc>
        <w:tc>
          <w:tcPr>
            <w:tcW w:w="3161" w:type="dxa"/>
            <w:tcBorders>
              <w:top w:val="nil"/>
              <w:left w:val="nil"/>
              <w:bottom w:val="nil"/>
              <w:right w:val="nil"/>
            </w:tcBorders>
            <w:vAlign w:val="center"/>
          </w:tcPr>
          <w:p w14:paraId="340C59D5">
            <w:pPr>
              <w:spacing w:line="312" w:lineRule="auto"/>
              <w:rPr>
                <w:rFonts w:hAnsi="宋体"/>
                <w:color w:val="000000"/>
                <w:szCs w:val="21"/>
              </w:rPr>
            </w:pPr>
            <w:r>
              <w:rPr>
                <w:rFonts w:hint="eastAsia"/>
                <w:color w:val="000000"/>
                <w:szCs w:val="21"/>
              </w:rPr>
              <w:t>Condenser Tube Corrosion in Guohua Suizhong Power Co., Ltd.</w:t>
            </w:r>
          </w:p>
        </w:tc>
        <w:tc>
          <w:tcPr>
            <w:tcW w:w="1109" w:type="dxa"/>
            <w:gridSpan w:val="2"/>
            <w:tcBorders>
              <w:top w:val="nil"/>
              <w:left w:val="nil"/>
              <w:bottom w:val="nil"/>
              <w:right w:val="nil"/>
            </w:tcBorders>
            <w:vAlign w:val="center"/>
          </w:tcPr>
          <w:p w14:paraId="58DF0E9A">
            <w:pPr>
              <w:pStyle w:val="16"/>
              <w:spacing w:beforeLines="0" w:afterLines="0"/>
              <w:ind w:firstLine="0" w:firstLineChars="0"/>
              <w:jc w:val="center"/>
              <w:rPr>
                <w:rFonts w:cs="Times New Roman"/>
                <w:sz w:val="21"/>
                <w:szCs w:val="21"/>
              </w:rPr>
            </w:pPr>
          </w:p>
        </w:tc>
        <w:tc>
          <w:tcPr>
            <w:tcW w:w="1262" w:type="dxa"/>
            <w:gridSpan w:val="2"/>
            <w:tcBorders>
              <w:top w:val="nil"/>
              <w:left w:val="nil"/>
              <w:bottom w:val="nil"/>
              <w:right w:val="nil"/>
            </w:tcBorders>
            <w:vAlign w:val="center"/>
          </w:tcPr>
          <w:p w14:paraId="00401C11">
            <w:pPr>
              <w:pStyle w:val="16"/>
              <w:spacing w:beforeLines="0" w:afterLines="0"/>
              <w:ind w:firstLine="0" w:firstLineChars="0"/>
              <w:jc w:val="center"/>
              <w:rPr>
                <w:rFonts w:cs="Times New Roman"/>
                <w:sz w:val="21"/>
                <w:szCs w:val="21"/>
              </w:rPr>
            </w:pPr>
            <w:r>
              <w:rPr>
                <w:rFonts w:cs="Times New Roman"/>
                <w:sz w:val="21"/>
                <w:szCs w:val="21"/>
              </w:rPr>
              <w:t>√</w:t>
            </w:r>
          </w:p>
        </w:tc>
        <w:tc>
          <w:tcPr>
            <w:tcW w:w="1022" w:type="dxa"/>
            <w:gridSpan w:val="2"/>
            <w:tcBorders>
              <w:top w:val="nil"/>
              <w:left w:val="nil"/>
              <w:bottom w:val="nil"/>
              <w:right w:val="nil"/>
            </w:tcBorders>
            <w:vAlign w:val="center"/>
          </w:tcPr>
          <w:p w14:paraId="36815DCA">
            <w:pPr>
              <w:pStyle w:val="16"/>
              <w:spacing w:beforeLines="0" w:afterLines="0"/>
              <w:ind w:firstLine="0" w:firstLineChars="0"/>
              <w:jc w:val="center"/>
              <w:rPr>
                <w:rFonts w:cs="Times New Roman"/>
                <w:sz w:val="21"/>
                <w:szCs w:val="21"/>
              </w:rPr>
            </w:pPr>
            <w:r>
              <w:rPr>
                <w:rFonts w:cs="Times New Roman"/>
                <w:sz w:val="21"/>
                <w:szCs w:val="21"/>
              </w:rPr>
              <w:t>√</w:t>
            </w:r>
          </w:p>
        </w:tc>
        <w:tc>
          <w:tcPr>
            <w:tcW w:w="1217" w:type="dxa"/>
            <w:tcBorders>
              <w:top w:val="nil"/>
              <w:left w:val="nil"/>
              <w:bottom w:val="nil"/>
              <w:right w:val="nil"/>
            </w:tcBorders>
            <w:vAlign w:val="center"/>
          </w:tcPr>
          <w:p w14:paraId="1BF7EF45">
            <w:pPr>
              <w:pStyle w:val="16"/>
              <w:spacing w:beforeLines="0" w:afterLines="0"/>
              <w:ind w:firstLine="0" w:firstLineChars="0"/>
              <w:jc w:val="center"/>
              <w:rPr>
                <w:rFonts w:cs="Times New Roman"/>
                <w:sz w:val="21"/>
                <w:szCs w:val="21"/>
              </w:rPr>
            </w:pPr>
            <w:r>
              <w:rPr>
                <w:rFonts w:cs="Times New Roman"/>
                <w:sz w:val="21"/>
                <w:szCs w:val="21"/>
              </w:rPr>
              <w:t>√</w:t>
            </w:r>
          </w:p>
        </w:tc>
      </w:tr>
      <w:tr w14:paraId="1192FA82">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751" w:type="dxa"/>
            <w:tcBorders>
              <w:top w:val="nil"/>
              <w:left w:val="nil"/>
              <w:bottom w:val="single" w:color="auto" w:sz="12" w:space="0"/>
              <w:right w:val="nil"/>
            </w:tcBorders>
            <w:vAlign w:val="center"/>
          </w:tcPr>
          <w:p w14:paraId="3175BF85">
            <w:pPr>
              <w:pStyle w:val="16"/>
              <w:spacing w:beforeLines="0" w:afterLines="0"/>
              <w:ind w:firstLine="0" w:firstLineChars="0"/>
              <w:jc w:val="center"/>
              <w:rPr>
                <w:rFonts w:cs="Times New Roman"/>
                <w:sz w:val="21"/>
                <w:szCs w:val="21"/>
              </w:rPr>
            </w:pPr>
            <w:r>
              <w:rPr>
                <w:rFonts w:hint="eastAsia" w:cs="Times New Roman"/>
                <w:sz w:val="21"/>
                <w:szCs w:val="21"/>
              </w:rPr>
              <w:t>14</w:t>
            </w:r>
          </w:p>
        </w:tc>
        <w:tc>
          <w:tcPr>
            <w:tcW w:w="3161" w:type="dxa"/>
            <w:tcBorders>
              <w:top w:val="nil"/>
              <w:left w:val="nil"/>
              <w:bottom w:val="single" w:color="auto" w:sz="12" w:space="0"/>
              <w:right w:val="nil"/>
            </w:tcBorders>
            <w:vAlign w:val="center"/>
          </w:tcPr>
          <w:p w14:paraId="0D412AC9">
            <w:pPr>
              <w:spacing w:line="312" w:lineRule="auto"/>
              <w:rPr>
                <w:color w:val="000000"/>
                <w:szCs w:val="21"/>
              </w:rPr>
            </w:pPr>
            <w:r>
              <w:rPr>
                <w:rFonts w:hint="eastAsia"/>
              </w:rPr>
              <w:t>Leakage of Titanium Tube in a Power Generation Company's Condenser</w:t>
            </w:r>
          </w:p>
        </w:tc>
        <w:tc>
          <w:tcPr>
            <w:tcW w:w="1109" w:type="dxa"/>
            <w:gridSpan w:val="2"/>
            <w:tcBorders>
              <w:top w:val="nil"/>
              <w:left w:val="nil"/>
              <w:bottom w:val="single" w:color="auto" w:sz="12" w:space="0"/>
              <w:right w:val="nil"/>
            </w:tcBorders>
            <w:vAlign w:val="center"/>
          </w:tcPr>
          <w:p w14:paraId="18130FDA">
            <w:pPr>
              <w:pStyle w:val="16"/>
              <w:spacing w:beforeLines="0" w:afterLines="0"/>
              <w:ind w:firstLine="0" w:firstLineChars="0"/>
              <w:jc w:val="center"/>
              <w:rPr>
                <w:rFonts w:cs="Times New Roman"/>
                <w:sz w:val="21"/>
                <w:szCs w:val="21"/>
              </w:rPr>
            </w:pPr>
          </w:p>
        </w:tc>
        <w:tc>
          <w:tcPr>
            <w:tcW w:w="1262" w:type="dxa"/>
            <w:gridSpan w:val="2"/>
            <w:tcBorders>
              <w:top w:val="nil"/>
              <w:left w:val="nil"/>
              <w:bottom w:val="single" w:color="auto" w:sz="12" w:space="0"/>
              <w:right w:val="nil"/>
            </w:tcBorders>
            <w:vAlign w:val="center"/>
          </w:tcPr>
          <w:p w14:paraId="2E53E5D4">
            <w:pPr>
              <w:pStyle w:val="16"/>
              <w:spacing w:beforeLines="0" w:afterLines="0"/>
              <w:ind w:firstLine="0" w:firstLineChars="0"/>
              <w:jc w:val="center"/>
              <w:rPr>
                <w:rFonts w:cs="Times New Roman"/>
                <w:sz w:val="21"/>
                <w:szCs w:val="21"/>
              </w:rPr>
            </w:pPr>
          </w:p>
        </w:tc>
        <w:tc>
          <w:tcPr>
            <w:tcW w:w="1022" w:type="dxa"/>
            <w:gridSpan w:val="2"/>
            <w:tcBorders>
              <w:top w:val="nil"/>
              <w:left w:val="nil"/>
              <w:bottom w:val="single" w:color="auto" w:sz="12" w:space="0"/>
              <w:right w:val="nil"/>
            </w:tcBorders>
            <w:vAlign w:val="center"/>
          </w:tcPr>
          <w:p w14:paraId="63A4C25E">
            <w:pPr>
              <w:pStyle w:val="16"/>
              <w:spacing w:beforeLines="0" w:afterLines="0"/>
              <w:ind w:firstLine="0" w:firstLineChars="0"/>
              <w:jc w:val="center"/>
              <w:rPr>
                <w:rFonts w:cs="Times New Roman"/>
                <w:sz w:val="21"/>
                <w:szCs w:val="21"/>
              </w:rPr>
            </w:pPr>
          </w:p>
        </w:tc>
        <w:tc>
          <w:tcPr>
            <w:tcW w:w="1217" w:type="dxa"/>
            <w:tcBorders>
              <w:top w:val="nil"/>
              <w:left w:val="nil"/>
              <w:bottom w:val="single" w:color="auto" w:sz="12" w:space="0"/>
              <w:right w:val="nil"/>
            </w:tcBorders>
            <w:vAlign w:val="center"/>
          </w:tcPr>
          <w:p w14:paraId="42C16D82">
            <w:pPr>
              <w:pStyle w:val="16"/>
              <w:spacing w:beforeLines="0" w:afterLines="0"/>
              <w:ind w:firstLine="0" w:firstLineChars="0"/>
              <w:jc w:val="center"/>
              <w:rPr>
                <w:rFonts w:cs="Times New Roman"/>
                <w:sz w:val="21"/>
                <w:szCs w:val="21"/>
              </w:rPr>
            </w:pPr>
            <w:r>
              <w:rPr>
                <w:rFonts w:cs="Times New Roman"/>
                <w:sz w:val="21"/>
                <w:szCs w:val="21"/>
              </w:rPr>
              <w:t>√</w:t>
            </w:r>
          </w:p>
        </w:tc>
      </w:tr>
    </w:tbl>
    <w:p w14:paraId="4EA0FE61">
      <w:pPr>
        <w:pStyle w:val="16"/>
        <w:spacing w:before="31" w:after="31"/>
        <w:ind w:firstLine="0" w:firstLineChars="0"/>
        <w:rPr>
          <w:szCs w:val="24"/>
        </w:rPr>
      </w:pPr>
    </w:p>
    <w:p w14:paraId="114BAF13">
      <w:pPr>
        <w:pStyle w:val="21"/>
        <w:numPr>
          <w:ilvl w:val="2"/>
          <w:numId w:val="0"/>
        </w:numPr>
        <w:rPr>
          <w:rFonts w:eastAsia="宋体"/>
          <w:color w:val="000000"/>
        </w:rPr>
      </w:pPr>
      <w:r>
        <w:rPr>
          <w:rFonts w:hint="eastAsia" w:eastAsia="宋体"/>
          <w:color w:val="000000"/>
        </w:rPr>
        <w:t>3.6.2 Current Status of Failure Accident Investigation</w:t>
      </w:r>
    </w:p>
    <w:p w14:paraId="1F882B98">
      <w:pPr>
        <w:pStyle w:val="16"/>
        <w:spacing w:before="31" w:after="31"/>
        <w:ind w:firstLine="420" w:firstLineChars="0"/>
        <w:rPr>
          <w:szCs w:val="24"/>
        </w:rPr>
      </w:pPr>
      <w:r>
        <w:rPr>
          <w:rFonts w:hint="eastAsia"/>
          <w:szCs w:val="24"/>
        </w:rPr>
        <w:t>In addition to withstanding high pressure, equipment in the thermal power industry is also exposed to the radiation and erosion of high-temperature flue gas. With high wall temperatures, complex stress conditions, and harsh working conditions, these devices often operate under frequent startup, shutdown, and load fluctuations. The high occurrence rate of accidents, coupled with the intricate factors leading to equipment failures, adds significant difficulty to post-event failure investigations. Currently, the analysis of failure accidents in the thermal power industry is primarily conducted from the perspectives of material factors, service environments, structural design, welding quality, coal quality, steam quality, and personnel operations to identify the causes and failure mechanisms of accidents. Subsequently, corresponding solutions are proposed to analyze and understand accidents effectively.</w:t>
      </w:r>
    </w:p>
    <w:p w14:paraId="45FD28D4">
      <w:pPr>
        <w:pStyle w:val="16"/>
        <w:spacing w:before="31" w:after="31"/>
        <w:ind w:firstLine="420" w:firstLineChars="0"/>
        <w:rPr>
          <w:szCs w:val="24"/>
        </w:rPr>
      </w:pPr>
      <w:r>
        <w:rPr>
          <w:rFonts w:hint="eastAsia"/>
          <w:szCs w:val="24"/>
        </w:rPr>
        <w:t>However, shortcomings have been identified in the current approach to accident analysis through failure investigations: 1) Accidents caused by steam quality issues are rarely linked back to the applicability problems of existing standards; 2) Standardized solutions for similar accidents have yet to be established; 3) Descriptions of environmental factors lack quantitative details and characterization metrics for these factors.</w:t>
      </w:r>
    </w:p>
    <w:p w14:paraId="4D51C042">
      <w:pPr>
        <w:pStyle w:val="16"/>
        <w:spacing w:before="31" w:after="31"/>
        <w:ind w:firstLine="420" w:firstLineChars="0"/>
        <w:rPr>
          <w:szCs w:val="24"/>
        </w:rPr>
      </w:pPr>
    </w:p>
    <w:p w14:paraId="36B85D1F">
      <w:pPr>
        <w:pStyle w:val="18"/>
        <w:numPr>
          <w:ilvl w:val="0"/>
          <w:numId w:val="0"/>
        </w:numPr>
        <w:rPr>
          <w:color w:val="000000"/>
        </w:rPr>
      </w:pPr>
      <w:r>
        <w:rPr>
          <w:color w:val="000000"/>
        </w:rPr>
        <w:t>4 Summary of Marine Engineering Failure Cases</w:t>
      </w:r>
    </w:p>
    <w:p w14:paraId="7EBB8A1B">
      <w:pPr>
        <w:pStyle w:val="16"/>
        <w:spacing w:before="31" w:after="31"/>
        <w:ind w:firstLine="480"/>
        <w:rPr>
          <w:szCs w:val="24"/>
        </w:rPr>
      </w:pPr>
      <w:r>
        <w:rPr>
          <w:szCs w:val="24"/>
        </w:rPr>
        <w:t>Marine engineering refers to the construction, renovation, or expansion of projects aimed at developing, utilizing, protecting, and restoring marine resources. These projects are primarily located on the side of the coastline facing the sea and include various endeavors such as land reclamation, offshore embankment projects, artificial islands, offshore and underwater material storage facilities, cross-sea bridges, underwater tunnels, underwater pipelines, submarine cable projects, marine mineral resource exploration and development, offshore tidal power stations, wave power stations, temperature difference power stations, and other marine energy development projects.</w:t>
      </w:r>
    </w:p>
    <w:p w14:paraId="64D752DF">
      <w:pPr>
        <w:pStyle w:val="16"/>
        <w:spacing w:before="31" w:after="31"/>
        <w:ind w:firstLine="480"/>
        <w:rPr>
          <w:szCs w:val="24"/>
        </w:rPr>
      </w:pPr>
      <w:r>
        <w:rPr>
          <w:szCs w:val="24"/>
        </w:rPr>
        <w:t>In China, a significant portion of marine industrial metal equipment and concrete facilities are constantly exposed to underwater or 100% humid environments, leading to severe corrosion, biofouling, and contamination on their surfaces. In practical maintenance situations, many immobile metal equipment and concrete structures underwater are left to corrode and pollute, resulting in substantial economic losses.</w:t>
      </w:r>
    </w:p>
    <w:p w14:paraId="5194AC18">
      <w:pPr>
        <w:pStyle w:val="16"/>
        <w:spacing w:before="31" w:after="31"/>
        <w:ind w:firstLine="420" w:firstLineChars="0"/>
        <w:rPr>
          <w:szCs w:val="24"/>
        </w:rPr>
      </w:pPr>
      <w:r>
        <w:rPr>
          <w:szCs w:val="24"/>
        </w:rPr>
        <w:t>This chapter focuses on the investigation of failure incidents related to corrosion issues in pipelines and seawater cooling systems on offshore oil platforms, corrosion problems in components working in seawater environments for extended periods, and ice-induced vibration issues in marine structures. Through a literature review, various failure cases of engineering components in service over the past decade have been compiled. The cases primarily cover accident overviews, cause analysis, failure mechanisms, and remedial measures. The investigation comprehensively examines the reasons for industry failure incidents from four aspects: the material itself, production and construction, design factors, and environmental factors. The results of the investigation are detailed in Table 4-1, providing valuable guidance for the analysis of failure incidents in marine engineering.</w:t>
      </w:r>
    </w:p>
    <w:p w14:paraId="653E8055">
      <w:pPr>
        <w:pStyle w:val="16"/>
        <w:spacing w:before="31" w:after="31"/>
        <w:ind w:firstLine="0" w:firstLineChars="0"/>
        <w:rPr>
          <w:b/>
          <w:bCs/>
          <w:szCs w:val="24"/>
        </w:rPr>
      </w:pPr>
    </w:p>
    <w:p w14:paraId="33B105CC">
      <w:pPr>
        <w:pStyle w:val="16"/>
        <w:spacing w:before="31" w:after="31"/>
        <w:ind w:firstLine="0" w:firstLineChars="0"/>
        <w:rPr>
          <w:b/>
          <w:bCs/>
          <w:szCs w:val="24"/>
        </w:rPr>
      </w:pPr>
    </w:p>
    <w:p w14:paraId="69E8F0D3">
      <w:pPr>
        <w:pStyle w:val="16"/>
        <w:spacing w:before="31" w:after="31"/>
        <w:ind w:firstLine="0" w:firstLineChars="0"/>
        <w:rPr>
          <w:b/>
          <w:bCs/>
          <w:szCs w:val="24"/>
        </w:rPr>
      </w:pPr>
    </w:p>
    <w:p w14:paraId="4656ADFF">
      <w:pPr>
        <w:pStyle w:val="16"/>
        <w:spacing w:before="31" w:after="31"/>
        <w:ind w:firstLine="0" w:firstLineChars="0"/>
        <w:rPr>
          <w:b/>
          <w:bCs/>
          <w:szCs w:val="24"/>
        </w:rPr>
      </w:pPr>
    </w:p>
    <w:p w14:paraId="5AC48B26">
      <w:pPr>
        <w:pStyle w:val="16"/>
        <w:spacing w:before="31" w:after="31"/>
        <w:ind w:firstLine="0" w:firstLineChars="0"/>
        <w:rPr>
          <w:b/>
          <w:bCs/>
          <w:szCs w:val="24"/>
        </w:rPr>
      </w:pPr>
    </w:p>
    <w:p w14:paraId="141B0348">
      <w:pPr>
        <w:pStyle w:val="16"/>
        <w:spacing w:before="31" w:after="31"/>
        <w:ind w:firstLine="420" w:firstLineChars="0"/>
        <w:jc w:val="center"/>
        <w:rPr>
          <w:b/>
          <w:bCs/>
          <w:szCs w:val="24"/>
        </w:rPr>
      </w:pPr>
      <w:r>
        <w:rPr>
          <w:b/>
          <w:bCs/>
          <w:szCs w:val="24"/>
        </w:rPr>
        <w:t>Table 4-1 Summary of Research on Marine Engineering Failure Cases</w:t>
      </w:r>
    </w:p>
    <w:p w14:paraId="0B8C98A4">
      <w:pPr>
        <w:pStyle w:val="16"/>
        <w:spacing w:before="31" w:after="31"/>
        <w:ind w:firstLine="420" w:firstLineChars="0"/>
        <w:rPr>
          <w:szCs w:val="24"/>
        </w:rPr>
      </w:pP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34"/>
        <w:gridCol w:w="4799"/>
        <w:gridCol w:w="1020"/>
      </w:tblGrid>
      <w:tr w14:paraId="736695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4" w:type="dxa"/>
            <w:tcBorders>
              <w:bottom w:val="single" w:color="auto" w:sz="12" w:space="0"/>
            </w:tcBorders>
            <w:vAlign w:val="center"/>
          </w:tcPr>
          <w:p w14:paraId="1676F50D">
            <w:pPr>
              <w:pStyle w:val="16"/>
              <w:spacing w:before="31" w:after="31"/>
              <w:ind w:firstLine="0" w:firstLineChars="0"/>
              <w:jc w:val="center"/>
              <w:rPr>
                <w:color w:val="000000"/>
                <w:sz w:val="21"/>
                <w:szCs w:val="21"/>
              </w:rPr>
            </w:pPr>
            <w:r>
              <w:rPr>
                <w:color w:val="000000"/>
                <w:sz w:val="21"/>
                <w:szCs w:val="21"/>
              </w:rPr>
              <w:t>Achievements</w:t>
            </w:r>
          </w:p>
        </w:tc>
        <w:tc>
          <w:tcPr>
            <w:tcW w:w="4799" w:type="dxa"/>
            <w:tcBorders>
              <w:bottom w:val="single" w:color="auto" w:sz="12" w:space="0"/>
            </w:tcBorders>
            <w:vAlign w:val="center"/>
          </w:tcPr>
          <w:p w14:paraId="6CA3B728">
            <w:pPr>
              <w:pStyle w:val="16"/>
              <w:spacing w:before="31" w:after="31" w:line="240" w:lineRule="auto"/>
              <w:ind w:firstLine="0" w:firstLineChars="0"/>
              <w:jc w:val="center"/>
              <w:rPr>
                <w:color w:val="000000"/>
                <w:sz w:val="21"/>
                <w:szCs w:val="21"/>
              </w:rPr>
            </w:pPr>
            <w:r>
              <w:rPr>
                <w:color w:val="000000"/>
                <w:sz w:val="21"/>
                <w:szCs w:val="21"/>
              </w:rPr>
              <w:t>The marine engineering industry</w:t>
            </w:r>
          </w:p>
        </w:tc>
        <w:tc>
          <w:tcPr>
            <w:tcW w:w="1020" w:type="dxa"/>
            <w:tcBorders>
              <w:bottom w:val="single" w:color="auto" w:sz="12" w:space="0"/>
            </w:tcBorders>
            <w:vAlign w:val="center"/>
          </w:tcPr>
          <w:p w14:paraId="5FB665A7">
            <w:pPr>
              <w:pStyle w:val="16"/>
              <w:spacing w:before="31" w:after="31"/>
              <w:ind w:firstLine="0" w:firstLineChars="0"/>
              <w:rPr>
                <w:color w:val="000000"/>
                <w:sz w:val="21"/>
                <w:szCs w:val="21"/>
              </w:rPr>
            </w:pPr>
            <w:r>
              <w:rPr>
                <w:color w:val="000000"/>
                <w:sz w:val="21"/>
                <w:szCs w:val="21"/>
              </w:rPr>
              <w:t>Total</w:t>
            </w:r>
          </w:p>
        </w:tc>
      </w:tr>
      <w:tr w14:paraId="0C9858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4" w:type="dxa"/>
            <w:tcBorders>
              <w:top w:val="single" w:color="auto" w:sz="12" w:space="0"/>
              <w:bottom w:val="nil"/>
            </w:tcBorders>
            <w:vAlign w:val="center"/>
          </w:tcPr>
          <w:p w14:paraId="4189F2A8">
            <w:pPr>
              <w:pStyle w:val="16"/>
              <w:spacing w:before="31" w:after="31" w:line="240" w:lineRule="auto"/>
              <w:ind w:firstLine="0" w:firstLineChars="0"/>
              <w:jc w:val="center"/>
              <w:rPr>
                <w:color w:val="000000"/>
                <w:sz w:val="21"/>
                <w:szCs w:val="21"/>
              </w:rPr>
            </w:pPr>
            <w:r>
              <w:rPr>
                <w:color w:val="000000"/>
                <w:sz w:val="21"/>
                <w:szCs w:val="21"/>
              </w:rPr>
              <w:t>Number of Cases</w:t>
            </w:r>
          </w:p>
        </w:tc>
        <w:tc>
          <w:tcPr>
            <w:tcW w:w="4799" w:type="dxa"/>
            <w:tcBorders>
              <w:top w:val="single" w:color="auto" w:sz="12" w:space="0"/>
              <w:bottom w:val="nil"/>
            </w:tcBorders>
            <w:vAlign w:val="center"/>
          </w:tcPr>
          <w:p w14:paraId="642EEFF8">
            <w:pPr>
              <w:pStyle w:val="16"/>
              <w:spacing w:before="31" w:after="31"/>
              <w:ind w:firstLine="0" w:firstLineChars="0"/>
              <w:jc w:val="center"/>
              <w:rPr>
                <w:color w:val="000000"/>
                <w:sz w:val="21"/>
                <w:szCs w:val="21"/>
              </w:rPr>
            </w:pPr>
            <w:r>
              <w:rPr>
                <w:rFonts w:hint="eastAsia"/>
                <w:color w:val="000000"/>
                <w:sz w:val="21"/>
                <w:szCs w:val="21"/>
              </w:rPr>
              <w:t>8</w:t>
            </w:r>
          </w:p>
        </w:tc>
        <w:tc>
          <w:tcPr>
            <w:tcW w:w="1020" w:type="dxa"/>
            <w:tcBorders>
              <w:top w:val="single" w:color="auto" w:sz="12" w:space="0"/>
              <w:bottom w:val="nil"/>
            </w:tcBorders>
            <w:vAlign w:val="center"/>
          </w:tcPr>
          <w:p w14:paraId="77B8EE3B">
            <w:pPr>
              <w:pStyle w:val="16"/>
              <w:spacing w:before="31" w:after="31"/>
              <w:ind w:firstLine="0" w:firstLineChars="0"/>
              <w:jc w:val="center"/>
              <w:rPr>
                <w:color w:val="000000"/>
                <w:sz w:val="21"/>
                <w:szCs w:val="21"/>
              </w:rPr>
            </w:pPr>
            <w:r>
              <w:rPr>
                <w:rFonts w:hint="eastAsia"/>
                <w:color w:val="000000"/>
                <w:sz w:val="21"/>
                <w:szCs w:val="21"/>
              </w:rPr>
              <w:t>8</w:t>
            </w:r>
          </w:p>
        </w:tc>
      </w:tr>
      <w:tr w14:paraId="2E4C0C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4" w:type="dxa"/>
            <w:tcBorders>
              <w:top w:val="nil"/>
              <w:bottom w:val="nil"/>
            </w:tcBorders>
            <w:vAlign w:val="center"/>
          </w:tcPr>
          <w:p w14:paraId="4B7F6599">
            <w:pPr>
              <w:pStyle w:val="16"/>
              <w:spacing w:before="31" w:after="31" w:line="240" w:lineRule="auto"/>
              <w:ind w:firstLine="0" w:firstLineChars="0"/>
              <w:jc w:val="center"/>
              <w:rPr>
                <w:color w:val="000000"/>
                <w:sz w:val="21"/>
                <w:szCs w:val="21"/>
              </w:rPr>
            </w:pPr>
            <w:r>
              <w:rPr>
                <w:color w:val="000000"/>
                <w:sz w:val="21"/>
                <w:szCs w:val="21"/>
              </w:rPr>
              <w:t>Image Data</w:t>
            </w:r>
          </w:p>
        </w:tc>
        <w:tc>
          <w:tcPr>
            <w:tcW w:w="4799" w:type="dxa"/>
            <w:tcBorders>
              <w:top w:val="nil"/>
              <w:bottom w:val="nil"/>
            </w:tcBorders>
            <w:vAlign w:val="center"/>
          </w:tcPr>
          <w:p w14:paraId="71697532">
            <w:pPr>
              <w:pStyle w:val="16"/>
              <w:spacing w:before="31" w:after="31"/>
              <w:ind w:firstLine="0" w:firstLineChars="0"/>
              <w:jc w:val="center"/>
              <w:rPr>
                <w:color w:val="000000"/>
                <w:sz w:val="21"/>
                <w:szCs w:val="21"/>
              </w:rPr>
            </w:pPr>
            <w:r>
              <w:rPr>
                <w:rFonts w:hint="eastAsia"/>
                <w:color w:val="000000"/>
                <w:sz w:val="21"/>
                <w:szCs w:val="21"/>
              </w:rPr>
              <w:t>29</w:t>
            </w:r>
          </w:p>
        </w:tc>
        <w:tc>
          <w:tcPr>
            <w:tcW w:w="1020" w:type="dxa"/>
            <w:tcBorders>
              <w:top w:val="nil"/>
              <w:bottom w:val="nil"/>
            </w:tcBorders>
            <w:vAlign w:val="center"/>
          </w:tcPr>
          <w:p w14:paraId="75C1FE77">
            <w:pPr>
              <w:pStyle w:val="16"/>
              <w:spacing w:before="31" w:after="31"/>
              <w:ind w:firstLine="0" w:firstLineChars="0"/>
              <w:jc w:val="center"/>
              <w:rPr>
                <w:color w:val="000000"/>
                <w:sz w:val="21"/>
                <w:szCs w:val="21"/>
              </w:rPr>
            </w:pPr>
            <w:r>
              <w:rPr>
                <w:rFonts w:hint="eastAsia"/>
                <w:color w:val="000000"/>
                <w:sz w:val="21"/>
                <w:szCs w:val="21"/>
              </w:rPr>
              <w:t>29</w:t>
            </w:r>
          </w:p>
        </w:tc>
      </w:tr>
      <w:tr w14:paraId="6E846B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4" w:type="dxa"/>
            <w:tcBorders>
              <w:top w:val="nil"/>
              <w:bottom w:val="single" w:color="auto" w:sz="12" w:space="0"/>
            </w:tcBorders>
            <w:vAlign w:val="center"/>
          </w:tcPr>
          <w:p w14:paraId="36865CF0">
            <w:pPr>
              <w:pStyle w:val="16"/>
              <w:spacing w:before="31" w:after="31" w:line="240" w:lineRule="auto"/>
              <w:ind w:firstLine="0" w:firstLineChars="0"/>
              <w:jc w:val="center"/>
              <w:rPr>
                <w:color w:val="000000"/>
                <w:sz w:val="21"/>
                <w:szCs w:val="21"/>
              </w:rPr>
            </w:pPr>
            <w:r>
              <w:rPr>
                <w:color w:val="000000"/>
                <w:sz w:val="21"/>
                <w:szCs w:val="21"/>
              </w:rPr>
              <w:t>Number of References</w:t>
            </w:r>
          </w:p>
        </w:tc>
        <w:tc>
          <w:tcPr>
            <w:tcW w:w="4799" w:type="dxa"/>
            <w:tcBorders>
              <w:top w:val="nil"/>
              <w:bottom w:val="single" w:color="auto" w:sz="12" w:space="0"/>
            </w:tcBorders>
            <w:vAlign w:val="center"/>
          </w:tcPr>
          <w:p w14:paraId="5BA82FC3">
            <w:pPr>
              <w:pStyle w:val="16"/>
              <w:spacing w:before="31" w:after="31"/>
              <w:ind w:firstLine="0" w:firstLineChars="0"/>
              <w:jc w:val="center"/>
              <w:rPr>
                <w:color w:val="000000"/>
                <w:sz w:val="21"/>
                <w:szCs w:val="21"/>
              </w:rPr>
            </w:pPr>
            <w:r>
              <w:rPr>
                <w:rFonts w:hint="eastAsia"/>
                <w:color w:val="000000"/>
                <w:sz w:val="21"/>
                <w:szCs w:val="21"/>
              </w:rPr>
              <w:t>8</w:t>
            </w:r>
          </w:p>
        </w:tc>
        <w:tc>
          <w:tcPr>
            <w:tcW w:w="1020" w:type="dxa"/>
            <w:tcBorders>
              <w:top w:val="nil"/>
              <w:bottom w:val="single" w:color="auto" w:sz="12" w:space="0"/>
            </w:tcBorders>
            <w:vAlign w:val="center"/>
          </w:tcPr>
          <w:p w14:paraId="5E3D3E1B">
            <w:pPr>
              <w:pStyle w:val="16"/>
              <w:spacing w:before="31" w:after="31"/>
              <w:ind w:firstLine="0" w:firstLineChars="0"/>
              <w:jc w:val="center"/>
              <w:rPr>
                <w:color w:val="000000"/>
                <w:sz w:val="21"/>
                <w:szCs w:val="21"/>
              </w:rPr>
            </w:pPr>
            <w:r>
              <w:rPr>
                <w:rFonts w:hint="eastAsia"/>
                <w:color w:val="000000"/>
                <w:sz w:val="21"/>
                <w:szCs w:val="21"/>
              </w:rPr>
              <w:t>8</w:t>
            </w:r>
          </w:p>
        </w:tc>
      </w:tr>
    </w:tbl>
    <w:p w14:paraId="08D25231">
      <w:pPr>
        <w:pStyle w:val="16"/>
        <w:spacing w:before="31" w:after="31"/>
        <w:ind w:firstLine="420" w:firstLineChars="0"/>
        <w:rPr>
          <w:szCs w:val="24"/>
        </w:rPr>
      </w:pPr>
    </w:p>
    <w:p w14:paraId="24632673">
      <w:pPr>
        <w:pStyle w:val="16"/>
        <w:spacing w:before="31" w:after="31"/>
        <w:ind w:firstLine="0" w:firstLineChars="0"/>
        <w:rPr>
          <w:rFonts w:cs="Times New Roman"/>
          <w:b/>
          <w:bCs/>
          <w:color w:val="000000"/>
          <w:sz w:val="28"/>
          <w:szCs w:val="32"/>
        </w:rPr>
      </w:pPr>
      <w:r>
        <w:rPr>
          <w:rFonts w:cs="Times New Roman"/>
          <w:b/>
          <w:bCs/>
          <w:color w:val="000000"/>
          <w:sz w:val="28"/>
          <w:szCs w:val="32"/>
        </w:rPr>
        <w:t>4.1 Locations of Frequent Failure Incidents</w:t>
      </w:r>
    </w:p>
    <w:p w14:paraId="37E3AA88">
      <w:pPr>
        <w:pStyle w:val="16"/>
        <w:spacing w:before="31" w:after="31"/>
        <w:ind w:firstLine="480"/>
        <w:rPr>
          <w:szCs w:val="24"/>
        </w:rPr>
      </w:pPr>
      <w:r>
        <w:rPr>
          <w:szCs w:val="24"/>
        </w:rPr>
        <w:t>As China's marine oil and gas resources are increasingly developed and utilized, the construction of subsea pipelines in the process of oil and gas gathering and transportation is on the rise. Currently, some pipelines have encountered problems to varying degrees or have entered the later stages of use, with their damage rates increasing annually. Incidents of leakage and rupture have gradually become more frequent. Corrosion is one of the main factors leading to the damage of subsea pipelines.</w:t>
      </w:r>
    </w:p>
    <w:p w14:paraId="30587521">
      <w:pPr>
        <w:pStyle w:val="16"/>
        <w:spacing w:before="31" w:after="31"/>
        <w:ind w:firstLine="480"/>
        <w:rPr>
          <w:szCs w:val="24"/>
        </w:rPr>
      </w:pPr>
      <w:r>
        <w:rPr>
          <w:szCs w:val="24"/>
        </w:rPr>
        <w:t>Subsea pipeline corrosion refers to the chemical and electrochemical reactions between the pipeline's metal material surface and the surrounding environment, causing phenomena and processes such as surface damage or crystalline cap rupture. After corrosion occurs in subsea pipelines, the overall or local thinning of the pipe wall leads to a reduction in wall strength or the occurrence of stress concentration. In severe cases, this can result in perforation or damage to the pipe wall, rendering the subsea pipeline unable to transport normally and even causing pollution in the marine environment.</w:t>
      </w:r>
    </w:p>
    <w:p w14:paraId="0A731D72">
      <w:pPr>
        <w:pStyle w:val="16"/>
        <w:spacing w:before="31" w:after="31"/>
        <w:ind w:firstLine="420" w:firstLineChars="0"/>
        <w:rPr>
          <w:szCs w:val="24"/>
        </w:rPr>
      </w:pPr>
      <w:r>
        <w:rPr>
          <w:szCs w:val="24"/>
        </w:rPr>
        <w:t>The harsh environment in which subsea pipelines are located subjects them not only to the effects of waves and ocean currents but also to special loads such as earthquakes or sea ice. This randomness and unpredictability make the damage to subsea corroded pipelines highly variable and accidental [1].</w:t>
      </w:r>
    </w:p>
    <w:p w14:paraId="341C2851">
      <w:pPr>
        <w:pStyle w:val="16"/>
        <w:spacing w:before="31" w:after="31"/>
        <w:ind w:firstLine="0" w:firstLineChars="0"/>
        <w:rPr>
          <w:b/>
          <w:bCs/>
          <w:szCs w:val="24"/>
        </w:rPr>
      </w:pPr>
      <w:r>
        <w:rPr>
          <w:b/>
          <w:bCs/>
          <w:szCs w:val="24"/>
        </w:rPr>
        <w:t>4.2 Marine Engineering Failure Cases</w:t>
      </w:r>
    </w:p>
    <w:p w14:paraId="17ECF622">
      <w:pPr>
        <w:pStyle w:val="16"/>
        <w:spacing w:before="31" w:after="31"/>
        <w:ind w:firstLine="0" w:firstLineChars="0"/>
        <w:rPr>
          <w:b/>
          <w:bCs/>
          <w:szCs w:val="24"/>
        </w:rPr>
      </w:pPr>
      <w:r>
        <w:rPr>
          <w:b/>
          <w:bCs/>
          <w:szCs w:val="24"/>
        </w:rPr>
        <w:t>4.2.1 Case 4-1: Perforation Failure due to Bubble Corrosion in Offshore Oil Drilling Pipeline [2]</w:t>
      </w:r>
    </w:p>
    <w:p w14:paraId="78AB41CD">
      <w:pPr>
        <w:pStyle w:val="16"/>
        <w:spacing w:before="31" w:after="31"/>
        <w:ind w:firstLine="0" w:firstLineChars="0"/>
        <w:rPr>
          <w:szCs w:val="24"/>
        </w:rPr>
      </w:pPr>
      <w:r>
        <w:rPr>
          <w:szCs w:val="24"/>
        </w:rPr>
        <w:t>(1) Case Name</w:t>
      </w:r>
    </w:p>
    <w:p w14:paraId="234A457E">
      <w:pPr>
        <w:pStyle w:val="16"/>
        <w:spacing w:before="31" w:after="31"/>
        <w:ind w:firstLine="480"/>
        <w:rPr>
          <w:szCs w:val="24"/>
        </w:rPr>
      </w:pPr>
      <w:r>
        <w:rPr>
          <w:szCs w:val="24"/>
        </w:rPr>
        <w:t>Perforation Failure due to Bubble Corrosion in Offshore Oil Drilling Pipeline [2].</w:t>
      </w:r>
    </w:p>
    <w:p w14:paraId="7358AD5D">
      <w:pPr>
        <w:pStyle w:val="16"/>
        <w:spacing w:before="31" w:after="31"/>
        <w:ind w:firstLine="0" w:firstLineChars="0"/>
        <w:rPr>
          <w:szCs w:val="24"/>
        </w:rPr>
      </w:pPr>
      <w:r>
        <w:rPr>
          <w:szCs w:val="24"/>
        </w:rPr>
        <w:t>(2) Failure Process Description:</w:t>
      </w:r>
    </w:p>
    <w:p w14:paraId="0F0DA0D1">
      <w:pPr>
        <w:pStyle w:val="16"/>
        <w:spacing w:before="31" w:after="31"/>
        <w:ind w:firstLine="480"/>
        <w:rPr>
          <w:szCs w:val="24"/>
        </w:rPr>
      </w:pPr>
      <w:r>
        <w:rPr>
          <w:szCs w:val="24"/>
        </w:rPr>
        <w:t>In a certain oil field in the South China Sea, submersible pumps are used for oil production in wells. Normally, the pipelines should be in service for 4 to 5 years. However, a batch of pipelines failed due to perforation in less than 2 years.</w:t>
      </w:r>
    </w:p>
    <w:p w14:paraId="18DF1DFD">
      <w:pPr>
        <w:pStyle w:val="16"/>
        <w:spacing w:before="31" w:after="31"/>
        <w:ind w:firstLine="0" w:firstLineChars="0"/>
        <w:rPr>
          <w:szCs w:val="24"/>
        </w:rPr>
      </w:pPr>
      <w:r>
        <w:rPr>
          <w:szCs w:val="24"/>
        </w:rPr>
        <w:t>(3) Service Environment:</w:t>
      </w:r>
    </w:p>
    <w:p w14:paraId="61440291">
      <w:pPr>
        <w:pStyle w:val="16"/>
        <w:spacing w:before="31" w:after="31"/>
        <w:ind w:firstLine="480"/>
        <w:rPr>
          <w:szCs w:val="24"/>
        </w:rPr>
      </w:pPr>
      <w:r>
        <w:rPr>
          <w:szCs w:val="24"/>
        </w:rPr>
        <w:t>Subsurface temperature: 85~110°C; Subsurface pressure: 19~27 MPa; Oil/water ratio: approximately 15/585 mL; Oil/gas ratio: approximately 90/0.7 mol. During production, the drilling pipeline conveys media consisting of oil, water, high levels of CO2, small amounts of H2S, and abrasive substances such as sand.</w:t>
      </w:r>
    </w:p>
    <w:p w14:paraId="09236A8B">
      <w:pPr>
        <w:pStyle w:val="16"/>
        <w:spacing w:before="31" w:after="31"/>
        <w:ind w:firstLine="0" w:firstLineChars="0"/>
        <w:rPr>
          <w:szCs w:val="24"/>
        </w:rPr>
      </w:pPr>
      <w:r>
        <w:rPr>
          <w:szCs w:val="24"/>
        </w:rPr>
        <w:t>(4) Failed Components and Material:</w:t>
      </w:r>
    </w:p>
    <w:p w14:paraId="2EBAFF42">
      <w:pPr>
        <w:pStyle w:val="16"/>
        <w:spacing w:before="31" w:after="31"/>
        <w:ind w:firstLine="480"/>
        <w:rPr>
          <w:szCs w:val="24"/>
        </w:rPr>
      </w:pPr>
      <w:r>
        <w:rPr>
          <w:szCs w:val="24"/>
        </w:rPr>
        <w:t>(a) Chemical composition and mechanical properties:</w:t>
      </w:r>
    </w:p>
    <w:p w14:paraId="56DF599F">
      <w:pPr>
        <w:pStyle w:val="16"/>
        <w:spacing w:before="31" w:after="31"/>
        <w:ind w:firstLine="480"/>
        <w:rPr>
          <w:szCs w:val="24"/>
        </w:rPr>
      </w:pPr>
      <w:r>
        <w:rPr>
          <w:szCs w:val="24"/>
        </w:rPr>
        <w:t>Sampling and analysis of remnants from pipeline with the designation copc/ccsl03 revealed chemical composition similar to Chinese GB standard 24MnTi steel. However, API standards only specify the P and S elements in the chemical composition of N80 steel casing (see Table 4-2). Therefore, based on chemical composition analysis alone, it cannot be conclusively determined that the failed pipeline material is N80 steel.</w:t>
      </w:r>
    </w:p>
    <w:p w14:paraId="517E1003">
      <w:pPr>
        <w:pStyle w:val="16"/>
        <w:spacing w:before="31" w:after="31"/>
        <w:ind w:firstLine="482"/>
        <w:rPr>
          <w:b/>
          <w:bCs/>
          <w:szCs w:val="24"/>
        </w:rPr>
      </w:pPr>
      <w:r>
        <w:rPr>
          <w:b/>
          <w:bCs/>
          <w:szCs w:val="24"/>
        </w:rPr>
        <w:t>Table 4-2: Material Chemical Composition (mass fraction, %)</w:t>
      </w:r>
    </w:p>
    <w:tbl>
      <w:tblPr>
        <w:tblStyle w:val="9"/>
        <w:tblW w:w="8472" w:type="dxa"/>
        <w:jc w:val="center"/>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fixed"/>
        <w:tblCellMar>
          <w:top w:w="0" w:type="dxa"/>
          <w:left w:w="108" w:type="dxa"/>
          <w:bottom w:w="0" w:type="dxa"/>
          <w:right w:w="108" w:type="dxa"/>
        </w:tblCellMar>
      </w:tblPr>
      <w:tblGrid>
        <w:gridCol w:w="1076"/>
        <w:gridCol w:w="492"/>
        <w:gridCol w:w="667"/>
        <w:gridCol w:w="596"/>
        <w:gridCol w:w="821"/>
        <w:gridCol w:w="709"/>
        <w:gridCol w:w="709"/>
        <w:gridCol w:w="708"/>
        <w:gridCol w:w="709"/>
        <w:gridCol w:w="567"/>
        <w:gridCol w:w="709"/>
        <w:gridCol w:w="709"/>
      </w:tblGrid>
      <w:tr w14:paraId="0AEE68C7">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PrEx>
        <w:trPr>
          <w:jc w:val="center"/>
        </w:trPr>
        <w:tc>
          <w:tcPr>
            <w:tcW w:w="1076" w:type="dxa"/>
            <w:tcBorders>
              <w:bottom w:val="single" w:color="auto" w:sz="12" w:space="0"/>
            </w:tcBorders>
            <w:vAlign w:val="center"/>
          </w:tcPr>
          <w:p w14:paraId="0EE13440">
            <w:pPr>
              <w:pStyle w:val="20"/>
              <w:spacing w:beforeLines="0" w:afterLines="0" w:line="312" w:lineRule="auto"/>
              <w:rPr>
                <w:b w:val="0"/>
              </w:rPr>
            </w:pPr>
            <w:r>
              <w:t>Material</w:t>
            </w:r>
          </w:p>
        </w:tc>
        <w:tc>
          <w:tcPr>
            <w:tcW w:w="492" w:type="dxa"/>
            <w:tcBorders>
              <w:bottom w:val="single" w:color="auto" w:sz="12" w:space="0"/>
            </w:tcBorders>
            <w:vAlign w:val="center"/>
          </w:tcPr>
          <w:p w14:paraId="709E30D2">
            <w:pPr>
              <w:pStyle w:val="20"/>
              <w:spacing w:beforeLines="0" w:afterLines="0" w:line="312" w:lineRule="auto"/>
              <w:rPr>
                <w:b w:val="0"/>
              </w:rPr>
            </w:pPr>
            <w:r>
              <w:rPr>
                <w:rFonts w:hint="eastAsia"/>
                <w:b w:val="0"/>
              </w:rPr>
              <w:t>C</w:t>
            </w:r>
          </w:p>
        </w:tc>
        <w:tc>
          <w:tcPr>
            <w:tcW w:w="667" w:type="dxa"/>
            <w:tcBorders>
              <w:bottom w:val="single" w:color="auto" w:sz="12" w:space="0"/>
            </w:tcBorders>
            <w:vAlign w:val="center"/>
          </w:tcPr>
          <w:p w14:paraId="7FC3E39E">
            <w:pPr>
              <w:pStyle w:val="20"/>
              <w:spacing w:beforeLines="0" w:afterLines="0" w:line="312" w:lineRule="auto"/>
              <w:rPr>
                <w:b w:val="0"/>
              </w:rPr>
            </w:pPr>
            <w:r>
              <w:rPr>
                <w:rFonts w:hint="eastAsia"/>
                <w:b w:val="0"/>
              </w:rPr>
              <w:t>Si</w:t>
            </w:r>
          </w:p>
        </w:tc>
        <w:tc>
          <w:tcPr>
            <w:tcW w:w="596" w:type="dxa"/>
            <w:tcBorders>
              <w:bottom w:val="single" w:color="auto" w:sz="12" w:space="0"/>
            </w:tcBorders>
            <w:vAlign w:val="center"/>
          </w:tcPr>
          <w:p w14:paraId="19002401">
            <w:pPr>
              <w:pStyle w:val="20"/>
              <w:spacing w:beforeLines="0" w:afterLines="0" w:line="312" w:lineRule="auto"/>
              <w:rPr>
                <w:b w:val="0"/>
              </w:rPr>
            </w:pPr>
            <w:r>
              <w:rPr>
                <w:rFonts w:hint="eastAsia"/>
                <w:b w:val="0"/>
              </w:rPr>
              <w:t>Mn</w:t>
            </w:r>
          </w:p>
        </w:tc>
        <w:tc>
          <w:tcPr>
            <w:tcW w:w="821" w:type="dxa"/>
            <w:tcBorders>
              <w:bottom w:val="single" w:color="auto" w:sz="12" w:space="0"/>
            </w:tcBorders>
            <w:vAlign w:val="center"/>
          </w:tcPr>
          <w:p w14:paraId="3571FABA">
            <w:pPr>
              <w:pStyle w:val="20"/>
              <w:spacing w:beforeLines="0" w:afterLines="0" w:line="312" w:lineRule="auto"/>
              <w:rPr>
                <w:b w:val="0"/>
              </w:rPr>
            </w:pPr>
            <w:r>
              <w:rPr>
                <w:rFonts w:hint="eastAsia"/>
                <w:b w:val="0"/>
              </w:rPr>
              <w:t>P</w:t>
            </w:r>
          </w:p>
        </w:tc>
        <w:tc>
          <w:tcPr>
            <w:tcW w:w="709" w:type="dxa"/>
            <w:tcBorders>
              <w:bottom w:val="single" w:color="auto" w:sz="12" w:space="0"/>
            </w:tcBorders>
            <w:vAlign w:val="center"/>
          </w:tcPr>
          <w:p w14:paraId="70AC8C88">
            <w:pPr>
              <w:pStyle w:val="20"/>
              <w:spacing w:beforeLines="0" w:afterLines="0" w:line="312" w:lineRule="auto"/>
              <w:rPr>
                <w:b w:val="0"/>
              </w:rPr>
            </w:pPr>
            <w:r>
              <w:rPr>
                <w:rFonts w:hint="eastAsia"/>
                <w:b w:val="0"/>
              </w:rPr>
              <w:t>S</w:t>
            </w:r>
          </w:p>
        </w:tc>
        <w:tc>
          <w:tcPr>
            <w:tcW w:w="709" w:type="dxa"/>
            <w:tcBorders>
              <w:bottom w:val="single" w:color="auto" w:sz="12" w:space="0"/>
            </w:tcBorders>
            <w:vAlign w:val="center"/>
          </w:tcPr>
          <w:p w14:paraId="26982AE1">
            <w:pPr>
              <w:pStyle w:val="20"/>
              <w:spacing w:beforeLines="0" w:afterLines="0" w:line="312" w:lineRule="auto"/>
              <w:rPr>
                <w:b w:val="0"/>
              </w:rPr>
            </w:pPr>
            <w:r>
              <w:rPr>
                <w:rFonts w:hint="eastAsia"/>
                <w:b w:val="0"/>
              </w:rPr>
              <w:t>Cr</w:t>
            </w:r>
          </w:p>
        </w:tc>
        <w:tc>
          <w:tcPr>
            <w:tcW w:w="708" w:type="dxa"/>
            <w:tcBorders>
              <w:bottom w:val="single" w:color="auto" w:sz="12" w:space="0"/>
            </w:tcBorders>
            <w:vAlign w:val="center"/>
          </w:tcPr>
          <w:p w14:paraId="36B1BBC0">
            <w:pPr>
              <w:pStyle w:val="20"/>
              <w:spacing w:beforeLines="0" w:afterLines="0" w:line="312" w:lineRule="auto"/>
              <w:rPr>
                <w:b w:val="0"/>
              </w:rPr>
            </w:pPr>
            <w:r>
              <w:rPr>
                <w:rFonts w:hint="eastAsia"/>
                <w:b w:val="0"/>
              </w:rPr>
              <w:t>Ni</w:t>
            </w:r>
          </w:p>
        </w:tc>
        <w:tc>
          <w:tcPr>
            <w:tcW w:w="709" w:type="dxa"/>
            <w:tcBorders>
              <w:bottom w:val="single" w:color="auto" w:sz="12" w:space="0"/>
            </w:tcBorders>
            <w:vAlign w:val="center"/>
          </w:tcPr>
          <w:p w14:paraId="5B7C8F90">
            <w:pPr>
              <w:pStyle w:val="20"/>
              <w:spacing w:beforeLines="0" w:afterLines="0" w:line="312" w:lineRule="auto"/>
              <w:rPr>
                <w:b w:val="0"/>
              </w:rPr>
            </w:pPr>
            <w:r>
              <w:rPr>
                <w:rFonts w:hint="eastAsia"/>
                <w:b w:val="0"/>
              </w:rPr>
              <w:t>Cu</w:t>
            </w:r>
          </w:p>
        </w:tc>
        <w:tc>
          <w:tcPr>
            <w:tcW w:w="567" w:type="dxa"/>
            <w:tcBorders>
              <w:bottom w:val="single" w:color="auto" w:sz="12" w:space="0"/>
            </w:tcBorders>
            <w:vAlign w:val="center"/>
          </w:tcPr>
          <w:p w14:paraId="549C66D8">
            <w:pPr>
              <w:pStyle w:val="20"/>
              <w:spacing w:beforeLines="0" w:afterLines="0" w:line="312" w:lineRule="auto"/>
              <w:rPr>
                <w:b w:val="0"/>
              </w:rPr>
            </w:pPr>
            <w:r>
              <w:rPr>
                <w:rFonts w:hint="eastAsia"/>
                <w:b w:val="0"/>
              </w:rPr>
              <w:t>Mn</w:t>
            </w:r>
          </w:p>
        </w:tc>
        <w:tc>
          <w:tcPr>
            <w:tcW w:w="709" w:type="dxa"/>
            <w:tcBorders>
              <w:bottom w:val="single" w:color="auto" w:sz="12" w:space="0"/>
            </w:tcBorders>
            <w:vAlign w:val="center"/>
          </w:tcPr>
          <w:p w14:paraId="0F225D04">
            <w:pPr>
              <w:pStyle w:val="20"/>
              <w:spacing w:beforeLines="0" w:afterLines="0" w:line="312" w:lineRule="auto"/>
              <w:rPr>
                <w:b w:val="0"/>
              </w:rPr>
            </w:pPr>
            <w:r>
              <w:rPr>
                <w:rFonts w:hint="eastAsia"/>
                <w:b w:val="0"/>
              </w:rPr>
              <w:t>Ti</w:t>
            </w:r>
          </w:p>
        </w:tc>
        <w:tc>
          <w:tcPr>
            <w:tcW w:w="709" w:type="dxa"/>
            <w:tcBorders>
              <w:bottom w:val="single" w:color="auto" w:sz="12" w:space="0"/>
            </w:tcBorders>
            <w:vAlign w:val="center"/>
          </w:tcPr>
          <w:p w14:paraId="34570F30">
            <w:pPr>
              <w:pStyle w:val="20"/>
              <w:spacing w:beforeLines="0" w:afterLines="0" w:line="312" w:lineRule="auto"/>
              <w:rPr>
                <w:b w:val="0"/>
              </w:rPr>
            </w:pPr>
            <w:r>
              <w:rPr>
                <w:rFonts w:hint="eastAsia"/>
                <w:b w:val="0"/>
              </w:rPr>
              <w:t>V</w:t>
            </w:r>
          </w:p>
        </w:tc>
      </w:tr>
      <w:tr w14:paraId="47C72015">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076" w:type="dxa"/>
            <w:tcBorders>
              <w:bottom w:val="nil"/>
            </w:tcBorders>
            <w:vAlign w:val="center"/>
          </w:tcPr>
          <w:p w14:paraId="775866FF">
            <w:pPr>
              <w:pStyle w:val="20"/>
              <w:spacing w:beforeLines="0" w:afterLines="0" w:line="312" w:lineRule="auto"/>
              <w:rPr>
                <w:b w:val="0"/>
                <w:bCs/>
              </w:rPr>
            </w:pPr>
            <w:r>
              <w:rPr>
                <w:b w:val="0"/>
                <w:bCs/>
              </w:rPr>
              <w:t>Inspection Sample</w:t>
            </w:r>
          </w:p>
        </w:tc>
        <w:tc>
          <w:tcPr>
            <w:tcW w:w="492" w:type="dxa"/>
            <w:tcBorders>
              <w:bottom w:val="nil"/>
            </w:tcBorders>
            <w:vAlign w:val="center"/>
          </w:tcPr>
          <w:p w14:paraId="157440F2">
            <w:pPr>
              <w:pStyle w:val="20"/>
              <w:spacing w:beforeLines="0" w:afterLines="0" w:line="312" w:lineRule="auto"/>
              <w:rPr>
                <w:b w:val="0"/>
              </w:rPr>
            </w:pPr>
            <w:r>
              <w:rPr>
                <w:rFonts w:hint="eastAsia"/>
                <w:b w:val="0"/>
              </w:rPr>
              <w:t>0.29</w:t>
            </w:r>
          </w:p>
        </w:tc>
        <w:tc>
          <w:tcPr>
            <w:tcW w:w="667" w:type="dxa"/>
            <w:tcBorders>
              <w:bottom w:val="nil"/>
            </w:tcBorders>
            <w:vAlign w:val="center"/>
          </w:tcPr>
          <w:p w14:paraId="27EC4494">
            <w:pPr>
              <w:pStyle w:val="20"/>
              <w:spacing w:beforeLines="0" w:afterLines="0" w:line="312" w:lineRule="auto"/>
              <w:rPr>
                <w:b w:val="0"/>
              </w:rPr>
            </w:pPr>
            <w:r>
              <w:rPr>
                <w:rFonts w:hint="eastAsia"/>
                <w:b w:val="0"/>
              </w:rPr>
              <w:t>0.28</w:t>
            </w:r>
          </w:p>
        </w:tc>
        <w:tc>
          <w:tcPr>
            <w:tcW w:w="596" w:type="dxa"/>
            <w:tcBorders>
              <w:bottom w:val="nil"/>
            </w:tcBorders>
            <w:vAlign w:val="center"/>
          </w:tcPr>
          <w:p w14:paraId="2E0FB23D">
            <w:pPr>
              <w:pStyle w:val="20"/>
              <w:spacing w:beforeLines="0" w:afterLines="0" w:line="312" w:lineRule="auto"/>
              <w:rPr>
                <w:b w:val="0"/>
              </w:rPr>
            </w:pPr>
            <w:r>
              <w:rPr>
                <w:rFonts w:hint="eastAsia"/>
                <w:b w:val="0"/>
              </w:rPr>
              <w:t>1.15</w:t>
            </w:r>
          </w:p>
        </w:tc>
        <w:tc>
          <w:tcPr>
            <w:tcW w:w="821" w:type="dxa"/>
            <w:tcBorders>
              <w:bottom w:val="nil"/>
            </w:tcBorders>
            <w:vAlign w:val="center"/>
          </w:tcPr>
          <w:p w14:paraId="2B35AB26">
            <w:pPr>
              <w:pStyle w:val="20"/>
              <w:spacing w:beforeLines="0" w:afterLines="0" w:line="312" w:lineRule="auto"/>
              <w:rPr>
                <w:b w:val="0"/>
              </w:rPr>
            </w:pPr>
            <w:r>
              <w:rPr>
                <w:rFonts w:hint="eastAsia"/>
                <w:b w:val="0"/>
              </w:rPr>
              <w:t>0.013</w:t>
            </w:r>
          </w:p>
        </w:tc>
        <w:tc>
          <w:tcPr>
            <w:tcW w:w="709" w:type="dxa"/>
            <w:tcBorders>
              <w:bottom w:val="nil"/>
            </w:tcBorders>
            <w:vAlign w:val="center"/>
          </w:tcPr>
          <w:p w14:paraId="44F3943D">
            <w:pPr>
              <w:pStyle w:val="20"/>
              <w:spacing w:beforeLines="0" w:afterLines="0" w:line="312" w:lineRule="auto"/>
              <w:rPr>
                <w:b w:val="0"/>
              </w:rPr>
            </w:pPr>
            <w:r>
              <w:rPr>
                <w:rFonts w:hint="eastAsia"/>
                <w:b w:val="0"/>
              </w:rPr>
              <w:t>0.010</w:t>
            </w:r>
          </w:p>
        </w:tc>
        <w:tc>
          <w:tcPr>
            <w:tcW w:w="709" w:type="dxa"/>
            <w:tcBorders>
              <w:bottom w:val="nil"/>
            </w:tcBorders>
            <w:vAlign w:val="center"/>
          </w:tcPr>
          <w:p w14:paraId="4F8AD448">
            <w:pPr>
              <w:pStyle w:val="20"/>
              <w:spacing w:beforeLines="0" w:afterLines="0" w:line="312" w:lineRule="auto"/>
              <w:rPr>
                <w:b w:val="0"/>
              </w:rPr>
            </w:pPr>
            <w:r>
              <w:rPr>
                <w:rFonts w:hint="eastAsia"/>
                <w:b w:val="0"/>
              </w:rPr>
              <w:t>0.075</w:t>
            </w:r>
          </w:p>
        </w:tc>
        <w:tc>
          <w:tcPr>
            <w:tcW w:w="708" w:type="dxa"/>
            <w:tcBorders>
              <w:bottom w:val="nil"/>
            </w:tcBorders>
            <w:vAlign w:val="center"/>
          </w:tcPr>
          <w:p w14:paraId="1BFEAC1E">
            <w:pPr>
              <w:pStyle w:val="20"/>
              <w:spacing w:beforeLines="0" w:afterLines="0" w:line="312" w:lineRule="auto"/>
              <w:rPr>
                <w:b w:val="0"/>
              </w:rPr>
            </w:pPr>
            <w:r>
              <w:rPr>
                <w:rFonts w:hint="eastAsia"/>
                <w:b w:val="0"/>
              </w:rPr>
              <w:t>0.045</w:t>
            </w:r>
          </w:p>
        </w:tc>
        <w:tc>
          <w:tcPr>
            <w:tcW w:w="709" w:type="dxa"/>
            <w:tcBorders>
              <w:bottom w:val="nil"/>
            </w:tcBorders>
            <w:vAlign w:val="center"/>
          </w:tcPr>
          <w:p w14:paraId="141DCC33">
            <w:pPr>
              <w:pStyle w:val="20"/>
              <w:spacing w:beforeLines="0" w:afterLines="0" w:line="312" w:lineRule="auto"/>
              <w:rPr>
                <w:b w:val="0"/>
              </w:rPr>
            </w:pPr>
            <w:r>
              <w:rPr>
                <w:rFonts w:hint="eastAsia"/>
                <w:b w:val="0"/>
              </w:rPr>
              <w:t>0.17</w:t>
            </w:r>
          </w:p>
        </w:tc>
        <w:tc>
          <w:tcPr>
            <w:tcW w:w="567" w:type="dxa"/>
            <w:tcBorders>
              <w:bottom w:val="nil"/>
            </w:tcBorders>
            <w:vAlign w:val="center"/>
          </w:tcPr>
          <w:p w14:paraId="562F7713">
            <w:pPr>
              <w:pStyle w:val="20"/>
              <w:spacing w:beforeLines="0" w:afterLines="0" w:line="312" w:lineRule="auto"/>
              <w:rPr>
                <w:b w:val="0"/>
              </w:rPr>
            </w:pPr>
            <w:r>
              <w:rPr>
                <w:rFonts w:hint="eastAsia"/>
                <w:b w:val="0"/>
              </w:rPr>
              <w:t>0.008</w:t>
            </w:r>
          </w:p>
        </w:tc>
        <w:tc>
          <w:tcPr>
            <w:tcW w:w="709" w:type="dxa"/>
            <w:tcBorders>
              <w:bottom w:val="nil"/>
            </w:tcBorders>
            <w:vAlign w:val="center"/>
          </w:tcPr>
          <w:p w14:paraId="75F7F6BB">
            <w:pPr>
              <w:pStyle w:val="20"/>
              <w:spacing w:beforeLines="0" w:afterLines="0" w:line="312" w:lineRule="auto"/>
              <w:rPr>
                <w:b w:val="0"/>
              </w:rPr>
            </w:pPr>
            <w:r>
              <w:rPr>
                <w:rFonts w:hint="eastAsia"/>
                <w:b w:val="0"/>
              </w:rPr>
              <w:t>0.012</w:t>
            </w:r>
          </w:p>
        </w:tc>
        <w:tc>
          <w:tcPr>
            <w:tcW w:w="709" w:type="dxa"/>
            <w:tcBorders>
              <w:bottom w:val="nil"/>
            </w:tcBorders>
            <w:vAlign w:val="center"/>
          </w:tcPr>
          <w:p w14:paraId="44C1542D">
            <w:pPr>
              <w:pStyle w:val="20"/>
              <w:spacing w:beforeLines="0" w:afterLines="0" w:line="312" w:lineRule="auto"/>
              <w:rPr>
                <w:b w:val="0"/>
              </w:rPr>
            </w:pPr>
            <w:r>
              <w:rPr>
                <w:rFonts w:hint="eastAsia"/>
                <w:b w:val="0"/>
              </w:rPr>
              <w:t>0.008</w:t>
            </w:r>
          </w:p>
        </w:tc>
      </w:tr>
      <w:tr w14:paraId="6AAC00D6">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076" w:type="dxa"/>
            <w:tcBorders>
              <w:top w:val="nil"/>
              <w:bottom w:val="nil"/>
            </w:tcBorders>
            <w:vAlign w:val="center"/>
          </w:tcPr>
          <w:p w14:paraId="3D26A863">
            <w:pPr>
              <w:pStyle w:val="20"/>
              <w:spacing w:beforeLines="0" w:afterLines="0" w:line="312" w:lineRule="auto"/>
              <w:rPr>
                <w:b w:val="0"/>
                <w:bCs/>
              </w:rPr>
            </w:pPr>
            <w:r>
              <w:rPr>
                <w:rFonts w:hint="eastAsia"/>
                <w:b w:val="0"/>
                <w:bCs/>
              </w:rPr>
              <w:t>SY</w:t>
            </w:r>
          </w:p>
        </w:tc>
        <w:tc>
          <w:tcPr>
            <w:tcW w:w="492" w:type="dxa"/>
            <w:vMerge w:val="restart"/>
            <w:tcBorders>
              <w:top w:val="nil"/>
              <w:bottom w:val="nil"/>
            </w:tcBorders>
            <w:vAlign w:val="center"/>
          </w:tcPr>
          <w:p w14:paraId="0F16A0E1">
            <w:pPr>
              <w:pStyle w:val="20"/>
              <w:spacing w:beforeLines="0" w:afterLines="0" w:line="312" w:lineRule="auto"/>
              <w:rPr>
                <w:b w:val="0"/>
              </w:rPr>
            </w:pPr>
            <w:r>
              <w:rPr>
                <w:rFonts w:hint="eastAsia"/>
                <w:b w:val="0"/>
              </w:rPr>
              <w:t>—</w:t>
            </w:r>
          </w:p>
        </w:tc>
        <w:tc>
          <w:tcPr>
            <w:tcW w:w="667" w:type="dxa"/>
            <w:vMerge w:val="restart"/>
            <w:tcBorders>
              <w:top w:val="nil"/>
              <w:bottom w:val="nil"/>
            </w:tcBorders>
            <w:vAlign w:val="center"/>
          </w:tcPr>
          <w:p w14:paraId="72269314">
            <w:pPr>
              <w:pStyle w:val="20"/>
              <w:spacing w:beforeLines="0" w:afterLines="0" w:line="312" w:lineRule="auto"/>
              <w:rPr>
                <w:b w:val="0"/>
              </w:rPr>
            </w:pPr>
            <w:r>
              <w:rPr>
                <w:rFonts w:hint="eastAsia"/>
                <w:b w:val="0"/>
              </w:rPr>
              <w:t>—</w:t>
            </w:r>
          </w:p>
        </w:tc>
        <w:tc>
          <w:tcPr>
            <w:tcW w:w="596" w:type="dxa"/>
            <w:vMerge w:val="restart"/>
            <w:tcBorders>
              <w:top w:val="nil"/>
              <w:bottom w:val="nil"/>
            </w:tcBorders>
            <w:vAlign w:val="center"/>
          </w:tcPr>
          <w:p w14:paraId="4CE56113">
            <w:pPr>
              <w:pStyle w:val="20"/>
              <w:spacing w:beforeLines="0" w:afterLines="0" w:line="312" w:lineRule="auto"/>
              <w:rPr>
                <w:b w:val="0"/>
              </w:rPr>
            </w:pPr>
            <w:r>
              <w:rPr>
                <w:rFonts w:hint="eastAsia"/>
                <w:b w:val="0"/>
              </w:rPr>
              <w:t>—</w:t>
            </w:r>
          </w:p>
        </w:tc>
        <w:tc>
          <w:tcPr>
            <w:tcW w:w="821" w:type="dxa"/>
            <w:vMerge w:val="restart"/>
            <w:tcBorders>
              <w:top w:val="nil"/>
              <w:bottom w:val="nil"/>
            </w:tcBorders>
            <w:vAlign w:val="center"/>
          </w:tcPr>
          <w:p w14:paraId="16C9E4A8">
            <w:pPr>
              <w:pStyle w:val="20"/>
              <w:spacing w:beforeLines="0" w:afterLines="0" w:line="312" w:lineRule="auto"/>
              <w:rPr>
                <w:b w:val="0"/>
              </w:rPr>
            </w:pPr>
            <w:r>
              <w:rPr>
                <w:sz w:val="28"/>
                <w:szCs w:val="28"/>
              </w:rPr>
              <w:t>≤</w:t>
            </w:r>
            <w:r>
              <w:rPr>
                <w:rFonts w:hint="eastAsia"/>
                <w:b w:val="0"/>
              </w:rPr>
              <w:t>0.030</w:t>
            </w:r>
          </w:p>
        </w:tc>
        <w:tc>
          <w:tcPr>
            <w:tcW w:w="709" w:type="dxa"/>
            <w:vMerge w:val="restart"/>
            <w:tcBorders>
              <w:top w:val="nil"/>
              <w:bottom w:val="nil"/>
            </w:tcBorders>
            <w:vAlign w:val="center"/>
          </w:tcPr>
          <w:p w14:paraId="5A55B0D6">
            <w:pPr>
              <w:pStyle w:val="20"/>
              <w:spacing w:beforeLines="0" w:afterLines="0" w:line="312" w:lineRule="auto"/>
              <w:rPr>
                <w:b w:val="0"/>
              </w:rPr>
            </w:pPr>
            <w:r>
              <w:rPr>
                <w:sz w:val="28"/>
                <w:szCs w:val="28"/>
              </w:rPr>
              <w:t>≤</w:t>
            </w:r>
            <w:r>
              <w:rPr>
                <w:rFonts w:hint="eastAsia"/>
                <w:b w:val="0"/>
              </w:rPr>
              <w:t>0.030</w:t>
            </w:r>
          </w:p>
        </w:tc>
        <w:tc>
          <w:tcPr>
            <w:tcW w:w="709" w:type="dxa"/>
            <w:vMerge w:val="restart"/>
            <w:tcBorders>
              <w:top w:val="nil"/>
              <w:bottom w:val="nil"/>
            </w:tcBorders>
            <w:vAlign w:val="center"/>
          </w:tcPr>
          <w:p w14:paraId="246DD73D">
            <w:pPr>
              <w:pStyle w:val="20"/>
              <w:spacing w:beforeLines="0" w:afterLines="0" w:line="312" w:lineRule="auto"/>
              <w:rPr>
                <w:b w:val="0"/>
              </w:rPr>
            </w:pPr>
            <w:r>
              <w:rPr>
                <w:rFonts w:hint="eastAsia"/>
                <w:b w:val="0"/>
              </w:rPr>
              <w:t>—</w:t>
            </w:r>
          </w:p>
        </w:tc>
        <w:tc>
          <w:tcPr>
            <w:tcW w:w="708" w:type="dxa"/>
            <w:vMerge w:val="restart"/>
            <w:tcBorders>
              <w:top w:val="nil"/>
              <w:bottom w:val="nil"/>
            </w:tcBorders>
            <w:vAlign w:val="center"/>
          </w:tcPr>
          <w:p w14:paraId="24E6FC4E">
            <w:pPr>
              <w:pStyle w:val="20"/>
              <w:spacing w:beforeLines="0" w:afterLines="0" w:line="312" w:lineRule="auto"/>
              <w:rPr>
                <w:b w:val="0"/>
              </w:rPr>
            </w:pPr>
            <w:r>
              <w:rPr>
                <w:rFonts w:hint="eastAsia"/>
                <w:b w:val="0"/>
              </w:rPr>
              <w:t>—</w:t>
            </w:r>
          </w:p>
        </w:tc>
        <w:tc>
          <w:tcPr>
            <w:tcW w:w="709" w:type="dxa"/>
            <w:vMerge w:val="restart"/>
            <w:tcBorders>
              <w:top w:val="nil"/>
              <w:bottom w:val="nil"/>
            </w:tcBorders>
            <w:vAlign w:val="center"/>
          </w:tcPr>
          <w:p w14:paraId="4C69F834">
            <w:pPr>
              <w:pStyle w:val="20"/>
              <w:spacing w:beforeLines="0" w:afterLines="0" w:line="312" w:lineRule="auto"/>
              <w:rPr>
                <w:b w:val="0"/>
              </w:rPr>
            </w:pPr>
            <w:r>
              <w:rPr>
                <w:rFonts w:hint="eastAsia"/>
                <w:b w:val="0"/>
              </w:rPr>
              <w:t>—</w:t>
            </w:r>
          </w:p>
        </w:tc>
        <w:tc>
          <w:tcPr>
            <w:tcW w:w="567" w:type="dxa"/>
            <w:vMerge w:val="restart"/>
            <w:tcBorders>
              <w:top w:val="nil"/>
              <w:bottom w:val="nil"/>
            </w:tcBorders>
            <w:vAlign w:val="center"/>
          </w:tcPr>
          <w:p w14:paraId="1863C1C1">
            <w:pPr>
              <w:pStyle w:val="20"/>
              <w:spacing w:beforeLines="0" w:afterLines="0" w:line="312" w:lineRule="auto"/>
              <w:rPr>
                <w:b w:val="0"/>
              </w:rPr>
            </w:pPr>
            <w:r>
              <w:rPr>
                <w:rFonts w:hint="eastAsia"/>
                <w:b w:val="0"/>
              </w:rPr>
              <w:t>—</w:t>
            </w:r>
          </w:p>
        </w:tc>
        <w:tc>
          <w:tcPr>
            <w:tcW w:w="709" w:type="dxa"/>
            <w:vMerge w:val="restart"/>
            <w:tcBorders>
              <w:top w:val="nil"/>
              <w:bottom w:val="nil"/>
            </w:tcBorders>
            <w:vAlign w:val="center"/>
          </w:tcPr>
          <w:p w14:paraId="460CBAF1">
            <w:pPr>
              <w:pStyle w:val="20"/>
              <w:spacing w:beforeLines="0" w:afterLines="0" w:line="312" w:lineRule="auto"/>
              <w:rPr>
                <w:b w:val="0"/>
              </w:rPr>
            </w:pPr>
            <w:r>
              <w:rPr>
                <w:rFonts w:hint="eastAsia"/>
                <w:b w:val="0"/>
              </w:rPr>
              <w:t>—</w:t>
            </w:r>
          </w:p>
        </w:tc>
        <w:tc>
          <w:tcPr>
            <w:tcW w:w="709" w:type="dxa"/>
            <w:vMerge w:val="restart"/>
            <w:tcBorders>
              <w:top w:val="nil"/>
              <w:bottom w:val="nil"/>
            </w:tcBorders>
            <w:vAlign w:val="center"/>
          </w:tcPr>
          <w:p w14:paraId="716C815F">
            <w:pPr>
              <w:pStyle w:val="20"/>
              <w:spacing w:beforeLines="0" w:afterLines="0" w:line="312" w:lineRule="auto"/>
              <w:rPr>
                <w:b w:val="0"/>
              </w:rPr>
            </w:pPr>
            <w:r>
              <w:rPr>
                <w:rFonts w:hint="eastAsia"/>
                <w:b w:val="0"/>
              </w:rPr>
              <w:t>—</w:t>
            </w:r>
          </w:p>
        </w:tc>
      </w:tr>
      <w:tr w14:paraId="6AB83A8A">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076" w:type="dxa"/>
            <w:tcBorders>
              <w:top w:val="nil"/>
              <w:bottom w:val="nil"/>
            </w:tcBorders>
            <w:vAlign w:val="center"/>
          </w:tcPr>
          <w:p w14:paraId="63A8FE29">
            <w:pPr>
              <w:pStyle w:val="20"/>
              <w:spacing w:beforeLines="0" w:afterLines="0" w:line="312" w:lineRule="auto"/>
              <w:rPr>
                <w:b w:val="0"/>
                <w:bCs/>
              </w:rPr>
            </w:pPr>
            <w:r>
              <w:rPr>
                <w:rFonts w:hint="eastAsia"/>
                <w:b w:val="0"/>
                <w:bCs/>
              </w:rPr>
              <w:t>N80 Steel</w:t>
            </w:r>
          </w:p>
        </w:tc>
        <w:tc>
          <w:tcPr>
            <w:tcW w:w="492" w:type="dxa"/>
            <w:vMerge w:val="continue"/>
            <w:tcBorders>
              <w:top w:val="nil"/>
              <w:bottom w:val="nil"/>
            </w:tcBorders>
            <w:vAlign w:val="center"/>
          </w:tcPr>
          <w:p w14:paraId="652B64BA">
            <w:pPr>
              <w:pStyle w:val="20"/>
              <w:spacing w:beforeLines="0" w:afterLines="0" w:line="312" w:lineRule="auto"/>
              <w:rPr>
                <w:b w:val="0"/>
              </w:rPr>
            </w:pPr>
          </w:p>
        </w:tc>
        <w:tc>
          <w:tcPr>
            <w:tcW w:w="667" w:type="dxa"/>
            <w:vMerge w:val="continue"/>
            <w:tcBorders>
              <w:top w:val="nil"/>
              <w:bottom w:val="nil"/>
            </w:tcBorders>
            <w:vAlign w:val="center"/>
          </w:tcPr>
          <w:p w14:paraId="4CC41ABF">
            <w:pPr>
              <w:pStyle w:val="20"/>
              <w:spacing w:beforeLines="0" w:afterLines="0" w:line="312" w:lineRule="auto"/>
              <w:rPr>
                <w:b w:val="0"/>
              </w:rPr>
            </w:pPr>
          </w:p>
        </w:tc>
        <w:tc>
          <w:tcPr>
            <w:tcW w:w="596" w:type="dxa"/>
            <w:vMerge w:val="continue"/>
            <w:tcBorders>
              <w:top w:val="nil"/>
              <w:bottom w:val="nil"/>
            </w:tcBorders>
            <w:vAlign w:val="center"/>
          </w:tcPr>
          <w:p w14:paraId="1A42EFCD">
            <w:pPr>
              <w:pStyle w:val="20"/>
              <w:spacing w:beforeLines="0" w:afterLines="0" w:line="312" w:lineRule="auto"/>
              <w:rPr>
                <w:b w:val="0"/>
              </w:rPr>
            </w:pPr>
          </w:p>
        </w:tc>
        <w:tc>
          <w:tcPr>
            <w:tcW w:w="821" w:type="dxa"/>
            <w:vMerge w:val="continue"/>
            <w:tcBorders>
              <w:top w:val="nil"/>
              <w:bottom w:val="nil"/>
            </w:tcBorders>
            <w:vAlign w:val="center"/>
          </w:tcPr>
          <w:p w14:paraId="14F639DB">
            <w:pPr>
              <w:pStyle w:val="20"/>
              <w:spacing w:beforeLines="0" w:afterLines="0" w:line="312" w:lineRule="auto"/>
              <w:rPr>
                <w:b w:val="0"/>
              </w:rPr>
            </w:pPr>
          </w:p>
        </w:tc>
        <w:tc>
          <w:tcPr>
            <w:tcW w:w="709" w:type="dxa"/>
            <w:vMerge w:val="continue"/>
            <w:tcBorders>
              <w:top w:val="nil"/>
              <w:bottom w:val="nil"/>
            </w:tcBorders>
            <w:vAlign w:val="center"/>
          </w:tcPr>
          <w:p w14:paraId="45164ABE">
            <w:pPr>
              <w:pStyle w:val="20"/>
              <w:spacing w:beforeLines="0" w:afterLines="0" w:line="312" w:lineRule="auto"/>
              <w:rPr>
                <w:b w:val="0"/>
              </w:rPr>
            </w:pPr>
          </w:p>
        </w:tc>
        <w:tc>
          <w:tcPr>
            <w:tcW w:w="709" w:type="dxa"/>
            <w:vMerge w:val="continue"/>
            <w:tcBorders>
              <w:top w:val="nil"/>
              <w:bottom w:val="nil"/>
            </w:tcBorders>
            <w:vAlign w:val="center"/>
          </w:tcPr>
          <w:p w14:paraId="033E401B">
            <w:pPr>
              <w:pStyle w:val="20"/>
              <w:spacing w:beforeLines="0" w:afterLines="0" w:line="312" w:lineRule="auto"/>
              <w:rPr>
                <w:b w:val="0"/>
              </w:rPr>
            </w:pPr>
          </w:p>
        </w:tc>
        <w:tc>
          <w:tcPr>
            <w:tcW w:w="708" w:type="dxa"/>
            <w:vMerge w:val="continue"/>
            <w:tcBorders>
              <w:top w:val="nil"/>
              <w:bottom w:val="nil"/>
            </w:tcBorders>
            <w:vAlign w:val="center"/>
          </w:tcPr>
          <w:p w14:paraId="062E0090">
            <w:pPr>
              <w:pStyle w:val="20"/>
              <w:spacing w:beforeLines="0" w:afterLines="0" w:line="312" w:lineRule="auto"/>
              <w:rPr>
                <w:b w:val="0"/>
              </w:rPr>
            </w:pPr>
          </w:p>
        </w:tc>
        <w:tc>
          <w:tcPr>
            <w:tcW w:w="709" w:type="dxa"/>
            <w:vMerge w:val="continue"/>
            <w:tcBorders>
              <w:top w:val="nil"/>
              <w:bottom w:val="nil"/>
            </w:tcBorders>
            <w:vAlign w:val="center"/>
          </w:tcPr>
          <w:p w14:paraId="2DD842FF">
            <w:pPr>
              <w:pStyle w:val="20"/>
              <w:spacing w:beforeLines="0" w:afterLines="0" w:line="312" w:lineRule="auto"/>
              <w:rPr>
                <w:b w:val="0"/>
              </w:rPr>
            </w:pPr>
          </w:p>
        </w:tc>
        <w:tc>
          <w:tcPr>
            <w:tcW w:w="567" w:type="dxa"/>
            <w:vMerge w:val="continue"/>
            <w:tcBorders>
              <w:top w:val="nil"/>
              <w:bottom w:val="nil"/>
            </w:tcBorders>
            <w:vAlign w:val="center"/>
          </w:tcPr>
          <w:p w14:paraId="5C8F0153">
            <w:pPr>
              <w:pStyle w:val="20"/>
              <w:spacing w:beforeLines="0" w:afterLines="0" w:line="312" w:lineRule="auto"/>
              <w:rPr>
                <w:b w:val="0"/>
              </w:rPr>
            </w:pPr>
          </w:p>
        </w:tc>
        <w:tc>
          <w:tcPr>
            <w:tcW w:w="709" w:type="dxa"/>
            <w:vMerge w:val="continue"/>
            <w:tcBorders>
              <w:top w:val="nil"/>
              <w:bottom w:val="nil"/>
            </w:tcBorders>
            <w:vAlign w:val="center"/>
          </w:tcPr>
          <w:p w14:paraId="7532AFCB">
            <w:pPr>
              <w:pStyle w:val="20"/>
              <w:spacing w:beforeLines="0" w:afterLines="0" w:line="312" w:lineRule="auto"/>
              <w:rPr>
                <w:b w:val="0"/>
              </w:rPr>
            </w:pPr>
          </w:p>
        </w:tc>
        <w:tc>
          <w:tcPr>
            <w:tcW w:w="709" w:type="dxa"/>
            <w:vMerge w:val="continue"/>
            <w:tcBorders>
              <w:top w:val="nil"/>
              <w:bottom w:val="nil"/>
            </w:tcBorders>
            <w:vAlign w:val="center"/>
          </w:tcPr>
          <w:p w14:paraId="348EF0CA">
            <w:pPr>
              <w:pStyle w:val="20"/>
              <w:spacing w:beforeLines="0" w:afterLines="0" w:line="312" w:lineRule="auto"/>
              <w:rPr>
                <w:b w:val="0"/>
              </w:rPr>
            </w:pPr>
          </w:p>
        </w:tc>
      </w:tr>
      <w:tr w14:paraId="73144EF3">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076" w:type="dxa"/>
            <w:tcBorders>
              <w:top w:val="nil"/>
              <w:bottom w:val="nil"/>
            </w:tcBorders>
            <w:vAlign w:val="center"/>
          </w:tcPr>
          <w:p w14:paraId="38AAB313">
            <w:pPr>
              <w:pStyle w:val="20"/>
              <w:spacing w:beforeLines="0" w:afterLines="0" w:line="312" w:lineRule="auto"/>
              <w:rPr>
                <w:b w:val="0"/>
              </w:rPr>
            </w:pPr>
            <w:r>
              <w:rPr>
                <w:rFonts w:hint="eastAsia"/>
                <w:b w:val="0"/>
              </w:rPr>
              <w:t>GB</w:t>
            </w:r>
          </w:p>
        </w:tc>
        <w:tc>
          <w:tcPr>
            <w:tcW w:w="492" w:type="dxa"/>
            <w:vMerge w:val="restart"/>
            <w:tcBorders>
              <w:top w:val="nil"/>
            </w:tcBorders>
            <w:vAlign w:val="center"/>
          </w:tcPr>
          <w:p w14:paraId="07A4ABCF">
            <w:pPr>
              <w:pStyle w:val="20"/>
              <w:spacing w:beforeLines="0" w:afterLines="0" w:line="312" w:lineRule="auto"/>
              <w:rPr>
                <w:b w:val="0"/>
              </w:rPr>
            </w:pPr>
            <w:r>
              <w:rPr>
                <w:rFonts w:hint="eastAsia"/>
                <w:b w:val="0"/>
              </w:rPr>
              <w:t>0.19~</w:t>
            </w:r>
          </w:p>
          <w:p w14:paraId="535FD7C0">
            <w:pPr>
              <w:pStyle w:val="20"/>
              <w:spacing w:beforeLines="0" w:afterLines="0" w:line="312" w:lineRule="auto"/>
              <w:rPr>
                <w:b w:val="0"/>
              </w:rPr>
            </w:pPr>
            <w:r>
              <w:rPr>
                <w:rFonts w:hint="eastAsia"/>
                <w:b w:val="0"/>
              </w:rPr>
              <w:t>0.27</w:t>
            </w:r>
          </w:p>
        </w:tc>
        <w:tc>
          <w:tcPr>
            <w:tcW w:w="667" w:type="dxa"/>
            <w:vMerge w:val="restart"/>
            <w:tcBorders>
              <w:top w:val="nil"/>
            </w:tcBorders>
            <w:vAlign w:val="center"/>
          </w:tcPr>
          <w:p w14:paraId="1EE4B964">
            <w:pPr>
              <w:pStyle w:val="20"/>
              <w:spacing w:beforeLines="0" w:afterLines="0" w:line="312" w:lineRule="auto"/>
              <w:rPr>
                <w:b w:val="0"/>
              </w:rPr>
            </w:pPr>
            <w:r>
              <w:rPr>
                <w:rFonts w:hint="eastAsia"/>
                <w:b w:val="0"/>
              </w:rPr>
              <w:t>0.17</w:t>
            </w:r>
          </w:p>
          <w:p w14:paraId="47A90699">
            <w:pPr>
              <w:pStyle w:val="20"/>
              <w:spacing w:beforeLines="0" w:afterLines="0" w:line="312" w:lineRule="auto"/>
              <w:rPr>
                <w:b w:val="0"/>
              </w:rPr>
            </w:pPr>
            <w:r>
              <w:rPr>
                <w:rFonts w:hint="eastAsia"/>
                <w:b w:val="0"/>
              </w:rPr>
              <w:t>~</w:t>
            </w:r>
          </w:p>
          <w:p w14:paraId="3A6EEA2F">
            <w:pPr>
              <w:pStyle w:val="20"/>
              <w:spacing w:beforeLines="0" w:afterLines="0" w:line="312" w:lineRule="auto"/>
              <w:rPr>
                <w:b w:val="0"/>
              </w:rPr>
            </w:pPr>
            <w:r>
              <w:rPr>
                <w:rFonts w:hint="eastAsia"/>
                <w:b w:val="0"/>
              </w:rPr>
              <w:t>0.37</w:t>
            </w:r>
          </w:p>
        </w:tc>
        <w:tc>
          <w:tcPr>
            <w:tcW w:w="596" w:type="dxa"/>
            <w:vMerge w:val="restart"/>
            <w:tcBorders>
              <w:top w:val="nil"/>
            </w:tcBorders>
            <w:vAlign w:val="center"/>
          </w:tcPr>
          <w:p w14:paraId="4C1AD54E">
            <w:pPr>
              <w:pStyle w:val="20"/>
              <w:spacing w:beforeLines="0" w:afterLines="0" w:line="312" w:lineRule="auto"/>
              <w:rPr>
                <w:b w:val="0"/>
              </w:rPr>
            </w:pPr>
            <w:r>
              <w:rPr>
                <w:rFonts w:hint="eastAsia"/>
                <w:b w:val="0"/>
              </w:rPr>
              <w:t>0.17</w:t>
            </w:r>
          </w:p>
          <w:p w14:paraId="3C75EF12">
            <w:pPr>
              <w:pStyle w:val="20"/>
              <w:spacing w:beforeLines="0" w:afterLines="0" w:line="312" w:lineRule="auto"/>
              <w:rPr>
                <w:b w:val="0"/>
              </w:rPr>
            </w:pPr>
            <w:r>
              <w:rPr>
                <w:rFonts w:hint="eastAsia"/>
                <w:b w:val="0"/>
              </w:rPr>
              <w:t>~</w:t>
            </w:r>
          </w:p>
          <w:p w14:paraId="1361684C">
            <w:pPr>
              <w:pStyle w:val="20"/>
              <w:spacing w:beforeLines="0" w:afterLines="0" w:line="312" w:lineRule="auto"/>
              <w:rPr>
                <w:b w:val="0"/>
              </w:rPr>
            </w:pPr>
            <w:r>
              <w:rPr>
                <w:rFonts w:hint="eastAsia"/>
                <w:b w:val="0"/>
              </w:rPr>
              <w:t>0.37</w:t>
            </w:r>
          </w:p>
        </w:tc>
        <w:tc>
          <w:tcPr>
            <w:tcW w:w="821" w:type="dxa"/>
            <w:vMerge w:val="restart"/>
            <w:tcBorders>
              <w:top w:val="nil"/>
            </w:tcBorders>
            <w:vAlign w:val="center"/>
          </w:tcPr>
          <w:p w14:paraId="1AEAEE86">
            <w:pPr>
              <w:pStyle w:val="20"/>
              <w:spacing w:beforeLines="0" w:afterLines="0" w:line="312" w:lineRule="auto"/>
              <w:rPr>
                <w:b w:val="0"/>
              </w:rPr>
            </w:pPr>
            <w:r>
              <w:rPr>
                <w:sz w:val="28"/>
                <w:szCs w:val="28"/>
              </w:rPr>
              <w:t>≤</w:t>
            </w:r>
            <w:r>
              <w:rPr>
                <w:rFonts w:hint="eastAsia"/>
                <w:b w:val="0"/>
              </w:rPr>
              <w:t>0.045</w:t>
            </w:r>
          </w:p>
        </w:tc>
        <w:tc>
          <w:tcPr>
            <w:tcW w:w="709" w:type="dxa"/>
            <w:vMerge w:val="restart"/>
            <w:tcBorders>
              <w:top w:val="nil"/>
            </w:tcBorders>
            <w:vAlign w:val="center"/>
          </w:tcPr>
          <w:p w14:paraId="41CD4606">
            <w:pPr>
              <w:pStyle w:val="20"/>
              <w:spacing w:beforeLines="0" w:afterLines="0" w:line="312" w:lineRule="auto"/>
              <w:rPr>
                <w:b w:val="0"/>
              </w:rPr>
            </w:pPr>
            <w:r>
              <w:rPr>
                <w:sz w:val="28"/>
                <w:szCs w:val="28"/>
              </w:rPr>
              <w:t>≤</w:t>
            </w:r>
            <w:r>
              <w:rPr>
                <w:rFonts w:hint="eastAsia"/>
                <w:b w:val="0"/>
              </w:rPr>
              <w:t>0.045</w:t>
            </w:r>
          </w:p>
        </w:tc>
        <w:tc>
          <w:tcPr>
            <w:tcW w:w="709" w:type="dxa"/>
            <w:vMerge w:val="restart"/>
            <w:tcBorders>
              <w:top w:val="nil"/>
            </w:tcBorders>
            <w:vAlign w:val="center"/>
          </w:tcPr>
          <w:p w14:paraId="7B04289F">
            <w:pPr>
              <w:pStyle w:val="20"/>
              <w:spacing w:beforeLines="0" w:afterLines="0" w:line="312" w:lineRule="auto"/>
              <w:rPr>
                <w:b w:val="0"/>
              </w:rPr>
            </w:pPr>
            <w:r>
              <w:rPr>
                <w:sz w:val="28"/>
                <w:szCs w:val="28"/>
              </w:rPr>
              <w:t>≤</w:t>
            </w:r>
            <w:r>
              <w:rPr>
                <w:rFonts w:hint="eastAsia"/>
                <w:b w:val="0"/>
              </w:rPr>
              <w:t>0.03</w:t>
            </w:r>
          </w:p>
        </w:tc>
        <w:tc>
          <w:tcPr>
            <w:tcW w:w="708" w:type="dxa"/>
            <w:vMerge w:val="restart"/>
            <w:tcBorders>
              <w:top w:val="nil"/>
            </w:tcBorders>
            <w:vAlign w:val="center"/>
          </w:tcPr>
          <w:p w14:paraId="699750CC">
            <w:pPr>
              <w:pStyle w:val="20"/>
              <w:spacing w:beforeLines="0" w:afterLines="0" w:line="312" w:lineRule="auto"/>
              <w:jc w:val="both"/>
              <w:rPr>
                <w:b w:val="0"/>
              </w:rPr>
            </w:pPr>
            <w:r>
              <w:rPr>
                <w:sz w:val="28"/>
                <w:szCs w:val="28"/>
              </w:rPr>
              <w:t>≤</w:t>
            </w:r>
            <w:r>
              <w:rPr>
                <w:rFonts w:hint="eastAsia"/>
                <w:b w:val="0"/>
              </w:rPr>
              <w:t>0.03</w:t>
            </w:r>
          </w:p>
        </w:tc>
        <w:tc>
          <w:tcPr>
            <w:tcW w:w="709" w:type="dxa"/>
            <w:vMerge w:val="restart"/>
            <w:tcBorders>
              <w:top w:val="nil"/>
            </w:tcBorders>
            <w:vAlign w:val="center"/>
          </w:tcPr>
          <w:p w14:paraId="6D0397D2">
            <w:pPr>
              <w:pStyle w:val="20"/>
              <w:spacing w:beforeLines="0" w:afterLines="0" w:line="312" w:lineRule="auto"/>
              <w:rPr>
                <w:b w:val="0"/>
              </w:rPr>
            </w:pPr>
            <w:r>
              <w:rPr>
                <w:sz w:val="28"/>
                <w:szCs w:val="28"/>
              </w:rPr>
              <w:t>≤</w:t>
            </w:r>
            <w:r>
              <w:rPr>
                <w:rFonts w:hint="eastAsia"/>
                <w:b w:val="0"/>
              </w:rPr>
              <w:t>0.03</w:t>
            </w:r>
          </w:p>
        </w:tc>
        <w:tc>
          <w:tcPr>
            <w:tcW w:w="567" w:type="dxa"/>
            <w:vMerge w:val="restart"/>
            <w:tcBorders>
              <w:top w:val="nil"/>
            </w:tcBorders>
            <w:vAlign w:val="center"/>
          </w:tcPr>
          <w:p w14:paraId="3DE43AD7">
            <w:pPr>
              <w:pStyle w:val="20"/>
              <w:spacing w:beforeLines="0" w:afterLines="0" w:line="312" w:lineRule="auto"/>
              <w:rPr>
                <w:b w:val="0"/>
              </w:rPr>
            </w:pPr>
            <w:r>
              <w:rPr>
                <w:rFonts w:hint="eastAsia"/>
                <w:b w:val="0"/>
              </w:rPr>
              <w:t>—</w:t>
            </w:r>
          </w:p>
        </w:tc>
        <w:tc>
          <w:tcPr>
            <w:tcW w:w="709" w:type="dxa"/>
            <w:vMerge w:val="restart"/>
            <w:tcBorders>
              <w:top w:val="nil"/>
            </w:tcBorders>
            <w:vAlign w:val="center"/>
          </w:tcPr>
          <w:p w14:paraId="77B22524">
            <w:pPr>
              <w:pStyle w:val="20"/>
              <w:spacing w:beforeLines="0" w:afterLines="0" w:line="312" w:lineRule="auto"/>
              <w:rPr>
                <w:b w:val="0"/>
              </w:rPr>
            </w:pPr>
            <w:r>
              <w:rPr>
                <w:rFonts w:hint="eastAsia"/>
                <w:b w:val="0"/>
              </w:rPr>
              <w:t>0.01</w:t>
            </w:r>
          </w:p>
          <w:p w14:paraId="0847CA85">
            <w:pPr>
              <w:pStyle w:val="20"/>
              <w:spacing w:beforeLines="0" w:afterLines="0" w:line="312" w:lineRule="auto"/>
              <w:rPr>
                <w:b w:val="0"/>
              </w:rPr>
            </w:pPr>
            <w:r>
              <w:rPr>
                <w:rFonts w:hint="eastAsia"/>
                <w:b w:val="0"/>
              </w:rPr>
              <w:t>~</w:t>
            </w:r>
          </w:p>
          <w:p w14:paraId="45310E48">
            <w:pPr>
              <w:pStyle w:val="20"/>
              <w:spacing w:beforeLines="0" w:afterLines="0" w:line="312" w:lineRule="auto"/>
              <w:rPr>
                <w:b w:val="0"/>
              </w:rPr>
            </w:pPr>
            <w:r>
              <w:rPr>
                <w:rFonts w:hint="eastAsia"/>
                <w:b w:val="0"/>
              </w:rPr>
              <w:t>0.05</w:t>
            </w:r>
          </w:p>
        </w:tc>
        <w:tc>
          <w:tcPr>
            <w:tcW w:w="709" w:type="dxa"/>
            <w:vMerge w:val="restart"/>
            <w:tcBorders>
              <w:top w:val="nil"/>
            </w:tcBorders>
            <w:vAlign w:val="center"/>
          </w:tcPr>
          <w:p w14:paraId="05FDC251">
            <w:pPr>
              <w:pStyle w:val="20"/>
              <w:spacing w:beforeLines="0" w:afterLines="0" w:line="312" w:lineRule="auto"/>
              <w:rPr>
                <w:b w:val="0"/>
              </w:rPr>
            </w:pPr>
            <w:r>
              <w:rPr>
                <w:rFonts w:hint="eastAsia"/>
                <w:b w:val="0"/>
              </w:rPr>
              <w:t>—</w:t>
            </w:r>
          </w:p>
        </w:tc>
      </w:tr>
      <w:tr w14:paraId="6A170F99">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076" w:type="dxa"/>
            <w:tcBorders>
              <w:top w:val="nil"/>
            </w:tcBorders>
            <w:vAlign w:val="center"/>
          </w:tcPr>
          <w:p w14:paraId="6D25C2F3">
            <w:pPr>
              <w:pStyle w:val="20"/>
              <w:spacing w:beforeLines="0" w:afterLines="0" w:line="312" w:lineRule="auto"/>
              <w:rPr>
                <w:b w:val="0"/>
              </w:rPr>
            </w:pPr>
            <w:r>
              <w:rPr>
                <w:rFonts w:hint="eastAsia"/>
                <w:b w:val="0"/>
              </w:rPr>
              <w:t xml:space="preserve">24MnTi </w:t>
            </w:r>
            <w:r>
              <w:rPr>
                <w:b w:val="0"/>
              </w:rPr>
              <w:t>Steel</w:t>
            </w:r>
          </w:p>
        </w:tc>
        <w:tc>
          <w:tcPr>
            <w:tcW w:w="492" w:type="dxa"/>
            <w:vMerge w:val="continue"/>
            <w:vAlign w:val="center"/>
          </w:tcPr>
          <w:p w14:paraId="5CB4DC16">
            <w:pPr>
              <w:pStyle w:val="20"/>
              <w:spacing w:beforeLines="0" w:afterLines="0" w:line="312" w:lineRule="auto"/>
              <w:rPr>
                <w:b w:val="0"/>
              </w:rPr>
            </w:pPr>
          </w:p>
        </w:tc>
        <w:tc>
          <w:tcPr>
            <w:tcW w:w="667" w:type="dxa"/>
            <w:vMerge w:val="continue"/>
            <w:vAlign w:val="center"/>
          </w:tcPr>
          <w:p w14:paraId="216C22EB">
            <w:pPr>
              <w:pStyle w:val="20"/>
              <w:spacing w:beforeLines="0" w:afterLines="0" w:line="312" w:lineRule="auto"/>
              <w:rPr>
                <w:b w:val="0"/>
              </w:rPr>
            </w:pPr>
          </w:p>
        </w:tc>
        <w:tc>
          <w:tcPr>
            <w:tcW w:w="596" w:type="dxa"/>
            <w:vMerge w:val="continue"/>
            <w:vAlign w:val="center"/>
          </w:tcPr>
          <w:p w14:paraId="4C844C90">
            <w:pPr>
              <w:pStyle w:val="20"/>
              <w:spacing w:beforeLines="0" w:afterLines="0" w:line="312" w:lineRule="auto"/>
              <w:rPr>
                <w:b w:val="0"/>
              </w:rPr>
            </w:pPr>
          </w:p>
        </w:tc>
        <w:tc>
          <w:tcPr>
            <w:tcW w:w="821" w:type="dxa"/>
            <w:vMerge w:val="continue"/>
            <w:vAlign w:val="center"/>
          </w:tcPr>
          <w:p w14:paraId="0A7A1D30">
            <w:pPr>
              <w:pStyle w:val="20"/>
              <w:spacing w:beforeLines="0" w:afterLines="0" w:line="312" w:lineRule="auto"/>
              <w:rPr>
                <w:b w:val="0"/>
              </w:rPr>
            </w:pPr>
          </w:p>
        </w:tc>
        <w:tc>
          <w:tcPr>
            <w:tcW w:w="709" w:type="dxa"/>
            <w:vMerge w:val="continue"/>
            <w:vAlign w:val="center"/>
          </w:tcPr>
          <w:p w14:paraId="09BE6AFF">
            <w:pPr>
              <w:pStyle w:val="20"/>
              <w:spacing w:beforeLines="0" w:afterLines="0" w:line="312" w:lineRule="auto"/>
              <w:rPr>
                <w:b w:val="0"/>
              </w:rPr>
            </w:pPr>
          </w:p>
        </w:tc>
        <w:tc>
          <w:tcPr>
            <w:tcW w:w="709" w:type="dxa"/>
            <w:vMerge w:val="continue"/>
            <w:vAlign w:val="center"/>
          </w:tcPr>
          <w:p w14:paraId="691B60B9">
            <w:pPr>
              <w:pStyle w:val="20"/>
              <w:spacing w:beforeLines="0" w:afterLines="0" w:line="312" w:lineRule="auto"/>
              <w:rPr>
                <w:b w:val="0"/>
              </w:rPr>
            </w:pPr>
          </w:p>
        </w:tc>
        <w:tc>
          <w:tcPr>
            <w:tcW w:w="708" w:type="dxa"/>
            <w:vMerge w:val="continue"/>
            <w:vAlign w:val="center"/>
          </w:tcPr>
          <w:p w14:paraId="5A5A79DD">
            <w:pPr>
              <w:pStyle w:val="20"/>
              <w:spacing w:beforeLines="0" w:afterLines="0" w:line="312" w:lineRule="auto"/>
              <w:rPr>
                <w:b w:val="0"/>
              </w:rPr>
            </w:pPr>
          </w:p>
        </w:tc>
        <w:tc>
          <w:tcPr>
            <w:tcW w:w="709" w:type="dxa"/>
            <w:vMerge w:val="continue"/>
            <w:vAlign w:val="center"/>
          </w:tcPr>
          <w:p w14:paraId="5C01F943">
            <w:pPr>
              <w:pStyle w:val="20"/>
              <w:spacing w:beforeLines="0" w:afterLines="0" w:line="312" w:lineRule="auto"/>
              <w:rPr>
                <w:b w:val="0"/>
              </w:rPr>
            </w:pPr>
          </w:p>
        </w:tc>
        <w:tc>
          <w:tcPr>
            <w:tcW w:w="567" w:type="dxa"/>
            <w:vMerge w:val="continue"/>
            <w:vAlign w:val="center"/>
          </w:tcPr>
          <w:p w14:paraId="52C46158">
            <w:pPr>
              <w:pStyle w:val="20"/>
              <w:spacing w:beforeLines="0" w:afterLines="0" w:line="312" w:lineRule="auto"/>
              <w:rPr>
                <w:b w:val="0"/>
              </w:rPr>
            </w:pPr>
          </w:p>
        </w:tc>
        <w:tc>
          <w:tcPr>
            <w:tcW w:w="709" w:type="dxa"/>
            <w:vMerge w:val="continue"/>
            <w:vAlign w:val="center"/>
          </w:tcPr>
          <w:p w14:paraId="52D75D49">
            <w:pPr>
              <w:pStyle w:val="20"/>
              <w:spacing w:beforeLines="0" w:afterLines="0" w:line="312" w:lineRule="auto"/>
              <w:rPr>
                <w:b w:val="0"/>
              </w:rPr>
            </w:pPr>
          </w:p>
        </w:tc>
        <w:tc>
          <w:tcPr>
            <w:tcW w:w="709" w:type="dxa"/>
            <w:vMerge w:val="continue"/>
            <w:vAlign w:val="center"/>
          </w:tcPr>
          <w:p w14:paraId="2B229E13">
            <w:pPr>
              <w:pStyle w:val="20"/>
              <w:spacing w:beforeLines="0" w:afterLines="0" w:line="312" w:lineRule="auto"/>
              <w:rPr>
                <w:b w:val="0"/>
              </w:rPr>
            </w:pPr>
          </w:p>
        </w:tc>
      </w:tr>
    </w:tbl>
    <w:p w14:paraId="31D84395">
      <w:pPr>
        <w:pStyle w:val="16"/>
        <w:spacing w:before="31" w:after="31"/>
        <w:ind w:firstLine="0" w:firstLineChars="0"/>
        <w:rPr>
          <w:szCs w:val="24"/>
        </w:rPr>
      </w:pPr>
    </w:p>
    <w:p w14:paraId="50A589FD">
      <w:pPr>
        <w:pStyle w:val="16"/>
        <w:spacing w:before="31" w:after="31"/>
        <w:ind w:firstLine="480"/>
        <w:rPr>
          <w:szCs w:val="24"/>
        </w:rPr>
      </w:pPr>
      <w:r>
        <w:rPr>
          <w:szCs w:val="24"/>
        </w:rPr>
        <w:t>From the upper half of the remnants, as shown in Figure 4-1.1(b), where no apparent corrosion traces were observed, five flat tensile specimens were longitudinally prepared and subjected to tensile tests. The test results indicate that the main mechanical performance indicators of the failed pipeline are generally consistent with the SY/T6194-2003 standard, except for a higher yield-strength ratio (refer to Table 4-3 and Table 4-4).</w:t>
      </w:r>
    </w:p>
    <w:p w14:paraId="135D1269">
      <w:pPr>
        <w:pStyle w:val="16"/>
        <w:numPr>
          <w:ilvl w:val="0"/>
          <w:numId w:val="6"/>
        </w:numPr>
        <w:spacing w:before="31" w:after="31"/>
        <w:ind w:firstLineChars="0"/>
        <w:jc w:val="center"/>
        <w:rPr>
          <w:b/>
          <w:bCs/>
          <w:szCs w:val="24"/>
        </w:rPr>
      </w:pPr>
      <w:r>
        <w:rPr>
          <w:b/>
          <w:bCs/>
          <w:szCs w:val="24"/>
        </w:rPr>
        <w:t>Partial External Appearance of Failed Pipes</w:t>
      </w:r>
    </w:p>
    <w:p w14:paraId="44B0F54C">
      <w:pPr>
        <w:pStyle w:val="16"/>
        <w:spacing w:before="31" w:after="31"/>
        <w:ind w:left="840" w:firstLine="0" w:firstLineChars="0"/>
        <w:jc w:val="center"/>
        <w:rPr>
          <w:b/>
          <w:bCs/>
          <w:szCs w:val="24"/>
        </w:rPr>
      </w:pPr>
      <w:r>
        <w:rPr>
          <w:b/>
          <w:bCs/>
          <w:szCs w:val="24"/>
        </w:rPr>
        <w:t>(b) Internal Wall Morphology of Pipe Remnant with Serial Number copc/ccs103Figure</w:t>
      </w:r>
    </w:p>
    <w:p w14:paraId="5BE82F74">
      <w:pPr>
        <w:pStyle w:val="16"/>
        <w:spacing w:before="31" w:after="31"/>
        <w:ind w:left="840" w:firstLine="0" w:firstLineChars="0"/>
        <w:rPr>
          <w:szCs w:val="24"/>
        </w:rPr>
      </w:pPr>
    </w:p>
    <w:p w14:paraId="36FF02F8">
      <w:pPr>
        <w:pStyle w:val="16"/>
        <w:spacing w:before="31" w:after="31"/>
        <w:ind w:left="840" w:firstLine="0" w:firstLineChars="0"/>
        <w:jc w:val="center"/>
        <w:rPr>
          <w:b/>
          <w:bCs/>
          <w:szCs w:val="24"/>
        </w:rPr>
      </w:pPr>
      <w:r>
        <w:rPr>
          <w:b/>
          <w:bCs/>
          <w:szCs w:val="24"/>
        </w:rPr>
        <w:t>4-1.1: Internal and external wall morphology of failed pipes.</w:t>
      </w:r>
    </w:p>
    <w:p w14:paraId="7021C619">
      <w:pPr>
        <w:pStyle w:val="16"/>
        <w:spacing w:before="31" w:after="31"/>
        <w:ind w:firstLine="482"/>
        <w:jc w:val="center"/>
        <w:rPr>
          <w:b/>
          <w:bCs/>
          <w:szCs w:val="24"/>
        </w:rPr>
      </w:pPr>
      <w:r>
        <w:rPr>
          <w:b/>
          <w:bCs/>
          <w:szCs w:val="24"/>
        </w:rPr>
        <w:t>Table 4-3: Tensile Test Results of Pipeline Remnant Samples</w:t>
      </w:r>
    </w:p>
    <w:p w14:paraId="34DE37E5">
      <w:pPr>
        <w:pStyle w:val="16"/>
        <w:spacing w:before="31" w:after="31"/>
        <w:ind w:firstLine="480"/>
        <w:rPr>
          <w:szCs w:val="24"/>
        </w:rPr>
      </w:pPr>
    </w:p>
    <w:tbl>
      <w:tblPr>
        <w:tblStyle w:val="9"/>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9"/>
        <w:gridCol w:w="969"/>
        <w:gridCol w:w="924"/>
        <w:gridCol w:w="992"/>
        <w:gridCol w:w="851"/>
        <w:gridCol w:w="850"/>
        <w:gridCol w:w="1808"/>
      </w:tblGrid>
      <w:tr w14:paraId="3EFE6A0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9" w:type="dxa"/>
            <w:tcBorders>
              <w:top w:val="single" w:color="auto" w:sz="12" w:space="0"/>
              <w:bottom w:val="single" w:color="auto" w:sz="12" w:space="0"/>
            </w:tcBorders>
            <w:vAlign w:val="center"/>
          </w:tcPr>
          <w:p w14:paraId="41A7E8AF">
            <w:pPr>
              <w:autoSpaceDE w:val="0"/>
              <w:autoSpaceDN w:val="0"/>
              <w:adjustRightInd w:val="0"/>
              <w:spacing w:line="360" w:lineRule="auto"/>
              <w:jc w:val="center"/>
              <w:rPr>
                <w:szCs w:val="21"/>
              </w:rPr>
            </w:pPr>
            <w:r>
              <w:rPr>
                <w:rFonts w:hint="eastAsia"/>
                <w:szCs w:val="21"/>
              </w:rPr>
              <w:t>试样编号</w:t>
            </w:r>
          </w:p>
        </w:tc>
        <w:tc>
          <w:tcPr>
            <w:tcW w:w="969" w:type="dxa"/>
            <w:tcBorders>
              <w:top w:val="single" w:color="auto" w:sz="12" w:space="0"/>
              <w:bottom w:val="single" w:color="auto" w:sz="12" w:space="0"/>
            </w:tcBorders>
            <w:vAlign w:val="center"/>
          </w:tcPr>
          <w:p w14:paraId="61964648">
            <w:pPr>
              <w:autoSpaceDE w:val="0"/>
              <w:autoSpaceDN w:val="0"/>
              <w:adjustRightInd w:val="0"/>
              <w:spacing w:line="360" w:lineRule="auto"/>
              <w:jc w:val="center"/>
              <w:rPr>
                <w:szCs w:val="21"/>
              </w:rPr>
            </w:pPr>
            <w:r>
              <w:rPr>
                <w:rFonts w:hint="eastAsia"/>
                <w:szCs w:val="21"/>
              </w:rPr>
              <w:t>1#</w:t>
            </w:r>
          </w:p>
        </w:tc>
        <w:tc>
          <w:tcPr>
            <w:tcW w:w="924" w:type="dxa"/>
            <w:tcBorders>
              <w:top w:val="single" w:color="auto" w:sz="12" w:space="0"/>
              <w:bottom w:val="single" w:color="auto" w:sz="12" w:space="0"/>
            </w:tcBorders>
            <w:vAlign w:val="center"/>
          </w:tcPr>
          <w:p w14:paraId="5D1327A6">
            <w:pPr>
              <w:autoSpaceDE w:val="0"/>
              <w:autoSpaceDN w:val="0"/>
              <w:adjustRightInd w:val="0"/>
              <w:spacing w:line="360" w:lineRule="auto"/>
              <w:jc w:val="center"/>
              <w:rPr>
                <w:szCs w:val="21"/>
              </w:rPr>
            </w:pPr>
            <w:r>
              <w:rPr>
                <w:rFonts w:hint="eastAsia"/>
                <w:szCs w:val="21"/>
              </w:rPr>
              <w:t>2#</w:t>
            </w:r>
          </w:p>
        </w:tc>
        <w:tc>
          <w:tcPr>
            <w:tcW w:w="992" w:type="dxa"/>
            <w:tcBorders>
              <w:top w:val="single" w:color="auto" w:sz="12" w:space="0"/>
              <w:bottom w:val="single" w:color="auto" w:sz="12" w:space="0"/>
            </w:tcBorders>
            <w:vAlign w:val="center"/>
          </w:tcPr>
          <w:p w14:paraId="42E4EFEF">
            <w:pPr>
              <w:autoSpaceDE w:val="0"/>
              <w:autoSpaceDN w:val="0"/>
              <w:adjustRightInd w:val="0"/>
              <w:spacing w:line="360" w:lineRule="auto"/>
              <w:jc w:val="center"/>
              <w:rPr>
                <w:szCs w:val="21"/>
              </w:rPr>
            </w:pPr>
            <w:r>
              <w:rPr>
                <w:rFonts w:hint="eastAsia"/>
                <w:szCs w:val="21"/>
              </w:rPr>
              <w:t>3#</w:t>
            </w:r>
          </w:p>
        </w:tc>
        <w:tc>
          <w:tcPr>
            <w:tcW w:w="851" w:type="dxa"/>
            <w:tcBorders>
              <w:top w:val="single" w:color="auto" w:sz="12" w:space="0"/>
              <w:bottom w:val="single" w:color="auto" w:sz="12" w:space="0"/>
            </w:tcBorders>
            <w:vAlign w:val="center"/>
          </w:tcPr>
          <w:p w14:paraId="63D57B7D">
            <w:pPr>
              <w:autoSpaceDE w:val="0"/>
              <w:autoSpaceDN w:val="0"/>
              <w:adjustRightInd w:val="0"/>
              <w:spacing w:line="360" w:lineRule="auto"/>
              <w:jc w:val="center"/>
              <w:rPr>
                <w:szCs w:val="21"/>
              </w:rPr>
            </w:pPr>
            <w:r>
              <w:rPr>
                <w:rFonts w:hint="eastAsia"/>
                <w:szCs w:val="21"/>
              </w:rPr>
              <w:t>4#</w:t>
            </w:r>
          </w:p>
        </w:tc>
        <w:tc>
          <w:tcPr>
            <w:tcW w:w="850" w:type="dxa"/>
            <w:tcBorders>
              <w:top w:val="single" w:color="auto" w:sz="12" w:space="0"/>
              <w:bottom w:val="single" w:color="auto" w:sz="12" w:space="0"/>
            </w:tcBorders>
            <w:vAlign w:val="center"/>
          </w:tcPr>
          <w:p w14:paraId="0FEF582F">
            <w:pPr>
              <w:autoSpaceDE w:val="0"/>
              <w:autoSpaceDN w:val="0"/>
              <w:adjustRightInd w:val="0"/>
              <w:spacing w:line="360" w:lineRule="auto"/>
              <w:jc w:val="center"/>
              <w:rPr>
                <w:szCs w:val="21"/>
              </w:rPr>
            </w:pPr>
            <w:r>
              <w:rPr>
                <w:rFonts w:hint="eastAsia"/>
                <w:szCs w:val="21"/>
              </w:rPr>
              <w:t>5#</w:t>
            </w:r>
          </w:p>
        </w:tc>
        <w:tc>
          <w:tcPr>
            <w:tcW w:w="1808" w:type="dxa"/>
            <w:tcBorders>
              <w:top w:val="single" w:color="auto" w:sz="12" w:space="0"/>
              <w:bottom w:val="single" w:color="auto" w:sz="12" w:space="0"/>
            </w:tcBorders>
            <w:vAlign w:val="center"/>
          </w:tcPr>
          <w:p w14:paraId="6C16BA85">
            <w:pPr>
              <w:autoSpaceDE w:val="0"/>
              <w:autoSpaceDN w:val="0"/>
              <w:adjustRightInd w:val="0"/>
              <w:spacing w:line="360" w:lineRule="auto"/>
              <w:jc w:val="center"/>
              <w:rPr>
                <w:szCs w:val="21"/>
              </w:rPr>
            </w:pPr>
            <w:r>
              <w:rPr>
                <w:szCs w:val="21"/>
              </w:rPr>
              <w:t>Average Data</w:t>
            </w:r>
          </w:p>
        </w:tc>
      </w:tr>
      <w:tr w14:paraId="569A09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9" w:type="dxa"/>
            <w:tcBorders>
              <w:top w:val="single" w:color="auto" w:sz="12" w:space="0"/>
            </w:tcBorders>
            <w:vAlign w:val="center"/>
          </w:tcPr>
          <w:p w14:paraId="4136E6DC">
            <w:pPr>
              <w:autoSpaceDE w:val="0"/>
              <w:autoSpaceDN w:val="0"/>
              <w:adjustRightInd w:val="0"/>
              <w:spacing w:line="360" w:lineRule="auto"/>
              <w:jc w:val="center"/>
              <w:rPr>
                <w:szCs w:val="21"/>
              </w:rPr>
            </w:pPr>
            <w:r>
              <w:rPr>
                <w:szCs w:val="21"/>
              </w:rPr>
              <w:t xml:space="preserve">Sample Thickness/mm </w:t>
            </w:r>
          </w:p>
        </w:tc>
        <w:tc>
          <w:tcPr>
            <w:tcW w:w="969" w:type="dxa"/>
            <w:tcBorders>
              <w:top w:val="single" w:color="auto" w:sz="12" w:space="0"/>
            </w:tcBorders>
            <w:vAlign w:val="center"/>
          </w:tcPr>
          <w:p w14:paraId="72436EF8">
            <w:pPr>
              <w:autoSpaceDE w:val="0"/>
              <w:autoSpaceDN w:val="0"/>
              <w:adjustRightInd w:val="0"/>
              <w:spacing w:line="360" w:lineRule="auto"/>
              <w:jc w:val="center"/>
              <w:rPr>
                <w:szCs w:val="21"/>
              </w:rPr>
            </w:pPr>
            <w:r>
              <w:rPr>
                <w:rFonts w:hint="eastAsia"/>
                <w:szCs w:val="21"/>
              </w:rPr>
              <w:t>15.1</w:t>
            </w:r>
          </w:p>
        </w:tc>
        <w:tc>
          <w:tcPr>
            <w:tcW w:w="924" w:type="dxa"/>
            <w:tcBorders>
              <w:top w:val="single" w:color="auto" w:sz="12" w:space="0"/>
            </w:tcBorders>
            <w:vAlign w:val="center"/>
          </w:tcPr>
          <w:p w14:paraId="20051343">
            <w:pPr>
              <w:autoSpaceDE w:val="0"/>
              <w:autoSpaceDN w:val="0"/>
              <w:adjustRightInd w:val="0"/>
              <w:spacing w:line="360" w:lineRule="auto"/>
              <w:jc w:val="center"/>
              <w:rPr>
                <w:szCs w:val="21"/>
              </w:rPr>
            </w:pPr>
            <w:r>
              <w:rPr>
                <w:rFonts w:hint="eastAsia"/>
                <w:szCs w:val="21"/>
              </w:rPr>
              <w:t>15.07</w:t>
            </w:r>
          </w:p>
        </w:tc>
        <w:tc>
          <w:tcPr>
            <w:tcW w:w="992" w:type="dxa"/>
            <w:tcBorders>
              <w:top w:val="single" w:color="auto" w:sz="12" w:space="0"/>
            </w:tcBorders>
            <w:vAlign w:val="center"/>
          </w:tcPr>
          <w:p w14:paraId="7DC0ABDB">
            <w:pPr>
              <w:autoSpaceDE w:val="0"/>
              <w:autoSpaceDN w:val="0"/>
              <w:adjustRightInd w:val="0"/>
              <w:spacing w:line="360" w:lineRule="auto"/>
              <w:jc w:val="center"/>
              <w:rPr>
                <w:szCs w:val="21"/>
              </w:rPr>
            </w:pPr>
            <w:r>
              <w:rPr>
                <w:rFonts w:hint="eastAsia"/>
                <w:szCs w:val="21"/>
              </w:rPr>
              <w:t>15.02</w:t>
            </w:r>
          </w:p>
        </w:tc>
        <w:tc>
          <w:tcPr>
            <w:tcW w:w="851" w:type="dxa"/>
            <w:tcBorders>
              <w:top w:val="single" w:color="auto" w:sz="12" w:space="0"/>
            </w:tcBorders>
            <w:vAlign w:val="center"/>
          </w:tcPr>
          <w:p w14:paraId="638DEB70">
            <w:pPr>
              <w:autoSpaceDE w:val="0"/>
              <w:autoSpaceDN w:val="0"/>
              <w:adjustRightInd w:val="0"/>
              <w:spacing w:line="360" w:lineRule="auto"/>
              <w:jc w:val="center"/>
              <w:rPr>
                <w:szCs w:val="21"/>
              </w:rPr>
            </w:pPr>
            <w:r>
              <w:rPr>
                <w:rFonts w:hint="eastAsia"/>
                <w:szCs w:val="21"/>
              </w:rPr>
              <w:t>14.82</w:t>
            </w:r>
          </w:p>
        </w:tc>
        <w:tc>
          <w:tcPr>
            <w:tcW w:w="850" w:type="dxa"/>
            <w:tcBorders>
              <w:top w:val="single" w:color="auto" w:sz="12" w:space="0"/>
            </w:tcBorders>
            <w:vAlign w:val="center"/>
          </w:tcPr>
          <w:p w14:paraId="568E23B1">
            <w:pPr>
              <w:autoSpaceDE w:val="0"/>
              <w:autoSpaceDN w:val="0"/>
              <w:adjustRightInd w:val="0"/>
              <w:spacing w:line="360" w:lineRule="auto"/>
              <w:jc w:val="center"/>
              <w:rPr>
                <w:szCs w:val="21"/>
              </w:rPr>
            </w:pPr>
            <w:r>
              <w:rPr>
                <w:rFonts w:hint="eastAsia"/>
                <w:szCs w:val="21"/>
              </w:rPr>
              <w:t>15.06</w:t>
            </w:r>
          </w:p>
        </w:tc>
        <w:tc>
          <w:tcPr>
            <w:tcW w:w="1808" w:type="dxa"/>
            <w:tcBorders>
              <w:top w:val="single" w:color="auto" w:sz="12" w:space="0"/>
            </w:tcBorders>
            <w:vAlign w:val="center"/>
          </w:tcPr>
          <w:p w14:paraId="25FC2EBE">
            <w:pPr>
              <w:autoSpaceDE w:val="0"/>
              <w:autoSpaceDN w:val="0"/>
              <w:adjustRightInd w:val="0"/>
              <w:spacing w:line="360" w:lineRule="auto"/>
              <w:jc w:val="center"/>
              <w:rPr>
                <w:szCs w:val="21"/>
              </w:rPr>
            </w:pPr>
            <w:r>
              <w:rPr>
                <w:rFonts w:hint="eastAsia"/>
                <w:szCs w:val="21"/>
              </w:rPr>
              <w:t>—</w:t>
            </w:r>
          </w:p>
        </w:tc>
      </w:tr>
      <w:tr w14:paraId="2D59DD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9" w:type="dxa"/>
            <w:vAlign w:val="center"/>
          </w:tcPr>
          <w:p w14:paraId="6E5897B2">
            <w:pPr>
              <w:autoSpaceDE w:val="0"/>
              <w:autoSpaceDN w:val="0"/>
              <w:adjustRightInd w:val="0"/>
              <w:spacing w:line="360" w:lineRule="auto"/>
              <w:jc w:val="center"/>
              <w:rPr>
                <w:szCs w:val="21"/>
              </w:rPr>
            </w:pPr>
            <w:r>
              <w:rPr>
                <w:szCs w:val="21"/>
              </w:rPr>
              <w:t>Sample Thickness</w:t>
            </w:r>
            <w:r>
              <w:rPr>
                <w:rFonts w:hint="eastAsia"/>
                <w:szCs w:val="21"/>
              </w:rPr>
              <w:t>/mm</w:t>
            </w:r>
          </w:p>
        </w:tc>
        <w:tc>
          <w:tcPr>
            <w:tcW w:w="969" w:type="dxa"/>
            <w:vAlign w:val="center"/>
          </w:tcPr>
          <w:p w14:paraId="57C07F2C">
            <w:pPr>
              <w:autoSpaceDE w:val="0"/>
              <w:autoSpaceDN w:val="0"/>
              <w:adjustRightInd w:val="0"/>
              <w:spacing w:line="360" w:lineRule="auto"/>
              <w:jc w:val="center"/>
              <w:rPr>
                <w:szCs w:val="21"/>
              </w:rPr>
            </w:pPr>
            <w:r>
              <w:rPr>
                <w:rFonts w:hint="eastAsia"/>
                <w:szCs w:val="21"/>
              </w:rPr>
              <w:t>5.15</w:t>
            </w:r>
          </w:p>
        </w:tc>
        <w:tc>
          <w:tcPr>
            <w:tcW w:w="924" w:type="dxa"/>
            <w:vAlign w:val="center"/>
          </w:tcPr>
          <w:p w14:paraId="0EDBB066">
            <w:pPr>
              <w:autoSpaceDE w:val="0"/>
              <w:autoSpaceDN w:val="0"/>
              <w:adjustRightInd w:val="0"/>
              <w:spacing w:line="360" w:lineRule="auto"/>
              <w:jc w:val="center"/>
              <w:rPr>
                <w:szCs w:val="21"/>
              </w:rPr>
            </w:pPr>
            <w:r>
              <w:rPr>
                <w:rFonts w:hint="eastAsia"/>
                <w:szCs w:val="21"/>
              </w:rPr>
              <w:t>5.17</w:t>
            </w:r>
          </w:p>
        </w:tc>
        <w:tc>
          <w:tcPr>
            <w:tcW w:w="992" w:type="dxa"/>
            <w:vAlign w:val="center"/>
          </w:tcPr>
          <w:p w14:paraId="1D0B04BC">
            <w:pPr>
              <w:autoSpaceDE w:val="0"/>
              <w:autoSpaceDN w:val="0"/>
              <w:adjustRightInd w:val="0"/>
              <w:spacing w:line="360" w:lineRule="auto"/>
              <w:jc w:val="center"/>
              <w:rPr>
                <w:szCs w:val="21"/>
              </w:rPr>
            </w:pPr>
            <w:r>
              <w:rPr>
                <w:rFonts w:hint="eastAsia"/>
                <w:szCs w:val="21"/>
              </w:rPr>
              <w:t>5.17</w:t>
            </w:r>
          </w:p>
        </w:tc>
        <w:tc>
          <w:tcPr>
            <w:tcW w:w="851" w:type="dxa"/>
            <w:vAlign w:val="center"/>
          </w:tcPr>
          <w:p w14:paraId="4AC1654E">
            <w:pPr>
              <w:autoSpaceDE w:val="0"/>
              <w:autoSpaceDN w:val="0"/>
              <w:adjustRightInd w:val="0"/>
              <w:spacing w:line="360" w:lineRule="auto"/>
              <w:jc w:val="center"/>
              <w:rPr>
                <w:szCs w:val="21"/>
              </w:rPr>
            </w:pPr>
            <w:r>
              <w:rPr>
                <w:rFonts w:hint="eastAsia"/>
                <w:szCs w:val="21"/>
              </w:rPr>
              <w:t>5.15</w:t>
            </w:r>
          </w:p>
        </w:tc>
        <w:tc>
          <w:tcPr>
            <w:tcW w:w="850" w:type="dxa"/>
            <w:vAlign w:val="center"/>
          </w:tcPr>
          <w:p w14:paraId="78584656">
            <w:pPr>
              <w:autoSpaceDE w:val="0"/>
              <w:autoSpaceDN w:val="0"/>
              <w:adjustRightInd w:val="0"/>
              <w:spacing w:line="360" w:lineRule="auto"/>
              <w:jc w:val="center"/>
              <w:rPr>
                <w:szCs w:val="21"/>
              </w:rPr>
            </w:pPr>
            <w:r>
              <w:rPr>
                <w:rFonts w:hint="eastAsia"/>
                <w:szCs w:val="21"/>
              </w:rPr>
              <w:t>5.02</w:t>
            </w:r>
          </w:p>
        </w:tc>
        <w:tc>
          <w:tcPr>
            <w:tcW w:w="1808" w:type="dxa"/>
            <w:vAlign w:val="center"/>
          </w:tcPr>
          <w:p w14:paraId="6D8F4BBF">
            <w:pPr>
              <w:autoSpaceDE w:val="0"/>
              <w:autoSpaceDN w:val="0"/>
              <w:adjustRightInd w:val="0"/>
              <w:spacing w:line="360" w:lineRule="auto"/>
              <w:jc w:val="center"/>
              <w:rPr>
                <w:szCs w:val="21"/>
              </w:rPr>
            </w:pPr>
            <w:r>
              <w:rPr>
                <w:rFonts w:hint="eastAsia"/>
                <w:szCs w:val="21"/>
              </w:rPr>
              <w:t>—</w:t>
            </w:r>
          </w:p>
        </w:tc>
      </w:tr>
      <w:tr w14:paraId="0BD32DB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9" w:type="dxa"/>
            <w:vAlign w:val="center"/>
          </w:tcPr>
          <w:p w14:paraId="6BA619A2">
            <w:pPr>
              <w:autoSpaceDE w:val="0"/>
              <w:autoSpaceDN w:val="0"/>
              <w:adjustRightInd w:val="0"/>
              <w:spacing w:line="360" w:lineRule="auto"/>
              <w:jc w:val="center"/>
              <w:rPr>
                <w:szCs w:val="21"/>
              </w:rPr>
            </w:pPr>
            <w:r>
              <w:rPr>
                <w:szCs w:val="21"/>
              </w:rPr>
              <w:t>Sample Area</w:t>
            </w:r>
            <w:r>
              <w:rPr>
                <w:rFonts w:hint="eastAsia"/>
                <w:szCs w:val="21"/>
              </w:rPr>
              <w:t>/mm</w:t>
            </w:r>
            <w:r>
              <w:rPr>
                <w:rFonts w:hint="eastAsia"/>
                <w:szCs w:val="21"/>
                <w:vertAlign w:val="superscript"/>
              </w:rPr>
              <w:t>2</w:t>
            </w:r>
          </w:p>
        </w:tc>
        <w:tc>
          <w:tcPr>
            <w:tcW w:w="969" w:type="dxa"/>
            <w:vAlign w:val="center"/>
          </w:tcPr>
          <w:p w14:paraId="5E325D2D">
            <w:pPr>
              <w:autoSpaceDE w:val="0"/>
              <w:autoSpaceDN w:val="0"/>
              <w:adjustRightInd w:val="0"/>
              <w:spacing w:line="360" w:lineRule="auto"/>
              <w:jc w:val="center"/>
              <w:rPr>
                <w:szCs w:val="21"/>
              </w:rPr>
            </w:pPr>
            <w:r>
              <w:rPr>
                <w:rFonts w:hint="eastAsia"/>
                <w:szCs w:val="21"/>
              </w:rPr>
              <w:t>77.30</w:t>
            </w:r>
          </w:p>
        </w:tc>
        <w:tc>
          <w:tcPr>
            <w:tcW w:w="924" w:type="dxa"/>
            <w:vAlign w:val="center"/>
          </w:tcPr>
          <w:p w14:paraId="4D2D74F8">
            <w:pPr>
              <w:autoSpaceDE w:val="0"/>
              <w:autoSpaceDN w:val="0"/>
              <w:adjustRightInd w:val="0"/>
              <w:spacing w:line="360" w:lineRule="auto"/>
              <w:jc w:val="center"/>
              <w:rPr>
                <w:szCs w:val="21"/>
              </w:rPr>
            </w:pPr>
            <w:r>
              <w:rPr>
                <w:rFonts w:hint="eastAsia"/>
                <w:szCs w:val="21"/>
              </w:rPr>
              <w:t>77.91</w:t>
            </w:r>
          </w:p>
        </w:tc>
        <w:tc>
          <w:tcPr>
            <w:tcW w:w="992" w:type="dxa"/>
            <w:vAlign w:val="center"/>
          </w:tcPr>
          <w:p w14:paraId="63ED1DF7">
            <w:pPr>
              <w:autoSpaceDE w:val="0"/>
              <w:autoSpaceDN w:val="0"/>
              <w:adjustRightInd w:val="0"/>
              <w:spacing w:line="360" w:lineRule="auto"/>
              <w:jc w:val="center"/>
              <w:rPr>
                <w:szCs w:val="21"/>
              </w:rPr>
            </w:pPr>
            <w:r>
              <w:rPr>
                <w:rFonts w:hint="eastAsia"/>
                <w:szCs w:val="21"/>
              </w:rPr>
              <w:t>77.65</w:t>
            </w:r>
          </w:p>
        </w:tc>
        <w:tc>
          <w:tcPr>
            <w:tcW w:w="851" w:type="dxa"/>
            <w:vAlign w:val="center"/>
          </w:tcPr>
          <w:p w14:paraId="1AA37EB3">
            <w:pPr>
              <w:autoSpaceDE w:val="0"/>
              <w:autoSpaceDN w:val="0"/>
              <w:adjustRightInd w:val="0"/>
              <w:spacing w:line="360" w:lineRule="auto"/>
              <w:jc w:val="center"/>
              <w:rPr>
                <w:szCs w:val="21"/>
              </w:rPr>
            </w:pPr>
            <w:r>
              <w:rPr>
                <w:rFonts w:hint="eastAsia"/>
                <w:szCs w:val="21"/>
              </w:rPr>
              <w:t>76.32</w:t>
            </w:r>
          </w:p>
        </w:tc>
        <w:tc>
          <w:tcPr>
            <w:tcW w:w="850" w:type="dxa"/>
            <w:vAlign w:val="center"/>
          </w:tcPr>
          <w:p w14:paraId="0D405712">
            <w:pPr>
              <w:autoSpaceDE w:val="0"/>
              <w:autoSpaceDN w:val="0"/>
              <w:adjustRightInd w:val="0"/>
              <w:spacing w:line="360" w:lineRule="auto"/>
              <w:jc w:val="center"/>
              <w:rPr>
                <w:szCs w:val="21"/>
              </w:rPr>
            </w:pPr>
            <w:r>
              <w:rPr>
                <w:rFonts w:hint="eastAsia"/>
                <w:szCs w:val="21"/>
              </w:rPr>
              <w:t>75.60</w:t>
            </w:r>
          </w:p>
        </w:tc>
        <w:tc>
          <w:tcPr>
            <w:tcW w:w="1808" w:type="dxa"/>
            <w:vAlign w:val="center"/>
          </w:tcPr>
          <w:p w14:paraId="7859104C">
            <w:pPr>
              <w:autoSpaceDE w:val="0"/>
              <w:autoSpaceDN w:val="0"/>
              <w:adjustRightInd w:val="0"/>
              <w:spacing w:line="360" w:lineRule="auto"/>
              <w:jc w:val="center"/>
              <w:rPr>
                <w:szCs w:val="21"/>
              </w:rPr>
            </w:pPr>
            <w:r>
              <w:rPr>
                <w:rFonts w:hint="eastAsia"/>
                <w:szCs w:val="21"/>
              </w:rPr>
              <w:t>—</w:t>
            </w:r>
          </w:p>
        </w:tc>
      </w:tr>
      <w:tr w14:paraId="25A07E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9" w:type="dxa"/>
            <w:vAlign w:val="center"/>
          </w:tcPr>
          <w:p w14:paraId="3F8EAEDC">
            <w:pPr>
              <w:autoSpaceDE w:val="0"/>
              <w:autoSpaceDN w:val="0"/>
              <w:adjustRightInd w:val="0"/>
              <w:spacing w:line="360" w:lineRule="auto"/>
              <w:jc w:val="center"/>
              <w:rPr>
                <w:szCs w:val="21"/>
              </w:rPr>
            </w:pPr>
            <w:r>
              <w:rPr>
                <w:szCs w:val="21"/>
              </w:rPr>
              <w:t>Yield Load</w:t>
            </w:r>
            <w:r>
              <w:rPr>
                <w:rFonts w:hint="eastAsia"/>
                <w:szCs w:val="21"/>
              </w:rPr>
              <w:t>/kN</w:t>
            </w:r>
          </w:p>
        </w:tc>
        <w:tc>
          <w:tcPr>
            <w:tcW w:w="969" w:type="dxa"/>
            <w:vAlign w:val="center"/>
          </w:tcPr>
          <w:p w14:paraId="5FD709C8">
            <w:pPr>
              <w:autoSpaceDE w:val="0"/>
              <w:autoSpaceDN w:val="0"/>
              <w:adjustRightInd w:val="0"/>
              <w:spacing w:line="360" w:lineRule="auto"/>
              <w:jc w:val="center"/>
              <w:rPr>
                <w:szCs w:val="21"/>
              </w:rPr>
            </w:pPr>
            <w:r>
              <w:rPr>
                <w:rFonts w:hint="eastAsia"/>
                <w:szCs w:val="21"/>
              </w:rPr>
              <w:t>56.931</w:t>
            </w:r>
          </w:p>
        </w:tc>
        <w:tc>
          <w:tcPr>
            <w:tcW w:w="924" w:type="dxa"/>
            <w:vAlign w:val="center"/>
          </w:tcPr>
          <w:p w14:paraId="579F3205">
            <w:pPr>
              <w:autoSpaceDE w:val="0"/>
              <w:autoSpaceDN w:val="0"/>
              <w:adjustRightInd w:val="0"/>
              <w:spacing w:line="360" w:lineRule="auto"/>
              <w:jc w:val="center"/>
              <w:rPr>
                <w:szCs w:val="21"/>
              </w:rPr>
            </w:pPr>
            <w:r>
              <w:rPr>
                <w:rFonts w:hint="eastAsia"/>
                <w:szCs w:val="21"/>
              </w:rPr>
              <w:t>56.201</w:t>
            </w:r>
          </w:p>
        </w:tc>
        <w:tc>
          <w:tcPr>
            <w:tcW w:w="992" w:type="dxa"/>
            <w:vAlign w:val="center"/>
          </w:tcPr>
          <w:p w14:paraId="114EC708">
            <w:pPr>
              <w:autoSpaceDE w:val="0"/>
              <w:autoSpaceDN w:val="0"/>
              <w:adjustRightInd w:val="0"/>
              <w:spacing w:line="360" w:lineRule="auto"/>
              <w:jc w:val="center"/>
              <w:rPr>
                <w:szCs w:val="21"/>
              </w:rPr>
            </w:pPr>
            <w:r>
              <w:rPr>
                <w:rFonts w:hint="eastAsia"/>
                <w:szCs w:val="21"/>
              </w:rPr>
              <w:t>57.399</w:t>
            </w:r>
          </w:p>
        </w:tc>
        <w:tc>
          <w:tcPr>
            <w:tcW w:w="851" w:type="dxa"/>
            <w:vAlign w:val="center"/>
          </w:tcPr>
          <w:p w14:paraId="16362FE3">
            <w:pPr>
              <w:autoSpaceDE w:val="0"/>
              <w:autoSpaceDN w:val="0"/>
              <w:adjustRightInd w:val="0"/>
              <w:spacing w:line="360" w:lineRule="auto"/>
              <w:jc w:val="center"/>
              <w:rPr>
                <w:szCs w:val="21"/>
              </w:rPr>
            </w:pPr>
            <w:r>
              <w:rPr>
                <w:rFonts w:hint="eastAsia"/>
                <w:szCs w:val="21"/>
              </w:rPr>
              <w:t>55.476</w:t>
            </w:r>
          </w:p>
        </w:tc>
        <w:tc>
          <w:tcPr>
            <w:tcW w:w="850" w:type="dxa"/>
            <w:vAlign w:val="center"/>
          </w:tcPr>
          <w:p w14:paraId="37D7D0DC">
            <w:pPr>
              <w:autoSpaceDE w:val="0"/>
              <w:autoSpaceDN w:val="0"/>
              <w:adjustRightInd w:val="0"/>
              <w:spacing w:line="360" w:lineRule="auto"/>
              <w:jc w:val="center"/>
              <w:rPr>
                <w:szCs w:val="21"/>
              </w:rPr>
            </w:pPr>
            <w:r>
              <w:rPr>
                <w:rFonts w:hint="eastAsia"/>
                <w:szCs w:val="21"/>
              </w:rPr>
              <w:t>54.479</w:t>
            </w:r>
          </w:p>
        </w:tc>
        <w:tc>
          <w:tcPr>
            <w:tcW w:w="1808" w:type="dxa"/>
            <w:vAlign w:val="center"/>
          </w:tcPr>
          <w:p w14:paraId="6D746701">
            <w:pPr>
              <w:autoSpaceDE w:val="0"/>
              <w:autoSpaceDN w:val="0"/>
              <w:adjustRightInd w:val="0"/>
              <w:spacing w:line="360" w:lineRule="auto"/>
              <w:jc w:val="center"/>
              <w:rPr>
                <w:szCs w:val="21"/>
              </w:rPr>
            </w:pPr>
            <w:r>
              <w:rPr>
                <w:rFonts w:hint="eastAsia"/>
                <w:szCs w:val="21"/>
              </w:rPr>
              <w:t>—</w:t>
            </w:r>
          </w:p>
        </w:tc>
      </w:tr>
      <w:tr w14:paraId="3D5ADF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9" w:type="dxa"/>
            <w:vAlign w:val="center"/>
          </w:tcPr>
          <w:p w14:paraId="19203A54">
            <w:pPr>
              <w:autoSpaceDE w:val="0"/>
              <w:autoSpaceDN w:val="0"/>
              <w:adjustRightInd w:val="0"/>
              <w:spacing w:line="360" w:lineRule="auto"/>
              <w:rPr>
                <w:szCs w:val="21"/>
              </w:rPr>
            </w:pPr>
            <w:r>
              <w:rPr>
                <w:szCs w:val="21"/>
              </w:rPr>
              <w:t>Yield Strength</w:t>
            </w:r>
            <w:r>
              <w:rPr>
                <w:rFonts w:hint="eastAsia"/>
                <w:szCs w:val="21"/>
              </w:rPr>
              <w:t>/Mpa</w:t>
            </w:r>
          </w:p>
        </w:tc>
        <w:tc>
          <w:tcPr>
            <w:tcW w:w="969" w:type="dxa"/>
            <w:vAlign w:val="center"/>
          </w:tcPr>
          <w:p w14:paraId="046A6A9B">
            <w:pPr>
              <w:autoSpaceDE w:val="0"/>
              <w:autoSpaceDN w:val="0"/>
              <w:adjustRightInd w:val="0"/>
              <w:spacing w:line="360" w:lineRule="auto"/>
              <w:jc w:val="center"/>
              <w:rPr>
                <w:szCs w:val="21"/>
              </w:rPr>
            </w:pPr>
            <w:r>
              <w:rPr>
                <w:rFonts w:hint="eastAsia"/>
                <w:szCs w:val="21"/>
              </w:rPr>
              <w:t>735</w:t>
            </w:r>
          </w:p>
        </w:tc>
        <w:tc>
          <w:tcPr>
            <w:tcW w:w="924" w:type="dxa"/>
            <w:vAlign w:val="center"/>
          </w:tcPr>
          <w:p w14:paraId="018877BB">
            <w:pPr>
              <w:autoSpaceDE w:val="0"/>
              <w:autoSpaceDN w:val="0"/>
              <w:adjustRightInd w:val="0"/>
              <w:spacing w:line="360" w:lineRule="auto"/>
              <w:jc w:val="center"/>
              <w:rPr>
                <w:szCs w:val="21"/>
              </w:rPr>
            </w:pPr>
            <w:r>
              <w:rPr>
                <w:rFonts w:hint="eastAsia"/>
                <w:szCs w:val="21"/>
              </w:rPr>
              <w:t>720</w:t>
            </w:r>
          </w:p>
        </w:tc>
        <w:tc>
          <w:tcPr>
            <w:tcW w:w="992" w:type="dxa"/>
            <w:vAlign w:val="center"/>
          </w:tcPr>
          <w:p w14:paraId="6B65F5FB">
            <w:pPr>
              <w:autoSpaceDE w:val="0"/>
              <w:autoSpaceDN w:val="0"/>
              <w:adjustRightInd w:val="0"/>
              <w:spacing w:line="360" w:lineRule="auto"/>
              <w:jc w:val="center"/>
              <w:rPr>
                <w:szCs w:val="21"/>
              </w:rPr>
            </w:pPr>
            <w:r>
              <w:rPr>
                <w:rFonts w:hint="eastAsia"/>
                <w:szCs w:val="21"/>
              </w:rPr>
              <w:t>740</w:t>
            </w:r>
          </w:p>
        </w:tc>
        <w:tc>
          <w:tcPr>
            <w:tcW w:w="851" w:type="dxa"/>
            <w:vAlign w:val="center"/>
          </w:tcPr>
          <w:p w14:paraId="419A8F1A">
            <w:pPr>
              <w:autoSpaceDE w:val="0"/>
              <w:autoSpaceDN w:val="0"/>
              <w:adjustRightInd w:val="0"/>
              <w:spacing w:line="360" w:lineRule="auto"/>
              <w:jc w:val="center"/>
              <w:rPr>
                <w:szCs w:val="21"/>
              </w:rPr>
            </w:pPr>
            <w:r>
              <w:rPr>
                <w:rFonts w:hint="eastAsia"/>
                <w:szCs w:val="21"/>
              </w:rPr>
              <w:t>725</w:t>
            </w:r>
          </w:p>
        </w:tc>
        <w:tc>
          <w:tcPr>
            <w:tcW w:w="850" w:type="dxa"/>
            <w:vAlign w:val="center"/>
          </w:tcPr>
          <w:p w14:paraId="6170B3A2">
            <w:pPr>
              <w:autoSpaceDE w:val="0"/>
              <w:autoSpaceDN w:val="0"/>
              <w:adjustRightInd w:val="0"/>
              <w:spacing w:line="360" w:lineRule="auto"/>
              <w:jc w:val="center"/>
              <w:rPr>
                <w:szCs w:val="21"/>
              </w:rPr>
            </w:pPr>
            <w:r>
              <w:rPr>
                <w:rFonts w:hint="eastAsia"/>
                <w:szCs w:val="21"/>
              </w:rPr>
              <w:t>720</w:t>
            </w:r>
          </w:p>
        </w:tc>
        <w:tc>
          <w:tcPr>
            <w:tcW w:w="1808" w:type="dxa"/>
            <w:vAlign w:val="center"/>
          </w:tcPr>
          <w:p w14:paraId="3BA829DD">
            <w:pPr>
              <w:autoSpaceDE w:val="0"/>
              <w:autoSpaceDN w:val="0"/>
              <w:adjustRightInd w:val="0"/>
              <w:spacing w:line="360" w:lineRule="auto"/>
              <w:jc w:val="center"/>
              <w:rPr>
                <w:szCs w:val="21"/>
              </w:rPr>
            </w:pPr>
            <w:r>
              <w:rPr>
                <w:rFonts w:hint="eastAsia"/>
                <w:szCs w:val="21"/>
              </w:rPr>
              <w:t>728</w:t>
            </w:r>
          </w:p>
        </w:tc>
      </w:tr>
      <w:tr w14:paraId="190BF7E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9" w:type="dxa"/>
            <w:vAlign w:val="center"/>
          </w:tcPr>
          <w:p w14:paraId="623262AD">
            <w:pPr>
              <w:autoSpaceDE w:val="0"/>
              <w:autoSpaceDN w:val="0"/>
              <w:adjustRightInd w:val="0"/>
              <w:spacing w:line="360" w:lineRule="auto"/>
              <w:jc w:val="center"/>
              <w:rPr>
                <w:szCs w:val="21"/>
              </w:rPr>
            </w:pPr>
            <w:r>
              <w:rPr>
                <w:szCs w:val="21"/>
              </w:rPr>
              <w:t>Breaking Load</w:t>
            </w:r>
            <w:r>
              <w:rPr>
                <w:rFonts w:hint="eastAsia"/>
                <w:szCs w:val="21"/>
              </w:rPr>
              <w:t>/kN</w:t>
            </w:r>
          </w:p>
        </w:tc>
        <w:tc>
          <w:tcPr>
            <w:tcW w:w="969" w:type="dxa"/>
            <w:vAlign w:val="center"/>
          </w:tcPr>
          <w:p w14:paraId="42005FF0">
            <w:pPr>
              <w:autoSpaceDE w:val="0"/>
              <w:autoSpaceDN w:val="0"/>
              <w:adjustRightInd w:val="0"/>
              <w:spacing w:line="360" w:lineRule="auto"/>
              <w:jc w:val="center"/>
              <w:rPr>
                <w:szCs w:val="21"/>
              </w:rPr>
            </w:pPr>
            <w:r>
              <w:rPr>
                <w:rFonts w:hint="eastAsia"/>
                <w:szCs w:val="21"/>
              </w:rPr>
              <w:t>64.397</w:t>
            </w:r>
          </w:p>
        </w:tc>
        <w:tc>
          <w:tcPr>
            <w:tcW w:w="924" w:type="dxa"/>
            <w:vAlign w:val="center"/>
          </w:tcPr>
          <w:p w14:paraId="236D52E8">
            <w:pPr>
              <w:autoSpaceDE w:val="0"/>
              <w:autoSpaceDN w:val="0"/>
              <w:adjustRightInd w:val="0"/>
              <w:spacing w:line="360" w:lineRule="auto"/>
              <w:jc w:val="center"/>
              <w:rPr>
                <w:szCs w:val="21"/>
              </w:rPr>
            </w:pPr>
            <w:r>
              <w:rPr>
                <w:rFonts w:hint="eastAsia"/>
                <w:szCs w:val="21"/>
              </w:rPr>
              <w:t>64.496</w:t>
            </w:r>
          </w:p>
        </w:tc>
        <w:tc>
          <w:tcPr>
            <w:tcW w:w="992" w:type="dxa"/>
            <w:vAlign w:val="center"/>
          </w:tcPr>
          <w:p w14:paraId="34124428">
            <w:pPr>
              <w:autoSpaceDE w:val="0"/>
              <w:autoSpaceDN w:val="0"/>
              <w:adjustRightInd w:val="0"/>
              <w:spacing w:line="360" w:lineRule="auto"/>
              <w:jc w:val="center"/>
              <w:rPr>
                <w:szCs w:val="21"/>
              </w:rPr>
            </w:pPr>
            <w:r>
              <w:rPr>
                <w:rFonts w:hint="eastAsia"/>
                <w:szCs w:val="21"/>
              </w:rPr>
              <w:t>63.369</w:t>
            </w:r>
          </w:p>
        </w:tc>
        <w:tc>
          <w:tcPr>
            <w:tcW w:w="851" w:type="dxa"/>
            <w:vAlign w:val="center"/>
          </w:tcPr>
          <w:p w14:paraId="3BCD7D03">
            <w:pPr>
              <w:autoSpaceDE w:val="0"/>
              <w:autoSpaceDN w:val="0"/>
              <w:adjustRightInd w:val="0"/>
              <w:spacing w:line="360" w:lineRule="auto"/>
              <w:jc w:val="center"/>
              <w:rPr>
                <w:szCs w:val="21"/>
              </w:rPr>
            </w:pPr>
            <w:r>
              <w:rPr>
                <w:rFonts w:hint="eastAsia"/>
                <w:szCs w:val="21"/>
              </w:rPr>
              <w:t>63.123</w:t>
            </w:r>
          </w:p>
        </w:tc>
        <w:tc>
          <w:tcPr>
            <w:tcW w:w="850" w:type="dxa"/>
            <w:vAlign w:val="center"/>
          </w:tcPr>
          <w:p w14:paraId="5541A4B2">
            <w:pPr>
              <w:autoSpaceDE w:val="0"/>
              <w:autoSpaceDN w:val="0"/>
              <w:adjustRightInd w:val="0"/>
              <w:spacing w:line="360" w:lineRule="auto"/>
              <w:jc w:val="center"/>
              <w:rPr>
                <w:szCs w:val="21"/>
              </w:rPr>
            </w:pPr>
            <w:r>
              <w:rPr>
                <w:rFonts w:hint="eastAsia"/>
                <w:szCs w:val="21"/>
              </w:rPr>
              <w:t>62.478</w:t>
            </w:r>
          </w:p>
        </w:tc>
        <w:tc>
          <w:tcPr>
            <w:tcW w:w="1808" w:type="dxa"/>
            <w:vAlign w:val="center"/>
          </w:tcPr>
          <w:p w14:paraId="52581AE0">
            <w:pPr>
              <w:autoSpaceDE w:val="0"/>
              <w:autoSpaceDN w:val="0"/>
              <w:adjustRightInd w:val="0"/>
              <w:spacing w:line="360" w:lineRule="auto"/>
              <w:jc w:val="center"/>
              <w:rPr>
                <w:szCs w:val="21"/>
              </w:rPr>
            </w:pPr>
            <w:r>
              <w:rPr>
                <w:rFonts w:hint="eastAsia"/>
                <w:szCs w:val="21"/>
              </w:rPr>
              <w:t>—</w:t>
            </w:r>
          </w:p>
        </w:tc>
      </w:tr>
      <w:tr w14:paraId="5A2288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9" w:type="dxa"/>
            <w:vAlign w:val="center"/>
          </w:tcPr>
          <w:p w14:paraId="7B31AA9C">
            <w:pPr>
              <w:autoSpaceDE w:val="0"/>
              <w:autoSpaceDN w:val="0"/>
              <w:adjustRightInd w:val="0"/>
              <w:spacing w:line="360" w:lineRule="auto"/>
              <w:jc w:val="center"/>
              <w:rPr>
                <w:szCs w:val="21"/>
              </w:rPr>
            </w:pPr>
            <w:r>
              <w:rPr>
                <w:szCs w:val="21"/>
              </w:rPr>
              <w:t>Tensile Strength</w:t>
            </w:r>
            <w:r>
              <w:rPr>
                <w:rFonts w:hint="eastAsia"/>
                <w:szCs w:val="21"/>
              </w:rPr>
              <w:t>/Mpa</w:t>
            </w:r>
          </w:p>
        </w:tc>
        <w:tc>
          <w:tcPr>
            <w:tcW w:w="969" w:type="dxa"/>
            <w:vAlign w:val="center"/>
          </w:tcPr>
          <w:p w14:paraId="3B6B1922">
            <w:pPr>
              <w:autoSpaceDE w:val="0"/>
              <w:autoSpaceDN w:val="0"/>
              <w:adjustRightInd w:val="0"/>
              <w:spacing w:line="360" w:lineRule="auto"/>
              <w:jc w:val="center"/>
              <w:rPr>
                <w:szCs w:val="21"/>
              </w:rPr>
            </w:pPr>
            <w:r>
              <w:rPr>
                <w:rFonts w:hint="eastAsia"/>
                <w:szCs w:val="21"/>
              </w:rPr>
              <w:t>835</w:t>
            </w:r>
          </w:p>
        </w:tc>
        <w:tc>
          <w:tcPr>
            <w:tcW w:w="924" w:type="dxa"/>
            <w:vAlign w:val="center"/>
          </w:tcPr>
          <w:p w14:paraId="16B00DF0">
            <w:pPr>
              <w:autoSpaceDE w:val="0"/>
              <w:autoSpaceDN w:val="0"/>
              <w:adjustRightInd w:val="0"/>
              <w:spacing w:line="360" w:lineRule="auto"/>
              <w:jc w:val="center"/>
              <w:rPr>
                <w:szCs w:val="21"/>
              </w:rPr>
            </w:pPr>
            <w:r>
              <w:rPr>
                <w:rFonts w:hint="eastAsia"/>
                <w:szCs w:val="21"/>
              </w:rPr>
              <w:t>830</w:t>
            </w:r>
          </w:p>
        </w:tc>
        <w:tc>
          <w:tcPr>
            <w:tcW w:w="992" w:type="dxa"/>
            <w:vAlign w:val="center"/>
          </w:tcPr>
          <w:p w14:paraId="7B1368D4">
            <w:pPr>
              <w:autoSpaceDE w:val="0"/>
              <w:autoSpaceDN w:val="0"/>
              <w:adjustRightInd w:val="0"/>
              <w:spacing w:line="360" w:lineRule="auto"/>
              <w:jc w:val="center"/>
              <w:rPr>
                <w:szCs w:val="21"/>
              </w:rPr>
            </w:pPr>
            <w:r>
              <w:rPr>
                <w:rFonts w:hint="eastAsia"/>
                <w:szCs w:val="21"/>
              </w:rPr>
              <w:t>840</w:t>
            </w:r>
          </w:p>
        </w:tc>
        <w:tc>
          <w:tcPr>
            <w:tcW w:w="851" w:type="dxa"/>
            <w:vAlign w:val="center"/>
          </w:tcPr>
          <w:p w14:paraId="32A99982">
            <w:pPr>
              <w:autoSpaceDE w:val="0"/>
              <w:autoSpaceDN w:val="0"/>
              <w:adjustRightInd w:val="0"/>
              <w:spacing w:line="360" w:lineRule="auto"/>
              <w:jc w:val="center"/>
              <w:rPr>
                <w:szCs w:val="21"/>
              </w:rPr>
            </w:pPr>
            <w:r>
              <w:rPr>
                <w:rFonts w:hint="eastAsia"/>
                <w:szCs w:val="21"/>
              </w:rPr>
              <w:t>825</w:t>
            </w:r>
          </w:p>
        </w:tc>
        <w:tc>
          <w:tcPr>
            <w:tcW w:w="850" w:type="dxa"/>
            <w:vAlign w:val="center"/>
          </w:tcPr>
          <w:p w14:paraId="2F72D9E2">
            <w:pPr>
              <w:autoSpaceDE w:val="0"/>
              <w:autoSpaceDN w:val="0"/>
              <w:adjustRightInd w:val="0"/>
              <w:spacing w:line="360" w:lineRule="auto"/>
              <w:jc w:val="center"/>
              <w:rPr>
                <w:szCs w:val="21"/>
              </w:rPr>
            </w:pPr>
            <w:r>
              <w:rPr>
                <w:rFonts w:hint="eastAsia"/>
                <w:szCs w:val="21"/>
              </w:rPr>
              <w:t>825</w:t>
            </w:r>
          </w:p>
        </w:tc>
        <w:tc>
          <w:tcPr>
            <w:tcW w:w="1808" w:type="dxa"/>
            <w:vAlign w:val="center"/>
          </w:tcPr>
          <w:p w14:paraId="641D7BC8">
            <w:pPr>
              <w:autoSpaceDE w:val="0"/>
              <w:autoSpaceDN w:val="0"/>
              <w:adjustRightInd w:val="0"/>
              <w:spacing w:line="360" w:lineRule="auto"/>
              <w:jc w:val="center"/>
              <w:rPr>
                <w:szCs w:val="21"/>
              </w:rPr>
            </w:pPr>
            <w:r>
              <w:rPr>
                <w:rFonts w:hint="eastAsia"/>
                <w:szCs w:val="21"/>
              </w:rPr>
              <w:t>831</w:t>
            </w:r>
          </w:p>
        </w:tc>
      </w:tr>
      <w:tr w14:paraId="01C0B5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9" w:type="dxa"/>
            <w:vAlign w:val="center"/>
          </w:tcPr>
          <w:p w14:paraId="79E86A22">
            <w:pPr>
              <w:autoSpaceDE w:val="0"/>
              <w:autoSpaceDN w:val="0"/>
              <w:adjustRightInd w:val="0"/>
              <w:spacing w:line="360" w:lineRule="auto"/>
              <w:jc w:val="center"/>
              <w:rPr>
                <w:szCs w:val="21"/>
              </w:rPr>
            </w:pPr>
            <w:r>
              <w:rPr>
                <w:szCs w:val="21"/>
              </w:rPr>
              <w:t>Sample Gauge</w:t>
            </w:r>
            <w:r>
              <w:rPr>
                <w:rFonts w:hint="eastAsia"/>
                <w:szCs w:val="21"/>
              </w:rPr>
              <w:t>/mm</w:t>
            </w:r>
          </w:p>
        </w:tc>
        <w:tc>
          <w:tcPr>
            <w:tcW w:w="969" w:type="dxa"/>
            <w:vAlign w:val="center"/>
          </w:tcPr>
          <w:p w14:paraId="643C85DF">
            <w:pPr>
              <w:autoSpaceDE w:val="0"/>
              <w:autoSpaceDN w:val="0"/>
              <w:adjustRightInd w:val="0"/>
              <w:spacing w:line="360" w:lineRule="auto"/>
              <w:jc w:val="center"/>
              <w:rPr>
                <w:szCs w:val="21"/>
              </w:rPr>
            </w:pPr>
            <w:r>
              <w:rPr>
                <w:rFonts w:hint="eastAsia"/>
                <w:szCs w:val="21"/>
              </w:rPr>
              <w:t>50</w:t>
            </w:r>
          </w:p>
        </w:tc>
        <w:tc>
          <w:tcPr>
            <w:tcW w:w="924" w:type="dxa"/>
            <w:vAlign w:val="center"/>
          </w:tcPr>
          <w:p w14:paraId="00E8AF08">
            <w:pPr>
              <w:autoSpaceDE w:val="0"/>
              <w:autoSpaceDN w:val="0"/>
              <w:adjustRightInd w:val="0"/>
              <w:spacing w:line="360" w:lineRule="auto"/>
              <w:jc w:val="center"/>
              <w:rPr>
                <w:szCs w:val="21"/>
              </w:rPr>
            </w:pPr>
            <w:r>
              <w:rPr>
                <w:rFonts w:hint="eastAsia"/>
                <w:szCs w:val="21"/>
              </w:rPr>
              <w:t>50</w:t>
            </w:r>
          </w:p>
        </w:tc>
        <w:tc>
          <w:tcPr>
            <w:tcW w:w="992" w:type="dxa"/>
            <w:vAlign w:val="center"/>
          </w:tcPr>
          <w:p w14:paraId="798F7269">
            <w:pPr>
              <w:autoSpaceDE w:val="0"/>
              <w:autoSpaceDN w:val="0"/>
              <w:adjustRightInd w:val="0"/>
              <w:spacing w:line="360" w:lineRule="auto"/>
              <w:jc w:val="center"/>
              <w:rPr>
                <w:szCs w:val="21"/>
              </w:rPr>
            </w:pPr>
            <w:r>
              <w:rPr>
                <w:rFonts w:hint="eastAsia"/>
                <w:szCs w:val="21"/>
              </w:rPr>
              <w:t>50</w:t>
            </w:r>
          </w:p>
        </w:tc>
        <w:tc>
          <w:tcPr>
            <w:tcW w:w="851" w:type="dxa"/>
            <w:vAlign w:val="center"/>
          </w:tcPr>
          <w:p w14:paraId="0F25224E">
            <w:pPr>
              <w:autoSpaceDE w:val="0"/>
              <w:autoSpaceDN w:val="0"/>
              <w:adjustRightInd w:val="0"/>
              <w:spacing w:line="360" w:lineRule="auto"/>
              <w:jc w:val="center"/>
              <w:rPr>
                <w:szCs w:val="21"/>
              </w:rPr>
            </w:pPr>
            <w:r>
              <w:rPr>
                <w:rFonts w:hint="eastAsia"/>
                <w:szCs w:val="21"/>
              </w:rPr>
              <w:t>50</w:t>
            </w:r>
          </w:p>
        </w:tc>
        <w:tc>
          <w:tcPr>
            <w:tcW w:w="850" w:type="dxa"/>
            <w:vAlign w:val="center"/>
          </w:tcPr>
          <w:p w14:paraId="1EA1C89B">
            <w:pPr>
              <w:autoSpaceDE w:val="0"/>
              <w:autoSpaceDN w:val="0"/>
              <w:adjustRightInd w:val="0"/>
              <w:spacing w:line="360" w:lineRule="auto"/>
              <w:jc w:val="center"/>
              <w:rPr>
                <w:szCs w:val="21"/>
              </w:rPr>
            </w:pPr>
            <w:r>
              <w:rPr>
                <w:rFonts w:hint="eastAsia"/>
                <w:szCs w:val="21"/>
              </w:rPr>
              <w:t>50</w:t>
            </w:r>
          </w:p>
        </w:tc>
        <w:tc>
          <w:tcPr>
            <w:tcW w:w="1808" w:type="dxa"/>
            <w:vAlign w:val="center"/>
          </w:tcPr>
          <w:p w14:paraId="3F99939D">
            <w:pPr>
              <w:autoSpaceDE w:val="0"/>
              <w:autoSpaceDN w:val="0"/>
              <w:adjustRightInd w:val="0"/>
              <w:spacing w:line="360" w:lineRule="auto"/>
              <w:jc w:val="center"/>
              <w:rPr>
                <w:szCs w:val="21"/>
              </w:rPr>
            </w:pPr>
            <w:r>
              <w:rPr>
                <w:rFonts w:hint="eastAsia"/>
                <w:szCs w:val="21"/>
              </w:rPr>
              <w:t>—</w:t>
            </w:r>
          </w:p>
        </w:tc>
      </w:tr>
      <w:tr w14:paraId="3730A2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9" w:type="dxa"/>
            <w:vAlign w:val="center"/>
          </w:tcPr>
          <w:p w14:paraId="58FD8DDC">
            <w:pPr>
              <w:autoSpaceDE w:val="0"/>
              <w:autoSpaceDN w:val="0"/>
              <w:adjustRightInd w:val="0"/>
              <w:spacing w:line="360" w:lineRule="auto"/>
              <w:jc w:val="center"/>
              <w:rPr>
                <w:szCs w:val="21"/>
              </w:rPr>
            </w:pPr>
            <w:r>
              <w:rPr>
                <w:szCs w:val="21"/>
              </w:rPr>
              <w:t>Yield-to-Tensile Ratio</w:t>
            </w:r>
            <w:r>
              <w:rPr>
                <w:rFonts w:hint="eastAsia"/>
                <w:szCs w:val="21"/>
              </w:rPr>
              <w:t>/%</w:t>
            </w:r>
          </w:p>
        </w:tc>
        <w:tc>
          <w:tcPr>
            <w:tcW w:w="969" w:type="dxa"/>
            <w:vAlign w:val="center"/>
          </w:tcPr>
          <w:p w14:paraId="12381AA7">
            <w:pPr>
              <w:autoSpaceDE w:val="0"/>
              <w:autoSpaceDN w:val="0"/>
              <w:adjustRightInd w:val="0"/>
              <w:spacing w:line="360" w:lineRule="auto"/>
              <w:jc w:val="center"/>
              <w:rPr>
                <w:szCs w:val="21"/>
              </w:rPr>
            </w:pPr>
            <w:r>
              <w:rPr>
                <w:rFonts w:hint="eastAsia"/>
                <w:szCs w:val="21"/>
              </w:rPr>
              <w:t>88</w:t>
            </w:r>
          </w:p>
        </w:tc>
        <w:tc>
          <w:tcPr>
            <w:tcW w:w="924" w:type="dxa"/>
            <w:vAlign w:val="center"/>
          </w:tcPr>
          <w:p w14:paraId="0D63281A">
            <w:pPr>
              <w:autoSpaceDE w:val="0"/>
              <w:autoSpaceDN w:val="0"/>
              <w:adjustRightInd w:val="0"/>
              <w:spacing w:line="360" w:lineRule="auto"/>
              <w:jc w:val="center"/>
              <w:rPr>
                <w:szCs w:val="21"/>
              </w:rPr>
            </w:pPr>
            <w:r>
              <w:rPr>
                <w:rFonts w:hint="eastAsia"/>
                <w:szCs w:val="21"/>
              </w:rPr>
              <w:t>87</w:t>
            </w:r>
          </w:p>
        </w:tc>
        <w:tc>
          <w:tcPr>
            <w:tcW w:w="992" w:type="dxa"/>
            <w:vAlign w:val="center"/>
          </w:tcPr>
          <w:p w14:paraId="30062019">
            <w:pPr>
              <w:autoSpaceDE w:val="0"/>
              <w:autoSpaceDN w:val="0"/>
              <w:adjustRightInd w:val="0"/>
              <w:spacing w:line="360" w:lineRule="auto"/>
              <w:jc w:val="center"/>
              <w:rPr>
                <w:szCs w:val="21"/>
              </w:rPr>
            </w:pPr>
            <w:r>
              <w:rPr>
                <w:rFonts w:hint="eastAsia"/>
                <w:szCs w:val="21"/>
              </w:rPr>
              <w:t>88</w:t>
            </w:r>
          </w:p>
        </w:tc>
        <w:tc>
          <w:tcPr>
            <w:tcW w:w="851" w:type="dxa"/>
            <w:vAlign w:val="center"/>
          </w:tcPr>
          <w:p w14:paraId="760A30D3">
            <w:pPr>
              <w:autoSpaceDE w:val="0"/>
              <w:autoSpaceDN w:val="0"/>
              <w:adjustRightInd w:val="0"/>
              <w:spacing w:line="360" w:lineRule="auto"/>
              <w:jc w:val="center"/>
              <w:rPr>
                <w:szCs w:val="21"/>
              </w:rPr>
            </w:pPr>
            <w:r>
              <w:rPr>
                <w:rFonts w:hint="eastAsia"/>
                <w:szCs w:val="21"/>
              </w:rPr>
              <w:t>88</w:t>
            </w:r>
          </w:p>
        </w:tc>
        <w:tc>
          <w:tcPr>
            <w:tcW w:w="850" w:type="dxa"/>
            <w:vAlign w:val="center"/>
          </w:tcPr>
          <w:p w14:paraId="00001561">
            <w:pPr>
              <w:autoSpaceDE w:val="0"/>
              <w:autoSpaceDN w:val="0"/>
              <w:adjustRightInd w:val="0"/>
              <w:spacing w:line="360" w:lineRule="auto"/>
              <w:jc w:val="center"/>
              <w:rPr>
                <w:szCs w:val="21"/>
              </w:rPr>
            </w:pPr>
            <w:r>
              <w:rPr>
                <w:rFonts w:hint="eastAsia"/>
                <w:szCs w:val="21"/>
              </w:rPr>
              <w:t>87</w:t>
            </w:r>
          </w:p>
        </w:tc>
        <w:tc>
          <w:tcPr>
            <w:tcW w:w="1808" w:type="dxa"/>
            <w:vAlign w:val="center"/>
          </w:tcPr>
          <w:p w14:paraId="1E40CE22">
            <w:pPr>
              <w:autoSpaceDE w:val="0"/>
              <w:autoSpaceDN w:val="0"/>
              <w:adjustRightInd w:val="0"/>
              <w:spacing w:line="360" w:lineRule="auto"/>
              <w:jc w:val="center"/>
              <w:rPr>
                <w:szCs w:val="21"/>
              </w:rPr>
            </w:pPr>
            <w:r>
              <w:rPr>
                <w:rFonts w:hint="eastAsia"/>
                <w:szCs w:val="21"/>
              </w:rPr>
              <w:t>87.6</w:t>
            </w:r>
          </w:p>
        </w:tc>
      </w:tr>
      <w:tr w14:paraId="573A65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9" w:type="dxa"/>
            <w:vAlign w:val="center"/>
          </w:tcPr>
          <w:p w14:paraId="5FC5C116">
            <w:pPr>
              <w:autoSpaceDE w:val="0"/>
              <w:autoSpaceDN w:val="0"/>
              <w:adjustRightInd w:val="0"/>
              <w:spacing w:line="360" w:lineRule="auto"/>
              <w:jc w:val="center"/>
              <w:rPr>
                <w:szCs w:val="21"/>
              </w:rPr>
            </w:pPr>
            <w:r>
              <w:rPr>
                <w:szCs w:val="21"/>
              </w:rPr>
              <w:t>Elongation</w:t>
            </w:r>
            <w:r>
              <w:rPr>
                <w:rFonts w:hint="eastAsia"/>
                <w:szCs w:val="21"/>
              </w:rPr>
              <w:t>/%</w:t>
            </w:r>
          </w:p>
        </w:tc>
        <w:tc>
          <w:tcPr>
            <w:tcW w:w="969" w:type="dxa"/>
            <w:vAlign w:val="center"/>
          </w:tcPr>
          <w:p w14:paraId="408D4634">
            <w:pPr>
              <w:autoSpaceDE w:val="0"/>
              <w:autoSpaceDN w:val="0"/>
              <w:adjustRightInd w:val="0"/>
              <w:spacing w:line="360" w:lineRule="auto"/>
              <w:jc w:val="center"/>
              <w:rPr>
                <w:szCs w:val="21"/>
              </w:rPr>
            </w:pPr>
            <w:r>
              <w:rPr>
                <w:rFonts w:hint="eastAsia"/>
                <w:szCs w:val="21"/>
              </w:rPr>
              <w:t>20</w:t>
            </w:r>
          </w:p>
        </w:tc>
        <w:tc>
          <w:tcPr>
            <w:tcW w:w="924" w:type="dxa"/>
            <w:vAlign w:val="center"/>
          </w:tcPr>
          <w:p w14:paraId="06CB113C">
            <w:pPr>
              <w:autoSpaceDE w:val="0"/>
              <w:autoSpaceDN w:val="0"/>
              <w:adjustRightInd w:val="0"/>
              <w:spacing w:line="360" w:lineRule="auto"/>
              <w:jc w:val="center"/>
              <w:rPr>
                <w:szCs w:val="21"/>
              </w:rPr>
            </w:pPr>
            <w:r>
              <w:rPr>
                <w:rFonts w:hint="eastAsia"/>
                <w:szCs w:val="21"/>
              </w:rPr>
              <w:t>20</w:t>
            </w:r>
          </w:p>
        </w:tc>
        <w:tc>
          <w:tcPr>
            <w:tcW w:w="992" w:type="dxa"/>
            <w:vAlign w:val="center"/>
          </w:tcPr>
          <w:p w14:paraId="3760E431">
            <w:pPr>
              <w:autoSpaceDE w:val="0"/>
              <w:autoSpaceDN w:val="0"/>
              <w:adjustRightInd w:val="0"/>
              <w:spacing w:line="360" w:lineRule="auto"/>
              <w:jc w:val="center"/>
              <w:rPr>
                <w:szCs w:val="21"/>
              </w:rPr>
            </w:pPr>
            <w:r>
              <w:rPr>
                <w:rFonts w:hint="eastAsia"/>
                <w:szCs w:val="21"/>
              </w:rPr>
              <w:t>21</w:t>
            </w:r>
          </w:p>
        </w:tc>
        <w:tc>
          <w:tcPr>
            <w:tcW w:w="851" w:type="dxa"/>
            <w:vAlign w:val="center"/>
          </w:tcPr>
          <w:p w14:paraId="1B1F0AE3">
            <w:pPr>
              <w:autoSpaceDE w:val="0"/>
              <w:autoSpaceDN w:val="0"/>
              <w:adjustRightInd w:val="0"/>
              <w:spacing w:line="360" w:lineRule="auto"/>
              <w:jc w:val="center"/>
              <w:rPr>
                <w:szCs w:val="21"/>
              </w:rPr>
            </w:pPr>
            <w:r>
              <w:rPr>
                <w:rFonts w:hint="eastAsia"/>
                <w:szCs w:val="21"/>
              </w:rPr>
              <w:t>19</w:t>
            </w:r>
          </w:p>
        </w:tc>
        <w:tc>
          <w:tcPr>
            <w:tcW w:w="850" w:type="dxa"/>
            <w:vAlign w:val="center"/>
          </w:tcPr>
          <w:p w14:paraId="10F16D33">
            <w:pPr>
              <w:autoSpaceDE w:val="0"/>
              <w:autoSpaceDN w:val="0"/>
              <w:adjustRightInd w:val="0"/>
              <w:spacing w:line="360" w:lineRule="auto"/>
              <w:jc w:val="center"/>
              <w:rPr>
                <w:szCs w:val="21"/>
              </w:rPr>
            </w:pPr>
            <w:r>
              <w:rPr>
                <w:rFonts w:hint="eastAsia"/>
                <w:szCs w:val="21"/>
              </w:rPr>
              <w:t>22</w:t>
            </w:r>
          </w:p>
        </w:tc>
        <w:tc>
          <w:tcPr>
            <w:tcW w:w="1808" w:type="dxa"/>
            <w:vAlign w:val="center"/>
          </w:tcPr>
          <w:p w14:paraId="18F702FD">
            <w:pPr>
              <w:autoSpaceDE w:val="0"/>
              <w:autoSpaceDN w:val="0"/>
              <w:adjustRightInd w:val="0"/>
              <w:spacing w:line="360" w:lineRule="auto"/>
              <w:jc w:val="center"/>
              <w:rPr>
                <w:szCs w:val="21"/>
              </w:rPr>
            </w:pPr>
            <w:r>
              <w:rPr>
                <w:rFonts w:hint="eastAsia"/>
                <w:szCs w:val="21"/>
              </w:rPr>
              <w:t>20.4</w:t>
            </w:r>
          </w:p>
        </w:tc>
      </w:tr>
      <w:tr w14:paraId="70A54C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9" w:type="dxa"/>
            <w:tcBorders>
              <w:bottom w:val="nil"/>
            </w:tcBorders>
            <w:vAlign w:val="center"/>
          </w:tcPr>
          <w:p w14:paraId="7667C96A">
            <w:pPr>
              <w:autoSpaceDE w:val="0"/>
              <w:autoSpaceDN w:val="0"/>
              <w:adjustRightInd w:val="0"/>
              <w:spacing w:line="360" w:lineRule="auto"/>
              <w:jc w:val="center"/>
              <w:rPr>
                <w:szCs w:val="21"/>
              </w:rPr>
            </w:pPr>
            <w:r>
              <w:rPr>
                <w:szCs w:val="21"/>
              </w:rPr>
              <w:t>Area Reduction</w:t>
            </w:r>
            <w:r>
              <w:rPr>
                <w:rFonts w:hint="eastAsia"/>
                <w:szCs w:val="21"/>
              </w:rPr>
              <w:t>/%</w:t>
            </w:r>
          </w:p>
        </w:tc>
        <w:tc>
          <w:tcPr>
            <w:tcW w:w="969" w:type="dxa"/>
            <w:tcBorders>
              <w:bottom w:val="nil"/>
            </w:tcBorders>
            <w:vAlign w:val="center"/>
          </w:tcPr>
          <w:p w14:paraId="06A6E94A">
            <w:pPr>
              <w:autoSpaceDE w:val="0"/>
              <w:autoSpaceDN w:val="0"/>
              <w:adjustRightInd w:val="0"/>
              <w:spacing w:line="360" w:lineRule="auto"/>
              <w:jc w:val="center"/>
              <w:rPr>
                <w:szCs w:val="21"/>
              </w:rPr>
            </w:pPr>
            <w:r>
              <w:rPr>
                <w:rFonts w:hint="eastAsia"/>
                <w:szCs w:val="21"/>
              </w:rPr>
              <w:t>35</w:t>
            </w:r>
          </w:p>
        </w:tc>
        <w:tc>
          <w:tcPr>
            <w:tcW w:w="924" w:type="dxa"/>
            <w:tcBorders>
              <w:bottom w:val="nil"/>
            </w:tcBorders>
            <w:vAlign w:val="center"/>
          </w:tcPr>
          <w:p w14:paraId="4C506013">
            <w:pPr>
              <w:autoSpaceDE w:val="0"/>
              <w:autoSpaceDN w:val="0"/>
              <w:adjustRightInd w:val="0"/>
              <w:spacing w:line="360" w:lineRule="auto"/>
              <w:jc w:val="center"/>
              <w:rPr>
                <w:szCs w:val="21"/>
              </w:rPr>
            </w:pPr>
            <w:r>
              <w:rPr>
                <w:rFonts w:hint="eastAsia"/>
                <w:szCs w:val="21"/>
              </w:rPr>
              <w:t>36</w:t>
            </w:r>
          </w:p>
        </w:tc>
        <w:tc>
          <w:tcPr>
            <w:tcW w:w="992" w:type="dxa"/>
            <w:tcBorders>
              <w:bottom w:val="nil"/>
            </w:tcBorders>
            <w:vAlign w:val="center"/>
          </w:tcPr>
          <w:p w14:paraId="4282887A">
            <w:pPr>
              <w:autoSpaceDE w:val="0"/>
              <w:autoSpaceDN w:val="0"/>
              <w:adjustRightInd w:val="0"/>
              <w:spacing w:line="360" w:lineRule="auto"/>
              <w:jc w:val="center"/>
              <w:rPr>
                <w:szCs w:val="21"/>
              </w:rPr>
            </w:pPr>
            <w:r>
              <w:rPr>
                <w:rFonts w:hint="eastAsia"/>
                <w:szCs w:val="21"/>
              </w:rPr>
              <w:t>54</w:t>
            </w:r>
          </w:p>
        </w:tc>
        <w:tc>
          <w:tcPr>
            <w:tcW w:w="851" w:type="dxa"/>
            <w:tcBorders>
              <w:bottom w:val="nil"/>
            </w:tcBorders>
            <w:vAlign w:val="center"/>
          </w:tcPr>
          <w:p w14:paraId="24BA866A">
            <w:pPr>
              <w:autoSpaceDE w:val="0"/>
              <w:autoSpaceDN w:val="0"/>
              <w:adjustRightInd w:val="0"/>
              <w:spacing w:line="360" w:lineRule="auto"/>
              <w:jc w:val="center"/>
              <w:rPr>
                <w:szCs w:val="21"/>
              </w:rPr>
            </w:pPr>
            <w:r>
              <w:rPr>
                <w:rFonts w:hint="eastAsia"/>
                <w:szCs w:val="21"/>
              </w:rPr>
              <w:t>42</w:t>
            </w:r>
          </w:p>
        </w:tc>
        <w:tc>
          <w:tcPr>
            <w:tcW w:w="850" w:type="dxa"/>
            <w:tcBorders>
              <w:bottom w:val="nil"/>
            </w:tcBorders>
            <w:vAlign w:val="center"/>
          </w:tcPr>
          <w:p w14:paraId="22C35F09">
            <w:pPr>
              <w:autoSpaceDE w:val="0"/>
              <w:autoSpaceDN w:val="0"/>
              <w:adjustRightInd w:val="0"/>
              <w:spacing w:line="360" w:lineRule="auto"/>
              <w:jc w:val="center"/>
              <w:rPr>
                <w:szCs w:val="21"/>
              </w:rPr>
            </w:pPr>
            <w:r>
              <w:rPr>
                <w:rFonts w:hint="eastAsia"/>
                <w:szCs w:val="21"/>
              </w:rPr>
              <w:t>42</w:t>
            </w:r>
          </w:p>
        </w:tc>
        <w:tc>
          <w:tcPr>
            <w:tcW w:w="1808" w:type="dxa"/>
            <w:tcBorders>
              <w:bottom w:val="nil"/>
            </w:tcBorders>
            <w:vAlign w:val="center"/>
          </w:tcPr>
          <w:p w14:paraId="3C219D88">
            <w:pPr>
              <w:autoSpaceDE w:val="0"/>
              <w:autoSpaceDN w:val="0"/>
              <w:adjustRightInd w:val="0"/>
              <w:spacing w:line="360" w:lineRule="auto"/>
              <w:jc w:val="center"/>
              <w:rPr>
                <w:szCs w:val="21"/>
              </w:rPr>
            </w:pPr>
            <w:r>
              <w:rPr>
                <w:rFonts w:hint="eastAsia"/>
                <w:szCs w:val="21"/>
              </w:rPr>
              <w:t>42</w:t>
            </w:r>
          </w:p>
        </w:tc>
      </w:tr>
      <w:tr w14:paraId="3C5FA4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9" w:type="dxa"/>
            <w:tcBorders>
              <w:top w:val="nil"/>
              <w:bottom w:val="single" w:color="auto" w:sz="12" w:space="0"/>
            </w:tcBorders>
            <w:vAlign w:val="center"/>
          </w:tcPr>
          <w:p w14:paraId="106B88B9">
            <w:pPr>
              <w:autoSpaceDE w:val="0"/>
              <w:autoSpaceDN w:val="0"/>
              <w:adjustRightInd w:val="0"/>
              <w:spacing w:line="360" w:lineRule="auto"/>
              <w:jc w:val="center"/>
              <w:rPr>
                <w:szCs w:val="21"/>
              </w:rPr>
            </w:pPr>
            <w:r>
              <w:rPr>
                <w:szCs w:val="21"/>
              </w:rPr>
              <w:t>Fracture Position</w:t>
            </w:r>
          </w:p>
        </w:tc>
        <w:tc>
          <w:tcPr>
            <w:tcW w:w="969" w:type="dxa"/>
            <w:tcBorders>
              <w:top w:val="nil"/>
              <w:bottom w:val="single" w:color="auto" w:sz="12" w:space="0"/>
            </w:tcBorders>
            <w:vAlign w:val="center"/>
          </w:tcPr>
          <w:p w14:paraId="0868E7B8">
            <w:pPr>
              <w:autoSpaceDE w:val="0"/>
              <w:autoSpaceDN w:val="0"/>
              <w:adjustRightInd w:val="0"/>
              <w:spacing w:line="360" w:lineRule="auto"/>
              <w:jc w:val="center"/>
              <w:rPr>
                <w:szCs w:val="21"/>
              </w:rPr>
            </w:pPr>
            <w:r>
              <w:rPr>
                <w:szCs w:val="21"/>
              </w:rPr>
              <w:t>Within the gauge</w:t>
            </w:r>
          </w:p>
        </w:tc>
        <w:tc>
          <w:tcPr>
            <w:tcW w:w="924" w:type="dxa"/>
            <w:tcBorders>
              <w:top w:val="nil"/>
              <w:bottom w:val="single" w:color="auto" w:sz="12" w:space="0"/>
            </w:tcBorders>
            <w:vAlign w:val="center"/>
          </w:tcPr>
          <w:p w14:paraId="3B8E2E66">
            <w:pPr>
              <w:autoSpaceDE w:val="0"/>
              <w:autoSpaceDN w:val="0"/>
              <w:adjustRightInd w:val="0"/>
              <w:spacing w:line="360" w:lineRule="auto"/>
              <w:jc w:val="center"/>
              <w:rPr>
                <w:szCs w:val="21"/>
              </w:rPr>
            </w:pPr>
            <w:r>
              <w:rPr>
                <w:szCs w:val="21"/>
              </w:rPr>
              <w:t>Within the gauge</w:t>
            </w:r>
          </w:p>
        </w:tc>
        <w:tc>
          <w:tcPr>
            <w:tcW w:w="992" w:type="dxa"/>
            <w:tcBorders>
              <w:top w:val="nil"/>
              <w:bottom w:val="single" w:color="auto" w:sz="12" w:space="0"/>
            </w:tcBorders>
            <w:vAlign w:val="center"/>
          </w:tcPr>
          <w:p w14:paraId="5896CD81">
            <w:pPr>
              <w:autoSpaceDE w:val="0"/>
              <w:autoSpaceDN w:val="0"/>
              <w:adjustRightInd w:val="0"/>
              <w:spacing w:line="360" w:lineRule="auto"/>
              <w:jc w:val="center"/>
              <w:rPr>
                <w:szCs w:val="21"/>
              </w:rPr>
            </w:pPr>
            <w:r>
              <w:rPr>
                <w:szCs w:val="21"/>
              </w:rPr>
              <w:t>Within the gauge</w:t>
            </w:r>
          </w:p>
        </w:tc>
        <w:tc>
          <w:tcPr>
            <w:tcW w:w="851" w:type="dxa"/>
            <w:tcBorders>
              <w:top w:val="nil"/>
              <w:bottom w:val="single" w:color="auto" w:sz="12" w:space="0"/>
            </w:tcBorders>
            <w:vAlign w:val="center"/>
          </w:tcPr>
          <w:p w14:paraId="2C56AE86">
            <w:pPr>
              <w:autoSpaceDE w:val="0"/>
              <w:autoSpaceDN w:val="0"/>
              <w:adjustRightInd w:val="0"/>
              <w:spacing w:line="360" w:lineRule="auto"/>
              <w:jc w:val="center"/>
              <w:rPr>
                <w:szCs w:val="21"/>
              </w:rPr>
            </w:pPr>
            <w:r>
              <w:rPr>
                <w:szCs w:val="21"/>
              </w:rPr>
              <w:t>Within the gauge</w:t>
            </w:r>
          </w:p>
        </w:tc>
        <w:tc>
          <w:tcPr>
            <w:tcW w:w="850" w:type="dxa"/>
            <w:tcBorders>
              <w:top w:val="nil"/>
              <w:bottom w:val="single" w:color="auto" w:sz="12" w:space="0"/>
            </w:tcBorders>
            <w:vAlign w:val="center"/>
          </w:tcPr>
          <w:p w14:paraId="14720A4C">
            <w:pPr>
              <w:autoSpaceDE w:val="0"/>
              <w:autoSpaceDN w:val="0"/>
              <w:adjustRightInd w:val="0"/>
              <w:spacing w:line="360" w:lineRule="auto"/>
              <w:jc w:val="center"/>
              <w:rPr>
                <w:szCs w:val="21"/>
              </w:rPr>
            </w:pPr>
            <w:r>
              <w:rPr>
                <w:szCs w:val="21"/>
              </w:rPr>
              <w:t>Within the gauge</w:t>
            </w:r>
          </w:p>
        </w:tc>
        <w:tc>
          <w:tcPr>
            <w:tcW w:w="1808" w:type="dxa"/>
            <w:tcBorders>
              <w:top w:val="nil"/>
              <w:bottom w:val="single" w:color="auto" w:sz="12" w:space="0"/>
            </w:tcBorders>
            <w:vAlign w:val="center"/>
          </w:tcPr>
          <w:p w14:paraId="7601C140">
            <w:pPr>
              <w:autoSpaceDE w:val="0"/>
              <w:autoSpaceDN w:val="0"/>
              <w:adjustRightInd w:val="0"/>
              <w:spacing w:line="360" w:lineRule="auto"/>
              <w:jc w:val="center"/>
              <w:rPr>
                <w:szCs w:val="21"/>
              </w:rPr>
            </w:pPr>
            <w:r>
              <w:rPr>
                <w:rFonts w:hint="eastAsia"/>
                <w:szCs w:val="21"/>
              </w:rPr>
              <w:t>—</w:t>
            </w:r>
          </w:p>
        </w:tc>
      </w:tr>
    </w:tbl>
    <w:p w14:paraId="1B6584EC">
      <w:pPr>
        <w:pStyle w:val="16"/>
        <w:spacing w:before="31" w:after="31"/>
        <w:ind w:firstLine="482"/>
        <w:jc w:val="center"/>
        <w:rPr>
          <w:b/>
          <w:bCs/>
          <w:szCs w:val="24"/>
        </w:rPr>
      </w:pPr>
    </w:p>
    <w:p w14:paraId="1358AAD4">
      <w:pPr>
        <w:pStyle w:val="16"/>
        <w:spacing w:before="31" w:after="31"/>
        <w:ind w:firstLine="482"/>
        <w:jc w:val="center"/>
        <w:rPr>
          <w:b/>
          <w:bCs/>
          <w:szCs w:val="24"/>
        </w:rPr>
      </w:pPr>
      <w:r>
        <w:rPr>
          <w:b/>
          <w:bCs/>
          <w:szCs w:val="24"/>
        </w:rPr>
        <w:t>Table 4-4: Heat Treatment Process and Tensile Properties of API Grade N80 Casing Steel</w:t>
      </w:r>
    </w:p>
    <w:tbl>
      <w:tblPr>
        <w:tblStyle w:val="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0"/>
        <w:gridCol w:w="698"/>
        <w:gridCol w:w="1435"/>
        <w:gridCol w:w="1033"/>
        <w:gridCol w:w="1010"/>
        <w:gridCol w:w="1486"/>
        <w:gridCol w:w="2130"/>
      </w:tblGrid>
      <w:tr w14:paraId="214163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30" w:type="dxa"/>
            <w:vMerge w:val="restart"/>
            <w:tcBorders>
              <w:top w:val="single" w:color="auto" w:sz="12" w:space="0"/>
              <w:bottom w:val="nil"/>
            </w:tcBorders>
            <w:vAlign w:val="center"/>
          </w:tcPr>
          <w:p w14:paraId="4D47C095">
            <w:pPr>
              <w:pStyle w:val="20"/>
              <w:spacing w:beforeLines="0" w:afterLines="0" w:line="312" w:lineRule="auto"/>
              <w:rPr>
                <w:rFonts w:eastAsia="宋体"/>
                <w:b w:val="0"/>
              </w:rPr>
            </w:pPr>
            <w:r>
              <w:rPr>
                <w:rFonts w:hAnsi="宋体" w:eastAsia="宋体"/>
                <w:b w:val="0"/>
              </w:rPr>
              <w:t>Steel Grade</w:t>
            </w:r>
          </w:p>
        </w:tc>
        <w:tc>
          <w:tcPr>
            <w:tcW w:w="698" w:type="dxa"/>
            <w:vMerge w:val="restart"/>
            <w:tcBorders>
              <w:top w:val="single" w:color="auto" w:sz="12" w:space="0"/>
              <w:bottom w:val="nil"/>
            </w:tcBorders>
            <w:vAlign w:val="center"/>
          </w:tcPr>
          <w:p w14:paraId="54B3EDF8">
            <w:pPr>
              <w:pStyle w:val="20"/>
              <w:spacing w:beforeLines="0" w:afterLines="0" w:line="312" w:lineRule="auto"/>
              <w:rPr>
                <w:rFonts w:eastAsia="宋体"/>
                <w:b w:val="0"/>
              </w:rPr>
            </w:pPr>
            <w:r>
              <w:rPr>
                <w:rFonts w:eastAsia="宋体"/>
                <w:b w:val="0"/>
              </w:rPr>
              <w:t>Type</w:t>
            </w:r>
          </w:p>
        </w:tc>
        <w:tc>
          <w:tcPr>
            <w:tcW w:w="1435" w:type="dxa"/>
            <w:vMerge w:val="restart"/>
            <w:tcBorders>
              <w:top w:val="single" w:color="auto" w:sz="12" w:space="0"/>
              <w:bottom w:val="nil"/>
            </w:tcBorders>
            <w:vAlign w:val="center"/>
          </w:tcPr>
          <w:p w14:paraId="15BD14C5">
            <w:pPr>
              <w:pStyle w:val="20"/>
              <w:spacing w:beforeLines="0" w:afterLines="0" w:line="312" w:lineRule="auto"/>
              <w:rPr>
                <w:rFonts w:eastAsia="宋体"/>
                <w:b w:val="0"/>
              </w:rPr>
            </w:pPr>
            <w:r>
              <w:rPr>
                <w:rFonts w:eastAsia="宋体"/>
                <w:b w:val="0"/>
              </w:rPr>
              <w:t>Heat Treatment Process</w:t>
            </w:r>
          </w:p>
        </w:tc>
        <w:tc>
          <w:tcPr>
            <w:tcW w:w="2043" w:type="dxa"/>
            <w:gridSpan w:val="2"/>
            <w:tcBorders>
              <w:top w:val="single" w:color="auto" w:sz="12" w:space="0"/>
              <w:bottom w:val="single" w:color="auto" w:sz="12" w:space="0"/>
            </w:tcBorders>
            <w:vAlign w:val="center"/>
          </w:tcPr>
          <w:p w14:paraId="11D27C99">
            <w:pPr>
              <w:pStyle w:val="20"/>
              <w:spacing w:beforeLines="0" w:afterLines="0" w:line="312" w:lineRule="auto"/>
              <w:rPr>
                <w:rFonts w:eastAsia="宋体"/>
                <w:b w:val="0"/>
              </w:rPr>
            </w:pPr>
            <w:r>
              <w:rPr>
                <w:rFonts w:eastAsia="宋体"/>
                <w:b w:val="0"/>
              </w:rPr>
              <w:t>Yield Strength</w:t>
            </w:r>
            <w:r>
              <w:rPr>
                <w:rFonts w:hint="eastAsia" w:eastAsia="宋体"/>
                <w:b w:val="0"/>
              </w:rPr>
              <w:t xml:space="preserve"> /MPa</w:t>
            </w:r>
          </w:p>
        </w:tc>
        <w:tc>
          <w:tcPr>
            <w:tcW w:w="1486" w:type="dxa"/>
            <w:vMerge w:val="restart"/>
            <w:tcBorders>
              <w:top w:val="single" w:color="auto" w:sz="12" w:space="0"/>
              <w:bottom w:val="nil"/>
            </w:tcBorders>
            <w:vAlign w:val="center"/>
          </w:tcPr>
          <w:p w14:paraId="5302A171">
            <w:pPr>
              <w:pStyle w:val="20"/>
              <w:spacing w:before="468" w:after="156" w:line="312" w:lineRule="auto"/>
              <w:rPr>
                <w:rFonts w:eastAsia="宋体"/>
                <w:b w:val="0"/>
              </w:rPr>
            </w:pPr>
            <w:r>
              <w:rPr>
                <w:rFonts w:eastAsia="宋体"/>
                <w:b w:val="0"/>
              </w:rPr>
              <w:t>Minimum Tensile Strength</w:t>
            </w:r>
          </w:p>
        </w:tc>
        <w:tc>
          <w:tcPr>
            <w:tcW w:w="2130" w:type="dxa"/>
            <w:tcBorders>
              <w:top w:val="single" w:color="auto" w:sz="12" w:space="0"/>
              <w:bottom w:val="single" w:color="auto" w:sz="12" w:space="0"/>
            </w:tcBorders>
            <w:vAlign w:val="center"/>
          </w:tcPr>
          <w:p w14:paraId="26F85E2B">
            <w:pPr>
              <w:pStyle w:val="20"/>
              <w:spacing w:beforeLines="0" w:afterLines="0" w:line="312" w:lineRule="auto"/>
              <w:rPr>
                <w:rFonts w:eastAsia="宋体"/>
                <w:b w:val="0"/>
              </w:rPr>
            </w:pPr>
            <w:r>
              <w:rPr>
                <w:rFonts w:eastAsia="宋体"/>
                <w:b w:val="0"/>
              </w:rPr>
              <w:t>Yield-to-tensile ratio.</w:t>
            </w:r>
            <w:r>
              <w:rPr>
                <w:rFonts w:hint="eastAsia" w:eastAsia="宋体"/>
                <w:b w:val="0"/>
              </w:rPr>
              <w:t xml:space="preserve"> /%</w:t>
            </w:r>
          </w:p>
        </w:tc>
      </w:tr>
      <w:tr w14:paraId="30D29F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30" w:type="dxa"/>
            <w:vMerge w:val="continue"/>
            <w:tcBorders>
              <w:top w:val="nil"/>
              <w:bottom w:val="single" w:color="auto" w:sz="12" w:space="0"/>
            </w:tcBorders>
            <w:vAlign w:val="center"/>
          </w:tcPr>
          <w:p w14:paraId="6496C576">
            <w:pPr>
              <w:pStyle w:val="20"/>
              <w:spacing w:beforeLines="0" w:afterLines="0" w:line="312" w:lineRule="auto"/>
              <w:rPr>
                <w:rFonts w:eastAsia="宋体"/>
                <w:b w:val="0"/>
              </w:rPr>
            </w:pPr>
          </w:p>
        </w:tc>
        <w:tc>
          <w:tcPr>
            <w:tcW w:w="698" w:type="dxa"/>
            <w:vMerge w:val="continue"/>
            <w:tcBorders>
              <w:top w:val="nil"/>
              <w:bottom w:val="single" w:color="auto" w:sz="12" w:space="0"/>
            </w:tcBorders>
            <w:vAlign w:val="center"/>
          </w:tcPr>
          <w:p w14:paraId="07223AC1">
            <w:pPr>
              <w:pStyle w:val="20"/>
              <w:spacing w:beforeLines="0" w:afterLines="0" w:line="312" w:lineRule="auto"/>
              <w:rPr>
                <w:rFonts w:eastAsia="宋体"/>
                <w:b w:val="0"/>
              </w:rPr>
            </w:pPr>
          </w:p>
        </w:tc>
        <w:tc>
          <w:tcPr>
            <w:tcW w:w="1435" w:type="dxa"/>
            <w:vMerge w:val="continue"/>
            <w:tcBorders>
              <w:top w:val="nil"/>
              <w:bottom w:val="single" w:color="auto" w:sz="12" w:space="0"/>
            </w:tcBorders>
            <w:vAlign w:val="center"/>
          </w:tcPr>
          <w:p w14:paraId="4734AD65">
            <w:pPr>
              <w:pStyle w:val="20"/>
              <w:spacing w:beforeLines="0" w:afterLines="0" w:line="312" w:lineRule="auto"/>
              <w:rPr>
                <w:rFonts w:eastAsia="宋体"/>
                <w:b w:val="0"/>
              </w:rPr>
            </w:pPr>
          </w:p>
        </w:tc>
        <w:tc>
          <w:tcPr>
            <w:tcW w:w="1033" w:type="dxa"/>
            <w:tcBorders>
              <w:top w:val="single" w:color="auto" w:sz="12" w:space="0"/>
              <w:bottom w:val="single" w:color="auto" w:sz="12" w:space="0"/>
            </w:tcBorders>
            <w:vAlign w:val="center"/>
          </w:tcPr>
          <w:p w14:paraId="4AECC6C5">
            <w:pPr>
              <w:pStyle w:val="20"/>
              <w:spacing w:beforeLines="0" w:afterLines="0" w:line="312" w:lineRule="auto"/>
              <w:rPr>
                <w:rFonts w:eastAsia="宋体"/>
                <w:b w:val="0"/>
              </w:rPr>
            </w:pPr>
            <w:r>
              <w:rPr>
                <w:rFonts w:eastAsia="宋体"/>
                <w:b w:val="0"/>
              </w:rPr>
              <w:t>minimum</w:t>
            </w:r>
          </w:p>
        </w:tc>
        <w:tc>
          <w:tcPr>
            <w:tcW w:w="1010" w:type="dxa"/>
            <w:tcBorders>
              <w:top w:val="single" w:color="auto" w:sz="12" w:space="0"/>
              <w:bottom w:val="single" w:color="auto" w:sz="12" w:space="0"/>
            </w:tcBorders>
            <w:vAlign w:val="center"/>
          </w:tcPr>
          <w:p w14:paraId="78924D8D">
            <w:pPr>
              <w:pStyle w:val="20"/>
              <w:spacing w:beforeLines="0" w:afterLines="0" w:line="312" w:lineRule="auto"/>
              <w:rPr>
                <w:rFonts w:eastAsia="宋体"/>
                <w:b w:val="0"/>
              </w:rPr>
            </w:pPr>
            <w:r>
              <w:rPr>
                <w:rFonts w:eastAsia="宋体"/>
                <w:b w:val="0"/>
              </w:rPr>
              <w:t>maxmum</w:t>
            </w:r>
          </w:p>
        </w:tc>
        <w:tc>
          <w:tcPr>
            <w:tcW w:w="1486" w:type="dxa"/>
            <w:vMerge w:val="continue"/>
            <w:tcBorders>
              <w:top w:val="nil"/>
              <w:bottom w:val="single" w:color="auto" w:sz="12" w:space="0"/>
            </w:tcBorders>
            <w:vAlign w:val="center"/>
          </w:tcPr>
          <w:p w14:paraId="1FB62032">
            <w:pPr>
              <w:pStyle w:val="20"/>
              <w:spacing w:beforeLines="0" w:afterLines="0" w:line="312" w:lineRule="auto"/>
              <w:rPr>
                <w:rFonts w:eastAsia="宋体"/>
                <w:b w:val="0"/>
              </w:rPr>
            </w:pPr>
          </w:p>
        </w:tc>
        <w:tc>
          <w:tcPr>
            <w:tcW w:w="2130" w:type="dxa"/>
            <w:tcBorders>
              <w:top w:val="single" w:color="auto" w:sz="12" w:space="0"/>
              <w:bottom w:val="single" w:color="auto" w:sz="12" w:space="0"/>
            </w:tcBorders>
            <w:vAlign w:val="center"/>
          </w:tcPr>
          <w:p w14:paraId="28FDEF50">
            <w:pPr>
              <w:pStyle w:val="20"/>
              <w:spacing w:beforeLines="0" w:afterLines="0" w:line="312" w:lineRule="auto"/>
              <w:rPr>
                <w:rFonts w:eastAsia="宋体"/>
                <w:b w:val="0"/>
              </w:rPr>
            </w:pPr>
            <w:r>
              <w:rPr>
                <w:rFonts w:eastAsia="宋体"/>
                <w:b w:val="0"/>
              </w:rPr>
              <w:t>Calculated based on the minimum yield strength and the minimum tensile strength.</w:t>
            </w:r>
          </w:p>
        </w:tc>
      </w:tr>
      <w:tr w14:paraId="666CE7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30" w:type="dxa"/>
            <w:vMerge w:val="restart"/>
            <w:tcBorders>
              <w:top w:val="single" w:color="auto" w:sz="12" w:space="0"/>
            </w:tcBorders>
            <w:vAlign w:val="center"/>
          </w:tcPr>
          <w:p w14:paraId="1B2C0758">
            <w:pPr>
              <w:pStyle w:val="20"/>
              <w:spacing w:beforeLines="0" w:afterLines="0" w:line="312" w:lineRule="auto"/>
              <w:rPr>
                <w:rFonts w:eastAsia="宋体"/>
                <w:b w:val="0"/>
              </w:rPr>
            </w:pPr>
            <w:r>
              <w:rPr>
                <w:rFonts w:hint="eastAsia" w:eastAsia="宋体"/>
                <w:b w:val="0"/>
              </w:rPr>
              <w:t>N80</w:t>
            </w:r>
          </w:p>
        </w:tc>
        <w:tc>
          <w:tcPr>
            <w:tcW w:w="698" w:type="dxa"/>
            <w:tcBorders>
              <w:top w:val="single" w:color="auto" w:sz="12" w:space="0"/>
            </w:tcBorders>
            <w:vAlign w:val="center"/>
          </w:tcPr>
          <w:p w14:paraId="0322841A">
            <w:pPr>
              <w:pStyle w:val="20"/>
              <w:spacing w:beforeLines="0" w:afterLines="0" w:line="312" w:lineRule="auto"/>
              <w:rPr>
                <w:rFonts w:eastAsia="宋体"/>
                <w:b w:val="0"/>
              </w:rPr>
            </w:pPr>
            <w:r>
              <w:rPr>
                <w:rFonts w:hint="eastAsia" w:eastAsia="宋体"/>
                <w:b w:val="0"/>
              </w:rPr>
              <w:t>1</w:t>
            </w:r>
          </w:p>
        </w:tc>
        <w:tc>
          <w:tcPr>
            <w:tcW w:w="1435" w:type="dxa"/>
            <w:tcBorders>
              <w:top w:val="single" w:color="auto" w:sz="12" w:space="0"/>
            </w:tcBorders>
            <w:vAlign w:val="center"/>
          </w:tcPr>
          <w:p w14:paraId="55F2F8C9">
            <w:pPr>
              <w:pStyle w:val="20"/>
              <w:spacing w:beforeLines="0" w:afterLines="0" w:line="312" w:lineRule="auto"/>
              <w:rPr>
                <w:rFonts w:eastAsia="宋体"/>
                <w:b w:val="0"/>
              </w:rPr>
            </w:pPr>
            <w:r>
              <w:rPr>
                <w:rFonts w:eastAsia="宋体"/>
                <w:b w:val="0"/>
              </w:rPr>
              <w:t>Normalizing or Normalizing + Tempering</w:t>
            </w:r>
          </w:p>
        </w:tc>
        <w:tc>
          <w:tcPr>
            <w:tcW w:w="1033" w:type="dxa"/>
            <w:tcBorders>
              <w:top w:val="single" w:color="auto" w:sz="12" w:space="0"/>
            </w:tcBorders>
            <w:vAlign w:val="center"/>
          </w:tcPr>
          <w:p w14:paraId="653F156D">
            <w:pPr>
              <w:pStyle w:val="20"/>
              <w:spacing w:beforeLines="0" w:afterLines="0" w:line="312" w:lineRule="auto"/>
              <w:rPr>
                <w:rFonts w:eastAsia="宋体"/>
                <w:b w:val="0"/>
              </w:rPr>
            </w:pPr>
            <w:r>
              <w:rPr>
                <w:rFonts w:hint="eastAsia" w:eastAsia="宋体"/>
                <w:b w:val="0"/>
              </w:rPr>
              <w:t>552</w:t>
            </w:r>
          </w:p>
        </w:tc>
        <w:tc>
          <w:tcPr>
            <w:tcW w:w="1010" w:type="dxa"/>
            <w:tcBorders>
              <w:top w:val="single" w:color="auto" w:sz="12" w:space="0"/>
            </w:tcBorders>
            <w:vAlign w:val="center"/>
          </w:tcPr>
          <w:p w14:paraId="4025F1B5">
            <w:pPr>
              <w:pStyle w:val="20"/>
              <w:spacing w:beforeLines="0" w:afterLines="0" w:line="312" w:lineRule="auto"/>
              <w:rPr>
                <w:rFonts w:eastAsia="宋体"/>
                <w:b w:val="0"/>
              </w:rPr>
            </w:pPr>
            <w:r>
              <w:rPr>
                <w:rFonts w:hint="eastAsia" w:eastAsia="宋体"/>
                <w:b w:val="0"/>
              </w:rPr>
              <w:t>758</w:t>
            </w:r>
          </w:p>
        </w:tc>
        <w:tc>
          <w:tcPr>
            <w:tcW w:w="1486" w:type="dxa"/>
            <w:tcBorders>
              <w:top w:val="single" w:color="auto" w:sz="12" w:space="0"/>
            </w:tcBorders>
            <w:vAlign w:val="center"/>
          </w:tcPr>
          <w:p w14:paraId="0AB670F1">
            <w:pPr>
              <w:pStyle w:val="20"/>
              <w:spacing w:beforeLines="0" w:afterLines="0" w:line="312" w:lineRule="auto"/>
              <w:rPr>
                <w:rFonts w:eastAsia="宋体"/>
                <w:b w:val="0"/>
              </w:rPr>
            </w:pPr>
            <w:r>
              <w:rPr>
                <w:rFonts w:hint="eastAsia" w:eastAsia="宋体"/>
                <w:b w:val="0"/>
              </w:rPr>
              <w:t>689</w:t>
            </w:r>
          </w:p>
        </w:tc>
        <w:tc>
          <w:tcPr>
            <w:tcW w:w="2130" w:type="dxa"/>
            <w:tcBorders>
              <w:top w:val="single" w:color="auto" w:sz="12" w:space="0"/>
            </w:tcBorders>
            <w:vAlign w:val="center"/>
          </w:tcPr>
          <w:p w14:paraId="14178C45">
            <w:pPr>
              <w:pStyle w:val="20"/>
              <w:spacing w:beforeLines="0" w:afterLines="0" w:line="312" w:lineRule="auto"/>
              <w:rPr>
                <w:rFonts w:eastAsia="宋体"/>
                <w:b w:val="0"/>
              </w:rPr>
            </w:pPr>
            <w:r>
              <w:rPr>
                <w:rFonts w:hint="eastAsia" w:eastAsia="宋体"/>
                <w:b w:val="0"/>
              </w:rPr>
              <w:t>80</w:t>
            </w:r>
          </w:p>
        </w:tc>
      </w:tr>
      <w:tr w14:paraId="6557D2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30" w:type="dxa"/>
            <w:vMerge w:val="continue"/>
            <w:vAlign w:val="center"/>
          </w:tcPr>
          <w:p w14:paraId="7B0611F7">
            <w:pPr>
              <w:pStyle w:val="20"/>
              <w:spacing w:beforeLines="0" w:afterLines="0" w:line="312" w:lineRule="auto"/>
              <w:rPr>
                <w:rFonts w:eastAsia="宋体"/>
                <w:b w:val="0"/>
              </w:rPr>
            </w:pPr>
          </w:p>
        </w:tc>
        <w:tc>
          <w:tcPr>
            <w:tcW w:w="698" w:type="dxa"/>
            <w:vAlign w:val="center"/>
          </w:tcPr>
          <w:p w14:paraId="32EC3727">
            <w:pPr>
              <w:pStyle w:val="20"/>
              <w:spacing w:beforeLines="0" w:afterLines="0" w:line="312" w:lineRule="auto"/>
              <w:rPr>
                <w:rFonts w:eastAsia="宋体"/>
                <w:b w:val="0"/>
              </w:rPr>
            </w:pPr>
            <w:r>
              <w:rPr>
                <w:rFonts w:hint="eastAsia" w:eastAsia="宋体"/>
                <w:b w:val="0"/>
              </w:rPr>
              <w:t>Q</w:t>
            </w:r>
          </w:p>
        </w:tc>
        <w:tc>
          <w:tcPr>
            <w:tcW w:w="1435" w:type="dxa"/>
            <w:vAlign w:val="center"/>
          </w:tcPr>
          <w:p w14:paraId="2B0CA7EA">
            <w:pPr>
              <w:pStyle w:val="20"/>
              <w:spacing w:beforeLines="0" w:afterLines="0" w:line="312" w:lineRule="auto"/>
              <w:rPr>
                <w:rFonts w:eastAsia="宋体"/>
                <w:b w:val="0"/>
              </w:rPr>
            </w:pPr>
            <w:r>
              <w:rPr>
                <w:rFonts w:eastAsia="宋体"/>
                <w:b w:val="0"/>
              </w:rPr>
              <w:t>Quenching + Tempering</w:t>
            </w:r>
          </w:p>
        </w:tc>
        <w:tc>
          <w:tcPr>
            <w:tcW w:w="1033" w:type="dxa"/>
            <w:vAlign w:val="center"/>
          </w:tcPr>
          <w:p w14:paraId="1F928032">
            <w:pPr>
              <w:pStyle w:val="20"/>
              <w:spacing w:beforeLines="0" w:afterLines="0" w:line="312" w:lineRule="auto"/>
              <w:rPr>
                <w:rFonts w:eastAsia="宋体"/>
                <w:b w:val="0"/>
              </w:rPr>
            </w:pPr>
            <w:r>
              <w:rPr>
                <w:rFonts w:hint="eastAsia" w:eastAsia="宋体"/>
                <w:b w:val="0"/>
              </w:rPr>
              <w:t>552</w:t>
            </w:r>
          </w:p>
        </w:tc>
        <w:tc>
          <w:tcPr>
            <w:tcW w:w="1010" w:type="dxa"/>
            <w:vAlign w:val="center"/>
          </w:tcPr>
          <w:p w14:paraId="524CBCE1">
            <w:pPr>
              <w:pStyle w:val="20"/>
              <w:spacing w:beforeLines="0" w:afterLines="0" w:line="312" w:lineRule="auto"/>
              <w:rPr>
                <w:rFonts w:eastAsia="宋体"/>
                <w:b w:val="0"/>
              </w:rPr>
            </w:pPr>
            <w:r>
              <w:rPr>
                <w:rFonts w:hint="eastAsia" w:eastAsia="宋体"/>
                <w:b w:val="0"/>
              </w:rPr>
              <w:t>758</w:t>
            </w:r>
          </w:p>
        </w:tc>
        <w:tc>
          <w:tcPr>
            <w:tcW w:w="1486" w:type="dxa"/>
            <w:vAlign w:val="center"/>
          </w:tcPr>
          <w:p w14:paraId="64F6DED9">
            <w:pPr>
              <w:pStyle w:val="20"/>
              <w:spacing w:beforeLines="0" w:afterLines="0" w:line="312" w:lineRule="auto"/>
              <w:rPr>
                <w:rFonts w:eastAsia="宋体"/>
                <w:b w:val="0"/>
              </w:rPr>
            </w:pPr>
            <w:r>
              <w:rPr>
                <w:rFonts w:hint="eastAsia" w:eastAsia="宋体"/>
                <w:b w:val="0"/>
              </w:rPr>
              <w:t>689</w:t>
            </w:r>
          </w:p>
        </w:tc>
        <w:tc>
          <w:tcPr>
            <w:tcW w:w="2130" w:type="dxa"/>
            <w:vAlign w:val="center"/>
          </w:tcPr>
          <w:p w14:paraId="6DD0263D">
            <w:pPr>
              <w:pStyle w:val="20"/>
              <w:spacing w:beforeLines="0" w:afterLines="0" w:line="312" w:lineRule="auto"/>
              <w:rPr>
                <w:rFonts w:eastAsia="宋体"/>
                <w:b w:val="0"/>
              </w:rPr>
            </w:pPr>
            <w:r>
              <w:rPr>
                <w:rFonts w:hint="eastAsia" w:eastAsia="宋体"/>
                <w:b w:val="0"/>
              </w:rPr>
              <w:t>80</w:t>
            </w:r>
          </w:p>
        </w:tc>
      </w:tr>
    </w:tbl>
    <w:p w14:paraId="288C1C30">
      <w:pPr>
        <w:pStyle w:val="16"/>
        <w:spacing w:before="31" w:after="31"/>
        <w:ind w:firstLine="480"/>
        <w:rPr>
          <w:szCs w:val="24"/>
        </w:rPr>
      </w:pPr>
      <w:r>
        <w:rPr>
          <w:rFonts w:hint="eastAsia"/>
          <w:szCs w:val="24"/>
        </w:rPr>
        <w:t>（b）Metallographic Structure</w:t>
      </w:r>
    </w:p>
    <w:p w14:paraId="11E99BEC">
      <w:pPr>
        <w:pStyle w:val="16"/>
        <w:spacing w:before="31" w:after="31"/>
        <w:ind w:firstLine="480"/>
        <w:rPr>
          <w:szCs w:val="24"/>
        </w:rPr>
      </w:pPr>
      <w:r>
        <w:rPr>
          <w:szCs w:val="24"/>
        </w:rPr>
        <w:t>Metallographic specimens were taken from the perforated area near the pipe line remnants, and the polished surface belongs to the radial section of the pipe wall. In Figure 4-1.2, the arrow points to a large and deep corrosion pit that has already eroded in the remnants. The large corrosion pit is marked with B-J-I to indicate different positions along the edge. At position B, it is near the bottom of the corrosion pit, close to the perforation.</w:t>
      </w:r>
    </w:p>
    <w:p w14:paraId="13C10870">
      <w:pPr>
        <w:pStyle w:val="16"/>
        <w:spacing w:before="31" w:after="31"/>
        <w:ind w:firstLine="480"/>
        <w:rPr>
          <w:szCs w:val="24"/>
        </w:rPr>
      </w:pPr>
      <w:r>
        <w:rPr>
          <w:szCs w:val="24"/>
        </w:rPr>
        <w:t>Figure 4-1.3 shows the microstructure of the aforementioned metallographic surface without etching. Among them, Figure 4-1.3(a) shows the microstructure of the polished surface in Figure 4-1.2, and Figure 4-1.3(b) shows the microstructure of the axial polished surface taken from the tensile specimen clamping position after the tensile test. From the images, it can be observed that there are fine, dot-like inclusions in the radial section, most of which are silicate inclusions. The inclusions in the axial section are in a strip shape, mostly sulfide inclusions, with some silicate inclusions. The quantity is relatively concentrated, indicating the presence of metallurgical defects in the material of the pipe line remnants.</w:t>
      </w:r>
    </w:p>
    <w:p w14:paraId="55EAA592">
      <w:pPr>
        <w:pStyle w:val="16"/>
        <w:spacing w:before="31" w:after="31"/>
        <w:ind w:firstLine="482"/>
        <w:jc w:val="center"/>
        <w:rPr>
          <w:b/>
          <w:bCs/>
          <w:szCs w:val="24"/>
        </w:rPr>
      </w:pPr>
      <w:r>
        <w:rPr>
          <w:b/>
          <w:bCs/>
          <w:szCs w:val="24"/>
        </w:rPr>
        <w:t>Figure 4-1.2 Metallographic Specimen Polished Surface Morphology</w:t>
      </w:r>
    </w:p>
    <w:p w14:paraId="33BAA912">
      <w:pPr>
        <w:pStyle w:val="16"/>
        <w:spacing w:before="31" w:after="31"/>
        <w:ind w:firstLine="482"/>
        <w:jc w:val="center"/>
        <w:rPr>
          <w:b/>
          <w:bCs/>
          <w:szCs w:val="24"/>
        </w:rPr>
      </w:pPr>
      <w:r>
        <w:rPr>
          <w:b/>
          <w:bCs/>
          <w:szCs w:val="24"/>
        </w:rPr>
        <w:t>Figure 4-1.3 Non-Metallic Inclusions Morphology on the Polished Surface of Pipeline Remnants</w:t>
      </w:r>
    </w:p>
    <w:p w14:paraId="78329257">
      <w:pPr>
        <w:pStyle w:val="16"/>
        <w:spacing w:before="31" w:after="31"/>
        <w:ind w:firstLine="480"/>
        <w:rPr>
          <w:szCs w:val="24"/>
        </w:rPr>
      </w:pPr>
      <w:r>
        <w:rPr>
          <w:szCs w:val="24"/>
        </w:rPr>
        <w:t>As shown in Figure 4-1.2, the microstructure of different locations on the metallographic polished surface after immersion corrosion is revealed in Figure 4-1.4 and Figure 4-1.5. The microstructure at point A, as illustrated in Figure 4-1.4, is primarily composed of tempered martensite, followed by bainite and ferrite. In terms of composition, it aligns reasonably well with the material's strength indicators. The pipeline remnants exhibit a relatively high yield-to-tensile ratio, attributed to the metallographic structure being tempered martensite, although bainite may also play a role. The microstructure at point I, as depicted in Figure 4-1.5, displays the presence of streamline patterns in the sub-layer of the B-J-I region. This type of streamline pattern is commonly associated with plastic deformation traces in steel materials. Therefore, it can be inferred that plastic deformation has occurred on both the surface and sub-layer of the corrosion pit. Since plastic deformation is present, the material should exhibit characteristics of strain hardening.</w:t>
      </w:r>
    </w:p>
    <w:p w14:paraId="20293484">
      <w:pPr>
        <w:pStyle w:val="16"/>
        <w:spacing w:before="31" w:after="31"/>
        <w:ind w:firstLine="480"/>
        <w:rPr>
          <w:szCs w:val="24"/>
        </w:rPr>
      </w:pPr>
    </w:p>
    <w:p w14:paraId="710C382F">
      <w:pPr>
        <w:pStyle w:val="16"/>
        <w:spacing w:before="31" w:after="31"/>
        <w:ind w:firstLine="422"/>
        <w:jc w:val="center"/>
        <w:rPr>
          <w:rFonts w:eastAsia="黑体" w:cs="Times New Roman"/>
          <w:b/>
          <w:sz w:val="21"/>
          <w:szCs w:val="24"/>
        </w:rPr>
      </w:pPr>
      <w:r>
        <w:rPr>
          <w:rFonts w:eastAsia="黑体" w:cs="Times New Roman"/>
          <w:b/>
          <w:sz w:val="21"/>
          <w:szCs w:val="24"/>
        </w:rPr>
        <w:t>Figure 4-1.4: Microstructure at Position A on the Metallographic Polished Sample</w:t>
      </w:r>
    </w:p>
    <w:p w14:paraId="1E1421F3">
      <w:pPr>
        <w:pStyle w:val="16"/>
        <w:spacing w:before="31" w:after="31"/>
        <w:ind w:firstLine="422"/>
        <w:jc w:val="center"/>
        <w:rPr>
          <w:bCs/>
          <w:szCs w:val="24"/>
        </w:rPr>
      </w:pPr>
      <w:r>
        <w:rPr>
          <w:rFonts w:eastAsia="黑体" w:cs="Times New Roman"/>
          <w:b/>
          <w:sz w:val="21"/>
          <w:szCs w:val="24"/>
        </w:rPr>
        <w:t>Figure 4-1.5: Microstructure at Point I on the Polished Surface</w:t>
      </w:r>
    </w:p>
    <w:p w14:paraId="2CD4E8AD">
      <w:pPr>
        <w:pStyle w:val="16"/>
        <w:spacing w:before="31" w:after="31"/>
        <w:ind w:firstLine="480"/>
        <w:rPr>
          <w:bCs/>
          <w:szCs w:val="24"/>
        </w:rPr>
      </w:pPr>
      <w:r>
        <w:rPr>
          <w:bCs/>
          <w:szCs w:val="24"/>
        </w:rPr>
        <w:t>Hardness test results indicate that the hardness of the failed sample is in the range of 24~25 HRC (Rockwell C scale). Microhardness testing was conducted at the relevant positions on the polished surface shown in Figure 4-1.2, with an applied load of 0.98N. The test results are summarized in Table 4-5. The table reveals that the sub-surface of the extensively corroded large pit (B-J-I location) exhibits significantly higher hardness than the central region (position A). This suggests a pronounced tendency for plastic deformation hardening in these areas. Position H, belonging to the outer layer of the pipeline, exhibits a noticeable reduction in pearlite content in its microstructure, indicating the presence of decarburization. Consequently, the hardness is comparatively lower. The occurrence of decarburization on the external surface of the pipeline may be attributed to either decarburization during the metallurgical production process or potential decarburization due to corrosion during service, a matter requiring further investigation.</w:t>
      </w:r>
    </w:p>
    <w:p w14:paraId="5470C0E3">
      <w:pPr>
        <w:pStyle w:val="20"/>
        <w:spacing w:before="468" w:after="156"/>
      </w:pPr>
      <w:r>
        <w:t>Table 4-5: Microhardness Testing Results for Material Microareas</w:t>
      </w:r>
    </w:p>
    <w:tbl>
      <w:tblPr>
        <w:tblStyle w:val="9"/>
        <w:tblW w:w="0" w:type="auto"/>
        <w:tblInd w:w="-176"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531"/>
        <w:gridCol w:w="906"/>
        <w:gridCol w:w="906"/>
        <w:gridCol w:w="906"/>
        <w:gridCol w:w="906"/>
        <w:gridCol w:w="906"/>
        <w:gridCol w:w="906"/>
        <w:gridCol w:w="912"/>
      </w:tblGrid>
      <w:tr w14:paraId="5EDFD6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Borders>
              <w:top w:val="single" w:color="auto" w:sz="12" w:space="0"/>
              <w:bottom w:val="single" w:color="auto" w:sz="12" w:space="0"/>
            </w:tcBorders>
          </w:tcPr>
          <w:p w14:paraId="04A499AA">
            <w:pPr>
              <w:pStyle w:val="20"/>
              <w:spacing w:beforeLines="0" w:afterLines="0" w:line="312" w:lineRule="auto"/>
              <w:rPr>
                <w:rFonts w:eastAsia="宋体"/>
                <w:b w:val="0"/>
              </w:rPr>
            </w:pPr>
            <w:r>
              <w:rPr>
                <w:rFonts w:hAnsi="宋体" w:eastAsia="宋体"/>
                <w:b w:val="0"/>
              </w:rPr>
              <w:t>Inspection Location</w:t>
            </w:r>
          </w:p>
        </w:tc>
        <w:tc>
          <w:tcPr>
            <w:tcW w:w="5873" w:type="dxa"/>
            <w:gridSpan w:val="7"/>
            <w:tcBorders>
              <w:top w:val="single" w:color="auto" w:sz="12" w:space="0"/>
              <w:bottom w:val="single" w:color="auto" w:sz="12" w:space="0"/>
            </w:tcBorders>
          </w:tcPr>
          <w:p w14:paraId="39A7B007">
            <w:pPr>
              <w:pStyle w:val="20"/>
              <w:spacing w:beforeLines="0" w:afterLines="0" w:line="312" w:lineRule="auto"/>
              <w:rPr>
                <w:rFonts w:eastAsia="宋体"/>
                <w:b w:val="0"/>
              </w:rPr>
            </w:pPr>
            <w:r>
              <w:rPr>
                <w:rFonts w:hAnsi="宋体" w:eastAsia="宋体"/>
                <w:b w:val="0"/>
              </w:rPr>
              <w:t xml:space="preserve">Microhardness </w:t>
            </w:r>
            <w:r>
              <w:rPr>
                <w:rFonts w:hint="eastAsia" w:hAnsi="宋体" w:eastAsia="宋体"/>
                <w:b w:val="0"/>
              </w:rPr>
              <w:t xml:space="preserve">  HV0.1</w:t>
            </w:r>
          </w:p>
        </w:tc>
        <w:tc>
          <w:tcPr>
            <w:tcW w:w="912" w:type="dxa"/>
            <w:tcBorders>
              <w:top w:val="single" w:color="auto" w:sz="12" w:space="0"/>
              <w:bottom w:val="single" w:color="auto" w:sz="12" w:space="0"/>
            </w:tcBorders>
          </w:tcPr>
          <w:p w14:paraId="7118C8E4">
            <w:pPr>
              <w:pStyle w:val="20"/>
              <w:spacing w:beforeLines="0" w:afterLines="0" w:line="312" w:lineRule="auto"/>
              <w:rPr>
                <w:rFonts w:eastAsia="宋体"/>
                <w:b w:val="0"/>
              </w:rPr>
            </w:pPr>
            <w:r>
              <w:rPr>
                <w:rFonts w:hAnsi="宋体" w:eastAsia="宋体"/>
                <w:b w:val="0"/>
              </w:rPr>
              <w:t>Average Value</w:t>
            </w:r>
          </w:p>
        </w:tc>
      </w:tr>
      <w:tr w14:paraId="35BB21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Borders>
              <w:top w:val="single" w:color="auto" w:sz="12" w:space="0"/>
            </w:tcBorders>
          </w:tcPr>
          <w:p w14:paraId="4C36C5A6">
            <w:pPr>
              <w:pStyle w:val="20"/>
              <w:spacing w:beforeLines="0" w:afterLines="0" w:line="312" w:lineRule="auto"/>
              <w:rPr>
                <w:rFonts w:eastAsia="宋体"/>
                <w:b w:val="0"/>
              </w:rPr>
            </w:pPr>
            <w:r>
              <w:rPr>
                <w:rFonts w:hAnsi="宋体" w:eastAsia="宋体"/>
                <w:b w:val="0"/>
              </w:rPr>
              <w:t xml:space="preserve">Location </w:t>
            </w:r>
            <w:r>
              <w:rPr>
                <w:rFonts w:eastAsia="宋体"/>
                <w:b w:val="0"/>
              </w:rPr>
              <w:t>A</w:t>
            </w:r>
          </w:p>
        </w:tc>
        <w:tc>
          <w:tcPr>
            <w:tcW w:w="437" w:type="dxa"/>
            <w:tcBorders>
              <w:top w:val="single" w:color="auto" w:sz="12" w:space="0"/>
            </w:tcBorders>
          </w:tcPr>
          <w:p w14:paraId="6C4956C1">
            <w:pPr>
              <w:pStyle w:val="20"/>
              <w:spacing w:beforeLines="0" w:afterLines="0" w:line="312" w:lineRule="auto"/>
              <w:rPr>
                <w:rFonts w:eastAsia="宋体"/>
                <w:b w:val="0"/>
              </w:rPr>
            </w:pPr>
            <w:r>
              <w:rPr>
                <w:rFonts w:hint="eastAsia" w:eastAsia="宋体"/>
                <w:b w:val="0"/>
              </w:rPr>
              <w:t>265</w:t>
            </w:r>
          </w:p>
        </w:tc>
        <w:tc>
          <w:tcPr>
            <w:tcW w:w="906" w:type="dxa"/>
            <w:tcBorders>
              <w:top w:val="single" w:color="auto" w:sz="12" w:space="0"/>
            </w:tcBorders>
          </w:tcPr>
          <w:p w14:paraId="54922811">
            <w:pPr>
              <w:pStyle w:val="20"/>
              <w:spacing w:beforeLines="0" w:afterLines="0" w:line="312" w:lineRule="auto"/>
              <w:rPr>
                <w:rFonts w:eastAsia="宋体"/>
                <w:b w:val="0"/>
              </w:rPr>
            </w:pPr>
            <w:r>
              <w:rPr>
                <w:rFonts w:hint="eastAsia" w:eastAsia="宋体"/>
                <w:b w:val="0"/>
              </w:rPr>
              <w:t>267</w:t>
            </w:r>
          </w:p>
        </w:tc>
        <w:tc>
          <w:tcPr>
            <w:tcW w:w="906" w:type="dxa"/>
            <w:tcBorders>
              <w:top w:val="single" w:color="auto" w:sz="12" w:space="0"/>
            </w:tcBorders>
          </w:tcPr>
          <w:p w14:paraId="0617FB0E">
            <w:pPr>
              <w:pStyle w:val="20"/>
              <w:spacing w:beforeLines="0" w:afterLines="0" w:line="312" w:lineRule="auto"/>
              <w:rPr>
                <w:rFonts w:eastAsia="宋体"/>
                <w:b w:val="0"/>
              </w:rPr>
            </w:pPr>
            <w:r>
              <w:rPr>
                <w:rFonts w:hint="eastAsia" w:eastAsia="宋体"/>
                <w:b w:val="0"/>
              </w:rPr>
              <w:t>274</w:t>
            </w:r>
          </w:p>
        </w:tc>
        <w:tc>
          <w:tcPr>
            <w:tcW w:w="906" w:type="dxa"/>
            <w:tcBorders>
              <w:top w:val="single" w:color="auto" w:sz="12" w:space="0"/>
            </w:tcBorders>
          </w:tcPr>
          <w:p w14:paraId="61070A9F">
            <w:pPr>
              <w:pStyle w:val="20"/>
              <w:spacing w:beforeLines="0" w:afterLines="0" w:line="312" w:lineRule="auto"/>
              <w:rPr>
                <w:rFonts w:eastAsia="宋体"/>
                <w:b w:val="0"/>
              </w:rPr>
            </w:pPr>
          </w:p>
        </w:tc>
        <w:tc>
          <w:tcPr>
            <w:tcW w:w="906" w:type="dxa"/>
            <w:tcBorders>
              <w:top w:val="single" w:color="auto" w:sz="12" w:space="0"/>
            </w:tcBorders>
          </w:tcPr>
          <w:p w14:paraId="662F5AFD">
            <w:pPr>
              <w:pStyle w:val="20"/>
              <w:spacing w:beforeLines="0" w:afterLines="0" w:line="312" w:lineRule="auto"/>
              <w:rPr>
                <w:rFonts w:eastAsia="宋体"/>
                <w:b w:val="0"/>
              </w:rPr>
            </w:pPr>
          </w:p>
        </w:tc>
        <w:tc>
          <w:tcPr>
            <w:tcW w:w="906" w:type="dxa"/>
            <w:tcBorders>
              <w:top w:val="single" w:color="auto" w:sz="12" w:space="0"/>
            </w:tcBorders>
          </w:tcPr>
          <w:p w14:paraId="41C284F6">
            <w:pPr>
              <w:pStyle w:val="20"/>
              <w:spacing w:beforeLines="0" w:afterLines="0" w:line="312" w:lineRule="auto"/>
              <w:rPr>
                <w:rFonts w:eastAsia="宋体"/>
                <w:b w:val="0"/>
              </w:rPr>
            </w:pPr>
          </w:p>
        </w:tc>
        <w:tc>
          <w:tcPr>
            <w:tcW w:w="906" w:type="dxa"/>
            <w:tcBorders>
              <w:top w:val="single" w:color="auto" w:sz="12" w:space="0"/>
            </w:tcBorders>
          </w:tcPr>
          <w:p w14:paraId="5E739E2B">
            <w:pPr>
              <w:pStyle w:val="20"/>
              <w:spacing w:beforeLines="0" w:afterLines="0" w:line="312" w:lineRule="auto"/>
              <w:rPr>
                <w:rFonts w:eastAsia="宋体"/>
                <w:b w:val="0"/>
              </w:rPr>
            </w:pPr>
          </w:p>
        </w:tc>
        <w:tc>
          <w:tcPr>
            <w:tcW w:w="912" w:type="dxa"/>
            <w:tcBorders>
              <w:top w:val="single" w:color="auto" w:sz="12" w:space="0"/>
            </w:tcBorders>
          </w:tcPr>
          <w:p w14:paraId="1487B86E">
            <w:pPr>
              <w:pStyle w:val="20"/>
              <w:spacing w:beforeLines="0" w:afterLines="0" w:line="312" w:lineRule="auto"/>
              <w:rPr>
                <w:rFonts w:eastAsia="宋体"/>
                <w:b w:val="0"/>
              </w:rPr>
            </w:pPr>
            <w:r>
              <w:rPr>
                <w:rFonts w:hint="eastAsia" w:eastAsia="宋体"/>
                <w:b w:val="0"/>
              </w:rPr>
              <w:t>268</w:t>
            </w:r>
          </w:p>
        </w:tc>
      </w:tr>
      <w:tr w14:paraId="32B5A5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Pr>
          <w:p w14:paraId="6701785A">
            <w:pPr>
              <w:pStyle w:val="20"/>
              <w:spacing w:beforeLines="0" w:afterLines="0" w:line="312" w:lineRule="auto"/>
              <w:rPr>
                <w:rFonts w:eastAsia="宋体"/>
                <w:b w:val="0"/>
              </w:rPr>
            </w:pPr>
            <w:r>
              <w:rPr>
                <w:rFonts w:hAnsi="宋体" w:eastAsia="宋体"/>
                <w:b w:val="0"/>
              </w:rPr>
              <w:t xml:space="preserve">Location </w:t>
            </w:r>
            <w:r>
              <w:rPr>
                <w:rFonts w:eastAsia="宋体"/>
                <w:b w:val="0"/>
              </w:rPr>
              <w:t>D</w:t>
            </w:r>
          </w:p>
        </w:tc>
        <w:tc>
          <w:tcPr>
            <w:tcW w:w="437" w:type="dxa"/>
          </w:tcPr>
          <w:p w14:paraId="3E7305C3">
            <w:pPr>
              <w:pStyle w:val="20"/>
              <w:spacing w:beforeLines="0" w:afterLines="0" w:line="312" w:lineRule="auto"/>
              <w:rPr>
                <w:rFonts w:eastAsia="宋体"/>
                <w:b w:val="0"/>
              </w:rPr>
            </w:pPr>
            <w:r>
              <w:rPr>
                <w:rFonts w:hint="eastAsia" w:eastAsia="宋体"/>
                <w:b w:val="0"/>
              </w:rPr>
              <w:t>260</w:t>
            </w:r>
          </w:p>
        </w:tc>
        <w:tc>
          <w:tcPr>
            <w:tcW w:w="906" w:type="dxa"/>
          </w:tcPr>
          <w:p w14:paraId="5DB0E759">
            <w:pPr>
              <w:pStyle w:val="20"/>
              <w:spacing w:beforeLines="0" w:afterLines="0" w:line="312" w:lineRule="auto"/>
              <w:rPr>
                <w:rFonts w:eastAsia="宋体"/>
                <w:b w:val="0"/>
              </w:rPr>
            </w:pPr>
            <w:r>
              <w:rPr>
                <w:rFonts w:hint="eastAsia" w:eastAsia="宋体"/>
                <w:b w:val="0"/>
              </w:rPr>
              <w:t>258</w:t>
            </w:r>
          </w:p>
        </w:tc>
        <w:tc>
          <w:tcPr>
            <w:tcW w:w="906" w:type="dxa"/>
          </w:tcPr>
          <w:p w14:paraId="66A8358B">
            <w:pPr>
              <w:pStyle w:val="20"/>
              <w:spacing w:beforeLines="0" w:afterLines="0" w:line="312" w:lineRule="auto"/>
              <w:rPr>
                <w:rFonts w:eastAsia="宋体"/>
                <w:b w:val="0"/>
              </w:rPr>
            </w:pPr>
            <w:r>
              <w:rPr>
                <w:rFonts w:hint="eastAsia" w:eastAsia="宋体"/>
                <w:b w:val="0"/>
              </w:rPr>
              <w:t>264</w:t>
            </w:r>
          </w:p>
        </w:tc>
        <w:tc>
          <w:tcPr>
            <w:tcW w:w="906" w:type="dxa"/>
          </w:tcPr>
          <w:p w14:paraId="5E1B0B22">
            <w:pPr>
              <w:pStyle w:val="20"/>
              <w:spacing w:beforeLines="0" w:afterLines="0" w:line="312" w:lineRule="auto"/>
              <w:rPr>
                <w:rFonts w:eastAsia="宋体"/>
                <w:b w:val="0"/>
              </w:rPr>
            </w:pPr>
          </w:p>
        </w:tc>
        <w:tc>
          <w:tcPr>
            <w:tcW w:w="906" w:type="dxa"/>
          </w:tcPr>
          <w:p w14:paraId="4E86F7EF">
            <w:pPr>
              <w:pStyle w:val="20"/>
              <w:spacing w:beforeLines="0" w:afterLines="0" w:line="312" w:lineRule="auto"/>
              <w:rPr>
                <w:rFonts w:eastAsia="宋体"/>
                <w:b w:val="0"/>
              </w:rPr>
            </w:pPr>
          </w:p>
        </w:tc>
        <w:tc>
          <w:tcPr>
            <w:tcW w:w="906" w:type="dxa"/>
          </w:tcPr>
          <w:p w14:paraId="2AE26AD6">
            <w:pPr>
              <w:pStyle w:val="20"/>
              <w:spacing w:beforeLines="0" w:afterLines="0" w:line="312" w:lineRule="auto"/>
              <w:rPr>
                <w:rFonts w:eastAsia="宋体"/>
                <w:b w:val="0"/>
              </w:rPr>
            </w:pPr>
          </w:p>
        </w:tc>
        <w:tc>
          <w:tcPr>
            <w:tcW w:w="906" w:type="dxa"/>
          </w:tcPr>
          <w:p w14:paraId="4B295381">
            <w:pPr>
              <w:pStyle w:val="20"/>
              <w:spacing w:beforeLines="0" w:afterLines="0" w:line="312" w:lineRule="auto"/>
              <w:rPr>
                <w:rFonts w:eastAsia="宋体"/>
                <w:b w:val="0"/>
              </w:rPr>
            </w:pPr>
          </w:p>
        </w:tc>
        <w:tc>
          <w:tcPr>
            <w:tcW w:w="912" w:type="dxa"/>
          </w:tcPr>
          <w:p w14:paraId="0B756BCF">
            <w:pPr>
              <w:pStyle w:val="20"/>
              <w:spacing w:beforeLines="0" w:afterLines="0" w:line="312" w:lineRule="auto"/>
              <w:rPr>
                <w:rFonts w:eastAsia="宋体"/>
                <w:b w:val="0"/>
              </w:rPr>
            </w:pPr>
            <w:r>
              <w:rPr>
                <w:rFonts w:hint="eastAsia" w:eastAsia="宋体"/>
                <w:b w:val="0"/>
              </w:rPr>
              <w:t>260</w:t>
            </w:r>
          </w:p>
        </w:tc>
      </w:tr>
      <w:tr w14:paraId="24FB73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Pr>
          <w:p w14:paraId="7DAAC0F2">
            <w:pPr>
              <w:pStyle w:val="20"/>
              <w:spacing w:beforeLines="0" w:afterLines="0" w:line="312" w:lineRule="auto"/>
              <w:rPr>
                <w:rFonts w:eastAsia="宋体"/>
                <w:b w:val="0"/>
              </w:rPr>
            </w:pPr>
            <w:r>
              <w:rPr>
                <w:rFonts w:hAnsi="宋体" w:eastAsia="宋体"/>
                <w:b w:val="0"/>
              </w:rPr>
              <w:t xml:space="preserve">Location </w:t>
            </w:r>
            <w:r>
              <w:rPr>
                <w:rFonts w:eastAsia="宋体"/>
                <w:b w:val="0"/>
              </w:rPr>
              <w:t>H</w:t>
            </w:r>
          </w:p>
        </w:tc>
        <w:tc>
          <w:tcPr>
            <w:tcW w:w="437" w:type="dxa"/>
          </w:tcPr>
          <w:p w14:paraId="1AB8F3EF">
            <w:pPr>
              <w:pStyle w:val="20"/>
              <w:spacing w:beforeLines="0" w:afterLines="0" w:line="312" w:lineRule="auto"/>
              <w:rPr>
                <w:rFonts w:eastAsia="宋体"/>
                <w:b w:val="0"/>
              </w:rPr>
            </w:pPr>
            <w:r>
              <w:rPr>
                <w:rFonts w:hint="eastAsia" w:eastAsia="宋体"/>
                <w:b w:val="0"/>
              </w:rPr>
              <w:t>236</w:t>
            </w:r>
          </w:p>
        </w:tc>
        <w:tc>
          <w:tcPr>
            <w:tcW w:w="906" w:type="dxa"/>
          </w:tcPr>
          <w:p w14:paraId="4472E094">
            <w:pPr>
              <w:pStyle w:val="20"/>
              <w:spacing w:beforeLines="0" w:afterLines="0" w:line="312" w:lineRule="auto"/>
              <w:rPr>
                <w:rFonts w:eastAsia="宋体"/>
                <w:b w:val="0"/>
              </w:rPr>
            </w:pPr>
            <w:r>
              <w:rPr>
                <w:rFonts w:hint="eastAsia" w:eastAsia="宋体"/>
                <w:b w:val="0"/>
              </w:rPr>
              <w:t>252</w:t>
            </w:r>
          </w:p>
        </w:tc>
        <w:tc>
          <w:tcPr>
            <w:tcW w:w="906" w:type="dxa"/>
          </w:tcPr>
          <w:p w14:paraId="061E75EB">
            <w:pPr>
              <w:pStyle w:val="20"/>
              <w:spacing w:beforeLines="0" w:afterLines="0" w:line="312" w:lineRule="auto"/>
              <w:rPr>
                <w:rFonts w:eastAsia="宋体"/>
                <w:b w:val="0"/>
              </w:rPr>
            </w:pPr>
            <w:r>
              <w:rPr>
                <w:rFonts w:hint="eastAsia" w:eastAsia="宋体"/>
                <w:b w:val="0"/>
              </w:rPr>
              <w:t>231</w:t>
            </w:r>
          </w:p>
        </w:tc>
        <w:tc>
          <w:tcPr>
            <w:tcW w:w="906" w:type="dxa"/>
          </w:tcPr>
          <w:p w14:paraId="599E7E47">
            <w:pPr>
              <w:pStyle w:val="20"/>
              <w:spacing w:beforeLines="0" w:afterLines="0" w:line="312" w:lineRule="auto"/>
              <w:rPr>
                <w:rFonts w:eastAsia="宋体"/>
                <w:b w:val="0"/>
              </w:rPr>
            </w:pPr>
          </w:p>
        </w:tc>
        <w:tc>
          <w:tcPr>
            <w:tcW w:w="906" w:type="dxa"/>
          </w:tcPr>
          <w:p w14:paraId="305F55B1">
            <w:pPr>
              <w:pStyle w:val="20"/>
              <w:spacing w:beforeLines="0" w:afterLines="0" w:line="312" w:lineRule="auto"/>
              <w:rPr>
                <w:rFonts w:eastAsia="宋体"/>
                <w:b w:val="0"/>
              </w:rPr>
            </w:pPr>
          </w:p>
        </w:tc>
        <w:tc>
          <w:tcPr>
            <w:tcW w:w="906" w:type="dxa"/>
          </w:tcPr>
          <w:p w14:paraId="5467305B">
            <w:pPr>
              <w:pStyle w:val="20"/>
              <w:spacing w:beforeLines="0" w:afterLines="0" w:line="312" w:lineRule="auto"/>
              <w:rPr>
                <w:rFonts w:eastAsia="宋体"/>
                <w:b w:val="0"/>
              </w:rPr>
            </w:pPr>
          </w:p>
        </w:tc>
        <w:tc>
          <w:tcPr>
            <w:tcW w:w="906" w:type="dxa"/>
          </w:tcPr>
          <w:p w14:paraId="15B6F0B9">
            <w:pPr>
              <w:pStyle w:val="20"/>
              <w:spacing w:beforeLines="0" w:afterLines="0" w:line="312" w:lineRule="auto"/>
              <w:rPr>
                <w:rFonts w:eastAsia="宋体"/>
                <w:b w:val="0"/>
              </w:rPr>
            </w:pPr>
          </w:p>
        </w:tc>
        <w:tc>
          <w:tcPr>
            <w:tcW w:w="912" w:type="dxa"/>
          </w:tcPr>
          <w:p w14:paraId="263D9EA2">
            <w:pPr>
              <w:pStyle w:val="20"/>
              <w:spacing w:beforeLines="0" w:afterLines="0" w:line="312" w:lineRule="auto"/>
              <w:rPr>
                <w:rFonts w:eastAsia="宋体"/>
                <w:b w:val="0"/>
              </w:rPr>
            </w:pPr>
            <w:r>
              <w:rPr>
                <w:rFonts w:hint="eastAsia" w:eastAsia="宋体"/>
                <w:b w:val="0"/>
              </w:rPr>
              <w:t>239</w:t>
            </w:r>
          </w:p>
        </w:tc>
      </w:tr>
      <w:tr w14:paraId="47ADB1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Pr>
          <w:p w14:paraId="5D99866F">
            <w:pPr>
              <w:pStyle w:val="20"/>
              <w:spacing w:beforeLines="0" w:afterLines="0" w:line="312" w:lineRule="auto"/>
              <w:rPr>
                <w:rFonts w:eastAsia="宋体"/>
                <w:b w:val="0"/>
              </w:rPr>
            </w:pPr>
            <w:r>
              <w:rPr>
                <w:rFonts w:hAnsi="宋体" w:eastAsia="宋体"/>
                <w:b w:val="0"/>
              </w:rPr>
              <w:t xml:space="preserve">Location </w:t>
            </w:r>
            <w:r>
              <w:rPr>
                <w:rFonts w:eastAsia="宋体"/>
                <w:b w:val="0"/>
              </w:rPr>
              <w:t>B-I</w:t>
            </w:r>
          </w:p>
        </w:tc>
        <w:tc>
          <w:tcPr>
            <w:tcW w:w="437" w:type="dxa"/>
          </w:tcPr>
          <w:p w14:paraId="65C7284A">
            <w:pPr>
              <w:pStyle w:val="20"/>
              <w:spacing w:beforeLines="0" w:afterLines="0" w:line="312" w:lineRule="auto"/>
              <w:rPr>
                <w:rFonts w:eastAsia="宋体"/>
                <w:b w:val="0"/>
              </w:rPr>
            </w:pPr>
            <w:r>
              <w:rPr>
                <w:rFonts w:hint="eastAsia" w:eastAsia="宋体"/>
                <w:b w:val="0"/>
              </w:rPr>
              <w:t>299</w:t>
            </w:r>
          </w:p>
        </w:tc>
        <w:tc>
          <w:tcPr>
            <w:tcW w:w="906" w:type="dxa"/>
          </w:tcPr>
          <w:p w14:paraId="2461822A">
            <w:pPr>
              <w:pStyle w:val="20"/>
              <w:spacing w:beforeLines="0" w:afterLines="0" w:line="312" w:lineRule="auto"/>
              <w:rPr>
                <w:rFonts w:eastAsia="宋体"/>
                <w:b w:val="0"/>
              </w:rPr>
            </w:pPr>
            <w:r>
              <w:rPr>
                <w:rFonts w:hint="eastAsia" w:eastAsia="宋体"/>
                <w:b w:val="0"/>
              </w:rPr>
              <w:t>287</w:t>
            </w:r>
          </w:p>
        </w:tc>
        <w:tc>
          <w:tcPr>
            <w:tcW w:w="906" w:type="dxa"/>
          </w:tcPr>
          <w:p w14:paraId="4BCB5295">
            <w:pPr>
              <w:pStyle w:val="20"/>
              <w:spacing w:beforeLines="0" w:afterLines="0" w:line="312" w:lineRule="auto"/>
              <w:rPr>
                <w:rFonts w:eastAsia="宋体"/>
                <w:b w:val="0"/>
              </w:rPr>
            </w:pPr>
            <w:r>
              <w:rPr>
                <w:rFonts w:hint="eastAsia" w:eastAsia="宋体"/>
                <w:b w:val="0"/>
              </w:rPr>
              <w:t>283</w:t>
            </w:r>
          </w:p>
        </w:tc>
        <w:tc>
          <w:tcPr>
            <w:tcW w:w="906" w:type="dxa"/>
          </w:tcPr>
          <w:p w14:paraId="522C095A">
            <w:pPr>
              <w:pStyle w:val="20"/>
              <w:spacing w:beforeLines="0" w:afterLines="0" w:line="312" w:lineRule="auto"/>
              <w:rPr>
                <w:rFonts w:eastAsia="宋体"/>
                <w:b w:val="0"/>
              </w:rPr>
            </w:pPr>
            <w:r>
              <w:rPr>
                <w:rFonts w:hint="eastAsia" w:eastAsia="宋体"/>
                <w:b w:val="0"/>
              </w:rPr>
              <w:t>276</w:t>
            </w:r>
          </w:p>
        </w:tc>
        <w:tc>
          <w:tcPr>
            <w:tcW w:w="906" w:type="dxa"/>
          </w:tcPr>
          <w:p w14:paraId="7E6F98C2">
            <w:pPr>
              <w:pStyle w:val="20"/>
              <w:spacing w:beforeLines="0" w:afterLines="0" w:line="312" w:lineRule="auto"/>
              <w:rPr>
                <w:rFonts w:eastAsia="宋体"/>
                <w:b w:val="0"/>
              </w:rPr>
            </w:pPr>
            <w:r>
              <w:rPr>
                <w:rFonts w:hint="eastAsia" w:eastAsia="宋体"/>
                <w:b w:val="0"/>
              </w:rPr>
              <w:t>278</w:t>
            </w:r>
          </w:p>
        </w:tc>
        <w:tc>
          <w:tcPr>
            <w:tcW w:w="906" w:type="dxa"/>
          </w:tcPr>
          <w:p w14:paraId="1A444D3B">
            <w:pPr>
              <w:pStyle w:val="20"/>
              <w:spacing w:beforeLines="0" w:afterLines="0" w:line="312" w:lineRule="auto"/>
              <w:rPr>
                <w:rFonts w:eastAsia="宋体"/>
                <w:b w:val="0"/>
              </w:rPr>
            </w:pPr>
            <w:r>
              <w:rPr>
                <w:rFonts w:hint="eastAsia" w:eastAsia="宋体"/>
                <w:b w:val="0"/>
              </w:rPr>
              <w:t>274</w:t>
            </w:r>
          </w:p>
        </w:tc>
        <w:tc>
          <w:tcPr>
            <w:tcW w:w="906" w:type="dxa"/>
          </w:tcPr>
          <w:p w14:paraId="4953828F">
            <w:pPr>
              <w:pStyle w:val="20"/>
              <w:spacing w:beforeLines="0" w:afterLines="0" w:line="312" w:lineRule="auto"/>
              <w:rPr>
                <w:rFonts w:eastAsia="宋体"/>
                <w:b w:val="0"/>
              </w:rPr>
            </w:pPr>
            <w:r>
              <w:rPr>
                <w:rFonts w:hint="eastAsia" w:eastAsia="宋体"/>
                <w:b w:val="0"/>
              </w:rPr>
              <w:t>280</w:t>
            </w:r>
          </w:p>
        </w:tc>
        <w:tc>
          <w:tcPr>
            <w:tcW w:w="912" w:type="dxa"/>
          </w:tcPr>
          <w:p w14:paraId="23C495A5">
            <w:pPr>
              <w:pStyle w:val="20"/>
              <w:spacing w:beforeLines="0" w:afterLines="0" w:line="312" w:lineRule="auto"/>
              <w:rPr>
                <w:rFonts w:eastAsia="宋体"/>
                <w:b w:val="0"/>
              </w:rPr>
            </w:pPr>
            <w:r>
              <w:rPr>
                <w:rFonts w:hint="eastAsia" w:eastAsia="宋体"/>
                <w:b w:val="0"/>
              </w:rPr>
              <w:t>282</w:t>
            </w:r>
          </w:p>
        </w:tc>
      </w:tr>
    </w:tbl>
    <w:p w14:paraId="299D1132">
      <w:pPr>
        <w:pStyle w:val="16"/>
        <w:spacing w:before="31" w:after="31"/>
        <w:ind w:firstLine="480"/>
        <w:rPr>
          <w:bCs/>
          <w:szCs w:val="24"/>
        </w:rPr>
      </w:pPr>
    </w:p>
    <w:p w14:paraId="5AB99D66">
      <w:pPr>
        <w:pStyle w:val="16"/>
        <w:spacing w:before="31" w:after="31"/>
        <w:ind w:firstLine="0" w:firstLineChars="0"/>
        <w:rPr>
          <w:szCs w:val="24"/>
        </w:rPr>
      </w:pPr>
      <w:r>
        <w:rPr>
          <w:bCs/>
          <w:szCs w:val="24"/>
        </w:rPr>
        <w:t>(5)</w:t>
      </w:r>
      <w:r>
        <w:rPr>
          <w:szCs w:val="24"/>
        </w:rPr>
        <w:t xml:space="preserve"> Failed Component Morphology</w:t>
      </w:r>
    </w:p>
    <w:p w14:paraId="0AB6AF3E">
      <w:pPr>
        <w:pStyle w:val="16"/>
        <w:spacing w:before="31" w:after="31"/>
        <w:ind w:firstLine="480"/>
        <w:rPr>
          <w:szCs w:val="24"/>
        </w:rPr>
      </w:pPr>
      <w:r>
        <w:rPr>
          <w:szCs w:val="24"/>
        </w:rPr>
        <w:t>The morphology of failed pipes, as shown in Figure 4-1.1, reveals corrosion starting from the inner wall and extending to the outer wall. The area around the perforation exhibits a honeycomb pattern, with overlapping and varying depth of corrosion pits. The pits are deeper and the pipe wall is thinner near the perforation. The surface of the corrosion pits is sloped, with diameters ranging from 30 to 40 mm on the inner wall surface and only 2 to 5 mm at the perforation, resembling a funnel.</w:t>
      </w:r>
    </w:p>
    <w:p w14:paraId="125D1C46">
      <w:pPr>
        <w:pStyle w:val="16"/>
        <w:spacing w:before="31" w:after="31"/>
        <w:ind w:firstLine="480"/>
        <w:rPr>
          <w:szCs w:val="24"/>
        </w:rPr>
      </w:pPr>
      <w:r>
        <w:rPr>
          <w:szCs w:val="24"/>
        </w:rPr>
        <w:t>Microscopic observations of a large and deep corroded pit are shown in Figure 4-1.6 (a), revealing that the pit is composed of many small concave pits. Figure 4-1.6 (b) is a magnified (1000x) image of a local small corroded pit surface, showing intragranular cracks and deformed edges, also known as extrusion ridges.</w:t>
      </w:r>
    </w:p>
    <w:p w14:paraId="72E46689">
      <w:pPr>
        <w:pStyle w:val="16"/>
        <w:spacing w:before="31" w:after="31"/>
        <w:ind w:firstLine="482"/>
        <w:jc w:val="center"/>
        <w:rPr>
          <w:b/>
          <w:bCs/>
          <w:szCs w:val="24"/>
        </w:rPr>
      </w:pPr>
      <w:r>
        <w:rPr>
          <w:b/>
          <w:bCs/>
          <w:szCs w:val="24"/>
        </w:rPr>
        <w:t>Figure 4-1.6: Microscopic morphology of corroded pit surface.</w:t>
      </w:r>
    </w:p>
    <w:p w14:paraId="3F3E77DA">
      <w:pPr>
        <w:pStyle w:val="16"/>
        <w:spacing w:before="31" w:after="31"/>
        <w:ind w:firstLine="0" w:firstLineChars="0"/>
        <w:rPr>
          <w:szCs w:val="24"/>
        </w:rPr>
      </w:pPr>
      <w:r>
        <w:rPr>
          <w:szCs w:val="24"/>
        </w:rPr>
        <w:t>(6) Failure Cause Analysis</w:t>
      </w:r>
    </w:p>
    <w:p w14:paraId="49E8BA34">
      <w:pPr>
        <w:pStyle w:val="16"/>
        <w:spacing w:before="31" w:after="31"/>
        <w:ind w:firstLine="480"/>
        <w:rPr>
          <w:szCs w:val="24"/>
        </w:rPr>
      </w:pPr>
      <w:r>
        <w:rPr>
          <w:szCs w:val="24"/>
        </w:rPr>
        <w:t>The analysis suggests that the presence of plastic deformation lines on the surface and subsurface of corrosion pits indicates local plastic deformation of the material. The higher microhardness of the subsurface compared to the core indicates hardening, consistent with the material's deformation hardening mechanism. Considering the numerous small pits on the surface of the corroded pits with deformed edges, it can be concluded that the perforation phenomenon of the failed pipeline is not typical electrochemical corrosion but more consistent with the characteristics of bubble corrosion (also known as cavitation corrosion). In other words, the occurrence of bubble corrosion, characterized by plastic deformation and hardening on the surface and subsurface of corrosion pits, is the main cause of the perforation in the failed pipeline.</w:t>
      </w:r>
    </w:p>
    <w:p w14:paraId="677EF22B">
      <w:pPr>
        <w:pStyle w:val="16"/>
        <w:spacing w:before="31" w:after="31"/>
        <w:ind w:firstLine="0" w:firstLineChars="0"/>
        <w:rPr>
          <w:szCs w:val="24"/>
        </w:rPr>
      </w:pPr>
      <w:r>
        <w:rPr>
          <w:rFonts w:hint="eastAsia"/>
          <w:szCs w:val="24"/>
        </w:rPr>
        <w:t>(7) Impact and Harm Caused:</w:t>
      </w:r>
    </w:p>
    <w:p w14:paraId="2C2A229F">
      <w:pPr>
        <w:pStyle w:val="16"/>
        <w:spacing w:before="31" w:after="31"/>
        <w:ind w:firstLine="420" w:firstLineChars="0"/>
        <w:rPr>
          <w:szCs w:val="24"/>
        </w:rPr>
      </w:pPr>
      <w:r>
        <w:rPr>
          <w:rFonts w:hint="eastAsia"/>
          <w:szCs w:val="24"/>
        </w:rPr>
        <w:t>Null</w:t>
      </w:r>
    </w:p>
    <w:p w14:paraId="003C29D9">
      <w:pPr>
        <w:pStyle w:val="16"/>
        <w:spacing w:before="31" w:after="31"/>
        <w:ind w:firstLine="0" w:firstLineChars="0"/>
        <w:rPr>
          <w:szCs w:val="24"/>
        </w:rPr>
      </w:pPr>
      <w:r>
        <w:rPr>
          <w:szCs w:val="24"/>
        </w:rPr>
        <w:t>(8) Conclusion and Improvement Measures</w:t>
      </w:r>
    </w:p>
    <w:p w14:paraId="5EB96F81">
      <w:pPr>
        <w:pStyle w:val="16"/>
        <w:spacing w:before="31" w:after="31"/>
        <w:ind w:firstLine="480"/>
        <w:rPr>
          <w:szCs w:val="24"/>
        </w:rPr>
      </w:pPr>
      <w:r>
        <w:rPr>
          <w:szCs w:val="24"/>
        </w:rPr>
        <w:t>(a) The external shape of corrosion pits in the pipeline resembles a funnel, consistent with the macroscopic features of bubble corrosion. The deformed structure of the corrosion pit edges, hardness variations, and the appearance of deformed ridges on the corrosion pit surface are consistent with the microscopic features of bubble corrosion.</w:t>
      </w:r>
    </w:p>
    <w:p w14:paraId="56796E11">
      <w:pPr>
        <w:pStyle w:val="16"/>
        <w:spacing w:before="31" w:after="31"/>
        <w:ind w:firstLine="480"/>
        <w:rPr>
          <w:szCs w:val="24"/>
        </w:rPr>
      </w:pPr>
      <w:r>
        <w:rPr>
          <w:szCs w:val="24"/>
        </w:rPr>
        <w:t>(b) The material of the pipeline remnants has prominent and unevenly distributed non-metallic inclusions, which can lead to local electrochemical corrosion. The high strength-to-toughness ratio of the material, under specific service conditions with corrosive media, is prone to cracking, uneven corrosion, and delamination.</w:t>
      </w:r>
    </w:p>
    <w:p w14:paraId="589E5CDF">
      <w:pPr>
        <w:pStyle w:val="16"/>
        <w:spacing w:before="31" w:after="31"/>
        <w:ind w:firstLine="480"/>
        <w:rPr>
          <w:szCs w:val="24"/>
        </w:rPr>
      </w:pPr>
      <w:r>
        <w:rPr>
          <w:szCs w:val="24"/>
        </w:rPr>
        <w:t>(c) The corrosion perforation of the API 5CT N80 offshore oil drilling pipeline is attributed to bubble corrosion (cavitation corrosion). This is a result of the combined effects and accumulation of the shock waves (forces) generated by the frequent bursting of "bubbles" in the fluid and local electrochemical corrosion. Bubble corrosion is identified as the primary cause.</w:t>
      </w:r>
    </w:p>
    <w:p w14:paraId="1BF694C7">
      <w:pPr>
        <w:pStyle w:val="16"/>
        <w:spacing w:before="31" w:after="31"/>
        <w:ind w:firstLine="0" w:firstLineChars="0"/>
        <w:rPr>
          <w:b/>
          <w:bCs/>
          <w:szCs w:val="24"/>
        </w:rPr>
      </w:pPr>
      <w:r>
        <w:rPr>
          <w:rFonts w:hint="eastAsia"/>
          <w:b/>
          <w:bCs/>
          <w:szCs w:val="24"/>
        </w:rPr>
        <w:t>4</w:t>
      </w:r>
      <w:r>
        <w:rPr>
          <w:b/>
          <w:bCs/>
          <w:szCs w:val="24"/>
        </w:rPr>
        <w:t>.2.2</w:t>
      </w:r>
      <w:r>
        <w:rPr>
          <w:b/>
          <w:bCs/>
        </w:rPr>
        <w:t xml:space="preserve"> </w:t>
      </w:r>
      <w:r>
        <w:rPr>
          <w:b/>
          <w:bCs/>
          <w:szCs w:val="24"/>
        </w:rPr>
        <w:t>Case 4-2 Underwater Ball Joint Fracture</w:t>
      </w:r>
    </w:p>
    <w:p w14:paraId="5DB669C3">
      <w:pPr>
        <w:pStyle w:val="16"/>
        <w:spacing w:before="31" w:after="31"/>
        <w:ind w:firstLine="0" w:firstLineChars="0"/>
        <w:rPr>
          <w:szCs w:val="24"/>
        </w:rPr>
      </w:pPr>
      <w:r>
        <w:rPr>
          <w:szCs w:val="24"/>
        </w:rPr>
        <w:t>(1) Case Name</w:t>
      </w:r>
    </w:p>
    <w:p w14:paraId="50D888DD">
      <w:pPr>
        <w:pStyle w:val="16"/>
        <w:spacing w:before="31" w:after="31"/>
        <w:ind w:firstLine="480"/>
        <w:rPr>
          <w:szCs w:val="24"/>
        </w:rPr>
      </w:pPr>
      <w:r>
        <w:rPr>
          <w:szCs w:val="24"/>
        </w:rPr>
        <w:t>Underwater Ball Joint Fracture [3]</w:t>
      </w:r>
    </w:p>
    <w:p w14:paraId="1E075B08">
      <w:pPr>
        <w:pStyle w:val="16"/>
        <w:spacing w:before="31" w:after="31"/>
        <w:ind w:firstLine="0" w:firstLineChars="0"/>
        <w:rPr>
          <w:szCs w:val="24"/>
        </w:rPr>
      </w:pPr>
      <w:r>
        <w:rPr>
          <w:szCs w:val="24"/>
        </w:rPr>
        <w:t>(2) Service Environment</w:t>
      </w:r>
    </w:p>
    <w:p w14:paraId="68C2856E">
      <w:pPr>
        <w:pStyle w:val="16"/>
        <w:spacing w:before="31" w:after="31"/>
        <w:ind w:firstLine="480"/>
        <w:rPr>
          <w:szCs w:val="24"/>
        </w:rPr>
      </w:pPr>
      <w:r>
        <w:rPr>
          <w:szCs w:val="24"/>
        </w:rPr>
        <w:t>Not specified</w:t>
      </w:r>
    </w:p>
    <w:p w14:paraId="0985CE71">
      <w:pPr>
        <w:pStyle w:val="16"/>
        <w:spacing w:before="31" w:after="31"/>
        <w:ind w:firstLine="0" w:firstLineChars="0"/>
        <w:rPr>
          <w:szCs w:val="24"/>
        </w:rPr>
      </w:pPr>
      <w:r>
        <w:rPr>
          <w:szCs w:val="24"/>
        </w:rPr>
        <w:t>(3) Failure Process Description</w:t>
      </w:r>
    </w:p>
    <w:p w14:paraId="4F5DACFE">
      <w:pPr>
        <w:pStyle w:val="16"/>
        <w:spacing w:before="31" w:after="31"/>
        <w:ind w:firstLine="480"/>
        <w:rPr>
          <w:szCs w:val="24"/>
        </w:rPr>
      </w:pPr>
      <w:r>
        <w:rPr>
          <w:szCs w:val="24"/>
        </w:rPr>
        <w:t>While a tugboat was conducting underwater detection operations at a certain speed, instability in the posture of the detection equipment was observed. Upon recovery, it was found that the ball joint mechanism at the root of the ball joint had completely fractured.</w:t>
      </w:r>
    </w:p>
    <w:p w14:paraId="57C26104">
      <w:pPr>
        <w:pStyle w:val="16"/>
        <w:spacing w:before="31" w:after="31"/>
        <w:ind w:firstLine="0" w:firstLineChars="0"/>
        <w:rPr>
          <w:szCs w:val="24"/>
        </w:rPr>
      </w:pPr>
      <w:r>
        <w:rPr>
          <w:szCs w:val="24"/>
        </w:rPr>
        <w:t>(4) Failed Component and Material</w:t>
      </w:r>
    </w:p>
    <w:p w14:paraId="5710C100">
      <w:pPr>
        <w:pStyle w:val="16"/>
        <w:spacing w:before="31" w:after="31"/>
        <w:ind w:firstLine="480"/>
        <w:rPr>
          <w:szCs w:val="24"/>
        </w:rPr>
      </w:pPr>
      <w:r>
        <w:rPr>
          <w:szCs w:val="24"/>
        </w:rPr>
        <w:t>After a quality review of the materials used and inspection reports related to the manufacturing process, it was determined that the ball joint material is made of Ti80 alloy steel. The chemical composition, mechanical properties, non-destructive testing, etc., of the Ti80 forged rods in this batch all meet the corresponding technical standards. The original material of the ball joint is qualified.</w:t>
      </w:r>
    </w:p>
    <w:p w14:paraId="12619462">
      <w:pPr>
        <w:pStyle w:val="16"/>
        <w:spacing w:before="31" w:after="31"/>
        <w:ind w:firstLine="0" w:firstLineChars="0"/>
        <w:rPr>
          <w:szCs w:val="24"/>
        </w:rPr>
      </w:pPr>
      <w:r>
        <w:rPr>
          <w:szCs w:val="24"/>
        </w:rPr>
        <w:t>(5) Failure Morphology of the Component</w:t>
      </w:r>
    </w:p>
    <w:p w14:paraId="44862248">
      <w:pPr>
        <w:pStyle w:val="16"/>
        <w:spacing w:before="31" w:after="31"/>
        <w:ind w:firstLine="480"/>
        <w:rPr>
          <w:szCs w:val="24"/>
        </w:rPr>
      </w:pPr>
      <w:r>
        <w:rPr>
          <w:szCs w:val="24"/>
        </w:rPr>
        <w:t>Photographs of the fractured part are shown in Figures 4-2.1 and 4-2.2. The macroscopic fracture morphology is shown in Figures 4-2.3 and 4-2.4. As seen in Figure 4-2.3, the entire fracture surface is mainly fibrous, with a fibrous zone in the middle and obvious shear lips around the fracture. The crack initiates from one side of the fracture edge, as seen in Figure 4-2.4. The microscopic morphology of the fracture is shown in Figures 4-2.5 and 4-2.6, displaying characteristics of ductile dimples. The entire fracture is ductile, and no obvious metallurgical defects were found on the fracture surface.</w:t>
      </w:r>
    </w:p>
    <w:p w14:paraId="28548694">
      <w:pPr>
        <w:pStyle w:val="16"/>
        <w:spacing w:before="31" w:after="31"/>
        <w:ind w:firstLine="482"/>
        <w:jc w:val="center"/>
        <w:rPr>
          <w:b/>
          <w:bCs/>
          <w:szCs w:val="24"/>
        </w:rPr>
      </w:pPr>
      <w:r>
        <w:rPr>
          <w:b/>
          <w:bCs/>
          <w:szCs w:val="24"/>
        </w:rPr>
        <w:t>-Figure 4-2.1: Fracture of the ball joint on the casing side</w:t>
      </w:r>
    </w:p>
    <w:p w14:paraId="4DBB9203">
      <w:pPr>
        <w:pStyle w:val="16"/>
        <w:spacing w:before="31" w:after="31"/>
        <w:ind w:firstLine="482"/>
        <w:jc w:val="center"/>
        <w:rPr>
          <w:b/>
          <w:bCs/>
          <w:szCs w:val="24"/>
        </w:rPr>
      </w:pPr>
      <w:r>
        <w:rPr>
          <w:b/>
          <w:bCs/>
          <w:szCs w:val="24"/>
        </w:rPr>
        <w:t>Figure 4-2.2: Fracture of the ball joint on the connecting rod side</w:t>
      </w:r>
    </w:p>
    <w:p w14:paraId="2FDD6A69">
      <w:pPr>
        <w:pStyle w:val="16"/>
        <w:spacing w:before="31" w:after="31"/>
        <w:ind w:firstLine="482"/>
        <w:jc w:val="center"/>
        <w:rPr>
          <w:b/>
          <w:bCs/>
          <w:szCs w:val="24"/>
        </w:rPr>
      </w:pPr>
      <w:r>
        <w:rPr>
          <w:b/>
          <w:bCs/>
          <w:szCs w:val="24"/>
        </w:rPr>
        <w:t>Figure 4-2.3: Macroscopic fracture morphology at 46× magnification</w:t>
      </w:r>
    </w:p>
    <w:p w14:paraId="5C481882">
      <w:pPr>
        <w:pStyle w:val="16"/>
        <w:spacing w:before="31" w:after="31"/>
        <w:ind w:firstLine="482"/>
        <w:jc w:val="center"/>
        <w:rPr>
          <w:b/>
          <w:bCs/>
          <w:szCs w:val="24"/>
        </w:rPr>
      </w:pPr>
      <w:r>
        <w:rPr>
          <w:b/>
          <w:bCs/>
          <w:szCs w:val="24"/>
        </w:rPr>
        <w:t>Figure 4-2.4: Macroscopic fracture morphology at 30× magnification</w:t>
      </w:r>
    </w:p>
    <w:p w14:paraId="54E10F50">
      <w:pPr>
        <w:pStyle w:val="16"/>
        <w:spacing w:before="31" w:after="31"/>
        <w:ind w:firstLine="482"/>
        <w:jc w:val="center"/>
        <w:rPr>
          <w:b/>
          <w:bCs/>
          <w:szCs w:val="24"/>
        </w:rPr>
      </w:pPr>
      <w:r>
        <w:rPr>
          <w:b/>
          <w:bCs/>
          <w:szCs w:val="24"/>
        </w:rPr>
        <w:t>Figure 4-2.5: Microscopic fracture morphology at 100× magnification</w:t>
      </w:r>
    </w:p>
    <w:p w14:paraId="591552F7">
      <w:pPr>
        <w:pStyle w:val="16"/>
        <w:spacing w:before="31" w:after="31"/>
        <w:ind w:firstLine="482"/>
        <w:jc w:val="center"/>
        <w:rPr>
          <w:b/>
          <w:bCs/>
          <w:szCs w:val="24"/>
        </w:rPr>
      </w:pPr>
      <w:r>
        <w:rPr>
          <w:b/>
          <w:bCs/>
          <w:szCs w:val="24"/>
        </w:rPr>
        <w:t>Figure 4-2.6: Microscopic fracture morphology at 500× magnification</w:t>
      </w:r>
    </w:p>
    <w:p w14:paraId="221CC4F2">
      <w:pPr>
        <w:pStyle w:val="16"/>
        <w:spacing w:before="31" w:after="31"/>
        <w:ind w:firstLine="480"/>
        <w:rPr>
          <w:szCs w:val="24"/>
        </w:rPr>
      </w:pPr>
    </w:p>
    <w:p w14:paraId="44BC2B04">
      <w:pPr>
        <w:pStyle w:val="16"/>
        <w:spacing w:before="31" w:after="31"/>
        <w:ind w:firstLine="0" w:firstLineChars="0"/>
        <w:rPr>
          <w:szCs w:val="24"/>
        </w:rPr>
      </w:pPr>
      <w:r>
        <w:rPr>
          <w:szCs w:val="24"/>
        </w:rPr>
        <w:t>(6) Failure Cause Analysis</w:t>
      </w:r>
    </w:p>
    <w:p w14:paraId="01CB0DA7">
      <w:pPr>
        <w:pStyle w:val="16"/>
        <w:spacing w:before="31" w:after="31"/>
        <w:ind w:firstLine="480"/>
        <w:rPr>
          <w:szCs w:val="24"/>
        </w:rPr>
      </w:pPr>
      <w:r>
        <w:rPr>
          <w:szCs w:val="24"/>
        </w:rPr>
        <w:t>(a) Physical and Organizational Analysis</w:t>
      </w:r>
    </w:p>
    <w:p w14:paraId="12AEA38B">
      <w:pPr>
        <w:pStyle w:val="16"/>
        <w:spacing w:before="31" w:after="31"/>
        <w:ind w:firstLine="480"/>
        <w:rPr>
          <w:szCs w:val="24"/>
        </w:rPr>
      </w:pPr>
      <w:r>
        <w:rPr>
          <w:szCs w:val="24"/>
        </w:rPr>
        <w:t>From the physical inspection of the ball joint mechanism, it is evident that the root of the ball joint has excessive smoothness and a too-small diameter, and the transition at the root appears angular. Consequently, this area has a high stress concentration factor, making it a weak point in the mechanism. Under alternating stress, fatigue cracking is prone to occur at the root of the ball joint, ultimately leading to extended fracture. Macroscopic and microscopic examinations of the fracture surface reveal that there are no metallurgical defects in the material. The entire fracture is ductile, indicating significant plastic deformation during material failure, enduring a substantial load beyond the material's allowable limit, initiating cracking from one side of the mechanism, and ultimately resulting in overload fracture.</w:t>
      </w:r>
    </w:p>
    <w:p w14:paraId="50C4D97F">
      <w:pPr>
        <w:pStyle w:val="16"/>
        <w:spacing w:before="31" w:after="31"/>
        <w:ind w:firstLine="480"/>
        <w:rPr>
          <w:szCs w:val="24"/>
        </w:rPr>
      </w:pPr>
      <w:r>
        <w:rPr>
          <w:szCs w:val="24"/>
        </w:rPr>
        <w:t>(b) Force Analysis</w:t>
      </w:r>
    </w:p>
    <w:p w14:paraId="5771C0AC">
      <w:pPr>
        <w:pStyle w:val="16"/>
        <w:spacing w:before="31" w:after="31"/>
        <w:ind w:firstLine="480"/>
        <w:rPr>
          <w:szCs w:val="24"/>
        </w:rPr>
      </w:pPr>
      <w:r>
        <w:rPr>
          <w:szCs w:val="24"/>
        </w:rPr>
        <w:t>According to specifications, the ball joint mechanism is designed for rotational motion with limitations. It can rotate within the range of -30° to +30° in the vertical direction and -10° to +30° in the horizontal direction. During underwater operations of the detection equipment, the ball joint mechanism propels the equipment at a certain speed underwater. The ball joint mechanism also serves to limit the underwater movement of the detection equipment, ensuring stable posture during operation. Therefore, the root of the ball joint is subjected to various directional alternating stresses and may also encounter underwater obstacles (such as entanglement with fishing nets). Hence, the stress conditions are complex.</w:t>
      </w:r>
    </w:p>
    <w:p w14:paraId="41F9663E">
      <w:pPr>
        <w:pStyle w:val="16"/>
        <w:spacing w:before="31" w:after="31"/>
        <w:ind w:firstLine="480"/>
        <w:rPr>
          <w:szCs w:val="24"/>
        </w:rPr>
      </w:pPr>
      <w:r>
        <w:rPr>
          <w:szCs w:val="24"/>
        </w:rPr>
        <w:t>Based on the experimental results and analysis, the main reasons for the fracture at the root of the ball joint are as follows: 1) Excessive smoothness and small diameter at the transition of the ball joint mechanism, with visible machining marks on the surface, resulting in a high stress concentration factor. 2) Underwater equipment experiences stringent force conditions at the root of the ball joint, subjected to alternating stress. The root of the ball joint is prone to fatigue cracking, leading to extended fracture.</w:t>
      </w:r>
    </w:p>
    <w:p w14:paraId="298B8C2F">
      <w:pPr>
        <w:pStyle w:val="16"/>
        <w:spacing w:before="31" w:after="31"/>
        <w:ind w:firstLine="0" w:firstLineChars="0"/>
        <w:rPr>
          <w:szCs w:val="24"/>
        </w:rPr>
      </w:pPr>
      <w:bookmarkStart w:id="2" w:name="_Hlk156166513"/>
      <w:r>
        <w:rPr>
          <w:rFonts w:hint="eastAsia"/>
          <w:szCs w:val="24"/>
        </w:rPr>
        <w:t>(7) Impact and Harm Caused</w:t>
      </w:r>
    </w:p>
    <w:p w14:paraId="17D4379C">
      <w:pPr>
        <w:pStyle w:val="16"/>
        <w:spacing w:before="31" w:after="31"/>
        <w:ind w:firstLine="420" w:firstLineChars="0"/>
        <w:rPr>
          <w:szCs w:val="24"/>
        </w:rPr>
      </w:pPr>
      <w:r>
        <w:rPr>
          <w:rFonts w:hint="eastAsia"/>
          <w:szCs w:val="24"/>
        </w:rPr>
        <w:t>Null</w:t>
      </w:r>
      <w:bookmarkEnd w:id="2"/>
    </w:p>
    <w:p w14:paraId="43662268">
      <w:pPr>
        <w:pStyle w:val="16"/>
        <w:spacing w:before="31" w:after="31"/>
        <w:ind w:firstLine="0" w:firstLineChars="0"/>
        <w:rPr>
          <w:szCs w:val="24"/>
        </w:rPr>
      </w:pPr>
      <w:r>
        <w:rPr>
          <w:szCs w:val="24"/>
        </w:rPr>
        <w:t>(8) Conclusion and Improvement Measures</w:t>
      </w:r>
    </w:p>
    <w:p w14:paraId="5A2FCD9C">
      <w:pPr>
        <w:pStyle w:val="16"/>
        <w:spacing w:before="31" w:after="31"/>
        <w:ind w:firstLine="480"/>
        <w:rPr>
          <w:szCs w:val="24"/>
        </w:rPr>
      </w:pPr>
      <w:r>
        <w:rPr>
          <w:szCs w:val="24"/>
        </w:rPr>
        <w:t>Due to the overall welding of this structure and the presence of high residual stresses after welding, it is also a load-bearing operating component subject to alternating stresses. Based on the above analysis results, the following solutions are proposed.</w:t>
      </w:r>
    </w:p>
    <w:p w14:paraId="656B58CF">
      <w:pPr>
        <w:pStyle w:val="16"/>
        <w:spacing w:before="31" w:after="31"/>
        <w:ind w:firstLine="480"/>
        <w:rPr>
          <w:szCs w:val="24"/>
        </w:rPr>
      </w:pPr>
      <w:r>
        <w:rPr>
          <w:szCs w:val="24"/>
        </w:rPr>
        <w:t>(a) Structural Aspect: To avoid localized stress concentration in the load-bearing component and prevent cracking at the establishment point, smooth transitions should be made at the connecting point of the ball joint. The diameter of the root of the ball joint should be increased as much as possible while meeting the overall dimensional requirements.</w:t>
      </w:r>
    </w:p>
    <w:p w14:paraId="4A4F42CF">
      <w:pPr>
        <w:pStyle w:val="16"/>
        <w:spacing w:before="31" w:after="31"/>
        <w:ind w:firstLine="480"/>
        <w:rPr>
          <w:szCs w:val="24"/>
        </w:rPr>
      </w:pPr>
      <w:r>
        <w:rPr>
          <w:szCs w:val="24"/>
        </w:rPr>
        <w:t>(b) Process Aspect: For the ball joint and ball joint sleeve components, reasonable processing procedures should be formulated. The requirements for processing quality and precision should be increased. The main processing steps include raw material forging, annealing treatment, oxide skin removal, fixture processing, initial processing of parts, shaping, stress relief, oxide skin removal, and precision processing. Construction and measures for the ball joint mechanism include the use of special fixtures for parts with high deformation and dimensional accuracy requirements, rigid fixing to control deformation; reasonable arrangement of welding sequence, employing measures such as symmetrical welding by two persons, and staged back welding to ensure even stress distribution; post-welding, using ultrasonic peening to eliminate residual stresses in the weld, stabilizing structural dimensions.</w:t>
      </w:r>
    </w:p>
    <w:p w14:paraId="42A4543E">
      <w:pPr>
        <w:pStyle w:val="16"/>
        <w:spacing w:before="31" w:after="31"/>
        <w:ind w:firstLine="0" w:firstLineChars="0"/>
        <w:rPr>
          <w:b/>
          <w:bCs/>
          <w:szCs w:val="24"/>
        </w:rPr>
      </w:pPr>
      <w:r>
        <w:rPr>
          <w:b/>
          <w:bCs/>
          <w:szCs w:val="24"/>
        </w:rPr>
        <w:t>4.2.3 Case 4-3 Corrosion of Seawater Cooling System on an Oil Platform</w:t>
      </w:r>
    </w:p>
    <w:p w14:paraId="3540AF42">
      <w:pPr>
        <w:pStyle w:val="16"/>
        <w:spacing w:before="31" w:after="31"/>
        <w:ind w:firstLine="0" w:firstLineChars="0"/>
        <w:rPr>
          <w:szCs w:val="24"/>
        </w:rPr>
      </w:pPr>
      <w:r>
        <w:rPr>
          <w:szCs w:val="24"/>
        </w:rPr>
        <w:t>(1) Case Name</w:t>
      </w:r>
    </w:p>
    <w:p w14:paraId="0D903D90">
      <w:pPr>
        <w:pStyle w:val="16"/>
        <w:spacing w:before="31" w:after="31"/>
        <w:ind w:firstLine="480"/>
        <w:rPr>
          <w:szCs w:val="24"/>
        </w:rPr>
      </w:pPr>
      <w:r>
        <w:rPr>
          <w:szCs w:val="24"/>
        </w:rPr>
        <w:t>Corrosion of Seawater Cooling System on an Oil Platform [4]</w:t>
      </w:r>
    </w:p>
    <w:p w14:paraId="340D0012">
      <w:pPr>
        <w:pStyle w:val="16"/>
        <w:spacing w:before="31" w:after="31"/>
        <w:ind w:firstLine="0" w:firstLineChars="0"/>
        <w:rPr>
          <w:szCs w:val="24"/>
        </w:rPr>
      </w:pPr>
      <w:r>
        <w:rPr>
          <w:szCs w:val="24"/>
        </w:rPr>
        <w:t>(2) Failure Process Description</w:t>
      </w:r>
    </w:p>
    <w:p w14:paraId="71C89392">
      <w:pPr>
        <w:pStyle w:val="16"/>
        <w:spacing w:before="31" w:after="31"/>
        <w:ind w:firstLine="480"/>
        <w:rPr>
          <w:szCs w:val="24"/>
        </w:rPr>
      </w:pPr>
      <w:r>
        <w:rPr>
          <w:szCs w:val="24"/>
        </w:rPr>
        <w:t>The oil platform, commissioned by China National Offshore Oil Corporation in July 2002, has experienced multiple corrosion incidents in its seawater cooling system since production began. These incidents have significantly impacted the production of the oil field.</w:t>
      </w:r>
    </w:p>
    <w:p w14:paraId="37B517B0">
      <w:pPr>
        <w:pStyle w:val="16"/>
        <w:spacing w:before="31" w:after="31"/>
        <w:ind w:firstLine="0" w:firstLineChars="0"/>
        <w:rPr>
          <w:szCs w:val="24"/>
        </w:rPr>
      </w:pPr>
      <w:r>
        <w:rPr>
          <w:szCs w:val="24"/>
        </w:rPr>
        <w:t>(3) Service Environment</w:t>
      </w:r>
    </w:p>
    <w:p w14:paraId="395A94B4">
      <w:pPr>
        <w:pStyle w:val="16"/>
        <w:spacing w:before="31" w:after="31"/>
        <w:ind w:firstLine="480"/>
        <w:rPr>
          <w:szCs w:val="24"/>
        </w:rPr>
      </w:pPr>
      <w:r>
        <w:rPr>
          <w:szCs w:val="24"/>
        </w:rPr>
        <w:t>The oil platform is located in the South China Sea, and the corrosion environment mainly includes immersion in seawater and exposure to offshore atmospheric conditions.</w:t>
      </w:r>
    </w:p>
    <w:p w14:paraId="32FCDE3B">
      <w:pPr>
        <w:pStyle w:val="16"/>
        <w:spacing w:before="31" w:after="31"/>
        <w:ind w:firstLine="0" w:firstLineChars="0"/>
        <w:rPr>
          <w:szCs w:val="24"/>
        </w:rPr>
      </w:pPr>
      <w:r>
        <w:rPr>
          <w:szCs w:val="24"/>
        </w:rPr>
        <w:t>(4) Failed Component and Material</w:t>
      </w:r>
    </w:p>
    <w:p w14:paraId="29E64B49">
      <w:pPr>
        <w:pStyle w:val="16"/>
        <w:spacing w:before="31" w:after="31"/>
        <w:ind w:firstLine="480"/>
        <w:rPr>
          <w:szCs w:val="24"/>
        </w:rPr>
      </w:pPr>
      <w:r>
        <w:rPr>
          <w:szCs w:val="24"/>
        </w:rPr>
        <w:t>Through an investigation of equipment such as seawater pumps, pipelines, valves, central air conditioning cooling system, cabinet air conditioning cooling system, natural gas cooler, inert gas system, and refrigerated cabinet cooling system in the seawater cooling system, severe corrosion was found in the seawater pump bearing end cover. The surface exhibited severe ulceration with numerous corrosive spots, and large areas of rust layers were peeling off. Seawater pipelines (including white copper pipes and common carbon steel pipes) showed significant corrosion at welds, elbows, and transitions, with obvious signs of welding repair (see Figure 4-3.1). Many valves, flanges, and bolts exposed in the main deck production area were severely corroded (see Figure 4-3.2), leading to difficulties in startup and, in some cases, scrapping for replacement. Central air conditioning condensers and natural gas coolers frequently leaked, with a large amount of verdigris and yellow-brown rust covering the uneven surfaces. The corrosion at the contact points between the tube plates and copper tubes was particularly severe. The rear weld seam in the furnace of the inert gas generator suffered severe corrosion. Severe corrosion was also observed in the seawater pump suction pipe, pump casing, and impeller, with pit diameters ranging from 10 to 15 mm. The pump casing and impeller had numerous corroded pockmarks. The seawater pipelines, valves, and flange connections of the fire pumps showed severe corrosion.</w:t>
      </w:r>
    </w:p>
    <w:p w14:paraId="59559254">
      <w:pPr>
        <w:pStyle w:val="16"/>
        <w:spacing w:before="31" w:after="31"/>
        <w:ind w:firstLine="482"/>
        <w:jc w:val="center"/>
        <w:rPr>
          <w:b/>
          <w:bCs/>
          <w:szCs w:val="24"/>
        </w:rPr>
      </w:pPr>
      <w:r>
        <w:rPr>
          <w:b/>
          <w:bCs/>
          <w:szCs w:val="24"/>
        </w:rPr>
        <w:t>Figure 4-3.1: Corrosion condition of seawater pipelines</w:t>
      </w:r>
    </w:p>
    <w:p w14:paraId="79B834CF">
      <w:pPr>
        <w:pStyle w:val="16"/>
        <w:spacing w:before="31" w:after="31"/>
        <w:ind w:firstLine="482"/>
        <w:jc w:val="center"/>
        <w:rPr>
          <w:b/>
          <w:bCs/>
          <w:szCs w:val="24"/>
        </w:rPr>
      </w:pPr>
      <w:r>
        <w:rPr>
          <w:b/>
          <w:bCs/>
          <w:szCs w:val="24"/>
        </w:rPr>
        <w:t>Figure 4-3.2: Corrosion condition of flanges in seawater pipelines</w:t>
      </w:r>
    </w:p>
    <w:p w14:paraId="5D7DB26A">
      <w:pPr>
        <w:pStyle w:val="16"/>
        <w:spacing w:before="31" w:after="31"/>
        <w:ind w:firstLine="0" w:firstLineChars="0"/>
        <w:rPr>
          <w:szCs w:val="24"/>
        </w:rPr>
      </w:pPr>
      <w:r>
        <w:rPr>
          <w:rFonts w:hint="eastAsia"/>
          <w:szCs w:val="24"/>
        </w:rPr>
        <w:t>(5) Failed Component Morphology:</w:t>
      </w:r>
    </w:p>
    <w:p w14:paraId="3A328598">
      <w:pPr>
        <w:pStyle w:val="16"/>
        <w:spacing w:before="31" w:after="31"/>
        <w:ind w:firstLine="420" w:firstLineChars="0"/>
        <w:rPr>
          <w:szCs w:val="24"/>
        </w:rPr>
      </w:pPr>
      <w:r>
        <w:rPr>
          <w:rFonts w:hint="eastAsia"/>
          <w:szCs w:val="24"/>
        </w:rPr>
        <w:t>Null</w:t>
      </w:r>
    </w:p>
    <w:p w14:paraId="2ACED014">
      <w:pPr>
        <w:pStyle w:val="16"/>
        <w:spacing w:before="31" w:after="31"/>
        <w:ind w:firstLine="0" w:firstLineChars="0"/>
        <w:rPr>
          <w:szCs w:val="24"/>
        </w:rPr>
      </w:pPr>
      <w:r>
        <w:rPr>
          <w:szCs w:val="24"/>
        </w:rPr>
        <w:t>(6) Failure Cause Analysis</w:t>
      </w:r>
    </w:p>
    <w:p w14:paraId="5B1151E0">
      <w:pPr>
        <w:pStyle w:val="16"/>
        <w:spacing w:before="31" w:after="31"/>
        <w:ind w:firstLine="480"/>
        <w:rPr>
          <w:szCs w:val="24"/>
        </w:rPr>
      </w:pPr>
      <w:r>
        <w:rPr>
          <w:szCs w:val="24"/>
        </w:rPr>
        <w:t>(a) Design and Management Factors</w:t>
      </w:r>
    </w:p>
    <w:p w14:paraId="19F9C7F8">
      <w:pPr>
        <w:pStyle w:val="16"/>
        <w:spacing w:before="31" w:after="31"/>
        <w:ind w:firstLine="480"/>
        <w:rPr>
          <w:szCs w:val="24"/>
        </w:rPr>
      </w:pPr>
      <w:r>
        <w:rPr>
          <w:szCs w:val="24"/>
        </w:rPr>
        <w:t>Designers should understand and prioritize corrosion issues, relying on the selection of appropriate equipment and materials, as well as suitable corrosion prevention technologies and measures. It is essential to mitigate, delay, or prevent corrosion and damage caused by various means effectively and economically. In the current facilities, equipment, and working environment, the most feasible method to reduce corrosion damage and ensure normal operation is to diligently strengthen maintenance management.</w:t>
      </w:r>
    </w:p>
    <w:p w14:paraId="1E794246">
      <w:pPr>
        <w:pStyle w:val="16"/>
        <w:spacing w:before="31" w:after="31"/>
        <w:ind w:firstLine="480"/>
        <w:rPr>
          <w:szCs w:val="24"/>
        </w:rPr>
      </w:pPr>
      <w:r>
        <w:rPr>
          <w:szCs w:val="24"/>
        </w:rPr>
        <w:t>(b) Environmental Factors</w:t>
      </w:r>
    </w:p>
    <w:p w14:paraId="394BD720">
      <w:pPr>
        <w:pStyle w:val="16"/>
        <w:spacing w:before="31" w:after="31"/>
        <w:ind w:firstLine="480"/>
        <w:rPr>
          <w:szCs w:val="24"/>
        </w:rPr>
      </w:pPr>
      <w:r>
        <w:rPr>
          <w:szCs w:val="24"/>
        </w:rPr>
        <w:t>The complex and variable marine environment has diverse corrosion effects on different metal materials. Corrosion of metal materials in the marine environment is the result of the synergistic action of various factors. Corrosion is more severe under conditions of high temperature, high flow rate, and high salt content. The oil platform is located in the South China Sea, and the corrosion environment mainly includes immersion in seawater and exposure to offshore atmospheric conditions.</w:t>
      </w:r>
    </w:p>
    <w:p w14:paraId="62AB5BD0">
      <w:pPr>
        <w:pStyle w:val="16"/>
        <w:spacing w:before="31" w:after="31"/>
        <w:ind w:firstLine="480"/>
        <w:rPr>
          <w:szCs w:val="24"/>
        </w:rPr>
      </w:pPr>
      <w:r>
        <w:rPr>
          <w:rFonts w:hint="eastAsia" w:ascii="宋体" w:hAnsi="宋体"/>
        </w:rPr>
        <w:t xml:space="preserve">① </w:t>
      </w:r>
      <w:r>
        <w:rPr>
          <w:rFonts w:hint="eastAsia"/>
          <w:szCs w:val="24"/>
        </w:rPr>
        <w:t>High-Temperature and High-Pressure Environment: The corrosion rate of metal surfaces attached with dust and salt in a humid environment increases with temperature and pressure. Simultaneously, temperature difference battery corrosion occurs, making th</w:t>
      </w:r>
      <w:r>
        <w:rPr>
          <w:szCs w:val="24"/>
        </w:rPr>
        <w:t>e lower-temperature connections nearby the anode and accelerating corrosion. Increased pressure can cause internal liquids or gases to overflow from sand eyes or gaps, gradually enlarging the sand eyes and extending the gaps, ultimately leading to equipment leakage and component damage. Many leaks in pipelines, valves, flanges, and root damage are related to this.</w:t>
      </w:r>
    </w:p>
    <w:p w14:paraId="49D28C00">
      <w:pPr>
        <w:pStyle w:val="16"/>
        <w:spacing w:before="31" w:after="31"/>
        <w:ind w:firstLine="480"/>
        <w:rPr>
          <w:szCs w:val="24"/>
        </w:rPr>
      </w:pPr>
      <w:r>
        <w:rPr>
          <w:rFonts w:hint="eastAsia" w:ascii="宋体" w:hAnsi="宋体"/>
        </w:rPr>
        <w:t>②</w:t>
      </w:r>
      <w:r>
        <w:rPr>
          <w:rFonts w:hint="eastAsia"/>
        </w:rPr>
        <w:t xml:space="preserve"> </w:t>
      </w:r>
      <w:r>
        <w:rPr>
          <w:rFonts w:hint="eastAsia"/>
          <w:szCs w:val="24"/>
        </w:rPr>
        <w:t>Impact and Erosion: The continuous impact of corrosive liquid on metal surfaces, under the synergistic action of mechanical and electrochemical factors, results in localized corrosion known as impact corrosion. In turbulent conditions, air bubbles are</w:t>
      </w:r>
      <w:r>
        <w:rPr>
          <w:szCs w:val="24"/>
        </w:rPr>
        <w:t xml:space="preserve"> often mixed into the liquid, and they violently impact protrusions and abrupt areas of metal structures in the flow path. This damages the surface protective film, washes away corrosion products, and causes corrosion features such as grooves, troughs, ripples, pits, diffuse corrosion, and horseshoe marks. Different metals have different tolerances for flow rates, and noticeable impact damage occurs when the flow rate exceeds the critical range. Mechanical equipment using and transporting seawater, such as the pump inner liner and impeller, pipeline elbows and tees, valves and baffles, and the inlet and outlet pipes of heaters and filters, are susceptible to damage. At the top and internal cavity expansion of seawater pump blades, instantaneous collapse of air bubbles generates intense water hammer action, with local pressures reaching several hundred MPa, leading to the formation of cavitation corrosion.</w:t>
      </w:r>
    </w:p>
    <w:p w14:paraId="1FFC6376">
      <w:pPr>
        <w:pStyle w:val="16"/>
        <w:spacing w:before="31" w:after="31"/>
        <w:ind w:firstLine="0" w:firstLineChars="0"/>
        <w:rPr>
          <w:szCs w:val="24"/>
        </w:rPr>
      </w:pPr>
      <w:r>
        <w:rPr>
          <w:rFonts w:hint="eastAsia"/>
          <w:szCs w:val="24"/>
        </w:rPr>
        <w:t>(7) Impact and Harm Caused</w:t>
      </w:r>
    </w:p>
    <w:p w14:paraId="30807B49">
      <w:pPr>
        <w:pStyle w:val="16"/>
        <w:spacing w:before="31" w:after="31"/>
        <w:ind w:firstLine="420" w:firstLineChars="0"/>
        <w:rPr>
          <w:szCs w:val="24"/>
        </w:rPr>
      </w:pPr>
      <w:r>
        <w:rPr>
          <w:rFonts w:hint="eastAsia"/>
          <w:szCs w:val="24"/>
        </w:rPr>
        <w:t>Null</w:t>
      </w:r>
    </w:p>
    <w:p w14:paraId="33916114">
      <w:pPr>
        <w:pStyle w:val="16"/>
        <w:spacing w:before="31" w:after="31"/>
        <w:ind w:firstLine="0" w:firstLineChars="0"/>
        <w:rPr>
          <w:szCs w:val="24"/>
        </w:rPr>
      </w:pPr>
      <w:r>
        <w:rPr>
          <w:szCs w:val="24"/>
        </w:rPr>
        <w:t>(8) Conclusion and Improvement Measures</w:t>
      </w:r>
    </w:p>
    <w:p w14:paraId="55F50EEB">
      <w:pPr>
        <w:pStyle w:val="16"/>
        <w:spacing w:before="31" w:after="31"/>
        <w:ind w:firstLine="480"/>
        <w:rPr>
          <w:szCs w:val="24"/>
        </w:rPr>
      </w:pPr>
      <w:r>
        <w:rPr>
          <w:szCs w:val="24"/>
        </w:rPr>
        <w:t>The corrosion forms of the seawater cooling system mainly include uniform corrosion, pitting corrosion, crevice corrosion, contact corrosion, galvanic corrosion, and welding corrosion. The protective measures to be taken for this system are as follows:</w:t>
      </w:r>
    </w:p>
    <w:p w14:paraId="354A3BD1">
      <w:pPr>
        <w:pStyle w:val="16"/>
        <w:spacing w:before="31" w:after="31"/>
        <w:ind w:firstLine="480"/>
        <w:rPr>
          <w:szCs w:val="24"/>
        </w:rPr>
      </w:pPr>
      <w:r>
        <w:rPr>
          <w:szCs w:val="24"/>
        </w:rPr>
        <w:t>(a) Corrosion Prevention Improvement:</w:t>
      </w:r>
    </w:p>
    <w:p w14:paraId="30EDF435">
      <w:pPr>
        <w:pStyle w:val="16"/>
        <w:spacing w:before="31" w:after="31"/>
        <w:ind w:firstLine="480"/>
        <w:rPr>
          <w:szCs w:val="24"/>
        </w:rPr>
      </w:pPr>
      <w:r>
        <w:rPr>
          <w:szCs w:val="24"/>
        </w:rPr>
        <w:t>The oil platform has an independent seawater system, and a suitable corrosion protection plan should be selected based on specific industrial and mining conditions. This includes using sacrificial anodes and external current combined cathodic protection, rational and scientific configuration considering the material, flow rate, and pipe diameter sizes, as well as the complexity of surrounding equipment. In necessary locations, internal lining should be used for joint protection.</w:t>
      </w:r>
    </w:p>
    <w:p w14:paraId="33BE576B">
      <w:pPr>
        <w:pStyle w:val="16"/>
        <w:spacing w:before="31" w:after="31"/>
        <w:ind w:firstLine="480"/>
        <w:rPr>
          <w:szCs w:val="24"/>
        </w:rPr>
      </w:pPr>
      <w:r>
        <w:rPr>
          <w:szCs w:val="24"/>
        </w:rPr>
        <w:t>(b) Design Improvement:</w:t>
      </w:r>
    </w:p>
    <w:p w14:paraId="282C6642">
      <w:pPr>
        <w:pStyle w:val="16"/>
        <w:spacing w:before="31" w:after="31"/>
        <w:ind w:firstLine="480"/>
        <w:rPr>
          <w:szCs w:val="24"/>
        </w:rPr>
      </w:pPr>
      <w:r>
        <w:rPr>
          <w:szCs w:val="24"/>
        </w:rPr>
        <w:t>The use of linear MMO (mixed metal oxide) auxiliary anodes can effectively improve the various shielding effects present during cathodic protection with external current.</w:t>
      </w:r>
    </w:p>
    <w:p w14:paraId="4A5BC945">
      <w:pPr>
        <w:pStyle w:val="16"/>
        <w:spacing w:before="31" w:after="31"/>
        <w:ind w:firstLine="480"/>
        <w:rPr>
          <w:szCs w:val="24"/>
        </w:rPr>
      </w:pPr>
    </w:p>
    <w:p w14:paraId="34626EE0">
      <w:pPr>
        <w:pStyle w:val="16"/>
        <w:spacing w:before="31" w:after="31"/>
        <w:ind w:firstLine="480"/>
        <w:rPr>
          <w:szCs w:val="24"/>
        </w:rPr>
      </w:pPr>
      <w:r>
        <w:rPr>
          <w:szCs w:val="24"/>
        </w:rPr>
        <w:t>After the improvement of corrosion-resistant coatings and cathodic protection design schemes, it was observed that corrosion in the pipeline system was inhibited during the effective protection period. There was no significant thinning of the pipe wall, and phenomena such as equipment running, leaking, dripping, and corrosion were reduced. The surfaces of pipelines and equipment were generally maintained, ensuring safe operation.</w:t>
      </w:r>
    </w:p>
    <w:p w14:paraId="24082FA3">
      <w:pPr>
        <w:pStyle w:val="16"/>
        <w:spacing w:before="31" w:after="31"/>
        <w:ind w:firstLine="480"/>
        <w:rPr>
          <w:szCs w:val="24"/>
        </w:rPr>
      </w:pPr>
      <w:r>
        <w:rPr>
          <w:szCs w:val="24"/>
        </w:rPr>
        <w:t>4.2.4 Case 4-4 Corrosion and Fracture of Gas Well Tubing in Offshore Condensate Gas Field</w:t>
      </w:r>
    </w:p>
    <w:p w14:paraId="6918484B">
      <w:pPr>
        <w:pStyle w:val="16"/>
        <w:spacing w:before="31" w:after="31"/>
        <w:ind w:firstLine="0" w:firstLineChars="0"/>
        <w:rPr>
          <w:szCs w:val="24"/>
        </w:rPr>
      </w:pPr>
      <w:r>
        <w:rPr>
          <w:szCs w:val="24"/>
        </w:rPr>
        <w:t>(1) Case Name</w:t>
      </w:r>
    </w:p>
    <w:p w14:paraId="639A5B68">
      <w:pPr>
        <w:pStyle w:val="16"/>
        <w:spacing w:before="31" w:after="31"/>
        <w:ind w:firstLine="480"/>
        <w:rPr>
          <w:szCs w:val="24"/>
        </w:rPr>
      </w:pPr>
      <w:r>
        <w:rPr>
          <w:szCs w:val="24"/>
        </w:rPr>
        <w:t>Corrosion and Fracture of Gas Well Tubing in Offshore Condensate Gas Field [5]</w:t>
      </w:r>
    </w:p>
    <w:p w14:paraId="3DE5ADD2">
      <w:pPr>
        <w:pStyle w:val="16"/>
        <w:spacing w:before="31" w:after="31"/>
        <w:ind w:firstLine="0" w:firstLineChars="0"/>
        <w:rPr>
          <w:szCs w:val="24"/>
        </w:rPr>
      </w:pPr>
      <w:r>
        <w:rPr>
          <w:szCs w:val="24"/>
        </w:rPr>
        <w:t>(2) Failure Process Description</w:t>
      </w:r>
    </w:p>
    <w:p w14:paraId="47E1AB24">
      <w:pPr>
        <w:pStyle w:val="16"/>
        <w:spacing w:before="31" w:after="31"/>
        <w:ind w:firstLine="480"/>
        <w:rPr>
          <w:szCs w:val="24"/>
        </w:rPr>
      </w:pPr>
      <w:r>
        <w:rPr>
          <w:szCs w:val="24"/>
        </w:rPr>
        <w:t>An offshore condensate gas field and onshore terminal gas processing facility constitute an early set of natural gas production and processing facilities in China's offshore oil industry. The gas field and terminal processing plant were commissioned in 1992, currently producing 1.2 million m3 of natural gas and 320 tons of oil daily. The upstream includes three production platforms: Mid-North High Point Wellhead Production and Living Power Platform (MNW, MUQ); South High Point Wellhead Platform (SW); and the second-phase constructed Mid-South Wellhead Platform (MSW). Currently, there are 10 producing wells, with 4 on the MNW platform, 4 on the SW platform, and 2 on the MSW platform.</w:t>
      </w:r>
    </w:p>
    <w:p w14:paraId="376F4F02">
      <w:pPr>
        <w:pStyle w:val="16"/>
        <w:spacing w:before="31" w:after="31"/>
        <w:ind w:firstLine="480"/>
        <w:rPr>
          <w:szCs w:val="24"/>
        </w:rPr>
      </w:pPr>
      <w:r>
        <w:rPr>
          <w:szCs w:val="24"/>
        </w:rPr>
        <w:t>Due to the extended production period, the oil wells, offshore, and onshore oil and gas processing facilities have experienced varying degrees of corrosion and scaling. Three wells, in particular, suffered severe corrosion perforation a year after production, causing a sudden increase in production casing pressure from 6.4 MPa to 20.5 MPa (consistent with oil production pressure at the time). Subsequently, natural gas leakage was discovered from the annular space of the well's water-tight casing, leading to a shutdown for major repairs. During the lifting of the wellbore column, the tubing fractured due to severe corrosion, resulting in gas leakage at the fracture point. The repair cost and production loss were both over tens of millions of yuan.</w:t>
      </w:r>
    </w:p>
    <w:p w14:paraId="05347926">
      <w:pPr>
        <w:pStyle w:val="16"/>
        <w:spacing w:before="31" w:after="31"/>
        <w:ind w:firstLine="0" w:firstLineChars="0"/>
        <w:rPr>
          <w:szCs w:val="24"/>
        </w:rPr>
      </w:pPr>
      <w:r>
        <w:rPr>
          <w:szCs w:val="24"/>
        </w:rPr>
        <w:t>(3) Service Environment</w:t>
      </w:r>
    </w:p>
    <w:p w14:paraId="491850D7">
      <w:pPr>
        <w:pStyle w:val="16"/>
        <w:spacing w:before="31" w:after="31"/>
        <w:ind w:firstLine="480"/>
        <w:rPr>
          <w:szCs w:val="24"/>
        </w:rPr>
      </w:pPr>
      <w:r>
        <w:rPr>
          <w:szCs w:val="24"/>
        </w:rPr>
        <w:t>Wellhead Pressure (ahead of the gas valve): 18.5 MPa; Wellhead Temperature (ahead of the gas valve): 63°C; Casing Pressure: 0 MPa; Gas Valve Opening: 5-6 mm; Wellbore Medium: Natural gas, oil, water; Gas Production: 1.597 × 103 m3/day (average); Oil Production: 57.92 m3/day (average); Water Production: 0.8 m3/day (average); Wellbore: Carbon steel (using standard ASTM A 106 GR. B. [SMI S]B.E. high-temperature seamless steel pipe).</w:t>
      </w:r>
    </w:p>
    <w:p w14:paraId="31AA792F">
      <w:pPr>
        <w:pStyle w:val="16"/>
        <w:spacing w:before="31" w:after="31"/>
        <w:ind w:firstLine="0" w:firstLineChars="0"/>
        <w:rPr>
          <w:szCs w:val="24"/>
        </w:rPr>
      </w:pPr>
      <w:r>
        <w:rPr>
          <w:szCs w:val="24"/>
        </w:rPr>
        <w:t>(4) Failed Component and Material</w:t>
      </w:r>
    </w:p>
    <w:p w14:paraId="73F7C574">
      <w:pPr>
        <w:pStyle w:val="16"/>
        <w:spacing w:before="31" w:after="31"/>
        <w:ind w:firstLine="480"/>
        <w:rPr>
          <w:szCs w:val="24"/>
        </w:rPr>
      </w:pPr>
      <w:r>
        <w:rPr>
          <w:rFonts w:hint="eastAsia"/>
          <w:szCs w:val="24"/>
        </w:rPr>
        <w:t>Well segment: 2068.7～2120 m; Tubing: Outer diameter 89 mm; Inner diameter 77 mm; Wall thickness 6 mm; (Values for the tubing are measured for the fractured part).</w:t>
      </w:r>
    </w:p>
    <w:p w14:paraId="6DCF7B86">
      <w:pPr>
        <w:pStyle w:val="16"/>
        <w:spacing w:before="31" w:after="31"/>
        <w:ind w:firstLine="0" w:firstLineChars="0"/>
        <w:rPr>
          <w:szCs w:val="24"/>
        </w:rPr>
      </w:pPr>
      <w:r>
        <w:rPr>
          <w:szCs w:val="24"/>
        </w:rPr>
        <w:t>(5) Component Failure Appearance</w:t>
      </w:r>
    </w:p>
    <w:p w14:paraId="055B1AE5">
      <w:pPr>
        <w:pStyle w:val="16"/>
        <w:spacing w:before="31" w:after="31"/>
        <w:ind w:firstLine="480"/>
        <w:rPr>
          <w:szCs w:val="24"/>
        </w:rPr>
      </w:pPr>
      <w:r>
        <w:rPr>
          <w:szCs w:val="24"/>
        </w:rPr>
        <w:t>According to on-site technical personnel, the corrosion in the three wells is primarily localized corrosion, with deep pits and perforation concentrated 50-60 m below the wellhead, while other areas appear relatively smooth without corrosion signs.</w:t>
      </w:r>
    </w:p>
    <w:p w14:paraId="697B0E59">
      <w:pPr>
        <w:pStyle w:val="16"/>
        <w:spacing w:before="31" w:after="31"/>
        <w:ind w:firstLine="480"/>
        <w:rPr>
          <w:szCs w:val="24"/>
        </w:rPr>
      </w:pPr>
      <w:r>
        <w:rPr>
          <w:szCs w:val="24"/>
        </w:rPr>
        <w:t>Surface inspection of the sample tubing segments revealed oxidation, with the surface turning reddish-brown due to prolonged exposure to the air. Corroded areas displayed circular pits, some with deep grooves resembling erosion marks. The inner wall of the tubing segments exhibited a deep reddish-brown color, and after scraping off the surface layer, a white layer was revealed. Additionally, particles with a size of 0.2-0.3 mm were observed adhering to the tubing's inner wall. Various-sized and shaped corrosion pits were present on the internal surface, some circular and others horseshoe-shaped. Some corrosion pits had penetrated to form hole-like structures, accompanied by an evident corrosion groove on one side, approximately 23 mm wide and 4 mm deep.</w:t>
      </w:r>
    </w:p>
    <w:p w14:paraId="326C0F92">
      <w:pPr>
        <w:pStyle w:val="16"/>
        <w:spacing w:before="31" w:after="31"/>
        <w:ind w:firstLine="0" w:firstLineChars="0"/>
        <w:rPr>
          <w:szCs w:val="24"/>
        </w:rPr>
      </w:pPr>
      <w:r>
        <w:rPr>
          <w:szCs w:val="24"/>
        </w:rPr>
        <w:t>(6) Failure Cause Analysis</w:t>
      </w:r>
    </w:p>
    <w:p w14:paraId="769E12C0">
      <w:pPr>
        <w:pStyle w:val="16"/>
        <w:spacing w:before="31" w:after="31"/>
        <w:ind w:firstLine="480"/>
        <w:rPr>
          <w:szCs w:val="24"/>
        </w:rPr>
      </w:pPr>
      <w:r>
        <w:rPr>
          <w:szCs w:val="24"/>
        </w:rPr>
        <w:t>According to data from NACE (National Association of Corrosion Engineers), corrosion occurring in acidic systems (containing carbon dioxide without hydrogen sulfide) is caused by water that has dissolved carbon dioxide. In the context of natural gas/condensate oil systems, severe pitting corrosion often occurs in oil pipes. This pitting corrosion takes place in relatively low-temperature areas where water droplets condense on the pipe wall. Acidic gases (such as carbon dioxide) dissolved in the water lead to rapid corrosive perforation. Results from X-ray fluorescence and X-ray diffraction indicate that the corrosion products contain substances not inherent to the material itself but introduced from water in natural gas. The vapor content of water in natural</w:t>
      </w:r>
      <w:r>
        <w:rPr>
          <w:rFonts w:hint="eastAsia"/>
          <w:szCs w:val="24"/>
        </w:rPr>
        <w:t xml:space="preserve"> gas fluctuates, and when the vapor content is high, water droplets may condense on the pipe wall. According to field measurements, the water dew point of natural gas from well 3 is 3.333℃/3.3072MPa, corresponding to a water content of 2.3×10-4kg/m3. Under wellhead conditions (20MPa/60℃), the saturated water content in natural gas is 1.297×10-3kg/m3. With temperatures in the oil pipe exceeding 60℃, the corresponding saturated water content in natural gas is higher than 1.297×10-3kg/m3, hence, vapor condensa</w:t>
      </w:r>
      <w:r>
        <w:rPr>
          <w:szCs w:val="24"/>
        </w:rPr>
        <w:t>tion is not expected under normal circumstances. However, under certain temperature and pressure conditions, certain components in natural gas can form hydrates with water. According to calculations, the hydrate formation temperature for the gas field's na</w:t>
      </w:r>
      <w:r>
        <w:rPr>
          <w:rFonts w:hint="eastAsia"/>
          <w:szCs w:val="24"/>
        </w:rPr>
        <w:t>tural gas is 18.4℃ at 5.1MPa and 2.4℃ at 0.7MPa. Under the high pressure of 20MPa at the wellhead, the hydrate formation temperature will be higher, possibly exceeding the lowest temperature of the oil pipe in winter, leading to hydrate formation and corro</w:t>
      </w:r>
      <w:r>
        <w:rPr>
          <w:szCs w:val="24"/>
        </w:rPr>
        <w:t>sion on the pipe.</w:t>
      </w:r>
    </w:p>
    <w:p w14:paraId="7032F31C">
      <w:pPr>
        <w:pStyle w:val="16"/>
        <w:spacing w:before="31" w:after="31"/>
        <w:ind w:firstLine="480"/>
        <w:rPr>
          <w:szCs w:val="24"/>
        </w:rPr>
      </w:pPr>
      <w:r>
        <w:rPr>
          <w:szCs w:val="24"/>
        </w:rPr>
        <w:t>Based on the composition, properties, environmental conditions, and status of the medium inside well 3, combined with inspections of the corroded sections of the wellbore and chemical analysis of the corrosion products, a comparison was made with other wells. Well 3 has a higher gas production, higher well pressure, and notably different water conditions, with a pH as low as 5.5, a maximum salt content of 2.1×105 mg/L, and chloride ions as high as 1.3×105 mg/L. Therefore, preliminary analysis suggests that the wellbore's fracture occurred due to corrosion from acidic substances under specific operating conditions. The primary acidic substance affecting water is carbon dioxide, and the presence of water-soluble low-molecular-weight organic acids and other harmful gases remains unclear.</w:t>
      </w:r>
    </w:p>
    <w:p w14:paraId="011CBEF8">
      <w:pPr>
        <w:pStyle w:val="16"/>
        <w:spacing w:before="31" w:after="31"/>
        <w:ind w:firstLine="480"/>
        <w:rPr>
          <w:szCs w:val="24"/>
        </w:rPr>
      </w:pPr>
      <w:r>
        <w:rPr>
          <w:szCs w:val="24"/>
        </w:rPr>
        <w:t>The natural gas analysis report for well 3 indicates a CO2 content of 0.3, a water content of 5.22 to 6.0 (water/oil), and at 18.0MPa pressure, CO2 dissolves in water as carbonic acid, resulting in a pH of 5.5, exhibiting acidic reactions. When free CO2 is present in water, it reacts with increased H+ in the water, causing hydrogen depolarization corrosion and free CO2 corrosion. From the perspective of corrosion cells, it is hydrogen depolarization corrosion caused by acidic substances in the water. The reaction is as follows: 2CO2 + 2H2O + Fe = Fe(HCO3)2 + H2. Steel undergoes corrosion due to free CO2, forming the corrosion product ferrous bicarbonate. Its characteristic is that it is soluble in water, does not easily form a protective film on the metal su</w:t>
      </w:r>
      <w:r>
        <w:rPr>
          <w:rFonts w:hint="eastAsia"/>
          <w:szCs w:val="24"/>
        </w:rPr>
        <w:t>rface to prevent further corrosion, and even when ferrous bicarbonate gradually decomposes to form ferrous carbonate at 50℃, it is a loose deposit that does not protect against metal corrosion.</w:t>
      </w:r>
    </w:p>
    <w:p w14:paraId="46D6CDFD">
      <w:pPr>
        <w:pStyle w:val="16"/>
        <w:spacing w:before="31" w:after="31"/>
        <w:ind w:firstLine="480"/>
        <w:rPr>
          <w:szCs w:val="24"/>
        </w:rPr>
      </w:pPr>
    </w:p>
    <w:p w14:paraId="39A94EF5">
      <w:pPr>
        <w:pStyle w:val="16"/>
        <w:spacing w:before="31" w:after="31"/>
        <w:ind w:firstLine="480"/>
        <w:rPr>
          <w:szCs w:val="24"/>
        </w:rPr>
      </w:pPr>
      <w:r>
        <w:rPr>
          <w:szCs w:val="24"/>
        </w:rPr>
        <w:t>Localized corrosion (spots, pits) on the metal pipe wall is concentrated near the fracture and corrosion grooves. The reasons include the disruption of the original state of the pipe wall: the thin protective film on the metal surface is damaged under high-speed gas flow and impact from solid particles, losing its protective function on the metal matrix and forming the anode area of the corrosion cell. Additionally, low pH, high salt content water, emulsified oil with water, heavy oil, colloidal asphalt, solid particles, etc., condense and adhere to the pipe wall, causing electrochemical corrosion. Once corrosion points form, the corrosion rate of the metal matrix at these points increases, causing the corrosion spots to expand and develop deeper.</w:t>
      </w:r>
    </w:p>
    <w:p w14:paraId="4F5D4F44">
      <w:pPr>
        <w:pStyle w:val="16"/>
        <w:spacing w:before="31" w:after="31"/>
        <w:ind w:firstLine="480"/>
        <w:rPr>
          <w:szCs w:val="24"/>
        </w:rPr>
      </w:pPr>
      <w:r>
        <w:rPr>
          <w:szCs w:val="24"/>
        </w:rPr>
        <w:t>Upon inspecting the corrosion pits on the pipe wall, many pits exhibit horseshoe shapes, with the upper part (towards the wellhead) being deep and the lower part shallow. The shallower pits have a directional slope, pointing towards the groove direction at the wellhead. Clearly, these corrosion pits are not caused solely by the impact of gas flow, as analyzed based on their area and shape. Instead, they have a close relationship with the condensation and adhesion of the aforementioned gas-liquid, and the shallow pit mouths act as outlets for the downward movement of liquid.</w:t>
      </w:r>
    </w:p>
    <w:p w14:paraId="06388524">
      <w:pPr>
        <w:pStyle w:val="16"/>
        <w:spacing w:before="31" w:after="31"/>
        <w:ind w:firstLine="480"/>
        <w:rPr>
          <w:szCs w:val="24"/>
        </w:rPr>
      </w:pPr>
      <w:r>
        <w:rPr>
          <w:szCs w:val="24"/>
        </w:rPr>
        <w:t>The formation of corrosion grooves on the metal pipe wall is related to the water content and its condition, especially the presence of carbonate and chloride ions (free water has the greatest impact, emulsified oil with water is secondary, and dissolved water has a smaller effect). When water vapor becomes supersaturated and forms a water film on the oil pipe surface, CO2 dissolves and adheres to the pipe surface, causing uniform corrosion of the metal. However, when large water droplets form on the oil pipe surface, carbonic acid causes local corrosion beneath the droplets, gradually forming corrosion pits. If the gravity acting on water droplets equals the thrust of the airflow against them and the adhesion force between the droplets and the pipe wall, the water droplets remain in place. When the gravity acting on water droplets due to increased condensation exceeds the thrust of the airflow and adhesion force against the pipe wall, the water droplets move downward along the force of gravity, absorbing other adhering small water droplets in the process. When force equilibrium is reached, the downward movement stops, forming linear corrosion grooves along the inner wall of the oil pipe with varying lengths, widths, and directions.</w:t>
      </w:r>
    </w:p>
    <w:p w14:paraId="58087348">
      <w:pPr>
        <w:pStyle w:val="16"/>
        <w:spacing w:before="31" w:after="31"/>
        <w:ind w:firstLine="480"/>
        <w:rPr>
          <w:szCs w:val="24"/>
        </w:rPr>
      </w:pPr>
      <w:r>
        <w:rPr>
          <w:szCs w:val="24"/>
        </w:rPr>
        <w:t>The flow of petroleum gas-liquid in the wellbore (upward) occurs in two states: laminar flow and turbulent flow. The gas velocity in the wellbore of well 3 is approximately 2.5 m/s for hydrocarbon gas, and considering the estimated velocity of water vapor under the same conditions, the gas velocity of 2.5 m/s is generally in a laminar flow state. This prevents water from rapidly flowing to the wellhead with the gas flow, leading to the formation of a thicker water film on the well wall. When carbonate-containing water is subjected to gravity and moves downward along the pipe wall, it encounters resistance from the upward gas flow, causing inefficient downward movement. This results in the accumulation of a large amount of water at a specific location in the wellbore, reducing the flow area, increasing gas pressure, accelerating gas velocity, hastening the diffusion of carbonic acid, and washing away corrosion products on the metal pipe wall with high-speed gas-liquid flow. This not only reveals a new active metal surface</w:t>
      </w:r>
      <w:r>
        <w:rPr>
          <w:rFonts w:hint="eastAsia"/>
          <w:szCs w:val="24"/>
        </w:rPr>
        <w:t xml:space="preserve"> </w:t>
      </w:r>
      <w:r>
        <w:rPr>
          <w:szCs w:val="24"/>
        </w:rPr>
        <w:t>accelerating corrosion, but the high-speed gas-liquid flow also causes abrasive corrosion on the metal pipe wall.</w:t>
      </w:r>
    </w:p>
    <w:p w14:paraId="1DD226D2">
      <w:pPr>
        <w:pStyle w:val="16"/>
        <w:spacing w:before="31" w:after="31"/>
        <w:ind w:firstLine="480"/>
        <w:rPr>
          <w:szCs w:val="24"/>
        </w:rPr>
      </w:pPr>
      <w:r>
        <w:rPr>
          <w:szCs w:val="24"/>
        </w:rPr>
        <w:t>The accumulated water quickly flows along the grooves. When the discharged water is brought back to the upper part of the wellbore by the rising airflow due to temperature changes, some is carried out of the wellhead, while the rest merges with the water in the oil and gas and moves down the pipe to form a new cycle of accumulation and discharge. This situation may be a short-term instantaneous change, and the location of the change point is inferred based on the fracture. Since the fracture is inclined, the location of the drainage groove for the discharging water is 70mm longer than the corresponding pipe wall. At the same time, there are numerous corrosion pits near the fracture, indicating a high content of carbonated water. Therefore, the fracture reflects the area with the highest accumulation of carbonated water, but this accumulation point may change due to factors such as temperature, water volume, pressure, and gas velocity: moving upward or downward.</w:t>
      </w:r>
    </w:p>
    <w:p w14:paraId="7327000D">
      <w:pPr>
        <w:pStyle w:val="16"/>
        <w:spacing w:before="31" w:after="31"/>
        <w:ind w:firstLine="480"/>
        <w:rPr>
          <w:szCs w:val="24"/>
        </w:rPr>
      </w:pPr>
      <w:r>
        <w:rPr>
          <w:szCs w:val="24"/>
        </w:rPr>
        <w:t>Well 3's well water has a significantly higher salt content, especially chloride ions, compared to other gas wells. Chloride ions, known as active ions, are reported in many studies to destroy protective films on metal surfaces, leading to pitting corrosion. Generally, the higher the salt content in water, the faster the metal corrosion rate because higher salt content reduces water resistance, leading to a larger current in the corrosion cell.</w:t>
      </w:r>
    </w:p>
    <w:p w14:paraId="0C813C22">
      <w:pPr>
        <w:pStyle w:val="16"/>
        <w:spacing w:before="31" w:after="31"/>
        <w:ind w:firstLine="0" w:firstLineChars="0"/>
        <w:rPr>
          <w:szCs w:val="24"/>
        </w:rPr>
      </w:pPr>
      <w:r>
        <w:rPr>
          <w:rFonts w:hint="eastAsia"/>
          <w:szCs w:val="24"/>
        </w:rPr>
        <w:t>(7) Impact and Harm Caused</w:t>
      </w:r>
    </w:p>
    <w:p w14:paraId="54EC8E63">
      <w:pPr>
        <w:pStyle w:val="16"/>
        <w:spacing w:before="31" w:after="31"/>
        <w:ind w:firstLine="420" w:firstLineChars="0"/>
        <w:rPr>
          <w:szCs w:val="24"/>
        </w:rPr>
      </w:pPr>
      <w:r>
        <w:rPr>
          <w:rFonts w:hint="eastAsia"/>
          <w:szCs w:val="24"/>
        </w:rPr>
        <w:t>Null</w:t>
      </w:r>
    </w:p>
    <w:p w14:paraId="5D0C55B3">
      <w:pPr>
        <w:pStyle w:val="16"/>
        <w:spacing w:before="31" w:after="31"/>
        <w:ind w:firstLine="0" w:firstLineChars="0"/>
        <w:rPr>
          <w:szCs w:val="24"/>
        </w:rPr>
      </w:pPr>
      <w:r>
        <w:rPr>
          <w:szCs w:val="24"/>
        </w:rPr>
        <w:t>(8) Conclusions and Improvement Measures</w:t>
      </w:r>
    </w:p>
    <w:p w14:paraId="7588B607">
      <w:pPr>
        <w:pStyle w:val="16"/>
        <w:spacing w:before="31" w:after="31"/>
        <w:ind w:firstLine="480"/>
        <w:rPr>
          <w:szCs w:val="24"/>
        </w:rPr>
      </w:pPr>
      <w:r>
        <w:rPr>
          <w:szCs w:val="24"/>
        </w:rPr>
        <w:t>(a) Conclusions</w:t>
      </w:r>
    </w:p>
    <w:p w14:paraId="024E3AC4">
      <w:pPr>
        <w:pStyle w:val="16"/>
        <w:spacing w:before="31" w:after="31"/>
        <w:ind w:firstLine="480"/>
        <w:rPr>
          <w:szCs w:val="24"/>
        </w:rPr>
      </w:pPr>
      <w:r>
        <w:rPr>
          <w:rFonts w:hint="eastAsia"/>
          <w:szCs w:val="24"/>
        </w:rPr>
        <w:t>① The main cause of wellbore metal corrosion is the large amount of carbon dioxide dissolved in high-salt water in petroleum natural gas, leading to the formation of carbonic acid and causing electrochemical corrosion of metal.</w:t>
      </w:r>
    </w:p>
    <w:p w14:paraId="0E281B16">
      <w:pPr>
        <w:pStyle w:val="16"/>
        <w:spacing w:before="31" w:after="31"/>
        <w:ind w:firstLine="480"/>
        <w:rPr>
          <w:szCs w:val="24"/>
        </w:rPr>
      </w:pPr>
      <w:r>
        <w:rPr>
          <w:rFonts w:hint="eastAsia"/>
          <w:szCs w:val="24"/>
        </w:rPr>
        <w:t>② The water in petroleum natural gas condenses, precipitates, and collects in the wellbore during the process of rising and cooling, gradually forming corrosion grooves.</w:t>
      </w:r>
    </w:p>
    <w:p w14:paraId="309607DA">
      <w:pPr>
        <w:pStyle w:val="16"/>
        <w:spacing w:before="31" w:after="31"/>
        <w:ind w:firstLine="480"/>
        <w:rPr>
          <w:szCs w:val="24"/>
        </w:rPr>
      </w:pPr>
      <w:r>
        <w:rPr>
          <w:rFonts w:hint="eastAsia"/>
          <w:szCs w:val="24"/>
        </w:rPr>
        <w:t>③ The reason for the corrosion and fracture of the wellbore is the accumulation of a large amount of water containing a high concentration of carbonic acid at the fracture, causing a reduction in the flow area of petroleum gas, an increase in gas velocity,</w:t>
      </w:r>
      <w:r>
        <w:rPr>
          <w:szCs w:val="24"/>
        </w:rPr>
        <w:t xml:space="preserve"> and, under the combined action of multiple factors, accelerating corrosion and leading to pipe failure.</w:t>
      </w:r>
    </w:p>
    <w:p w14:paraId="59C86EEE">
      <w:pPr>
        <w:pStyle w:val="16"/>
        <w:spacing w:before="31" w:after="31"/>
        <w:ind w:firstLine="480"/>
        <w:rPr>
          <w:szCs w:val="24"/>
        </w:rPr>
      </w:pPr>
      <w:r>
        <w:rPr>
          <w:szCs w:val="24"/>
        </w:rPr>
        <w:t>(b) Improvement Measures</w:t>
      </w:r>
    </w:p>
    <w:p w14:paraId="39E1A244">
      <w:pPr>
        <w:pStyle w:val="16"/>
        <w:spacing w:before="31" w:after="31"/>
        <w:ind w:firstLine="480"/>
        <w:rPr>
          <w:szCs w:val="24"/>
        </w:rPr>
      </w:pPr>
      <w:r>
        <w:rPr>
          <w:rFonts w:hint="eastAsia"/>
          <w:szCs w:val="24"/>
        </w:rPr>
        <w:t>① Use corrosion-resistant steel. In oil and gas fields containing CO2, chromium-containing stainless steel wellbores exhibit good corrosion resistance. Many studies also show that the corrosion rate decreases with an increase in the chromium component in s</w:t>
      </w:r>
      <w:r>
        <w:rPr>
          <w:szCs w:val="24"/>
        </w:rPr>
        <w:t>teel. 9Cr-1Mo, 13Cr, and chromium dual-phase stainless steel have been successfully used in CO2-containing oil and gas fields, but the corrosion resistance of 9Cr-1Mo and 13Cr stainless steel deteriorates in the presence of hydrogen sulfide, high temperature, and high chloride environments, both of which are sensitive to chloride stress corrosion. However, dual-phase stainless steel containing 22% to 25% chromium and high-nickel austenitic stainless steel still exhibit good corrosion resistance and resistance to SCC in high-temperature, high-chloride environments. Meanwhile, for carbon steel and low-alloy steel, homogenizing the microstructure will improve their corrosion resistance.</w:t>
      </w:r>
    </w:p>
    <w:p w14:paraId="401818B0">
      <w:pPr>
        <w:pStyle w:val="16"/>
        <w:spacing w:before="31" w:after="31"/>
        <w:ind w:firstLine="480"/>
        <w:rPr>
          <w:szCs w:val="24"/>
        </w:rPr>
      </w:pPr>
      <w:r>
        <w:rPr>
          <w:rFonts w:hint="eastAsia"/>
          <w:szCs w:val="24"/>
        </w:rPr>
        <w:t xml:space="preserve">② Add corrosion inhibitors to the wellbore to slow down the corrosion of metal pipe walls by carbonic acid. There are many types of corrosion inhibitors, including single-component and multi-agent formulations. Generally, corrosion inhibitors that perform </w:t>
      </w:r>
      <w:r>
        <w:rPr>
          <w:szCs w:val="24"/>
        </w:rPr>
        <w:t>well in oil and gas environments containing H2S also have good corrosion inhibitory effects in environments containing CO2. However, regardless of the type of corrosion inhibitor (organic or inorganic) added, it is necessary to determine the optimal agent or formulation and the best dosage through screening experiments to effectively prevent chemical/electrochemical corrosion of metal and erosion corrosion by gas.</w:t>
      </w:r>
    </w:p>
    <w:p w14:paraId="51775A76">
      <w:pPr>
        <w:pStyle w:val="16"/>
        <w:spacing w:before="31" w:after="31"/>
        <w:ind w:firstLine="480"/>
        <w:rPr>
          <w:szCs w:val="24"/>
        </w:rPr>
      </w:pPr>
      <w:r>
        <w:rPr>
          <w:rFonts w:hint="eastAsia"/>
          <w:szCs w:val="24"/>
        </w:rPr>
        <w:t>③ Improve the insulation performance of the wellbore, reduce the cooling rate of petroleum gas in the wellbore, raise the temperature of petroleum gas to reduce water condensation, adjust the valve opening, increase gas velocity, and expel water from the w</w:t>
      </w:r>
      <w:r>
        <w:rPr>
          <w:szCs w:val="24"/>
        </w:rPr>
        <w:t>ell as quickly as possible. Additionally, attention should be paid to regular pipeline cleaning or the use of other measures, such as protective layers and non-metallic materials, which are widely used to prevent CO2 corrosion.</w:t>
      </w:r>
    </w:p>
    <w:p w14:paraId="5524F273">
      <w:pPr>
        <w:pStyle w:val="16"/>
        <w:spacing w:before="31" w:after="31"/>
        <w:ind w:firstLine="480"/>
        <w:rPr>
          <w:szCs w:val="24"/>
        </w:rPr>
      </w:pPr>
      <w:r>
        <w:rPr>
          <w:rFonts w:hint="eastAsia"/>
          <w:szCs w:val="24"/>
        </w:rPr>
        <w:t>④ Strengthen the monitoring of gas, oil, and water phases. In addition to normal monitoring items and technical parameter records for gas wells, additional test items should be added to supervise the corrosion conditions inside the gas well. The testing cy</w:t>
      </w:r>
      <w:r>
        <w:rPr>
          <w:szCs w:val="24"/>
        </w:rPr>
        <w:t>cle should be determined based on changes in gas well parameters (temperature, pressure, water volume, changes in water quality, oil volume, etc.). These items should be analyzed as routine items, and if any abnormal changes are detected, further experimental analysis should be conducted in conjunction with the identified problems for early detection and timely preventive measures.</w:t>
      </w:r>
    </w:p>
    <w:p w14:paraId="1FF54791">
      <w:pPr>
        <w:pStyle w:val="16"/>
        <w:spacing w:before="31" w:after="31"/>
        <w:ind w:firstLine="0" w:firstLineChars="0"/>
        <w:rPr>
          <w:b/>
          <w:bCs/>
          <w:szCs w:val="24"/>
        </w:rPr>
      </w:pPr>
      <w:r>
        <w:rPr>
          <w:b/>
          <w:bCs/>
          <w:szCs w:val="24"/>
        </w:rPr>
        <w:t>4.2.5 Case 4-5: Seawater Corrosion Failure at the Welding Joint of Stainless Steel Pipeline</w:t>
      </w:r>
    </w:p>
    <w:p w14:paraId="03C97E0F">
      <w:pPr>
        <w:pStyle w:val="16"/>
        <w:spacing w:before="31" w:after="31"/>
        <w:ind w:firstLine="0" w:firstLineChars="0"/>
        <w:rPr>
          <w:szCs w:val="24"/>
        </w:rPr>
      </w:pPr>
      <w:r>
        <w:rPr>
          <w:szCs w:val="24"/>
        </w:rPr>
        <w:t>(1) Case Name</w:t>
      </w:r>
    </w:p>
    <w:p w14:paraId="64E6AC37">
      <w:pPr>
        <w:pStyle w:val="16"/>
        <w:spacing w:before="31" w:after="31"/>
        <w:ind w:firstLine="480"/>
        <w:rPr>
          <w:szCs w:val="24"/>
        </w:rPr>
      </w:pPr>
      <w:r>
        <w:rPr>
          <w:szCs w:val="24"/>
        </w:rPr>
        <w:t>Failure due to seawater corrosion at the weld of stainless steel pipeline [6].</w:t>
      </w:r>
    </w:p>
    <w:p w14:paraId="0069AEA6">
      <w:pPr>
        <w:pStyle w:val="16"/>
        <w:spacing w:before="31" w:after="31"/>
        <w:ind w:firstLine="0" w:firstLineChars="0"/>
        <w:rPr>
          <w:szCs w:val="24"/>
        </w:rPr>
      </w:pPr>
      <w:r>
        <w:rPr>
          <w:szCs w:val="24"/>
        </w:rPr>
        <w:t>(2) Description of Failure Process</w:t>
      </w:r>
    </w:p>
    <w:p w14:paraId="3501BB9E">
      <w:pPr>
        <w:pStyle w:val="16"/>
        <w:spacing w:before="31" w:after="31"/>
        <w:ind w:firstLine="480"/>
        <w:rPr>
          <w:szCs w:val="24"/>
        </w:rPr>
      </w:pPr>
      <w:r>
        <w:rPr>
          <w:szCs w:val="24"/>
        </w:rPr>
        <w:t>A seawater desalination treatment equipment pipeline frequently experienced leakage incidents. Upon on-site investigation, it was observed that there was no leakage in the low-pressure seawater pipe, but severe leaks occurred in the high-pressure section, specifically at the welds. Multiple repair attempts proved to be ineffective.</w:t>
      </w:r>
    </w:p>
    <w:p w14:paraId="37BA8F25">
      <w:pPr>
        <w:pStyle w:val="16"/>
        <w:spacing w:before="31" w:after="31"/>
        <w:ind w:firstLine="0" w:firstLineChars="0"/>
        <w:rPr>
          <w:szCs w:val="24"/>
        </w:rPr>
      </w:pPr>
      <w:r>
        <w:rPr>
          <w:rFonts w:hint="eastAsia"/>
          <w:szCs w:val="24"/>
        </w:rPr>
        <w:t>(3) Service Environment:</w:t>
      </w:r>
    </w:p>
    <w:p w14:paraId="6DAA4233">
      <w:pPr>
        <w:pStyle w:val="16"/>
        <w:spacing w:before="31" w:after="31"/>
        <w:ind w:firstLine="420" w:firstLineChars="0"/>
        <w:rPr>
          <w:szCs w:val="24"/>
        </w:rPr>
      </w:pPr>
      <w:r>
        <w:rPr>
          <w:rFonts w:hint="eastAsia"/>
          <w:szCs w:val="24"/>
        </w:rPr>
        <w:t>Null</w:t>
      </w:r>
    </w:p>
    <w:p w14:paraId="1E8765C1">
      <w:pPr>
        <w:pStyle w:val="16"/>
        <w:spacing w:before="31" w:after="31"/>
        <w:ind w:firstLine="0" w:firstLineChars="0"/>
        <w:rPr>
          <w:szCs w:val="24"/>
        </w:rPr>
      </w:pPr>
      <w:r>
        <w:rPr>
          <w:szCs w:val="24"/>
        </w:rPr>
        <w:t>(4) Failed Components and Materials</w:t>
      </w:r>
    </w:p>
    <w:p w14:paraId="4B577049">
      <w:pPr>
        <w:pStyle w:val="16"/>
        <w:spacing w:before="31" w:after="31"/>
        <w:ind w:firstLine="480"/>
        <w:rPr>
          <w:szCs w:val="24"/>
        </w:rPr>
      </w:pPr>
      <w:r>
        <w:rPr>
          <w:szCs w:val="24"/>
        </w:rPr>
        <w:t>From Table 4-6, it can be observed that the weld zone lacks Cu content, and the Cu content decreases in the heat-affected zone. The Mn content is almost missing in the weld zone, and there is a relative decrease in the base metal in the heat-affected zone. Mn in the steel exists in the form of MnS, which is prone to melting under welding or heating conditions. During subsequent rapid cooling and solidification, MnS does not fully coagulate, and fine sulfides dispersed around it easily promote corrosion. Therefore, the corrosion resistance in the heat-affected zone is reduced, while the base metal, not undergoing recrystallization, retains its corrosion resistance. Cr, Ni, and Mo are the main elements in stainless steel that resist seawater corrosion, and their content changes directly affect the corrosion resistance. The corrosion resistance in descending order is weld zone, base metal, and heat-affected zone for Cr; weld zone, heat-affected zone, and base metal for Ni; and base metal, heat-affected zone, and weld zone for Mo. Considering the impact of Cr, Ni, and Mo content on corrosion resistance, the weld zone and base metal exhibit better corrosion resistance, while the heat-affected zone shows comparatively lower corrosion resistance.</w:t>
      </w:r>
    </w:p>
    <w:p w14:paraId="747B6BD2">
      <w:pPr>
        <w:pStyle w:val="16"/>
        <w:spacing w:before="31" w:after="31"/>
        <w:ind w:firstLine="482"/>
        <w:jc w:val="center"/>
        <w:rPr>
          <w:b/>
          <w:bCs/>
          <w:szCs w:val="24"/>
        </w:rPr>
      </w:pPr>
    </w:p>
    <w:p w14:paraId="3DE4462F">
      <w:pPr>
        <w:pStyle w:val="16"/>
        <w:spacing w:before="31" w:after="31"/>
        <w:ind w:firstLine="482"/>
        <w:jc w:val="center"/>
        <w:rPr>
          <w:b/>
          <w:bCs/>
          <w:szCs w:val="24"/>
        </w:rPr>
      </w:pPr>
      <w:r>
        <w:rPr>
          <w:b/>
          <w:bCs/>
          <w:szCs w:val="24"/>
        </w:rPr>
        <w:t>Table 4-6 Chemical composition (others are Fe)</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1"/>
        <w:gridCol w:w="1002"/>
        <w:gridCol w:w="1002"/>
        <w:gridCol w:w="1049"/>
        <w:gridCol w:w="1049"/>
        <w:gridCol w:w="950"/>
        <w:gridCol w:w="1070"/>
      </w:tblGrid>
      <w:tr w14:paraId="582EB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31" w:type="dxa"/>
            <w:tcBorders>
              <w:top w:val="single" w:color="auto" w:sz="12" w:space="0"/>
              <w:left w:val="nil"/>
              <w:bottom w:val="single" w:color="auto" w:sz="12" w:space="0"/>
              <w:right w:val="nil"/>
              <w:tl2br w:val="single" w:color="auto" w:sz="12" w:space="0"/>
            </w:tcBorders>
            <w:vAlign w:val="center"/>
          </w:tcPr>
          <w:p w14:paraId="71A95961">
            <w:pPr>
              <w:pStyle w:val="16"/>
              <w:spacing w:before="31" w:after="31"/>
              <w:ind w:firstLine="480"/>
              <w:rPr>
                <w:szCs w:val="24"/>
              </w:rPr>
            </w:pPr>
            <w:r>
              <w:rPr>
                <w:szCs w:val="24"/>
              </w:rPr>
              <w:t>Elemental Composition</w:t>
            </w:r>
          </w:p>
          <w:p w14:paraId="36E5F0D8">
            <w:pPr>
              <w:spacing w:line="360" w:lineRule="auto"/>
              <w:jc w:val="center"/>
              <w:rPr>
                <w:szCs w:val="21"/>
              </w:rPr>
            </w:pPr>
            <w:r>
              <w:t>Location</w:t>
            </w:r>
          </w:p>
        </w:tc>
        <w:tc>
          <w:tcPr>
            <w:tcW w:w="1002" w:type="dxa"/>
            <w:tcBorders>
              <w:top w:val="single" w:color="auto" w:sz="12" w:space="0"/>
              <w:left w:val="nil"/>
              <w:bottom w:val="single" w:color="auto" w:sz="12" w:space="0"/>
              <w:right w:val="nil"/>
            </w:tcBorders>
            <w:vAlign w:val="center"/>
          </w:tcPr>
          <w:p w14:paraId="2E55507B">
            <w:pPr>
              <w:spacing w:line="360" w:lineRule="auto"/>
              <w:jc w:val="center"/>
              <w:rPr>
                <w:szCs w:val="21"/>
              </w:rPr>
            </w:pPr>
            <w:r>
              <w:rPr>
                <w:rFonts w:hint="eastAsia"/>
                <w:szCs w:val="21"/>
              </w:rPr>
              <w:t>Si</w:t>
            </w:r>
          </w:p>
        </w:tc>
        <w:tc>
          <w:tcPr>
            <w:tcW w:w="1002" w:type="dxa"/>
            <w:tcBorders>
              <w:top w:val="single" w:color="auto" w:sz="12" w:space="0"/>
              <w:left w:val="nil"/>
              <w:bottom w:val="single" w:color="auto" w:sz="12" w:space="0"/>
              <w:right w:val="nil"/>
            </w:tcBorders>
            <w:vAlign w:val="center"/>
          </w:tcPr>
          <w:p w14:paraId="19FD5980">
            <w:pPr>
              <w:spacing w:line="360" w:lineRule="auto"/>
              <w:jc w:val="center"/>
              <w:rPr>
                <w:szCs w:val="21"/>
              </w:rPr>
            </w:pPr>
            <w:r>
              <w:rPr>
                <w:rFonts w:hint="eastAsia"/>
                <w:szCs w:val="21"/>
              </w:rPr>
              <w:t>Mn</w:t>
            </w:r>
          </w:p>
        </w:tc>
        <w:tc>
          <w:tcPr>
            <w:tcW w:w="1049" w:type="dxa"/>
            <w:tcBorders>
              <w:top w:val="single" w:color="auto" w:sz="12" w:space="0"/>
              <w:left w:val="nil"/>
              <w:bottom w:val="single" w:color="auto" w:sz="12" w:space="0"/>
              <w:right w:val="nil"/>
            </w:tcBorders>
            <w:vAlign w:val="center"/>
          </w:tcPr>
          <w:p w14:paraId="275F3CAC">
            <w:pPr>
              <w:spacing w:line="360" w:lineRule="auto"/>
              <w:jc w:val="center"/>
              <w:rPr>
                <w:szCs w:val="21"/>
              </w:rPr>
            </w:pPr>
            <w:r>
              <w:rPr>
                <w:rFonts w:hint="eastAsia"/>
                <w:szCs w:val="21"/>
              </w:rPr>
              <w:t>Ni</w:t>
            </w:r>
          </w:p>
        </w:tc>
        <w:tc>
          <w:tcPr>
            <w:tcW w:w="1049" w:type="dxa"/>
            <w:tcBorders>
              <w:top w:val="single" w:color="auto" w:sz="12" w:space="0"/>
              <w:left w:val="nil"/>
              <w:bottom w:val="single" w:color="auto" w:sz="12" w:space="0"/>
              <w:right w:val="nil"/>
            </w:tcBorders>
            <w:vAlign w:val="center"/>
          </w:tcPr>
          <w:p w14:paraId="0BA75CAB">
            <w:pPr>
              <w:spacing w:line="360" w:lineRule="auto"/>
              <w:jc w:val="center"/>
              <w:rPr>
                <w:szCs w:val="21"/>
              </w:rPr>
            </w:pPr>
            <w:r>
              <w:rPr>
                <w:rFonts w:hint="eastAsia"/>
                <w:szCs w:val="21"/>
              </w:rPr>
              <w:t>Cr</w:t>
            </w:r>
          </w:p>
        </w:tc>
        <w:tc>
          <w:tcPr>
            <w:tcW w:w="950" w:type="dxa"/>
            <w:tcBorders>
              <w:top w:val="single" w:color="auto" w:sz="12" w:space="0"/>
              <w:left w:val="nil"/>
              <w:bottom w:val="single" w:color="auto" w:sz="12" w:space="0"/>
              <w:right w:val="nil"/>
            </w:tcBorders>
            <w:vAlign w:val="center"/>
          </w:tcPr>
          <w:p w14:paraId="2E9AB8DB">
            <w:pPr>
              <w:spacing w:line="360" w:lineRule="auto"/>
              <w:jc w:val="center"/>
              <w:rPr>
                <w:szCs w:val="21"/>
              </w:rPr>
            </w:pPr>
            <w:r>
              <w:rPr>
                <w:rFonts w:hint="eastAsia"/>
                <w:szCs w:val="21"/>
              </w:rPr>
              <w:t>Mo</w:t>
            </w:r>
          </w:p>
        </w:tc>
        <w:tc>
          <w:tcPr>
            <w:tcW w:w="1070" w:type="dxa"/>
            <w:tcBorders>
              <w:top w:val="single" w:color="auto" w:sz="12" w:space="0"/>
              <w:left w:val="nil"/>
              <w:bottom w:val="single" w:color="auto" w:sz="12" w:space="0"/>
              <w:right w:val="nil"/>
            </w:tcBorders>
            <w:vAlign w:val="center"/>
          </w:tcPr>
          <w:p w14:paraId="00B26DE6">
            <w:pPr>
              <w:spacing w:line="360" w:lineRule="auto"/>
              <w:jc w:val="center"/>
              <w:rPr>
                <w:szCs w:val="21"/>
              </w:rPr>
            </w:pPr>
            <w:r>
              <w:rPr>
                <w:rFonts w:hint="eastAsia"/>
                <w:szCs w:val="21"/>
              </w:rPr>
              <w:t>Cu</w:t>
            </w:r>
          </w:p>
        </w:tc>
      </w:tr>
      <w:tr w14:paraId="472BA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31" w:type="dxa"/>
            <w:tcBorders>
              <w:top w:val="single" w:color="auto" w:sz="12" w:space="0"/>
              <w:left w:val="nil"/>
              <w:bottom w:val="nil"/>
              <w:right w:val="nil"/>
            </w:tcBorders>
            <w:vAlign w:val="center"/>
          </w:tcPr>
          <w:p w14:paraId="13294F58">
            <w:pPr>
              <w:spacing w:line="360" w:lineRule="auto"/>
              <w:jc w:val="center"/>
              <w:rPr>
                <w:szCs w:val="21"/>
              </w:rPr>
            </w:pPr>
            <w:r>
              <w:t>Weld Zone</w:t>
            </w:r>
          </w:p>
        </w:tc>
        <w:tc>
          <w:tcPr>
            <w:tcW w:w="1002" w:type="dxa"/>
            <w:tcBorders>
              <w:top w:val="single" w:color="auto" w:sz="12" w:space="0"/>
              <w:left w:val="nil"/>
              <w:bottom w:val="nil"/>
              <w:right w:val="nil"/>
            </w:tcBorders>
            <w:vAlign w:val="center"/>
          </w:tcPr>
          <w:p w14:paraId="32D59DDD">
            <w:pPr>
              <w:spacing w:line="360" w:lineRule="auto"/>
              <w:jc w:val="center"/>
              <w:rPr>
                <w:szCs w:val="21"/>
              </w:rPr>
            </w:pPr>
            <w:r>
              <w:rPr>
                <w:rFonts w:hint="eastAsia"/>
                <w:szCs w:val="21"/>
              </w:rPr>
              <w:t>0.35</w:t>
            </w:r>
          </w:p>
        </w:tc>
        <w:tc>
          <w:tcPr>
            <w:tcW w:w="1002" w:type="dxa"/>
            <w:tcBorders>
              <w:top w:val="single" w:color="auto" w:sz="12" w:space="0"/>
              <w:left w:val="nil"/>
              <w:bottom w:val="nil"/>
              <w:right w:val="nil"/>
            </w:tcBorders>
            <w:vAlign w:val="center"/>
          </w:tcPr>
          <w:p w14:paraId="4815F848">
            <w:pPr>
              <w:spacing w:line="360" w:lineRule="auto"/>
              <w:jc w:val="center"/>
              <w:rPr>
                <w:szCs w:val="21"/>
              </w:rPr>
            </w:pPr>
            <w:r>
              <w:t>Trace</w:t>
            </w:r>
          </w:p>
        </w:tc>
        <w:tc>
          <w:tcPr>
            <w:tcW w:w="1049" w:type="dxa"/>
            <w:tcBorders>
              <w:top w:val="single" w:color="auto" w:sz="12" w:space="0"/>
              <w:left w:val="nil"/>
              <w:bottom w:val="nil"/>
              <w:right w:val="nil"/>
            </w:tcBorders>
            <w:vAlign w:val="center"/>
          </w:tcPr>
          <w:p w14:paraId="0DE2C990">
            <w:pPr>
              <w:spacing w:line="360" w:lineRule="auto"/>
              <w:jc w:val="center"/>
              <w:rPr>
                <w:szCs w:val="21"/>
              </w:rPr>
            </w:pPr>
            <w:r>
              <w:rPr>
                <w:rFonts w:hint="eastAsia"/>
                <w:szCs w:val="21"/>
              </w:rPr>
              <w:t>14.31</w:t>
            </w:r>
          </w:p>
        </w:tc>
        <w:tc>
          <w:tcPr>
            <w:tcW w:w="1049" w:type="dxa"/>
            <w:tcBorders>
              <w:top w:val="single" w:color="auto" w:sz="12" w:space="0"/>
              <w:left w:val="nil"/>
              <w:bottom w:val="nil"/>
              <w:right w:val="nil"/>
            </w:tcBorders>
            <w:vAlign w:val="center"/>
          </w:tcPr>
          <w:p w14:paraId="505B3FE6">
            <w:pPr>
              <w:spacing w:line="360" w:lineRule="auto"/>
              <w:jc w:val="center"/>
              <w:rPr>
                <w:szCs w:val="21"/>
              </w:rPr>
            </w:pPr>
            <w:r>
              <w:rPr>
                <w:rFonts w:hint="eastAsia"/>
                <w:szCs w:val="21"/>
              </w:rPr>
              <w:t>17.74</w:t>
            </w:r>
          </w:p>
        </w:tc>
        <w:tc>
          <w:tcPr>
            <w:tcW w:w="950" w:type="dxa"/>
            <w:tcBorders>
              <w:top w:val="single" w:color="auto" w:sz="12" w:space="0"/>
              <w:left w:val="nil"/>
              <w:bottom w:val="nil"/>
              <w:right w:val="nil"/>
            </w:tcBorders>
            <w:vAlign w:val="center"/>
          </w:tcPr>
          <w:p w14:paraId="57AF494C">
            <w:pPr>
              <w:spacing w:line="360" w:lineRule="auto"/>
              <w:jc w:val="center"/>
              <w:rPr>
                <w:szCs w:val="21"/>
              </w:rPr>
            </w:pPr>
            <w:r>
              <w:rPr>
                <w:rFonts w:hint="eastAsia"/>
                <w:szCs w:val="21"/>
              </w:rPr>
              <w:t>1.32</w:t>
            </w:r>
          </w:p>
        </w:tc>
        <w:tc>
          <w:tcPr>
            <w:tcW w:w="1070" w:type="dxa"/>
            <w:tcBorders>
              <w:top w:val="single" w:color="auto" w:sz="12" w:space="0"/>
              <w:left w:val="nil"/>
              <w:bottom w:val="nil"/>
              <w:right w:val="nil"/>
            </w:tcBorders>
            <w:vAlign w:val="center"/>
          </w:tcPr>
          <w:p w14:paraId="7A9BD447">
            <w:pPr>
              <w:spacing w:line="360" w:lineRule="auto"/>
              <w:jc w:val="center"/>
              <w:rPr>
                <w:szCs w:val="21"/>
              </w:rPr>
            </w:pPr>
            <w:r>
              <w:rPr>
                <w:szCs w:val="21"/>
              </w:rPr>
              <w:t>P</w:t>
            </w:r>
            <w:r>
              <w:rPr>
                <w:rFonts w:hint="eastAsia"/>
                <w:szCs w:val="21"/>
              </w:rPr>
              <w:t>aucity</w:t>
            </w:r>
          </w:p>
        </w:tc>
      </w:tr>
      <w:tr w14:paraId="293C9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31" w:type="dxa"/>
            <w:tcBorders>
              <w:top w:val="nil"/>
              <w:left w:val="nil"/>
              <w:bottom w:val="nil"/>
              <w:right w:val="nil"/>
            </w:tcBorders>
            <w:vAlign w:val="center"/>
          </w:tcPr>
          <w:p w14:paraId="70F29224">
            <w:pPr>
              <w:spacing w:line="360" w:lineRule="auto"/>
              <w:jc w:val="center"/>
              <w:rPr>
                <w:szCs w:val="21"/>
              </w:rPr>
            </w:pPr>
            <w:r>
              <w:t>Heat-Affected Zone</w:t>
            </w:r>
          </w:p>
        </w:tc>
        <w:tc>
          <w:tcPr>
            <w:tcW w:w="1002" w:type="dxa"/>
            <w:tcBorders>
              <w:top w:val="nil"/>
              <w:left w:val="nil"/>
              <w:bottom w:val="nil"/>
              <w:right w:val="nil"/>
            </w:tcBorders>
            <w:vAlign w:val="center"/>
          </w:tcPr>
          <w:p w14:paraId="24DD701B">
            <w:pPr>
              <w:spacing w:line="360" w:lineRule="auto"/>
              <w:jc w:val="center"/>
              <w:rPr>
                <w:szCs w:val="21"/>
              </w:rPr>
            </w:pPr>
            <w:r>
              <w:rPr>
                <w:rFonts w:hint="eastAsia"/>
                <w:szCs w:val="21"/>
              </w:rPr>
              <w:t>0.35</w:t>
            </w:r>
          </w:p>
        </w:tc>
        <w:tc>
          <w:tcPr>
            <w:tcW w:w="1002" w:type="dxa"/>
            <w:tcBorders>
              <w:top w:val="nil"/>
              <w:left w:val="nil"/>
              <w:bottom w:val="nil"/>
              <w:right w:val="nil"/>
            </w:tcBorders>
            <w:vAlign w:val="center"/>
          </w:tcPr>
          <w:p w14:paraId="5E228D8E">
            <w:pPr>
              <w:spacing w:line="360" w:lineRule="auto"/>
              <w:jc w:val="center"/>
              <w:rPr>
                <w:szCs w:val="21"/>
              </w:rPr>
            </w:pPr>
            <w:r>
              <w:rPr>
                <w:rFonts w:hint="eastAsia"/>
                <w:szCs w:val="21"/>
              </w:rPr>
              <w:t>0.81</w:t>
            </w:r>
          </w:p>
        </w:tc>
        <w:tc>
          <w:tcPr>
            <w:tcW w:w="1049" w:type="dxa"/>
            <w:tcBorders>
              <w:top w:val="nil"/>
              <w:left w:val="nil"/>
              <w:bottom w:val="nil"/>
              <w:right w:val="nil"/>
            </w:tcBorders>
            <w:vAlign w:val="center"/>
          </w:tcPr>
          <w:p w14:paraId="6E9D60F1">
            <w:pPr>
              <w:spacing w:line="360" w:lineRule="auto"/>
              <w:jc w:val="center"/>
              <w:rPr>
                <w:szCs w:val="21"/>
              </w:rPr>
            </w:pPr>
            <w:r>
              <w:rPr>
                <w:rFonts w:hint="eastAsia"/>
                <w:szCs w:val="21"/>
              </w:rPr>
              <w:t>13.29</w:t>
            </w:r>
          </w:p>
        </w:tc>
        <w:tc>
          <w:tcPr>
            <w:tcW w:w="1049" w:type="dxa"/>
            <w:tcBorders>
              <w:top w:val="nil"/>
              <w:left w:val="nil"/>
              <w:bottom w:val="nil"/>
              <w:right w:val="nil"/>
            </w:tcBorders>
            <w:vAlign w:val="center"/>
          </w:tcPr>
          <w:p w14:paraId="269CEE05">
            <w:pPr>
              <w:spacing w:line="360" w:lineRule="auto"/>
              <w:jc w:val="center"/>
              <w:rPr>
                <w:szCs w:val="21"/>
              </w:rPr>
            </w:pPr>
            <w:r>
              <w:rPr>
                <w:rFonts w:hint="eastAsia"/>
                <w:szCs w:val="21"/>
              </w:rPr>
              <w:t>15.90</w:t>
            </w:r>
          </w:p>
        </w:tc>
        <w:tc>
          <w:tcPr>
            <w:tcW w:w="950" w:type="dxa"/>
            <w:tcBorders>
              <w:top w:val="nil"/>
              <w:left w:val="nil"/>
              <w:bottom w:val="nil"/>
              <w:right w:val="nil"/>
            </w:tcBorders>
            <w:vAlign w:val="center"/>
          </w:tcPr>
          <w:p w14:paraId="6D640204">
            <w:pPr>
              <w:spacing w:line="360" w:lineRule="auto"/>
              <w:jc w:val="center"/>
              <w:rPr>
                <w:szCs w:val="21"/>
              </w:rPr>
            </w:pPr>
            <w:r>
              <w:rPr>
                <w:rFonts w:hint="eastAsia"/>
                <w:szCs w:val="21"/>
              </w:rPr>
              <w:t>1.60</w:t>
            </w:r>
          </w:p>
        </w:tc>
        <w:tc>
          <w:tcPr>
            <w:tcW w:w="1070" w:type="dxa"/>
            <w:tcBorders>
              <w:top w:val="nil"/>
              <w:left w:val="nil"/>
              <w:bottom w:val="nil"/>
              <w:right w:val="nil"/>
            </w:tcBorders>
            <w:vAlign w:val="center"/>
          </w:tcPr>
          <w:p w14:paraId="30AE493E">
            <w:pPr>
              <w:spacing w:line="360" w:lineRule="auto"/>
              <w:jc w:val="center"/>
              <w:rPr>
                <w:szCs w:val="21"/>
              </w:rPr>
            </w:pPr>
            <w:r>
              <w:rPr>
                <w:rFonts w:hint="eastAsia"/>
                <w:szCs w:val="21"/>
              </w:rPr>
              <w:t>1.48</w:t>
            </w:r>
          </w:p>
        </w:tc>
      </w:tr>
      <w:tr w14:paraId="3E153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31" w:type="dxa"/>
            <w:tcBorders>
              <w:top w:val="nil"/>
              <w:left w:val="nil"/>
              <w:bottom w:val="nil"/>
              <w:right w:val="nil"/>
            </w:tcBorders>
            <w:vAlign w:val="center"/>
          </w:tcPr>
          <w:p w14:paraId="1493C4FB">
            <w:pPr>
              <w:spacing w:line="360" w:lineRule="auto"/>
              <w:jc w:val="center"/>
              <w:rPr>
                <w:szCs w:val="21"/>
              </w:rPr>
            </w:pPr>
            <w:r>
              <w:t>Base Metal</w:t>
            </w:r>
          </w:p>
        </w:tc>
        <w:tc>
          <w:tcPr>
            <w:tcW w:w="1002" w:type="dxa"/>
            <w:tcBorders>
              <w:top w:val="nil"/>
              <w:left w:val="nil"/>
              <w:bottom w:val="nil"/>
              <w:right w:val="nil"/>
            </w:tcBorders>
            <w:vAlign w:val="center"/>
          </w:tcPr>
          <w:p w14:paraId="03F891B3">
            <w:pPr>
              <w:spacing w:line="360" w:lineRule="auto"/>
              <w:jc w:val="center"/>
              <w:rPr>
                <w:szCs w:val="21"/>
              </w:rPr>
            </w:pPr>
            <w:r>
              <w:rPr>
                <w:rFonts w:hint="eastAsia"/>
                <w:szCs w:val="21"/>
              </w:rPr>
              <w:t>0.21</w:t>
            </w:r>
          </w:p>
        </w:tc>
        <w:tc>
          <w:tcPr>
            <w:tcW w:w="1002" w:type="dxa"/>
            <w:tcBorders>
              <w:top w:val="nil"/>
              <w:left w:val="nil"/>
              <w:bottom w:val="nil"/>
              <w:right w:val="nil"/>
            </w:tcBorders>
            <w:vAlign w:val="center"/>
          </w:tcPr>
          <w:p w14:paraId="71FA4290">
            <w:pPr>
              <w:spacing w:line="360" w:lineRule="auto"/>
              <w:jc w:val="center"/>
              <w:rPr>
                <w:szCs w:val="21"/>
              </w:rPr>
            </w:pPr>
            <w:r>
              <w:rPr>
                <w:rFonts w:hint="eastAsia"/>
                <w:szCs w:val="21"/>
              </w:rPr>
              <w:t>1.03</w:t>
            </w:r>
          </w:p>
        </w:tc>
        <w:tc>
          <w:tcPr>
            <w:tcW w:w="1049" w:type="dxa"/>
            <w:tcBorders>
              <w:top w:val="nil"/>
              <w:left w:val="nil"/>
              <w:bottom w:val="nil"/>
              <w:right w:val="nil"/>
            </w:tcBorders>
            <w:vAlign w:val="center"/>
          </w:tcPr>
          <w:p w14:paraId="28D8738B">
            <w:pPr>
              <w:spacing w:line="360" w:lineRule="auto"/>
              <w:jc w:val="center"/>
              <w:rPr>
                <w:szCs w:val="21"/>
              </w:rPr>
            </w:pPr>
            <w:r>
              <w:rPr>
                <w:rFonts w:hint="eastAsia"/>
                <w:szCs w:val="21"/>
              </w:rPr>
              <w:t>12.65</w:t>
            </w:r>
          </w:p>
        </w:tc>
        <w:tc>
          <w:tcPr>
            <w:tcW w:w="1049" w:type="dxa"/>
            <w:tcBorders>
              <w:top w:val="nil"/>
              <w:left w:val="nil"/>
              <w:bottom w:val="nil"/>
              <w:right w:val="nil"/>
            </w:tcBorders>
            <w:vAlign w:val="center"/>
          </w:tcPr>
          <w:p w14:paraId="12D55E43">
            <w:pPr>
              <w:spacing w:line="360" w:lineRule="auto"/>
              <w:jc w:val="center"/>
              <w:rPr>
                <w:szCs w:val="21"/>
              </w:rPr>
            </w:pPr>
            <w:r>
              <w:rPr>
                <w:rFonts w:hint="eastAsia"/>
                <w:szCs w:val="21"/>
              </w:rPr>
              <w:t>16.38</w:t>
            </w:r>
          </w:p>
        </w:tc>
        <w:tc>
          <w:tcPr>
            <w:tcW w:w="950" w:type="dxa"/>
            <w:tcBorders>
              <w:top w:val="nil"/>
              <w:left w:val="nil"/>
              <w:bottom w:val="nil"/>
              <w:right w:val="nil"/>
            </w:tcBorders>
            <w:vAlign w:val="center"/>
          </w:tcPr>
          <w:p w14:paraId="1E8DDDC0">
            <w:pPr>
              <w:spacing w:line="360" w:lineRule="auto"/>
              <w:jc w:val="center"/>
              <w:rPr>
                <w:szCs w:val="21"/>
              </w:rPr>
            </w:pPr>
            <w:r>
              <w:rPr>
                <w:rFonts w:hint="eastAsia"/>
                <w:szCs w:val="21"/>
              </w:rPr>
              <w:t>1.69</w:t>
            </w:r>
          </w:p>
        </w:tc>
        <w:tc>
          <w:tcPr>
            <w:tcW w:w="1070" w:type="dxa"/>
            <w:tcBorders>
              <w:top w:val="nil"/>
              <w:left w:val="nil"/>
              <w:bottom w:val="nil"/>
              <w:right w:val="nil"/>
            </w:tcBorders>
            <w:vAlign w:val="center"/>
          </w:tcPr>
          <w:p w14:paraId="4380C513">
            <w:pPr>
              <w:spacing w:line="360" w:lineRule="auto"/>
              <w:jc w:val="center"/>
              <w:rPr>
                <w:szCs w:val="21"/>
              </w:rPr>
            </w:pPr>
            <w:r>
              <w:rPr>
                <w:rFonts w:hint="eastAsia"/>
                <w:szCs w:val="21"/>
              </w:rPr>
              <w:t>1.87</w:t>
            </w:r>
          </w:p>
        </w:tc>
      </w:tr>
      <w:tr w14:paraId="61B06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31" w:type="dxa"/>
            <w:tcBorders>
              <w:top w:val="nil"/>
              <w:left w:val="nil"/>
              <w:bottom w:val="nil"/>
              <w:right w:val="nil"/>
            </w:tcBorders>
            <w:vAlign w:val="center"/>
          </w:tcPr>
          <w:p w14:paraId="4F0B9642">
            <w:pPr>
              <w:spacing w:line="360" w:lineRule="auto"/>
              <w:jc w:val="center"/>
              <w:rPr>
                <w:szCs w:val="21"/>
              </w:rPr>
            </w:pPr>
            <w:r>
              <w:rPr>
                <w:rFonts w:hint="eastAsia"/>
                <w:szCs w:val="21"/>
              </w:rPr>
              <w:t>GB/T14796-2002</w:t>
            </w:r>
          </w:p>
        </w:tc>
        <w:tc>
          <w:tcPr>
            <w:tcW w:w="1002" w:type="dxa"/>
            <w:vMerge w:val="restart"/>
            <w:tcBorders>
              <w:top w:val="nil"/>
              <w:left w:val="nil"/>
              <w:right w:val="nil"/>
            </w:tcBorders>
            <w:vAlign w:val="center"/>
          </w:tcPr>
          <w:p w14:paraId="0A903E71">
            <w:pPr>
              <w:spacing w:line="360" w:lineRule="auto"/>
              <w:jc w:val="center"/>
              <w:rPr>
                <w:szCs w:val="21"/>
              </w:rPr>
            </w:pPr>
            <w:r>
              <w:rPr>
                <w:rFonts w:eastAsia="黑体"/>
                <w:sz w:val="28"/>
                <w:szCs w:val="28"/>
              </w:rPr>
              <w:t>≤</w:t>
            </w:r>
            <w:r>
              <w:rPr>
                <w:rFonts w:hint="eastAsia"/>
                <w:szCs w:val="21"/>
              </w:rPr>
              <w:t>1.00</w:t>
            </w:r>
          </w:p>
        </w:tc>
        <w:tc>
          <w:tcPr>
            <w:tcW w:w="1002" w:type="dxa"/>
            <w:vMerge w:val="restart"/>
            <w:tcBorders>
              <w:top w:val="nil"/>
              <w:left w:val="nil"/>
              <w:right w:val="nil"/>
            </w:tcBorders>
            <w:vAlign w:val="center"/>
          </w:tcPr>
          <w:p w14:paraId="5AB82E12">
            <w:pPr>
              <w:spacing w:line="360" w:lineRule="auto"/>
              <w:jc w:val="center"/>
              <w:rPr>
                <w:szCs w:val="21"/>
              </w:rPr>
            </w:pPr>
            <w:r>
              <w:rPr>
                <w:rFonts w:eastAsia="黑体"/>
                <w:sz w:val="28"/>
                <w:szCs w:val="28"/>
              </w:rPr>
              <w:t>≤</w:t>
            </w:r>
            <w:r>
              <w:rPr>
                <w:rFonts w:hint="eastAsia"/>
                <w:szCs w:val="21"/>
              </w:rPr>
              <w:t>2.00</w:t>
            </w:r>
          </w:p>
        </w:tc>
        <w:tc>
          <w:tcPr>
            <w:tcW w:w="1049" w:type="dxa"/>
            <w:vMerge w:val="restart"/>
            <w:tcBorders>
              <w:top w:val="nil"/>
              <w:left w:val="nil"/>
              <w:right w:val="nil"/>
            </w:tcBorders>
            <w:vAlign w:val="center"/>
          </w:tcPr>
          <w:p w14:paraId="66CC4B25">
            <w:pPr>
              <w:spacing w:line="360" w:lineRule="auto"/>
              <w:jc w:val="center"/>
              <w:rPr>
                <w:szCs w:val="21"/>
              </w:rPr>
            </w:pPr>
            <w:r>
              <w:rPr>
                <w:rFonts w:hint="eastAsia"/>
                <w:szCs w:val="21"/>
              </w:rPr>
              <w:t>12.00~</w:t>
            </w:r>
          </w:p>
          <w:p w14:paraId="466BA5C7">
            <w:pPr>
              <w:spacing w:line="360" w:lineRule="auto"/>
              <w:jc w:val="center"/>
              <w:rPr>
                <w:szCs w:val="21"/>
              </w:rPr>
            </w:pPr>
            <w:r>
              <w:rPr>
                <w:rFonts w:hint="eastAsia"/>
                <w:szCs w:val="21"/>
              </w:rPr>
              <w:t>16.00</w:t>
            </w:r>
          </w:p>
        </w:tc>
        <w:tc>
          <w:tcPr>
            <w:tcW w:w="1049" w:type="dxa"/>
            <w:vMerge w:val="restart"/>
            <w:tcBorders>
              <w:top w:val="nil"/>
              <w:left w:val="nil"/>
              <w:right w:val="nil"/>
            </w:tcBorders>
            <w:vAlign w:val="center"/>
          </w:tcPr>
          <w:p w14:paraId="2AC3AD3E">
            <w:pPr>
              <w:spacing w:line="360" w:lineRule="auto"/>
              <w:jc w:val="center"/>
              <w:rPr>
                <w:szCs w:val="21"/>
              </w:rPr>
            </w:pPr>
            <w:r>
              <w:rPr>
                <w:rFonts w:hint="eastAsia"/>
                <w:szCs w:val="21"/>
              </w:rPr>
              <w:t>17.00~</w:t>
            </w:r>
          </w:p>
          <w:p w14:paraId="2FD9F738">
            <w:pPr>
              <w:spacing w:line="360" w:lineRule="auto"/>
              <w:jc w:val="center"/>
              <w:rPr>
                <w:szCs w:val="21"/>
              </w:rPr>
            </w:pPr>
            <w:r>
              <w:rPr>
                <w:rFonts w:hint="eastAsia"/>
                <w:szCs w:val="21"/>
              </w:rPr>
              <w:t>19.00</w:t>
            </w:r>
          </w:p>
        </w:tc>
        <w:tc>
          <w:tcPr>
            <w:tcW w:w="950" w:type="dxa"/>
            <w:vMerge w:val="restart"/>
            <w:tcBorders>
              <w:top w:val="nil"/>
              <w:left w:val="nil"/>
              <w:right w:val="nil"/>
            </w:tcBorders>
            <w:vAlign w:val="center"/>
          </w:tcPr>
          <w:p w14:paraId="57EDF510">
            <w:pPr>
              <w:spacing w:line="360" w:lineRule="auto"/>
              <w:jc w:val="center"/>
              <w:rPr>
                <w:szCs w:val="21"/>
              </w:rPr>
            </w:pPr>
            <w:r>
              <w:rPr>
                <w:rFonts w:hint="eastAsia"/>
                <w:szCs w:val="21"/>
              </w:rPr>
              <w:t>1.2~</w:t>
            </w:r>
          </w:p>
          <w:p w14:paraId="5EDF38DC">
            <w:pPr>
              <w:spacing w:line="360" w:lineRule="auto"/>
              <w:jc w:val="center"/>
              <w:rPr>
                <w:szCs w:val="21"/>
              </w:rPr>
            </w:pPr>
            <w:r>
              <w:rPr>
                <w:rFonts w:hint="eastAsia"/>
                <w:szCs w:val="21"/>
              </w:rPr>
              <w:t>2.75</w:t>
            </w:r>
          </w:p>
        </w:tc>
        <w:tc>
          <w:tcPr>
            <w:tcW w:w="1070" w:type="dxa"/>
            <w:vMerge w:val="restart"/>
            <w:tcBorders>
              <w:top w:val="nil"/>
              <w:left w:val="nil"/>
              <w:right w:val="nil"/>
            </w:tcBorders>
            <w:vAlign w:val="center"/>
          </w:tcPr>
          <w:p w14:paraId="349525CA">
            <w:pPr>
              <w:spacing w:line="360" w:lineRule="auto"/>
              <w:jc w:val="center"/>
              <w:rPr>
                <w:szCs w:val="21"/>
              </w:rPr>
            </w:pPr>
            <w:r>
              <w:rPr>
                <w:rFonts w:hint="eastAsia"/>
                <w:szCs w:val="21"/>
              </w:rPr>
              <w:t>1.00~</w:t>
            </w:r>
          </w:p>
          <w:p w14:paraId="58D7965D">
            <w:pPr>
              <w:spacing w:line="360" w:lineRule="auto"/>
              <w:jc w:val="center"/>
              <w:rPr>
                <w:szCs w:val="21"/>
              </w:rPr>
            </w:pPr>
            <w:r>
              <w:rPr>
                <w:rFonts w:hint="eastAsia"/>
                <w:szCs w:val="21"/>
              </w:rPr>
              <w:t>2.50</w:t>
            </w:r>
          </w:p>
        </w:tc>
      </w:tr>
      <w:tr w14:paraId="179C1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31" w:type="dxa"/>
            <w:tcBorders>
              <w:top w:val="nil"/>
              <w:left w:val="nil"/>
              <w:bottom w:val="single" w:color="auto" w:sz="12" w:space="0"/>
              <w:right w:val="nil"/>
            </w:tcBorders>
            <w:vAlign w:val="center"/>
          </w:tcPr>
          <w:p w14:paraId="46A3C9A9">
            <w:pPr>
              <w:spacing w:line="360" w:lineRule="auto"/>
              <w:jc w:val="center"/>
              <w:rPr>
                <w:szCs w:val="21"/>
              </w:rPr>
            </w:pPr>
            <w:r>
              <w:rPr>
                <w:rFonts w:hint="eastAsia"/>
                <w:szCs w:val="21"/>
              </w:rPr>
              <w:t>00Cr18NiMo2Cu2</w:t>
            </w:r>
          </w:p>
        </w:tc>
        <w:tc>
          <w:tcPr>
            <w:tcW w:w="1002" w:type="dxa"/>
            <w:vMerge w:val="continue"/>
            <w:tcBorders>
              <w:left w:val="nil"/>
              <w:bottom w:val="single" w:color="auto" w:sz="12" w:space="0"/>
              <w:right w:val="nil"/>
            </w:tcBorders>
            <w:vAlign w:val="center"/>
          </w:tcPr>
          <w:p w14:paraId="147C4558">
            <w:pPr>
              <w:spacing w:line="360" w:lineRule="auto"/>
              <w:jc w:val="center"/>
              <w:rPr>
                <w:szCs w:val="21"/>
              </w:rPr>
            </w:pPr>
          </w:p>
        </w:tc>
        <w:tc>
          <w:tcPr>
            <w:tcW w:w="1002" w:type="dxa"/>
            <w:vMerge w:val="continue"/>
            <w:tcBorders>
              <w:left w:val="nil"/>
              <w:bottom w:val="single" w:color="auto" w:sz="12" w:space="0"/>
              <w:right w:val="nil"/>
            </w:tcBorders>
            <w:vAlign w:val="center"/>
          </w:tcPr>
          <w:p w14:paraId="7E7CF87D">
            <w:pPr>
              <w:spacing w:line="360" w:lineRule="auto"/>
              <w:jc w:val="center"/>
              <w:rPr>
                <w:szCs w:val="21"/>
              </w:rPr>
            </w:pPr>
          </w:p>
        </w:tc>
        <w:tc>
          <w:tcPr>
            <w:tcW w:w="1049" w:type="dxa"/>
            <w:vMerge w:val="continue"/>
            <w:tcBorders>
              <w:left w:val="nil"/>
              <w:bottom w:val="single" w:color="auto" w:sz="12" w:space="0"/>
              <w:right w:val="nil"/>
            </w:tcBorders>
            <w:vAlign w:val="center"/>
          </w:tcPr>
          <w:p w14:paraId="1B55C41B">
            <w:pPr>
              <w:spacing w:line="360" w:lineRule="auto"/>
              <w:jc w:val="center"/>
              <w:rPr>
                <w:szCs w:val="21"/>
              </w:rPr>
            </w:pPr>
          </w:p>
        </w:tc>
        <w:tc>
          <w:tcPr>
            <w:tcW w:w="1049" w:type="dxa"/>
            <w:vMerge w:val="continue"/>
            <w:tcBorders>
              <w:left w:val="nil"/>
              <w:bottom w:val="single" w:color="auto" w:sz="12" w:space="0"/>
              <w:right w:val="nil"/>
            </w:tcBorders>
            <w:vAlign w:val="center"/>
          </w:tcPr>
          <w:p w14:paraId="4450FA7A">
            <w:pPr>
              <w:spacing w:line="360" w:lineRule="auto"/>
              <w:jc w:val="center"/>
              <w:rPr>
                <w:szCs w:val="21"/>
              </w:rPr>
            </w:pPr>
          </w:p>
        </w:tc>
        <w:tc>
          <w:tcPr>
            <w:tcW w:w="950" w:type="dxa"/>
            <w:vMerge w:val="continue"/>
            <w:tcBorders>
              <w:left w:val="nil"/>
              <w:bottom w:val="single" w:color="auto" w:sz="12" w:space="0"/>
              <w:right w:val="nil"/>
            </w:tcBorders>
            <w:vAlign w:val="center"/>
          </w:tcPr>
          <w:p w14:paraId="71A5FCC6">
            <w:pPr>
              <w:spacing w:line="360" w:lineRule="auto"/>
              <w:jc w:val="center"/>
              <w:rPr>
                <w:szCs w:val="21"/>
              </w:rPr>
            </w:pPr>
          </w:p>
        </w:tc>
        <w:tc>
          <w:tcPr>
            <w:tcW w:w="1070" w:type="dxa"/>
            <w:vMerge w:val="continue"/>
            <w:tcBorders>
              <w:left w:val="nil"/>
              <w:bottom w:val="single" w:color="auto" w:sz="12" w:space="0"/>
              <w:right w:val="nil"/>
            </w:tcBorders>
            <w:vAlign w:val="center"/>
          </w:tcPr>
          <w:p w14:paraId="07DF2BB3">
            <w:pPr>
              <w:spacing w:line="360" w:lineRule="auto"/>
              <w:jc w:val="center"/>
              <w:rPr>
                <w:szCs w:val="21"/>
              </w:rPr>
            </w:pPr>
          </w:p>
        </w:tc>
      </w:tr>
    </w:tbl>
    <w:p w14:paraId="1D0EE87A">
      <w:pPr>
        <w:pStyle w:val="16"/>
        <w:spacing w:before="31" w:after="31"/>
        <w:ind w:firstLine="480"/>
        <w:rPr>
          <w:szCs w:val="24"/>
        </w:rPr>
      </w:pPr>
      <w:r>
        <w:rPr>
          <w:szCs w:val="24"/>
        </w:rPr>
        <w:t>The polarization curves obtained from corrosion experiments are illustrated in Figure 4-5.1. The polarization curve measured in the heat-affected zone exhibits instability during the transition from cathodic polarization to anodic polarization, especially near the fusion line. This instability is correlated with the uneven microstructure of the heat-affected zone. From the polarization curves, it is evident that the corrosion potential in the heat-affected zone is relatively negative, ranging from -256 to -373 mV. In contrast, the corrosion potentials in the base metal and weld zone are more positive, being -35 mV and -104 mV, respectively.Through computer numerical fitting and calculation using the weak polarization zone three-parameter method, the results in Table 4-7 indicate corrosion rates of 8.03×10-3 mm/a and 6.46×10-3 mm/a for the base metal and weld zone, respectively. However, the heat-affected zone exhibits a higher corrosion rate of 5.27×10-2 mm/a. It can be observed that the corrosion rate in the heat-affected zone is faster than that in the weld zone and base metal, with a difference of one order of magnitude. Nevertheless, the corrosion rate in the weld zone is slightly slower than that in the base metal.</w:t>
      </w:r>
    </w:p>
    <w:p w14:paraId="34DEC2C9">
      <w:pPr>
        <w:pStyle w:val="16"/>
        <w:spacing w:before="31" w:after="31"/>
        <w:ind w:firstLine="480"/>
        <w:rPr>
          <w:szCs w:val="24"/>
        </w:rPr>
      </w:pPr>
      <w:r>
        <w:rPr>
          <w:szCs w:val="24"/>
        </w:rPr>
        <w:t>Theoretical studies suggest that the presence of 5% (volume fraction) of б-phase in steel can reduce its impact strength to one-fourth of the original value. The occurrence of б-phase can also lead to a decrease in the steel's antioxidation performance and sensitivity to intergranular corrosion. This is because the formation of б-phase, rich in chromium, results in the generation of chromium-deficient areas in the solid solution, leading to uneven oxidation and intergranular corrosion. X-ray diffraction phase analysis and б-phase identification experiments have confirmed the presence of б-phase in the weld heat-affected zone, with a high content of up to 4.68%. The excessive presence of б-phase surpassing the critical value makes the heat-affected zone highly susceptible to intergranular corrosion induced by б-phase. When intergranular corrosion occurs, the passive film is in an unbalanced state, evolving into pitting corrosion with the deepening of corrosion, and even more severe forms of corrosion.</w:t>
      </w:r>
    </w:p>
    <w:p w14:paraId="03AED271">
      <w:pPr>
        <w:spacing w:line="360" w:lineRule="auto"/>
        <w:jc w:val="center"/>
        <w:rPr>
          <w:sz w:val="24"/>
        </w:rPr>
      </w:pPr>
      <w:r>
        <w:rPr>
          <w:sz w:val="24"/>
        </w:rPr>
        <w:drawing>
          <wp:inline distT="0" distB="0" distL="0" distR="0">
            <wp:extent cx="3476625" cy="1466850"/>
            <wp:effectExtent l="0" t="0" r="9525"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12">
                      <a:extLst>
                        <a:ext uri="{28A0092B-C50C-407E-A947-70E740481C1C}">
                          <a14:useLocalDpi xmlns:a14="http://schemas.microsoft.com/office/drawing/2010/main" val="0"/>
                        </a:ext>
                      </a:extLst>
                    </a:blip>
                    <a:srcRect b="15965"/>
                    <a:stretch>
                      <a:fillRect/>
                    </a:stretch>
                  </pic:blipFill>
                  <pic:spPr>
                    <a:xfrm>
                      <a:off x="0" y="0"/>
                      <a:ext cx="3476625" cy="1466850"/>
                    </a:xfrm>
                    <a:prstGeom prst="rect">
                      <a:avLst/>
                    </a:prstGeom>
                    <a:noFill/>
                    <a:ln>
                      <a:noFill/>
                    </a:ln>
                  </pic:spPr>
                </pic:pic>
              </a:graphicData>
            </a:graphic>
          </wp:inline>
        </w:drawing>
      </w:r>
    </w:p>
    <w:p w14:paraId="4AAD108B">
      <w:pPr>
        <w:spacing w:line="360" w:lineRule="auto"/>
        <w:ind w:firstLine="422" w:firstLineChars="200"/>
        <w:jc w:val="center"/>
        <w:rPr>
          <w:rFonts w:eastAsia="黑体" w:cs="宋体"/>
          <w:b/>
          <w:szCs w:val="20"/>
        </w:rPr>
      </w:pPr>
      <w:r>
        <w:rPr>
          <w:rFonts w:eastAsia="黑体"/>
          <w:b/>
        </w:rPr>
        <w:t>Figure 4-5.1: Polarization Curves of Base Metal Zone, Welded Zone, and Heat-Affected Zone</w:t>
      </w:r>
      <w:r>
        <w:t xml:space="preserve"> </w:t>
      </w:r>
      <w:r>
        <w:rPr>
          <w:rFonts w:eastAsia="黑体" w:cs="宋体"/>
          <w:b/>
          <w:szCs w:val="20"/>
        </w:rPr>
        <w:t>Table 4-7: Data Fitting Results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1191"/>
        <w:gridCol w:w="1359"/>
        <w:gridCol w:w="1135"/>
        <w:gridCol w:w="1701"/>
        <w:gridCol w:w="1241"/>
      </w:tblGrid>
      <w:tr w14:paraId="217F8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Borders>
              <w:top w:val="single" w:color="auto" w:sz="12" w:space="0"/>
              <w:left w:val="nil"/>
              <w:bottom w:val="single" w:color="auto" w:sz="12" w:space="0"/>
              <w:right w:val="nil"/>
              <w:tl2br w:val="single" w:color="auto" w:sz="12" w:space="0"/>
            </w:tcBorders>
            <w:vAlign w:val="center"/>
          </w:tcPr>
          <w:p w14:paraId="2515768B">
            <w:pPr>
              <w:pStyle w:val="16"/>
              <w:spacing w:before="31" w:after="31"/>
              <w:ind w:firstLine="480"/>
              <w:rPr>
                <w:szCs w:val="24"/>
              </w:rPr>
            </w:pPr>
            <w:r>
              <w:rPr>
                <w:szCs w:val="24"/>
              </w:rPr>
              <w:t>Project</w:t>
            </w:r>
          </w:p>
          <w:p w14:paraId="4C5D009B">
            <w:pPr>
              <w:spacing w:line="312" w:lineRule="auto"/>
              <w:jc w:val="left"/>
              <w:rPr>
                <w:szCs w:val="21"/>
              </w:rPr>
            </w:pPr>
            <w:r>
              <w:t>Site</w:t>
            </w:r>
          </w:p>
        </w:tc>
        <w:tc>
          <w:tcPr>
            <w:tcW w:w="1191" w:type="dxa"/>
            <w:tcBorders>
              <w:top w:val="single" w:color="auto" w:sz="12" w:space="0"/>
              <w:left w:val="nil"/>
              <w:bottom w:val="single" w:color="auto" w:sz="12" w:space="0"/>
              <w:right w:val="nil"/>
            </w:tcBorders>
            <w:vAlign w:val="center"/>
          </w:tcPr>
          <w:p w14:paraId="26ED095C">
            <w:pPr>
              <w:spacing w:line="312" w:lineRule="auto"/>
              <w:jc w:val="center"/>
              <w:rPr>
                <w:szCs w:val="21"/>
              </w:rPr>
            </w:pPr>
            <w:r>
              <w:t>Fitting Accuracy</w:t>
            </w:r>
            <w:r>
              <w:tab/>
            </w:r>
            <w:r>
              <w:t>Tafel Slope</w:t>
            </w:r>
          </w:p>
        </w:tc>
        <w:tc>
          <w:tcPr>
            <w:tcW w:w="1359" w:type="dxa"/>
            <w:tcBorders>
              <w:top w:val="single" w:color="auto" w:sz="12" w:space="0"/>
              <w:left w:val="nil"/>
              <w:bottom w:val="single" w:color="auto" w:sz="12" w:space="0"/>
              <w:right w:val="nil"/>
            </w:tcBorders>
            <w:vAlign w:val="center"/>
          </w:tcPr>
          <w:p w14:paraId="2C97DC75">
            <w:pPr>
              <w:spacing w:line="312" w:lineRule="auto"/>
              <w:jc w:val="center"/>
              <w:rPr>
                <w:szCs w:val="21"/>
              </w:rPr>
            </w:pPr>
            <w:r>
              <w:t>Tafel Slope</w:t>
            </w:r>
            <w:r>
              <w:rPr>
                <w:szCs w:val="21"/>
              </w:rPr>
              <w:t xml:space="preserve"> b</w:t>
            </w:r>
            <w:r>
              <w:rPr>
                <w:szCs w:val="21"/>
                <w:vertAlign w:val="subscript"/>
              </w:rPr>
              <w:t>A</w:t>
            </w:r>
            <w:r>
              <w:rPr>
                <w:szCs w:val="21"/>
              </w:rPr>
              <w:t>/mV</w:t>
            </w:r>
          </w:p>
        </w:tc>
        <w:tc>
          <w:tcPr>
            <w:tcW w:w="1135" w:type="dxa"/>
            <w:tcBorders>
              <w:top w:val="single" w:color="auto" w:sz="12" w:space="0"/>
              <w:left w:val="nil"/>
              <w:bottom w:val="single" w:color="auto" w:sz="12" w:space="0"/>
              <w:right w:val="nil"/>
            </w:tcBorders>
            <w:vAlign w:val="center"/>
          </w:tcPr>
          <w:p w14:paraId="3846C675">
            <w:pPr>
              <w:spacing w:line="312" w:lineRule="auto"/>
              <w:jc w:val="center"/>
              <w:rPr>
                <w:szCs w:val="21"/>
              </w:rPr>
            </w:pPr>
            <w:r>
              <w:t>Tafel Slope</w:t>
            </w:r>
            <w:r>
              <w:rPr>
                <w:szCs w:val="21"/>
              </w:rPr>
              <w:t xml:space="preserve"> b</w:t>
            </w:r>
            <w:r>
              <w:rPr>
                <w:szCs w:val="21"/>
                <w:vertAlign w:val="subscript"/>
              </w:rPr>
              <w:t>C</w:t>
            </w:r>
            <w:r>
              <w:rPr>
                <w:szCs w:val="21"/>
              </w:rPr>
              <w:t>/mV</w:t>
            </w:r>
          </w:p>
        </w:tc>
        <w:tc>
          <w:tcPr>
            <w:tcW w:w="1701" w:type="dxa"/>
            <w:tcBorders>
              <w:top w:val="single" w:color="auto" w:sz="12" w:space="0"/>
              <w:left w:val="nil"/>
              <w:bottom w:val="single" w:color="auto" w:sz="12" w:space="0"/>
              <w:right w:val="nil"/>
            </w:tcBorders>
            <w:vAlign w:val="center"/>
          </w:tcPr>
          <w:p w14:paraId="20B719EB">
            <w:pPr>
              <w:spacing w:line="312" w:lineRule="auto"/>
              <w:jc w:val="center"/>
              <w:rPr>
                <w:szCs w:val="21"/>
              </w:rPr>
            </w:pPr>
            <w:r>
              <w:t>Corrosion Current Density</w:t>
            </w:r>
            <w:r>
              <w:rPr>
                <w:szCs w:val="21"/>
              </w:rPr>
              <w:t xml:space="preserve"> mA/cm</w:t>
            </w:r>
            <w:r>
              <w:rPr>
                <w:szCs w:val="21"/>
                <w:vertAlign w:val="superscript"/>
              </w:rPr>
              <w:t>2</w:t>
            </w:r>
          </w:p>
        </w:tc>
        <w:tc>
          <w:tcPr>
            <w:tcW w:w="1241" w:type="dxa"/>
            <w:tcBorders>
              <w:top w:val="single" w:color="auto" w:sz="12" w:space="0"/>
              <w:left w:val="nil"/>
              <w:bottom w:val="single" w:color="auto" w:sz="12" w:space="0"/>
              <w:right w:val="nil"/>
            </w:tcBorders>
            <w:vAlign w:val="center"/>
          </w:tcPr>
          <w:p w14:paraId="2B6A20F7">
            <w:pPr>
              <w:spacing w:line="312" w:lineRule="auto"/>
              <w:jc w:val="center"/>
              <w:rPr>
                <w:szCs w:val="21"/>
              </w:rPr>
            </w:pPr>
            <w:r>
              <w:t>Corrosion Rate</w:t>
            </w:r>
            <w:r>
              <w:rPr>
                <w:szCs w:val="21"/>
              </w:rPr>
              <w:t xml:space="preserve"> mm/a</w:t>
            </w:r>
          </w:p>
        </w:tc>
      </w:tr>
      <w:tr w14:paraId="75698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Borders>
              <w:top w:val="single" w:color="auto" w:sz="12" w:space="0"/>
              <w:left w:val="nil"/>
              <w:bottom w:val="nil"/>
              <w:right w:val="nil"/>
            </w:tcBorders>
            <w:vAlign w:val="center"/>
          </w:tcPr>
          <w:p w14:paraId="336B76ED">
            <w:pPr>
              <w:spacing w:line="312" w:lineRule="auto"/>
              <w:jc w:val="center"/>
              <w:rPr>
                <w:szCs w:val="21"/>
              </w:rPr>
            </w:pPr>
            <w:r>
              <w:t>Base Metal</w:t>
            </w:r>
          </w:p>
        </w:tc>
        <w:tc>
          <w:tcPr>
            <w:tcW w:w="1191" w:type="dxa"/>
            <w:tcBorders>
              <w:top w:val="single" w:color="auto" w:sz="12" w:space="0"/>
              <w:left w:val="nil"/>
              <w:bottom w:val="nil"/>
              <w:right w:val="nil"/>
            </w:tcBorders>
            <w:vAlign w:val="center"/>
          </w:tcPr>
          <w:p w14:paraId="3CBE3C76">
            <w:pPr>
              <w:spacing w:line="312" w:lineRule="auto"/>
              <w:jc w:val="center"/>
              <w:rPr>
                <w:szCs w:val="21"/>
              </w:rPr>
            </w:pPr>
            <w:r>
              <w:rPr>
                <w:szCs w:val="21"/>
              </w:rPr>
              <w:t>0.99</w:t>
            </w:r>
          </w:p>
        </w:tc>
        <w:tc>
          <w:tcPr>
            <w:tcW w:w="1359" w:type="dxa"/>
            <w:tcBorders>
              <w:top w:val="single" w:color="auto" w:sz="12" w:space="0"/>
              <w:left w:val="nil"/>
              <w:bottom w:val="nil"/>
              <w:right w:val="nil"/>
            </w:tcBorders>
            <w:vAlign w:val="center"/>
          </w:tcPr>
          <w:p w14:paraId="692256F4">
            <w:pPr>
              <w:spacing w:line="312" w:lineRule="auto"/>
              <w:jc w:val="center"/>
              <w:rPr>
                <w:szCs w:val="21"/>
              </w:rPr>
            </w:pPr>
            <w:r>
              <w:rPr>
                <w:szCs w:val="21"/>
              </w:rPr>
              <w:t>47.90</w:t>
            </w:r>
          </w:p>
        </w:tc>
        <w:tc>
          <w:tcPr>
            <w:tcW w:w="1135" w:type="dxa"/>
            <w:tcBorders>
              <w:top w:val="single" w:color="auto" w:sz="12" w:space="0"/>
              <w:left w:val="nil"/>
              <w:bottom w:val="nil"/>
              <w:right w:val="nil"/>
            </w:tcBorders>
            <w:vAlign w:val="center"/>
          </w:tcPr>
          <w:p w14:paraId="656EB18B">
            <w:pPr>
              <w:spacing w:line="312" w:lineRule="auto"/>
              <w:jc w:val="center"/>
              <w:rPr>
                <w:szCs w:val="21"/>
              </w:rPr>
            </w:pPr>
            <w:r>
              <w:rPr>
                <w:szCs w:val="21"/>
              </w:rPr>
              <w:t>221.98</w:t>
            </w:r>
          </w:p>
        </w:tc>
        <w:tc>
          <w:tcPr>
            <w:tcW w:w="1701" w:type="dxa"/>
            <w:tcBorders>
              <w:top w:val="single" w:color="auto" w:sz="12" w:space="0"/>
              <w:left w:val="nil"/>
              <w:bottom w:val="nil"/>
              <w:right w:val="nil"/>
            </w:tcBorders>
            <w:vAlign w:val="center"/>
          </w:tcPr>
          <w:p w14:paraId="629E18B5">
            <w:pPr>
              <w:spacing w:line="312" w:lineRule="auto"/>
              <w:ind w:firstLine="420" w:firstLineChars="200"/>
              <w:jc w:val="center"/>
              <w:rPr>
                <w:szCs w:val="21"/>
              </w:rPr>
            </w:pPr>
            <w:r>
              <w:rPr>
                <w:szCs w:val="21"/>
              </w:rPr>
              <w:t>7.02</w:t>
            </w:r>
            <w:r>
              <w:rPr>
                <w:rFonts w:eastAsia="黑体"/>
                <w:szCs w:val="21"/>
              </w:rPr>
              <w:t>×</w:t>
            </w:r>
            <w:r>
              <w:rPr>
                <w:szCs w:val="21"/>
              </w:rPr>
              <w:t>10</w:t>
            </w:r>
            <w:r>
              <w:rPr>
                <w:szCs w:val="21"/>
                <w:vertAlign w:val="superscript"/>
              </w:rPr>
              <w:t>-4</w:t>
            </w:r>
          </w:p>
        </w:tc>
        <w:tc>
          <w:tcPr>
            <w:tcW w:w="1241" w:type="dxa"/>
            <w:tcBorders>
              <w:top w:val="single" w:color="auto" w:sz="12" w:space="0"/>
              <w:left w:val="nil"/>
              <w:bottom w:val="nil"/>
              <w:right w:val="nil"/>
            </w:tcBorders>
            <w:vAlign w:val="center"/>
          </w:tcPr>
          <w:p w14:paraId="6626B137">
            <w:pPr>
              <w:spacing w:line="312" w:lineRule="auto"/>
              <w:jc w:val="center"/>
              <w:rPr>
                <w:szCs w:val="21"/>
              </w:rPr>
            </w:pPr>
            <w:r>
              <w:rPr>
                <w:szCs w:val="21"/>
              </w:rPr>
              <w:t>8.0</w:t>
            </w:r>
            <w:r>
              <w:rPr>
                <w:rFonts w:eastAsia="黑体"/>
                <w:szCs w:val="21"/>
              </w:rPr>
              <w:t>×</w:t>
            </w:r>
            <w:r>
              <w:rPr>
                <w:szCs w:val="21"/>
              </w:rPr>
              <w:t>10</w:t>
            </w:r>
            <w:r>
              <w:rPr>
                <w:szCs w:val="21"/>
                <w:vertAlign w:val="superscript"/>
              </w:rPr>
              <w:t>-3</w:t>
            </w:r>
          </w:p>
        </w:tc>
      </w:tr>
      <w:tr w14:paraId="082D5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Borders>
              <w:top w:val="nil"/>
              <w:left w:val="nil"/>
              <w:bottom w:val="nil"/>
              <w:right w:val="nil"/>
            </w:tcBorders>
            <w:vAlign w:val="center"/>
          </w:tcPr>
          <w:p w14:paraId="6C5B23C3">
            <w:pPr>
              <w:spacing w:line="312" w:lineRule="auto"/>
              <w:jc w:val="center"/>
              <w:rPr>
                <w:szCs w:val="21"/>
              </w:rPr>
            </w:pPr>
            <w:r>
              <w:t>Welded Zone</w:t>
            </w:r>
          </w:p>
        </w:tc>
        <w:tc>
          <w:tcPr>
            <w:tcW w:w="1191" w:type="dxa"/>
            <w:tcBorders>
              <w:top w:val="nil"/>
              <w:left w:val="nil"/>
              <w:bottom w:val="nil"/>
              <w:right w:val="nil"/>
            </w:tcBorders>
            <w:vAlign w:val="center"/>
          </w:tcPr>
          <w:p w14:paraId="7F77E28D">
            <w:pPr>
              <w:spacing w:line="312" w:lineRule="auto"/>
              <w:jc w:val="center"/>
              <w:rPr>
                <w:szCs w:val="21"/>
              </w:rPr>
            </w:pPr>
            <w:r>
              <w:rPr>
                <w:szCs w:val="21"/>
              </w:rPr>
              <w:t>0.99</w:t>
            </w:r>
          </w:p>
        </w:tc>
        <w:tc>
          <w:tcPr>
            <w:tcW w:w="1359" w:type="dxa"/>
            <w:tcBorders>
              <w:top w:val="nil"/>
              <w:left w:val="nil"/>
              <w:bottom w:val="nil"/>
              <w:right w:val="nil"/>
            </w:tcBorders>
            <w:vAlign w:val="center"/>
          </w:tcPr>
          <w:p w14:paraId="353B3F06">
            <w:pPr>
              <w:spacing w:line="312" w:lineRule="auto"/>
              <w:jc w:val="center"/>
              <w:rPr>
                <w:szCs w:val="21"/>
              </w:rPr>
            </w:pPr>
            <w:r>
              <w:rPr>
                <w:szCs w:val="21"/>
              </w:rPr>
              <w:t>63.89</w:t>
            </w:r>
          </w:p>
        </w:tc>
        <w:tc>
          <w:tcPr>
            <w:tcW w:w="1135" w:type="dxa"/>
            <w:tcBorders>
              <w:top w:val="nil"/>
              <w:left w:val="nil"/>
              <w:bottom w:val="nil"/>
              <w:right w:val="nil"/>
            </w:tcBorders>
            <w:vAlign w:val="center"/>
          </w:tcPr>
          <w:p w14:paraId="3CED9023">
            <w:pPr>
              <w:spacing w:line="312" w:lineRule="auto"/>
              <w:jc w:val="center"/>
              <w:rPr>
                <w:szCs w:val="21"/>
              </w:rPr>
            </w:pPr>
            <w:r>
              <w:rPr>
                <w:szCs w:val="21"/>
              </w:rPr>
              <w:t>102.77</w:t>
            </w:r>
          </w:p>
        </w:tc>
        <w:tc>
          <w:tcPr>
            <w:tcW w:w="1701" w:type="dxa"/>
            <w:tcBorders>
              <w:top w:val="nil"/>
              <w:left w:val="nil"/>
              <w:bottom w:val="nil"/>
              <w:right w:val="nil"/>
            </w:tcBorders>
            <w:vAlign w:val="center"/>
          </w:tcPr>
          <w:p w14:paraId="00BF6915">
            <w:pPr>
              <w:spacing w:line="312" w:lineRule="auto"/>
              <w:ind w:firstLine="420" w:firstLineChars="200"/>
              <w:jc w:val="center"/>
              <w:rPr>
                <w:szCs w:val="21"/>
              </w:rPr>
            </w:pPr>
            <w:r>
              <w:rPr>
                <w:szCs w:val="21"/>
              </w:rPr>
              <w:t>5.65</w:t>
            </w:r>
            <w:r>
              <w:rPr>
                <w:rFonts w:eastAsia="黑体"/>
                <w:szCs w:val="21"/>
              </w:rPr>
              <w:t>×</w:t>
            </w:r>
            <w:r>
              <w:rPr>
                <w:szCs w:val="21"/>
              </w:rPr>
              <w:t>10</w:t>
            </w:r>
            <w:r>
              <w:rPr>
                <w:szCs w:val="21"/>
                <w:vertAlign w:val="superscript"/>
              </w:rPr>
              <w:t>-4</w:t>
            </w:r>
          </w:p>
        </w:tc>
        <w:tc>
          <w:tcPr>
            <w:tcW w:w="1241" w:type="dxa"/>
            <w:tcBorders>
              <w:top w:val="nil"/>
              <w:left w:val="nil"/>
              <w:bottom w:val="nil"/>
              <w:right w:val="nil"/>
            </w:tcBorders>
            <w:vAlign w:val="center"/>
          </w:tcPr>
          <w:p w14:paraId="4A2F005A">
            <w:pPr>
              <w:spacing w:line="312" w:lineRule="auto"/>
              <w:jc w:val="center"/>
              <w:rPr>
                <w:szCs w:val="21"/>
              </w:rPr>
            </w:pPr>
            <w:r>
              <w:rPr>
                <w:szCs w:val="21"/>
              </w:rPr>
              <w:t>6.46</w:t>
            </w:r>
            <w:r>
              <w:rPr>
                <w:rFonts w:eastAsia="黑体"/>
                <w:szCs w:val="21"/>
              </w:rPr>
              <w:t>×</w:t>
            </w:r>
            <w:r>
              <w:rPr>
                <w:szCs w:val="21"/>
              </w:rPr>
              <w:t>10</w:t>
            </w:r>
            <w:r>
              <w:rPr>
                <w:szCs w:val="21"/>
                <w:vertAlign w:val="superscript"/>
              </w:rPr>
              <w:t>-3</w:t>
            </w:r>
          </w:p>
        </w:tc>
      </w:tr>
      <w:tr w14:paraId="42AC2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Borders>
              <w:top w:val="nil"/>
              <w:left w:val="nil"/>
              <w:bottom w:val="single" w:color="auto" w:sz="12" w:space="0"/>
              <w:right w:val="nil"/>
            </w:tcBorders>
            <w:vAlign w:val="center"/>
          </w:tcPr>
          <w:p w14:paraId="4FB97342">
            <w:pPr>
              <w:spacing w:line="312" w:lineRule="auto"/>
              <w:jc w:val="center"/>
              <w:rPr>
                <w:szCs w:val="21"/>
              </w:rPr>
            </w:pPr>
            <w:r>
              <w:t>Heat-Affected Zone</w:t>
            </w:r>
          </w:p>
        </w:tc>
        <w:tc>
          <w:tcPr>
            <w:tcW w:w="1191" w:type="dxa"/>
            <w:tcBorders>
              <w:top w:val="nil"/>
              <w:left w:val="nil"/>
              <w:bottom w:val="single" w:color="auto" w:sz="12" w:space="0"/>
              <w:right w:val="nil"/>
            </w:tcBorders>
            <w:vAlign w:val="center"/>
          </w:tcPr>
          <w:p w14:paraId="18877C6D">
            <w:pPr>
              <w:spacing w:line="312" w:lineRule="auto"/>
              <w:jc w:val="center"/>
              <w:rPr>
                <w:szCs w:val="21"/>
              </w:rPr>
            </w:pPr>
            <w:r>
              <w:rPr>
                <w:szCs w:val="21"/>
              </w:rPr>
              <w:t>0.95</w:t>
            </w:r>
          </w:p>
        </w:tc>
        <w:tc>
          <w:tcPr>
            <w:tcW w:w="1359" w:type="dxa"/>
            <w:tcBorders>
              <w:top w:val="nil"/>
              <w:left w:val="nil"/>
              <w:bottom w:val="single" w:color="auto" w:sz="12" w:space="0"/>
              <w:right w:val="nil"/>
            </w:tcBorders>
            <w:vAlign w:val="center"/>
          </w:tcPr>
          <w:p w14:paraId="20BD2616">
            <w:pPr>
              <w:spacing w:line="312" w:lineRule="auto"/>
              <w:jc w:val="center"/>
              <w:rPr>
                <w:szCs w:val="21"/>
              </w:rPr>
            </w:pPr>
            <w:r>
              <w:rPr>
                <w:szCs w:val="21"/>
              </w:rPr>
              <w:t>32.99</w:t>
            </w:r>
          </w:p>
        </w:tc>
        <w:tc>
          <w:tcPr>
            <w:tcW w:w="1135" w:type="dxa"/>
            <w:tcBorders>
              <w:top w:val="nil"/>
              <w:left w:val="nil"/>
              <w:bottom w:val="single" w:color="auto" w:sz="12" w:space="0"/>
              <w:right w:val="nil"/>
            </w:tcBorders>
            <w:vAlign w:val="center"/>
          </w:tcPr>
          <w:p w14:paraId="136ACE38">
            <w:pPr>
              <w:spacing w:line="312" w:lineRule="auto"/>
              <w:jc w:val="center"/>
              <w:rPr>
                <w:szCs w:val="21"/>
              </w:rPr>
            </w:pPr>
            <w:r>
              <w:rPr>
                <w:szCs w:val="21"/>
              </w:rPr>
              <w:t>202.70</w:t>
            </w:r>
          </w:p>
        </w:tc>
        <w:tc>
          <w:tcPr>
            <w:tcW w:w="1701" w:type="dxa"/>
            <w:tcBorders>
              <w:top w:val="nil"/>
              <w:left w:val="nil"/>
              <w:bottom w:val="single" w:color="auto" w:sz="12" w:space="0"/>
              <w:right w:val="nil"/>
            </w:tcBorders>
            <w:vAlign w:val="center"/>
          </w:tcPr>
          <w:p w14:paraId="037604FA">
            <w:pPr>
              <w:spacing w:line="312" w:lineRule="auto"/>
              <w:ind w:firstLine="420" w:firstLineChars="200"/>
              <w:jc w:val="center"/>
              <w:rPr>
                <w:szCs w:val="21"/>
              </w:rPr>
            </w:pPr>
            <w:r>
              <w:rPr>
                <w:szCs w:val="21"/>
              </w:rPr>
              <w:t>4.61</w:t>
            </w:r>
            <w:r>
              <w:rPr>
                <w:rFonts w:eastAsia="黑体"/>
                <w:szCs w:val="21"/>
              </w:rPr>
              <w:t>×</w:t>
            </w:r>
            <w:r>
              <w:rPr>
                <w:szCs w:val="21"/>
              </w:rPr>
              <w:t>10</w:t>
            </w:r>
            <w:r>
              <w:rPr>
                <w:szCs w:val="21"/>
                <w:vertAlign w:val="superscript"/>
              </w:rPr>
              <w:t>-4</w:t>
            </w:r>
          </w:p>
        </w:tc>
        <w:tc>
          <w:tcPr>
            <w:tcW w:w="1241" w:type="dxa"/>
            <w:tcBorders>
              <w:top w:val="nil"/>
              <w:left w:val="nil"/>
              <w:bottom w:val="single" w:color="auto" w:sz="12" w:space="0"/>
              <w:right w:val="nil"/>
            </w:tcBorders>
            <w:vAlign w:val="center"/>
          </w:tcPr>
          <w:p w14:paraId="61A99AFF">
            <w:pPr>
              <w:spacing w:line="312" w:lineRule="auto"/>
              <w:jc w:val="center"/>
              <w:rPr>
                <w:szCs w:val="21"/>
              </w:rPr>
            </w:pPr>
            <w:r>
              <w:rPr>
                <w:szCs w:val="21"/>
              </w:rPr>
              <w:t>5.27</w:t>
            </w:r>
            <w:r>
              <w:rPr>
                <w:rFonts w:eastAsia="黑体"/>
                <w:szCs w:val="21"/>
              </w:rPr>
              <w:t>×</w:t>
            </w:r>
            <w:r>
              <w:rPr>
                <w:szCs w:val="21"/>
              </w:rPr>
              <w:t>10</w:t>
            </w:r>
            <w:r>
              <w:rPr>
                <w:szCs w:val="21"/>
                <w:vertAlign w:val="superscript"/>
              </w:rPr>
              <w:t>-3</w:t>
            </w:r>
          </w:p>
        </w:tc>
      </w:tr>
    </w:tbl>
    <w:p w14:paraId="389885AA">
      <w:pPr>
        <w:pStyle w:val="16"/>
        <w:spacing w:before="31" w:after="31"/>
        <w:ind w:firstLine="0" w:firstLineChars="0"/>
        <w:rPr>
          <w:szCs w:val="24"/>
        </w:rPr>
      </w:pPr>
      <w:bookmarkStart w:id="3" w:name="_Hlk156167013"/>
      <w:r>
        <w:rPr>
          <w:rFonts w:hint="eastAsia"/>
          <w:szCs w:val="24"/>
        </w:rPr>
        <w:t>(5) Failed Component Morphology:</w:t>
      </w:r>
    </w:p>
    <w:p w14:paraId="14BD2DF3">
      <w:pPr>
        <w:pStyle w:val="16"/>
        <w:spacing w:before="31" w:after="31"/>
        <w:ind w:firstLine="420" w:firstLineChars="0"/>
        <w:rPr>
          <w:szCs w:val="24"/>
        </w:rPr>
      </w:pPr>
      <w:r>
        <w:rPr>
          <w:rFonts w:hint="eastAsia"/>
          <w:szCs w:val="24"/>
        </w:rPr>
        <w:t>Null</w:t>
      </w:r>
      <w:bookmarkEnd w:id="3"/>
    </w:p>
    <w:p w14:paraId="523B5B98">
      <w:pPr>
        <w:pStyle w:val="16"/>
        <w:spacing w:before="31" w:after="31"/>
        <w:ind w:firstLine="199" w:firstLineChars="83"/>
        <w:rPr>
          <w:szCs w:val="24"/>
        </w:rPr>
      </w:pPr>
      <w:r>
        <w:rPr>
          <w:szCs w:val="24"/>
        </w:rPr>
        <w:t>(6) Failure Cause Analysis</w:t>
      </w:r>
    </w:p>
    <w:p w14:paraId="4A35AB30">
      <w:pPr>
        <w:pStyle w:val="16"/>
        <w:spacing w:before="31" w:after="31"/>
        <w:ind w:firstLine="480"/>
        <w:rPr>
          <w:szCs w:val="24"/>
        </w:rPr>
      </w:pPr>
      <w:r>
        <w:rPr>
          <w:szCs w:val="24"/>
        </w:rPr>
        <w:t>A significant amount of Cl- in seawater is the primary factor causing corrosion of stainless steel. Due to the strong bonding of Cl- with M+ (metal bonds), it easily penetrates the passive film, leading to the destruction of the passive film and subsequent corrosion. In the welded zone and its adjacent areas, the significant variations in the metallographic structure due to welding thermal cycling not only lead to pitting caused by Cl- but also make the region susceptible to local selective corrosion and intergranular corrosion. This corrosion becomes more severe, especially when there is no post-weld heat treatment.</w:t>
      </w:r>
    </w:p>
    <w:p w14:paraId="141F1771">
      <w:pPr>
        <w:pStyle w:val="16"/>
        <w:spacing w:before="31" w:after="31"/>
        <w:ind w:firstLine="0" w:firstLineChars="0"/>
        <w:rPr>
          <w:szCs w:val="24"/>
        </w:rPr>
      </w:pPr>
      <w:r>
        <w:rPr>
          <w:rFonts w:hint="eastAsia"/>
          <w:szCs w:val="24"/>
        </w:rPr>
        <w:t>(7) Impact and Harm Caused</w:t>
      </w:r>
    </w:p>
    <w:p w14:paraId="07D31342">
      <w:pPr>
        <w:pStyle w:val="16"/>
        <w:spacing w:before="31" w:after="31"/>
        <w:ind w:firstLine="420" w:firstLineChars="0"/>
        <w:rPr>
          <w:szCs w:val="24"/>
        </w:rPr>
      </w:pPr>
      <w:r>
        <w:rPr>
          <w:rFonts w:hint="eastAsia"/>
          <w:szCs w:val="24"/>
        </w:rPr>
        <w:t>Null</w:t>
      </w:r>
    </w:p>
    <w:p w14:paraId="6346F8C2">
      <w:pPr>
        <w:pStyle w:val="16"/>
        <w:spacing w:before="31" w:after="31"/>
        <w:ind w:firstLine="0" w:firstLineChars="0"/>
        <w:rPr>
          <w:szCs w:val="24"/>
        </w:rPr>
      </w:pPr>
      <w:r>
        <w:rPr>
          <w:szCs w:val="24"/>
        </w:rPr>
        <w:t>(8) Conclusions and Improvement Measures</w:t>
      </w:r>
    </w:p>
    <w:p w14:paraId="34C206B7">
      <w:pPr>
        <w:pStyle w:val="16"/>
        <w:spacing w:before="31" w:after="31"/>
        <w:ind w:firstLine="480"/>
        <w:rPr>
          <w:szCs w:val="24"/>
        </w:rPr>
      </w:pPr>
      <w:r>
        <w:rPr>
          <w:szCs w:val="24"/>
        </w:rPr>
        <w:t>(a) The lower chromium content in the heat-affected zone (HAZ) results in the precipitation of the б phase, leading to a higher corrosion rate, indicating that chromium deficiency accelerates local corrosion.</w:t>
      </w:r>
    </w:p>
    <w:p w14:paraId="128864F6">
      <w:pPr>
        <w:pStyle w:val="16"/>
        <w:spacing w:before="31" w:after="31"/>
        <w:ind w:firstLine="480"/>
        <w:rPr>
          <w:szCs w:val="24"/>
        </w:rPr>
      </w:pPr>
      <w:r>
        <w:rPr>
          <w:szCs w:val="24"/>
        </w:rPr>
        <w:t>(b) Excessive б phase content in the heat-affected zone induces intergranular corrosion, eventually leading to pitting leakage.</w:t>
      </w:r>
    </w:p>
    <w:p w14:paraId="397C2360">
      <w:pPr>
        <w:pStyle w:val="16"/>
        <w:spacing w:before="31" w:after="31"/>
        <w:ind w:firstLine="480"/>
        <w:rPr>
          <w:szCs w:val="24"/>
        </w:rPr>
      </w:pPr>
      <w:r>
        <w:rPr>
          <w:szCs w:val="24"/>
        </w:rPr>
        <w:t>(c) High inclusion content in the heat-affected zone, along with uneven metallographic structure, results in poor stability of polarization curves in the weak polarization region, indicating a decline in seawater corrosion resistance in that area.</w:t>
      </w:r>
    </w:p>
    <w:p w14:paraId="258A6B56">
      <w:pPr>
        <w:pStyle w:val="16"/>
        <w:spacing w:before="31" w:after="31"/>
        <w:ind w:firstLine="480"/>
        <w:rPr>
          <w:szCs w:val="24"/>
        </w:rPr>
      </w:pPr>
      <w:r>
        <w:rPr>
          <w:szCs w:val="24"/>
        </w:rPr>
        <w:t>(d) The worst seawater corrosion resistance in stainless steel pipeline welds and adjacent areas is observed in the heat-affected zone (HAZ), emphasizing the need to avoid precipitation of the б phase during welding.</w:t>
      </w:r>
    </w:p>
    <w:p w14:paraId="23490055">
      <w:pPr>
        <w:pStyle w:val="16"/>
        <w:spacing w:before="31" w:after="31"/>
        <w:ind w:firstLine="480"/>
        <w:rPr>
          <w:szCs w:val="24"/>
        </w:rPr>
      </w:pPr>
    </w:p>
    <w:p w14:paraId="74571E32">
      <w:pPr>
        <w:pStyle w:val="16"/>
        <w:spacing w:before="31" w:after="31"/>
        <w:ind w:firstLine="0" w:firstLineChars="0"/>
        <w:rPr>
          <w:b/>
          <w:bCs/>
          <w:szCs w:val="24"/>
        </w:rPr>
      </w:pPr>
      <w:r>
        <w:rPr>
          <w:b/>
          <w:bCs/>
          <w:szCs w:val="24"/>
        </w:rPr>
        <w:t>4.2.6 Case 4-6: Failure of Corrosion Protection Measures for Steel Gates of Haihe Tidal Barrage</w:t>
      </w:r>
    </w:p>
    <w:p w14:paraId="4D2E47F8">
      <w:pPr>
        <w:pStyle w:val="16"/>
        <w:spacing w:before="31" w:after="31"/>
        <w:ind w:firstLine="0" w:firstLineChars="0"/>
        <w:rPr>
          <w:szCs w:val="24"/>
        </w:rPr>
      </w:pPr>
      <w:r>
        <w:rPr>
          <w:szCs w:val="24"/>
        </w:rPr>
        <w:t>(1) Case Name:</w:t>
      </w:r>
    </w:p>
    <w:p w14:paraId="038BCCD7">
      <w:pPr>
        <w:pStyle w:val="16"/>
        <w:spacing w:before="31" w:after="31"/>
        <w:ind w:firstLine="480"/>
        <w:rPr>
          <w:szCs w:val="24"/>
        </w:rPr>
      </w:pPr>
      <w:r>
        <w:rPr>
          <w:szCs w:val="24"/>
        </w:rPr>
        <w:t>Haihe Tidal Barrage Steel Gate Corrosion Protection Measures Failure [7]</w:t>
      </w:r>
    </w:p>
    <w:p w14:paraId="253DFC1F">
      <w:pPr>
        <w:pStyle w:val="16"/>
        <w:spacing w:before="31" w:after="31"/>
        <w:ind w:firstLine="0" w:firstLineChars="0"/>
        <w:rPr>
          <w:szCs w:val="24"/>
        </w:rPr>
      </w:pPr>
      <w:r>
        <w:rPr>
          <w:szCs w:val="24"/>
        </w:rPr>
        <w:t>(2) Failure Process Description:</w:t>
      </w:r>
    </w:p>
    <w:p w14:paraId="55FDE496">
      <w:pPr>
        <w:pStyle w:val="16"/>
        <w:spacing w:before="31" w:after="31"/>
        <w:ind w:firstLine="480"/>
        <w:rPr>
          <w:szCs w:val="24"/>
        </w:rPr>
      </w:pPr>
      <w:r>
        <w:rPr>
          <w:szCs w:val="24"/>
        </w:rPr>
        <w:t>The Haihe Tidal Barrage, featuring 16 steel gates exposed to rapid corrosion in a severe tidal range, faced issues due to seawater immersion. In 1988, eight upper gates underwent rust removal by sandblasting, followed by zinc spraying and coating for corrosion protection. The coating included two layers of chlorinated rubber aluminum paint and two layers of iron red chlorinated rubber topcoat, with a total thickness of approximately 200μm. One year later, inspection after raising the gates revealed numerous small bubbles, fine network cracks, and varying degrees of coating detachment. Some areas exposed white zinc layers, with some already corroded, forming "nodules" and exhibiting yellow-brown rust. Underwater sections, particularly poorly-ventilated areas and weld seam corners, showed dense blistering, leading to rapid zinc layer consumption. Additionally, the green paint film in the tidal zone lost its gloss and noticeably darkened. Estimated at that time, with such a corrosion rate, the entire gate coating would suffer severe detachment in 1-2 years, and most zinc layers would be depleted, necessitating re-coating. In 1990, sandblasting and epoxy coal tar anti-corrosive paint, along with sacrificial anodes, were applied to the lower gates (holes 1-8), and in 1992, the upper gates (holes 1-8) received combined protection with coatings and anode blocks. In 1996, anode blocks were replaced for the lower gates, and in 2001, both upper and lower gate anode blocks were replaced without recoating. Inspection in 2005 revealed extensive coating detachment and increased corrosion. Between 2005 and 2008, the upper gates (holes 1-8) were sandblasted and coated with epoxy coal tar for corrosion protection, as the anodes showed no significant consumption, and thus, no replacement was done.</w:t>
      </w:r>
    </w:p>
    <w:p w14:paraId="12DBBF1D">
      <w:pPr>
        <w:pStyle w:val="16"/>
        <w:spacing w:before="31" w:after="31"/>
        <w:ind w:firstLine="0" w:firstLineChars="0"/>
        <w:rPr>
          <w:szCs w:val="24"/>
        </w:rPr>
      </w:pPr>
      <w:bookmarkStart w:id="4" w:name="_Hlk156168199"/>
      <w:r>
        <w:rPr>
          <w:rFonts w:hint="eastAsia"/>
          <w:szCs w:val="24"/>
        </w:rPr>
        <w:t>(3) Service Environment:</w:t>
      </w:r>
    </w:p>
    <w:p w14:paraId="048F8C63">
      <w:pPr>
        <w:pStyle w:val="16"/>
        <w:spacing w:before="31" w:after="31"/>
        <w:ind w:firstLine="420" w:firstLineChars="0"/>
        <w:rPr>
          <w:szCs w:val="24"/>
        </w:rPr>
      </w:pPr>
      <w:r>
        <w:rPr>
          <w:rFonts w:hint="eastAsia"/>
          <w:szCs w:val="24"/>
        </w:rPr>
        <w:t>Null</w:t>
      </w:r>
      <w:bookmarkEnd w:id="4"/>
    </w:p>
    <w:p w14:paraId="1209539C">
      <w:pPr>
        <w:pStyle w:val="16"/>
        <w:spacing w:before="31" w:after="31"/>
        <w:ind w:firstLine="0" w:firstLineChars="0"/>
        <w:rPr>
          <w:szCs w:val="24"/>
        </w:rPr>
      </w:pPr>
      <w:r>
        <w:rPr>
          <w:rFonts w:hint="eastAsia"/>
          <w:szCs w:val="24"/>
        </w:rPr>
        <w:t>(4) Failed Components and Material:</w:t>
      </w:r>
    </w:p>
    <w:p w14:paraId="0AD95081">
      <w:pPr>
        <w:pStyle w:val="16"/>
        <w:spacing w:before="31" w:after="31"/>
        <w:ind w:firstLine="420" w:firstLineChars="0"/>
        <w:rPr>
          <w:szCs w:val="24"/>
        </w:rPr>
      </w:pPr>
      <w:r>
        <w:rPr>
          <w:rFonts w:hint="eastAsia"/>
          <w:szCs w:val="24"/>
        </w:rPr>
        <w:t>Null</w:t>
      </w:r>
    </w:p>
    <w:p w14:paraId="4DF22D9E">
      <w:pPr>
        <w:pStyle w:val="16"/>
        <w:spacing w:before="31" w:after="31"/>
        <w:ind w:firstLine="0" w:firstLineChars="0"/>
        <w:rPr>
          <w:szCs w:val="24"/>
        </w:rPr>
      </w:pPr>
      <w:r>
        <w:rPr>
          <w:rFonts w:hint="eastAsia"/>
          <w:szCs w:val="24"/>
        </w:rPr>
        <w:t>(5) Failed Component Morphology:</w:t>
      </w:r>
    </w:p>
    <w:p w14:paraId="5ECCEE8C">
      <w:pPr>
        <w:pStyle w:val="16"/>
        <w:spacing w:before="31" w:after="31"/>
        <w:ind w:firstLine="420" w:firstLineChars="0"/>
        <w:rPr>
          <w:szCs w:val="24"/>
        </w:rPr>
      </w:pPr>
      <w:r>
        <w:rPr>
          <w:rFonts w:hint="eastAsia"/>
          <w:szCs w:val="24"/>
        </w:rPr>
        <w:t>Null</w:t>
      </w:r>
    </w:p>
    <w:p w14:paraId="08373898">
      <w:pPr>
        <w:pStyle w:val="16"/>
        <w:spacing w:before="31" w:after="31"/>
        <w:ind w:firstLine="0" w:firstLineChars="0"/>
        <w:rPr>
          <w:szCs w:val="24"/>
        </w:rPr>
      </w:pPr>
      <w:r>
        <w:rPr>
          <w:szCs w:val="24"/>
        </w:rPr>
        <w:t>(6) Failure Causes Analysis:</w:t>
      </w:r>
    </w:p>
    <w:p w14:paraId="4982DA7D">
      <w:pPr>
        <w:pStyle w:val="16"/>
        <w:spacing w:before="31" w:after="31"/>
        <w:ind w:firstLine="199" w:firstLineChars="83"/>
        <w:rPr>
          <w:szCs w:val="24"/>
        </w:rPr>
      </w:pPr>
      <w:r>
        <w:rPr>
          <w:szCs w:val="24"/>
        </w:rPr>
        <w:t>(a) Short-term Failure after Zinc Spraying + Coating Construction:</w:t>
      </w:r>
    </w:p>
    <w:p w14:paraId="3C04BAE3">
      <w:pPr>
        <w:pStyle w:val="16"/>
        <w:spacing w:before="31" w:after="31"/>
        <w:ind w:firstLine="480"/>
        <w:rPr>
          <w:szCs w:val="24"/>
        </w:rPr>
      </w:pPr>
      <w:r>
        <w:rPr>
          <w:rFonts w:hint="eastAsia"/>
        </w:rPr>
        <w:t>①</w:t>
      </w:r>
      <w:r>
        <w:t xml:space="preserve"> </w:t>
      </w:r>
      <w:r>
        <w:rPr>
          <w:szCs w:val="24"/>
        </w:rPr>
        <w:t>Choice of Anticorrosive Coating: The use of zinc spraying as an anticorrosive coating, while providing sacrificial anode protection in seawater, led to excessively rapid corrosion, resulting in a short lifespan.</w:t>
      </w:r>
    </w:p>
    <w:p w14:paraId="1C826943">
      <w:pPr>
        <w:pStyle w:val="16"/>
        <w:spacing w:before="31" w:after="31"/>
        <w:ind w:firstLine="480"/>
        <w:rPr>
          <w:szCs w:val="24"/>
        </w:rPr>
      </w:pPr>
      <w:r>
        <w:rPr>
          <w:rFonts w:hint="eastAsia"/>
        </w:rPr>
        <w:t>②</w:t>
      </w:r>
      <w:r>
        <w:t xml:space="preserve"> </w:t>
      </w:r>
      <w:r>
        <w:rPr>
          <w:szCs w:val="24"/>
        </w:rPr>
        <w:t>Incompatibility between Coating and Substrate:The use of chlorinated rubber paint for sealing after zinc treatment was inappropriate, as it is suitable for steel surfaces but not for non-ferrous light metals such as aluminum and zinc. Weak bonding between chlorinated rubber paint and the zinc layer, coupled with chemical reactions, corroded the zinc layer.</w:t>
      </w:r>
    </w:p>
    <w:p w14:paraId="520CFE2A">
      <w:pPr>
        <w:pStyle w:val="16"/>
        <w:spacing w:before="31" w:after="31"/>
        <w:ind w:firstLine="480"/>
        <w:rPr>
          <w:szCs w:val="24"/>
        </w:rPr>
      </w:pPr>
      <w:r>
        <w:rPr>
          <w:rFonts w:hint="eastAsia"/>
        </w:rPr>
        <w:t xml:space="preserve">③ </w:t>
      </w:r>
      <w:r>
        <w:rPr>
          <w:szCs w:val="24"/>
        </w:rPr>
        <w:t>Inappropriate Primer Use:The use of aluminum powder chlorinated rubber rust-proof paint and iron red chlorinated rubber paint as primers was unsuitable. Neglecting the potential electrochemical reactions between the filler materials (aluminum powder and iron oxide) and the zinc layer led to accelerated corrosion.</w:t>
      </w:r>
    </w:p>
    <w:p w14:paraId="577F6E64">
      <w:pPr>
        <w:pStyle w:val="16"/>
        <w:spacing w:before="31" w:after="31"/>
        <w:ind w:firstLine="480"/>
        <w:rPr>
          <w:szCs w:val="24"/>
        </w:rPr>
      </w:pPr>
      <w:r>
        <w:rPr>
          <w:rFonts w:hint="eastAsia"/>
        </w:rPr>
        <w:t>④</w:t>
      </w:r>
      <w:r>
        <w:rPr>
          <w:szCs w:val="24"/>
        </w:rPr>
        <w:t>Chlorinated Rubber Paint's Susceptibility to Oil and Organic Solvents:*Chlorinated rubber paint's intolerance to oil and organic solvents, combined with nearby pollution and oil leakage from vessels, caused discoloration and dissolution of the coating, particularly in areas with floating oil.</w:t>
      </w:r>
    </w:p>
    <w:p w14:paraId="4EBAEA10">
      <w:pPr>
        <w:pStyle w:val="16"/>
        <w:spacing w:before="31" w:after="31"/>
        <w:ind w:firstLine="480"/>
        <w:rPr>
          <w:szCs w:val="24"/>
        </w:rPr>
      </w:pPr>
      <w:r>
        <w:rPr>
          <w:rFonts w:hint="eastAsia"/>
        </w:rPr>
        <w:t xml:space="preserve">⑤ </w:t>
      </w:r>
      <w:r>
        <w:rPr>
          <w:szCs w:val="24"/>
        </w:rPr>
        <w:t>Inappropriate Anode-to-Cathode Area Ratio:*The presence of blistering mainly around non-zinc-sprayed areas was attributed to unfavorable area effects in the electrochemical corrosion process. The higher cathodic area of exposed iron, compared to the small anodic area of the zinc layer, led to concentrated anodic corrosion, resulting in high zinc corrosion rates.</w:t>
      </w:r>
    </w:p>
    <w:p w14:paraId="73B24BB0">
      <w:pPr>
        <w:pStyle w:val="16"/>
        <w:spacing w:before="31" w:after="31"/>
        <w:ind w:firstLine="480"/>
        <w:rPr>
          <w:szCs w:val="24"/>
        </w:rPr>
      </w:pPr>
      <w:r>
        <w:rPr>
          <w:rFonts w:hint="eastAsia"/>
        </w:rPr>
        <w:t xml:space="preserve">⑥ </w:t>
      </w:r>
      <w:r>
        <w:rPr>
          <w:szCs w:val="24"/>
        </w:rPr>
        <w:t>Insufficient Coating Thickness:The general permeability of coatings, coupled with defects like pinholes and abrasions during construction, allowed seawater penetration, accelerating zinc corrosion and reducing the overall corrosion resistance of the coating system.</w:t>
      </w:r>
    </w:p>
    <w:p w14:paraId="1A0EA403">
      <w:pPr>
        <w:pStyle w:val="16"/>
        <w:spacing w:before="31" w:after="31"/>
        <w:ind w:firstLine="480"/>
        <w:rPr>
          <w:szCs w:val="24"/>
        </w:rPr>
      </w:pPr>
      <w:r>
        <w:rPr>
          <w:szCs w:val="24"/>
        </w:rPr>
        <w:t>(b) Construction-related Causes:</w:t>
      </w:r>
    </w:p>
    <w:p w14:paraId="3EB6D158">
      <w:pPr>
        <w:pStyle w:val="16"/>
        <w:spacing w:before="31" w:after="31"/>
        <w:ind w:firstLine="480"/>
        <w:rPr>
          <w:szCs w:val="24"/>
        </w:rPr>
      </w:pPr>
      <w:r>
        <w:rPr>
          <w:rFonts w:hint="eastAsia"/>
        </w:rPr>
        <w:t xml:space="preserve">① </w:t>
      </w:r>
      <w:r>
        <w:rPr>
          <w:szCs w:val="24"/>
        </w:rPr>
        <w:t>Inadequate Surface Treatment: On-site sandblasting treatment of the old gates did not meet the specified standards.</w:t>
      </w:r>
    </w:p>
    <w:p w14:paraId="0689F709">
      <w:pPr>
        <w:pStyle w:val="16"/>
        <w:spacing w:before="31" w:after="31"/>
        <w:ind w:firstLine="480"/>
        <w:rPr>
          <w:szCs w:val="24"/>
        </w:rPr>
      </w:pPr>
      <w:r>
        <w:rPr>
          <w:rFonts w:hint="eastAsia"/>
        </w:rPr>
        <w:t xml:space="preserve">② </w:t>
      </w:r>
      <w:r>
        <w:rPr>
          <w:szCs w:val="24"/>
        </w:rPr>
        <w:t>Impact of Humidity:Difficulties in meeting national standards for environmental and spraying conditions, including salt spray, dust, humidity, temperature, and spraying time, particularly in poorly-ventilated areas at the bottom of the gates, contributed to water entrapment during painting and, subsequently, coating blistering.</w:t>
      </w:r>
    </w:p>
    <w:p w14:paraId="75D6D47B">
      <w:pPr>
        <w:pStyle w:val="16"/>
        <w:spacing w:before="31" w:after="31"/>
        <w:ind w:firstLine="480"/>
        <w:rPr>
          <w:szCs w:val="24"/>
        </w:rPr>
      </w:pPr>
      <w:r>
        <w:rPr>
          <w:rFonts w:hint="eastAsia"/>
        </w:rPr>
        <w:t xml:space="preserve">③ </w:t>
      </w:r>
      <w:r>
        <w:rPr>
          <w:szCs w:val="24"/>
        </w:rPr>
        <w:t>Effects of Salt Spray and Dust: The gate's location near the sea and its role as a major transportation route made it susceptible to salt deposition and dust, adversely affecting the painting process. These factors contributed to lowered dew points due to moisture absorption by salt and dust, affecting coating adhesion and anti-corrosive effectiveness.</w:t>
      </w:r>
    </w:p>
    <w:p w14:paraId="4DA26613">
      <w:pPr>
        <w:pStyle w:val="16"/>
        <w:spacing w:before="31" w:after="31"/>
        <w:ind w:firstLine="480"/>
        <w:rPr>
          <w:szCs w:val="24"/>
        </w:rPr>
      </w:pPr>
      <w:r>
        <w:rPr>
          <w:szCs w:val="24"/>
        </w:rPr>
        <w:t>(c) Sacrificial Anode + Coating Steel Gate Rusting Causes Analysis:</w:t>
      </w:r>
    </w:p>
    <w:p w14:paraId="6A32B640">
      <w:pPr>
        <w:pStyle w:val="16"/>
        <w:spacing w:before="31" w:after="31"/>
        <w:ind w:firstLine="480"/>
        <w:rPr>
          <w:szCs w:val="24"/>
        </w:rPr>
      </w:pPr>
      <w:r>
        <w:rPr>
          <w:rFonts w:hint="eastAsia"/>
        </w:rPr>
        <w:t xml:space="preserve">① </w:t>
      </w:r>
      <w:r>
        <w:rPr>
          <w:szCs w:val="24"/>
        </w:rPr>
        <w:t>Issues with Anode Quality: The failure to peel off corrosion products from good anodes led to a mistaken belief that the anodes were not consumed. Sampling and analyzing the quality of passivated anodes were recommended to verify product quality.</w:t>
      </w:r>
    </w:p>
    <w:p w14:paraId="36869CCD">
      <w:pPr>
        <w:pStyle w:val="16"/>
        <w:spacing w:before="31" w:after="31"/>
        <w:ind w:firstLine="480"/>
        <w:rPr>
          <w:szCs w:val="24"/>
        </w:rPr>
      </w:pPr>
      <w:r>
        <w:rPr>
          <w:rFonts w:hint="eastAsia"/>
        </w:rPr>
        <w:t xml:space="preserve">② </w:t>
      </w:r>
      <w:r>
        <w:rPr>
          <w:szCs w:val="24"/>
        </w:rPr>
        <w:t>Insufficient Number of Anodes: Initially, the anode's electricity generation was sufficient for the low demand of the new anti-corrosion layer. However, as the protective electricity demand increased due to coating aging, and the anodes were gradually depleted, a contradiction arose, resulting in a decline in protective potential and decreased effectiveness.</w:t>
      </w:r>
    </w:p>
    <w:p w14:paraId="14E14158">
      <w:pPr>
        <w:autoSpaceDE w:val="0"/>
        <w:autoSpaceDN w:val="0"/>
        <w:adjustRightInd w:val="0"/>
        <w:spacing w:before="468" w:beforeLines="150" w:after="156" w:afterLines="50" w:line="360" w:lineRule="auto"/>
        <w:jc w:val="center"/>
        <w:rPr>
          <w:rFonts w:eastAsia="黑体" w:cs="宋体"/>
          <w:b/>
          <w:szCs w:val="20"/>
        </w:rPr>
      </w:pPr>
      <w:r>
        <w:rPr>
          <w:rFonts w:eastAsia="黑体" w:cs="宋体"/>
          <w:b/>
          <w:szCs w:val="20"/>
        </w:rPr>
        <w:t>Table 4-8: Comparison of Zinc Anode Composition Standards with Sample Test Results</w:t>
      </w:r>
    </w:p>
    <w:tbl>
      <w:tblPr>
        <w:tblStyle w:val="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63"/>
        <w:gridCol w:w="985"/>
        <w:gridCol w:w="1186"/>
        <w:gridCol w:w="1138"/>
        <w:gridCol w:w="971"/>
        <w:gridCol w:w="971"/>
        <w:gridCol w:w="971"/>
        <w:gridCol w:w="971"/>
      </w:tblGrid>
      <w:tr w14:paraId="169AE4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3" w:type="dxa"/>
            <w:tcBorders>
              <w:top w:val="single" w:color="auto" w:sz="12" w:space="0"/>
              <w:bottom w:val="single" w:color="auto" w:sz="12" w:space="0"/>
            </w:tcBorders>
          </w:tcPr>
          <w:p w14:paraId="2094785B">
            <w:pPr>
              <w:spacing w:line="312" w:lineRule="auto"/>
              <w:jc w:val="center"/>
              <w:rPr>
                <w:szCs w:val="21"/>
              </w:rPr>
            </w:pPr>
            <w:r>
              <w:rPr>
                <w:szCs w:val="21"/>
              </w:rPr>
              <w:t>Zinc Anode</w:t>
            </w:r>
          </w:p>
        </w:tc>
        <w:tc>
          <w:tcPr>
            <w:tcW w:w="7193" w:type="dxa"/>
            <w:gridSpan w:val="7"/>
            <w:tcBorders>
              <w:top w:val="single" w:color="auto" w:sz="12" w:space="0"/>
              <w:bottom w:val="single" w:color="auto" w:sz="12" w:space="0"/>
            </w:tcBorders>
          </w:tcPr>
          <w:p w14:paraId="7AD9F50D">
            <w:pPr>
              <w:spacing w:line="312" w:lineRule="auto"/>
              <w:jc w:val="center"/>
              <w:rPr>
                <w:szCs w:val="21"/>
              </w:rPr>
            </w:pPr>
            <w:r>
              <w:rPr>
                <w:szCs w:val="21"/>
              </w:rPr>
              <w:t>Chemical Composition/%</w:t>
            </w:r>
          </w:p>
        </w:tc>
      </w:tr>
      <w:tr w14:paraId="189A51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3" w:type="dxa"/>
            <w:tcBorders>
              <w:top w:val="single" w:color="auto" w:sz="12" w:space="0"/>
            </w:tcBorders>
          </w:tcPr>
          <w:p w14:paraId="4F30F801">
            <w:pPr>
              <w:spacing w:line="312" w:lineRule="auto"/>
              <w:jc w:val="center"/>
              <w:rPr>
                <w:szCs w:val="21"/>
              </w:rPr>
            </w:pPr>
            <w:r>
              <w:rPr>
                <w:rFonts w:hint="eastAsia"/>
                <w:szCs w:val="21"/>
              </w:rPr>
              <w:t>Zn-Al-Cd</w:t>
            </w:r>
          </w:p>
        </w:tc>
        <w:tc>
          <w:tcPr>
            <w:tcW w:w="985" w:type="dxa"/>
            <w:tcBorders>
              <w:top w:val="single" w:color="auto" w:sz="12" w:space="0"/>
            </w:tcBorders>
          </w:tcPr>
          <w:p w14:paraId="24A70DCA">
            <w:pPr>
              <w:spacing w:line="312" w:lineRule="auto"/>
              <w:jc w:val="center"/>
              <w:rPr>
                <w:szCs w:val="21"/>
              </w:rPr>
            </w:pPr>
            <w:r>
              <w:rPr>
                <w:rFonts w:hint="eastAsia"/>
                <w:szCs w:val="21"/>
              </w:rPr>
              <w:t>Al</w:t>
            </w:r>
          </w:p>
        </w:tc>
        <w:tc>
          <w:tcPr>
            <w:tcW w:w="1186" w:type="dxa"/>
            <w:tcBorders>
              <w:top w:val="single" w:color="auto" w:sz="12" w:space="0"/>
            </w:tcBorders>
          </w:tcPr>
          <w:p w14:paraId="37C8C68A">
            <w:pPr>
              <w:spacing w:line="312" w:lineRule="auto"/>
              <w:jc w:val="center"/>
              <w:rPr>
                <w:szCs w:val="21"/>
              </w:rPr>
            </w:pPr>
            <w:r>
              <w:rPr>
                <w:rFonts w:hint="eastAsia"/>
                <w:szCs w:val="21"/>
              </w:rPr>
              <w:t>Cd</w:t>
            </w:r>
          </w:p>
        </w:tc>
        <w:tc>
          <w:tcPr>
            <w:tcW w:w="1138" w:type="dxa"/>
            <w:tcBorders>
              <w:top w:val="single" w:color="auto" w:sz="12" w:space="0"/>
            </w:tcBorders>
          </w:tcPr>
          <w:p w14:paraId="2C7572E7">
            <w:pPr>
              <w:spacing w:line="312" w:lineRule="auto"/>
              <w:jc w:val="center"/>
              <w:rPr>
                <w:szCs w:val="21"/>
              </w:rPr>
            </w:pPr>
            <w:r>
              <w:rPr>
                <w:rFonts w:hint="eastAsia"/>
                <w:szCs w:val="21"/>
              </w:rPr>
              <w:t>Zn</w:t>
            </w:r>
          </w:p>
        </w:tc>
        <w:tc>
          <w:tcPr>
            <w:tcW w:w="971" w:type="dxa"/>
            <w:tcBorders>
              <w:top w:val="single" w:color="auto" w:sz="12" w:space="0"/>
            </w:tcBorders>
          </w:tcPr>
          <w:p w14:paraId="30C5C86F">
            <w:pPr>
              <w:spacing w:line="312" w:lineRule="auto"/>
              <w:jc w:val="center"/>
              <w:rPr>
                <w:szCs w:val="21"/>
              </w:rPr>
            </w:pPr>
            <w:r>
              <w:rPr>
                <w:rFonts w:hint="eastAsia"/>
                <w:szCs w:val="21"/>
              </w:rPr>
              <w:t>Fe</w:t>
            </w:r>
          </w:p>
        </w:tc>
        <w:tc>
          <w:tcPr>
            <w:tcW w:w="971" w:type="dxa"/>
            <w:tcBorders>
              <w:top w:val="single" w:color="auto" w:sz="12" w:space="0"/>
            </w:tcBorders>
          </w:tcPr>
          <w:p w14:paraId="2EA70CDD">
            <w:pPr>
              <w:spacing w:line="312" w:lineRule="auto"/>
              <w:jc w:val="center"/>
              <w:rPr>
                <w:szCs w:val="21"/>
              </w:rPr>
            </w:pPr>
            <w:r>
              <w:rPr>
                <w:rFonts w:hint="eastAsia"/>
                <w:szCs w:val="21"/>
              </w:rPr>
              <w:t>Cu</w:t>
            </w:r>
          </w:p>
        </w:tc>
        <w:tc>
          <w:tcPr>
            <w:tcW w:w="971" w:type="dxa"/>
            <w:tcBorders>
              <w:top w:val="single" w:color="auto" w:sz="12" w:space="0"/>
            </w:tcBorders>
          </w:tcPr>
          <w:p w14:paraId="59A53926">
            <w:pPr>
              <w:spacing w:line="312" w:lineRule="auto"/>
              <w:jc w:val="center"/>
              <w:rPr>
                <w:szCs w:val="21"/>
              </w:rPr>
            </w:pPr>
            <w:r>
              <w:rPr>
                <w:rFonts w:hint="eastAsia"/>
                <w:szCs w:val="21"/>
              </w:rPr>
              <w:t>Pb</w:t>
            </w:r>
          </w:p>
        </w:tc>
        <w:tc>
          <w:tcPr>
            <w:tcW w:w="971" w:type="dxa"/>
            <w:tcBorders>
              <w:top w:val="single" w:color="auto" w:sz="12" w:space="0"/>
            </w:tcBorders>
          </w:tcPr>
          <w:p w14:paraId="328E4FDB">
            <w:pPr>
              <w:spacing w:line="312" w:lineRule="auto"/>
              <w:jc w:val="center"/>
              <w:rPr>
                <w:szCs w:val="21"/>
              </w:rPr>
            </w:pPr>
            <w:r>
              <w:rPr>
                <w:rFonts w:hint="eastAsia"/>
                <w:szCs w:val="21"/>
              </w:rPr>
              <w:t>Si</w:t>
            </w:r>
          </w:p>
        </w:tc>
      </w:tr>
      <w:tr w14:paraId="061CC1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3" w:type="dxa"/>
          </w:tcPr>
          <w:p w14:paraId="7330173A">
            <w:pPr>
              <w:spacing w:line="312" w:lineRule="auto"/>
              <w:jc w:val="center"/>
              <w:rPr>
                <w:szCs w:val="21"/>
              </w:rPr>
            </w:pPr>
            <w:r>
              <w:rPr>
                <w:szCs w:val="21"/>
              </w:rPr>
              <w:t>Qualified Sample</w:t>
            </w:r>
          </w:p>
        </w:tc>
        <w:tc>
          <w:tcPr>
            <w:tcW w:w="985" w:type="dxa"/>
          </w:tcPr>
          <w:p w14:paraId="16F7FFFD">
            <w:pPr>
              <w:spacing w:line="312" w:lineRule="auto"/>
              <w:jc w:val="center"/>
              <w:rPr>
                <w:szCs w:val="21"/>
              </w:rPr>
            </w:pPr>
            <w:r>
              <w:rPr>
                <w:rFonts w:hint="eastAsia"/>
                <w:szCs w:val="21"/>
              </w:rPr>
              <w:t>0.3~0.6</w:t>
            </w:r>
          </w:p>
        </w:tc>
        <w:tc>
          <w:tcPr>
            <w:tcW w:w="1186" w:type="dxa"/>
          </w:tcPr>
          <w:p w14:paraId="43244063">
            <w:pPr>
              <w:spacing w:line="312" w:lineRule="auto"/>
              <w:jc w:val="center"/>
              <w:rPr>
                <w:szCs w:val="21"/>
              </w:rPr>
            </w:pPr>
            <w:r>
              <w:rPr>
                <w:rFonts w:hint="eastAsia"/>
                <w:szCs w:val="21"/>
              </w:rPr>
              <w:t>0.05~0.12</w:t>
            </w:r>
          </w:p>
        </w:tc>
        <w:tc>
          <w:tcPr>
            <w:tcW w:w="1138" w:type="dxa"/>
          </w:tcPr>
          <w:p w14:paraId="60C6E7A3">
            <w:pPr>
              <w:spacing w:line="312" w:lineRule="auto"/>
              <w:jc w:val="center"/>
              <w:rPr>
                <w:szCs w:val="21"/>
              </w:rPr>
            </w:pPr>
            <w:r>
              <w:rPr>
                <w:szCs w:val="21"/>
              </w:rPr>
              <w:t>Remaining</w:t>
            </w:r>
          </w:p>
        </w:tc>
        <w:tc>
          <w:tcPr>
            <w:tcW w:w="971" w:type="dxa"/>
          </w:tcPr>
          <w:p w14:paraId="49B1319B">
            <w:pPr>
              <w:spacing w:line="312" w:lineRule="auto"/>
              <w:jc w:val="center"/>
              <w:rPr>
                <w:szCs w:val="21"/>
              </w:rPr>
            </w:pPr>
            <w:r>
              <w:rPr>
                <w:rFonts w:hint="eastAsia"/>
                <w:szCs w:val="21"/>
              </w:rPr>
              <w:t>&lt;0.005</w:t>
            </w:r>
          </w:p>
        </w:tc>
        <w:tc>
          <w:tcPr>
            <w:tcW w:w="971" w:type="dxa"/>
          </w:tcPr>
          <w:p w14:paraId="2DC8D589">
            <w:pPr>
              <w:spacing w:line="312" w:lineRule="auto"/>
              <w:jc w:val="center"/>
              <w:rPr>
                <w:szCs w:val="21"/>
              </w:rPr>
            </w:pPr>
            <w:r>
              <w:rPr>
                <w:rFonts w:hint="eastAsia"/>
                <w:szCs w:val="21"/>
              </w:rPr>
              <w:t>&lt;0.005</w:t>
            </w:r>
          </w:p>
        </w:tc>
        <w:tc>
          <w:tcPr>
            <w:tcW w:w="971" w:type="dxa"/>
          </w:tcPr>
          <w:p w14:paraId="0CB4B487">
            <w:pPr>
              <w:spacing w:line="312" w:lineRule="auto"/>
              <w:jc w:val="center"/>
              <w:rPr>
                <w:szCs w:val="21"/>
              </w:rPr>
            </w:pPr>
            <w:r>
              <w:rPr>
                <w:rFonts w:hint="eastAsia"/>
                <w:szCs w:val="21"/>
              </w:rPr>
              <w:t>&lt;0.006</w:t>
            </w:r>
          </w:p>
        </w:tc>
        <w:tc>
          <w:tcPr>
            <w:tcW w:w="971" w:type="dxa"/>
          </w:tcPr>
          <w:p w14:paraId="0B7E44A9">
            <w:pPr>
              <w:spacing w:line="312" w:lineRule="auto"/>
              <w:jc w:val="center"/>
              <w:rPr>
                <w:szCs w:val="21"/>
              </w:rPr>
            </w:pPr>
            <w:r>
              <w:rPr>
                <w:rFonts w:hint="eastAsia"/>
                <w:szCs w:val="21"/>
              </w:rPr>
              <w:t>&lt;0.125</w:t>
            </w:r>
          </w:p>
        </w:tc>
      </w:tr>
      <w:tr w14:paraId="39A410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63" w:type="dxa"/>
          </w:tcPr>
          <w:p w14:paraId="18480288">
            <w:pPr>
              <w:spacing w:line="312" w:lineRule="auto"/>
              <w:jc w:val="center"/>
              <w:rPr>
                <w:szCs w:val="21"/>
              </w:rPr>
            </w:pPr>
            <w:r>
              <w:rPr>
                <w:szCs w:val="21"/>
              </w:rPr>
              <w:t>Test Sample</w:t>
            </w:r>
          </w:p>
        </w:tc>
        <w:tc>
          <w:tcPr>
            <w:tcW w:w="985" w:type="dxa"/>
          </w:tcPr>
          <w:p w14:paraId="1D95CAB0">
            <w:pPr>
              <w:spacing w:line="312" w:lineRule="auto"/>
              <w:jc w:val="center"/>
              <w:rPr>
                <w:szCs w:val="21"/>
              </w:rPr>
            </w:pPr>
            <w:r>
              <w:rPr>
                <w:rFonts w:hint="eastAsia"/>
                <w:szCs w:val="21"/>
              </w:rPr>
              <w:t>0.46</w:t>
            </w:r>
          </w:p>
        </w:tc>
        <w:tc>
          <w:tcPr>
            <w:tcW w:w="1186" w:type="dxa"/>
          </w:tcPr>
          <w:p w14:paraId="168D8D05">
            <w:pPr>
              <w:spacing w:line="312" w:lineRule="auto"/>
              <w:jc w:val="center"/>
              <w:rPr>
                <w:szCs w:val="21"/>
              </w:rPr>
            </w:pPr>
            <w:r>
              <w:rPr>
                <w:rFonts w:hint="eastAsia"/>
                <w:szCs w:val="21"/>
              </w:rPr>
              <w:t>0.082</w:t>
            </w:r>
          </w:p>
        </w:tc>
        <w:tc>
          <w:tcPr>
            <w:tcW w:w="1138" w:type="dxa"/>
          </w:tcPr>
          <w:p w14:paraId="4F67AC71">
            <w:pPr>
              <w:spacing w:line="312" w:lineRule="auto"/>
              <w:jc w:val="center"/>
              <w:rPr>
                <w:szCs w:val="21"/>
              </w:rPr>
            </w:pPr>
            <w:r>
              <w:rPr>
                <w:rFonts w:hint="eastAsia"/>
                <w:szCs w:val="21"/>
              </w:rPr>
              <w:t>98.89</w:t>
            </w:r>
          </w:p>
        </w:tc>
        <w:tc>
          <w:tcPr>
            <w:tcW w:w="971" w:type="dxa"/>
          </w:tcPr>
          <w:p w14:paraId="574F4AA8">
            <w:pPr>
              <w:spacing w:line="312" w:lineRule="auto"/>
              <w:jc w:val="center"/>
              <w:rPr>
                <w:szCs w:val="21"/>
              </w:rPr>
            </w:pPr>
            <w:r>
              <w:rPr>
                <w:rFonts w:hint="eastAsia"/>
                <w:szCs w:val="21"/>
              </w:rPr>
              <w:t>0.0022</w:t>
            </w:r>
          </w:p>
        </w:tc>
        <w:tc>
          <w:tcPr>
            <w:tcW w:w="971" w:type="dxa"/>
          </w:tcPr>
          <w:p w14:paraId="17F0068B">
            <w:pPr>
              <w:spacing w:line="312" w:lineRule="auto"/>
              <w:jc w:val="center"/>
              <w:rPr>
                <w:szCs w:val="21"/>
              </w:rPr>
            </w:pPr>
            <w:r>
              <w:rPr>
                <w:rFonts w:hint="eastAsia"/>
                <w:szCs w:val="21"/>
              </w:rPr>
              <w:t>0.0079</w:t>
            </w:r>
          </w:p>
        </w:tc>
        <w:tc>
          <w:tcPr>
            <w:tcW w:w="971" w:type="dxa"/>
          </w:tcPr>
          <w:p w14:paraId="6E37D178">
            <w:pPr>
              <w:spacing w:line="312" w:lineRule="auto"/>
              <w:jc w:val="center"/>
              <w:rPr>
                <w:szCs w:val="21"/>
              </w:rPr>
            </w:pPr>
            <w:r>
              <w:rPr>
                <w:rFonts w:hint="eastAsia"/>
                <w:szCs w:val="21"/>
              </w:rPr>
              <w:t>0.021</w:t>
            </w:r>
          </w:p>
        </w:tc>
        <w:tc>
          <w:tcPr>
            <w:tcW w:w="971" w:type="dxa"/>
          </w:tcPr>
          <w:p w14:paraId="6E6BD3AA">
            <w:pPr>
              <w:spacing w:line="312" w:lineRule="auto"/>
              <w:jc w:val="center"/>
              <w:rPr>
                <w:szCs w:val="21"/>
              </w:rPr>
            </w:pPr>
            <w:r>
              <w:rPr>
                <w:rFonts w:hint="eastAsia"/>
                <w:szCs w:val="21"/>
              </w:rPr>
              <w:t>0.0016</w:t>
            </w:r>
          </w:p>
        </w:tc>
      </w:tr>
    </w:tbl>
    <w:p w14:paraId="679A0FF2">
      <w:pPr>
        <w:pStyle w:val="16"/>
        <w:spacing w:before="31" w:after="31"/>
        <w:ind w:firstLine="480"/>
        <w:rPr>
          <w:szCs w:val="24"/>
        </w:rPr>
      </w:pPr>
      <w:r>
        <w:rPr>
          <w:szCs w:val="24"/>
        </w:rPr>
        <w:t>From the results, the main components Al and Cd meet the standards, but the impurity content of Cu is 1.58 times higher than the qualified sample, and Pb is 3.5 times higher than the qualified sample. Iron, copper, and lead are harmful impurities in zinc, with iron being the most harmful element, significantly affecting the potential and current efficiency of zinc. The presence of impurities forms localized corrosion cells, and the action of these microcells accelerates the formation of hydroxides or hydroxide-carbonate precipitates on the surface of zinc, creating a robust protective layer that prevents further dissolution of zinc. Excessive impurity content has an adverse effect on the anode's performance. Therefore, it is crucial to send the purchased materials for third-party testing, and they should only be used if they meet the required standards.</w:t>
      </w:r>
    </w:p>
    <w:p w14:paraId="661A5427">
      <w:pPr>
        <w:pStyle w:val="16"/>
        <w:spacing w:before="31" w:after="31"/>
        <w:ind w:firstLine="480"/>
        <w:rPr>
          <w:szCs w:val="24"/>
        </w:rPr>
      </w:pPr>
      <w:r>
        <w:rPr>
          <w:szCs w:val="24"/>
        </w:rPr>
        <w:t>(d) Water Quality Analysis:</w:t>
      </w:r>
    </w:p>
    <w:p w14:paraId="1B1B5601">
      <w:pPr>
        <w:pStyle w:val="16"/>
        <w:spacing w:before="31" w:after="31"/>
        <w:ind w:firstLine="480"/>
        <w:rPr>
          <w:szCs w:val="24"/>
        </w:rPr>
      </w:pPr>
      <w:r>
        <w:rPr>
          <w:szCs w:val="24"/>
        </w:rPr>
        <w:t>Chemical analysis of water samples indicated high chloride content (18975 mg/L) and sulfate content (653 mg/L) upstream, and even higher chloride content (23485 mg/L) and sulfate content (2432 mg/L) downstream. These conditions favored zinc anode activation and dissolution. The role of high concentrations of bicarbonate and nitrate ions, which could passivate zinc anodes in the water, was inconclusive without testing. However, it was emphasized that the main factor causing zinc anode passivation was the quality of the anodes, with the two impurities (Pb, Cu) exceeding acceptable levels. Considering the high sulfate content in the water, which could passivate aluminum anodes, it was suggested that zinc anodes were more reliable for the Haihe Tidal Barrage.</w:t>
      </w:r>
    </w:p>
    <w:p w14:paraId="103859CF">
      <w:pPr>
        <w:pStyle w:val="16"/>
        <w:spacing w:before="31" w:after="31"/>
        <w:ind w:firstLine="0" w:firstLineChars="0"/>
        <w:rPr>
          <w:szCs w:val="24"/>
        </w:rPr>
      </w:pPr>
      <w:r>
        <w:rPr>
          <w:rFonts w:hint="eastAsia"/>
          <w:szCs w:val="24"/>
        </w:rPr>
        <w:t>(7) Impact and Harm Caused</w:t>
      </w:r>
    </w:p>
    <w:p w14:paraId="6E5D66A9">
      <w:pPr>
        <w:pStyle w:val="16"/>
        <w:spacing w:before="31" w:after="31"/>
        <w:ind w:firstLine="420" w:firstLineChars="0"/>
        <w:rPr>
          <w:szCs w:val="24"/>
        </w:rPr>
      </w:pPr>
      <w:r>
        <w:rPr>
          <w:rFonts w:hint="eastAsia"/>
          <w:szCs w:val="24"/>
        </w:rPr>
        <w:t>Null</w:t>
      </w:r>
    </w:p>
    <w:p w14:paraId="02BF252E">
      <w:pPr>
        <w:pStyle w:val="16"/>
        <w:spacing w:before="31" w:after="31"/>
        <w:ind w:firstLine="0" w:firstLineChars="0"/>
        <w:rPr>
          <w:szCs w:val="24"/>
        </w:rPr>
      </w:pPr>
      <w:r>
        <w:rPr>
          <w:szCs w:val="24"/>
        </w:rPr>
        <w:t>(8) Conclusion and Improvement Measures:</w:t>
      </w:r>
    </w:p>
    <w:p w14:paraId="5839EBD3">
      <w:pPr>
        <w:pStyle w:val="16"/>
        <w:spacing w:before="31" w:after="31"/>
        <w:ind w:firstLine="480"/>
        <w:rPr>
          <w:szCs w:val="24"/>
        </w:rPr>
      </w:pPr>
      <w:r>
        <w:rPr>
          <w:szCs w:val="24"/>
        </w:rPr>
        <w:t>The analysis revealed that the primary reasons for the steel gate's failure were inappropriate choices in anticorrosive coatings, poor quality and insufficient quantity of sacrificial anodes, and issues related to production and construction.</w:t>
      </w:r>
    </w:p>
    <w:p w14:paraId="1789ECF8">
      <w:pPr>
        <w:pStyle w:val="16"/>
        <w:spacing w:before="31" w:after="31"/>
        <w:ind w:firstLine="0" w:firstLineChars="0"/>
        <w:rPr>
          <w:szCs w:val="24"/>
        </w:rPr>
      </w:pPr>
    </w:p>
    <w:p w14:paraId="2C34CF55">
      <w:pPr>
        <w:pStyle w:val="16"/>
        <w:spacing w:before="31" w:after="31"/>
        <w:ind w:firstLine="0" w:firstLineChars="0"/>
        <w:rPr>
          <w:b/>
          <w:bCs/>
          <w:szCs w:val="24"/>
        </w:rPr>
      </w:pPr>
      <w:r>
        <w:rPr>
          <w:b/>
          <w:bCs/>
          <w:szCs w:val="24"/>
        </w:rPr>
        <w:t>4.2.7Case 4-7 Failure of the Bohai Anti-Icing Conductor Frame Platform</w:t>
      </w:r>
    </w:p>
    <w:p w14:paraId="63044962">
      <w:pPr>
        <w:pStyle w:val="16"/>
        <w:spacing w:before="31" w:after="31"/>
        <w:ind w:firstLine="0" w:firstLineChars="0"/>
        <w:rPr>
          <w:szCs w:val="24"/>
        </w:rPr>
      </w:pPr>
      <w:r>
        <w:rPr>
          <w:szCs w:val="24"/>
        </w:rPr>
        <w:t>(1) Case Name</w:t>
      </w:r>
    </w:p>
    <w:p w14:paraId="3680303C">
      <w:pPr>
        <w:pStyle w:val="16"/>
        <w:spacing w:before="31" w:after="31"/>
        <w:ind w:firstLine="480"/>
        <w:rPr>
          <w:szCs w:val="24"/>
        </w:rPr>
      </w:pPr>
      <w:r>
        <w:rPr>
          <w:szCs w:val="24"/>
        </w:rPr>
        <w:t>Failure of the Bohai Anti-Icing Conductor Frame Platform [8]</w:t>
      </w:r>
    </w:p>
    <w:p w14:paraId="6E1CA97F">
      <w:pPr>
        <w:pStyle w:val="16"/>
        <w:spacing w:before="31" w:after="31"/>
        <w:ind w:firstLine="0" w:firstLineChars="0"/>
        <w:rPr>
          <w:szCs w:val="24"/>
        </w:rPr>
      </w:pPr>
      <w:r>
        <w:rPr>
          <w:szCs w:val="24"/>
        </w:rPr>
        <w:t xml:space="preserve">(2) </w:t>
      </w:r>
      <w:r>
        <w:rPr>
          <w:rFonts w:hint="eastAsia"/>
          <w:szCs w:val="24"/>
        </w:rPr>
        <w:t>Failure Process Description:</w:t>
      </w:r>
    </w:p>
    <w:p w14:paraId="77133DE6">
      <w:pPr>
        <w:pStyle w:val="16"/>
        <w:spacing w:before="31" w:after="31"/>
        <w:ind w:firstLine="480"/>
        <w:rPr>
          <w:szCs w:val="24"/>
        </w:rPr>
      </w:pPr>
      <w:r>
        <w:rPr>
          <w:szCs w:val="24"/>
        </w:rPr>
        <w:t>Since the late 1980s, several platforms constructed in the Bohai and Liaodong Bay regions of China have experienced significant ice-induced vibration phenomena.</w:t>
      </w:r>
    </w:p>
    <w:p w14:paraId="383AA242">
      <w:pPr>
        <w:pStyle w:val="16"/>
        <w:spacing w:before="31" w:after="31"/>
        <w:ind w:firstLine="0" w:firstLineChars="0"/>
        <w:rPr>
          <w:szCs w:val="24"/>
        </w:rPr>
      </w:pPr>
      <w:bookmarkStart w:id="5" w:name="_Hlk156169014"/>
      <w:r>
        <w:rPr>
          <w:rFonts w:hint="eastAsia"/>
          <w:szCs w:val="24"/>
        </w:rPr>
        <w:t>(3) Service Environment:</w:t>
      </w:r>
    </w:p>
    <w:p w14:paraId="3C6F81A3">
      <w:pPr>
        <w:pStyle w:val="16"/>
        <w:spacing w:before="31" w:after="31"/>
        <w:ind w:firstLine="420" w:firstLineChars="0"/>
        <w:rPr>
          <w:szCs w:val="24"/>
        </w:rPr>
      </w:pPr>
      <w:r>
        <w:rPr>
          <w:rFonts w:hint="eastAsia"/>
          <w:szCs w:val="24"/>
        </w:rPr>
        <w:t>Null</w:t>
      </w:r>
    </w:p>
    <w:p w14:paraId="1CCD24E1">
      <w:pPr>
        <w:pStyle w:val="16"/>
        <w:spacing w:before="31" w:after="31"/>
        <w:ind w:firstLine="0" w:firstLineChars="0"/>
        <w:rPr>
          <w:szCs w:val="24"/>
        </w:rPr>
      </w:pPr>
      <w:r>
        <w:rPr>
          <w:rFonts w:hint="eastAsia"/>
          <w:szCs w:val="24"/>
        </w:rPr>
        <w:t>(4) Failed Components and Material:</w:t>
      </w:r>
    </w:p>
    <w:p w14:paraId="050C9D57">
      <w:pPr>
        <w:pStyle w:val="16"/>
        <w:spacing w:before="31" w:after="31"/>
        <w:ind w:firstLine="420" w:firstLineChars="0"/>
        <w:rPr>
          <w:szCs w:val="24"/>
        </w:rPr>
      </w:pPr>
      <w:r>
        <w:rPr>
          <w:rFonts w:hint="eastAsia"/>
          <w:szCs w:val="24"/>
        </w:rPr>
        <w:t>Null</w:t>
      </w:r>
    </w:p>
    <w:p w14:paraId="4FFCBEAA">
      <w:pPr>
        <w:pStyle w:val="16"/>
        <w:spacing w:before="31" w:after="31"/>
        <w:ind w:firstLine="0" w:firstLineChars="0"/>
        <w:rPr>
          <w:szCs w:val="24"/>
        </w:rPr>
      </w:pPr>
      <w:r>
        <w:rPr>
          <w:rFonts w:hint="eastAsia"/>
          <w:szCs w:val="24"/>
        </w:rPr>
        <w:t>(5) Failed Component Morphology:</w:t>
      </w:r>
    </w:p>
    <w:p w14:paraId="2E2B521B">
      <w:pPr>
        <w:pStyle w:val="16"/>
        <w:spacing w:before="31" w:after="31"/>
        <w:ind w:firstLine="420" w:firstLineChars="0"/>
        <w:rPr>
          <w:szCs w:val="24"/>
        </w:rPr>
      </w:pPr>
      <w:r>
        <w:rPr>
          <w:rFonts w:hint="eastAsia"/>
          <w:szCs w:val="24"/>
        </w:rPr>
        <w:t>Null</w:t>
      </w:r>
    </w:p>
    <w:bookmarkEnd w:id="5"/>
    <w:p w14:paraId="4EE42FA4">
      <w:pPr>
        <w:pStyle w:val="16"/>
        <w:spacing w:before="31" w:after="31"/>
        <w:ind w:firstLine="0" w:firstLineChars="0"/>
        <w:rPr>
          <w:szCs w:val="24"/>
        </w:rPr>
      </w:pPr>
      <w:r>
        <w:rPr>
          <w:rFonts w:hint="eastAsia"/>
          <w:szCs w:val="24"/>
        </w:rPr>
        <w:t>(6) Failure Cause Analysis:</w:t>
      </w:r>
    </w:p>
    <w:p w14:paraId="23047DB9">
      <w:pPr>
        <w:pStyle w:val="16"/>
        <w:spacing w:before="31" w:after="31"/>
        <w:ind w:firstLine="480"/>
        <w:rPr>
          <w:szCs w:val="24"/>
        </w:rPr>
      </w:pPr>
      <w:r>
        <w:rPr>
          <w:szCs w:val="24"/>
        </w:rPr>
        <w:t>(a) Analysis of Failure Modes of Anti-Icing Structures</w:t>
      </w:r>
    </w:p>
    <w:p w14:paraId="7E57DF32">
      <w:pPr>
        <w:pStyle w:val="16"/>
        <w:spacing w:before="31" w:after="31"/>
        <w:ind w:firstLine="480"/>
        <w:rPr>
          <w:szCs w:val="24"/>
        </w:rPr>
      </w:pPr>
      <w:r>
        <w:rPr>
          <w:szCs w:val="24"/>
        </w:rPr>
        <w:t>Based on on-site monitoring of the prototype structure, it was observed that the Bohai anti-icing conductor frame platform had minimal deformation under extreme static ice loads, indicating a significant safety margin. However, under alternating ice loads, both upright and conical structures exhibited ice-induced resonance, causing a significant dynamic amplification of forces. Therefore, structures like the Bohai anti-icing conductor frame belong to flexible structures. In the assessment and optimal design of these structures, static failure, i.e., safety failure under extreme static ice loads as specified by regulations, needs to be considered, as well as dynamic failure, i.e., structural failure caused by ice-induced conductor frame platform vibrations. In ice-covered areas, ice loads are much larger than traditional environmental loads such as waves, currents, wind, and earthquakes. Therefore, the analysis of failure modes for anti-icing conductor frame platforms in this region focuses mainly on ice loads.</w:t>
      </w:r>
    </w:p>
    <w:p w14:paraId="6F0D0E76">
      <w:pPr>
        <w:pStyle w:val="16"/>
        <w:spacing w:before="31" w:after="31"/>
        <w:ind w:firstLine="480"/>
        <w:rPr>
          <w:szCs w:val="24"/>
        </w:rPr>
      </w:pPr>
      <w:r>
        <w:rPr>
          <w:szCs w:val="24"/>
        </w:rPr>
        <w:t>(b) Failure under Extreme Static Ice Loads</w:t>
      </w:r>
    </w:p>
    <w:p w14:paraId="62F0C9A3">
      <w:pPr>
        <w:pStyle w:val="16"/>
        <w:spacing w:before="31" w:after="31"/>
        <w:ind w:firstLine="480"/>
        <w:rPr>
          <w:szCs w:val="24"/>
        </w:rPr>
      </w:pPr>
      <w:r>
        <w:rPr>
          <w:szCs w:val="24"/>
        </w:rPr>
        <w:t>In current offshore platform design codes, considerations generally include seismic, wave, current, wind, and sea ice actions, which are converted into equivalent static loads for analysis. The evaluation of structural or component safety under various load combinations is mainly based on strength and stiffness requirements. Strength requirements specify that the design stress of components under design loads should be less than the allowable stress, i.e., б&lt;[б], while stiffness requirements stipulate that the maximum deformation of the structure should be less than the specified allowable value, i.e., λ&lt;[λ]. For anti-icing offshore platforms, the focus is on ensuring the strength and stiffness requirements of the structure under extreme static ice loads.</w:t>
      </w:r>
    </w:p>
    <w:p w14:paraId="6F92CD56">
      <w:pPr>
        <w:pStyle w:val="16"/>
        <w:spacing w:before="31" w:after="31"/>
        <w:ind w:firstLine="480"/>
        <w:rPr>
          <w:szCs w:val="24"/>
        </w:rPr>
      </w:pPr>
      <w:r>
        <w:rPr>
          <w:szCs w:val="24"/>
        </w:rPr>
        <w:t>Four typical anti-icing platforms in the Bohai region were selected, and based on research results on extreme static ice loads, the deformations and stresses of the JZ20-2MUQ, JZ20-2NW, JZ20-2MSW, and JZ9-3GCP platforms under extreme ice loads were analyzed. The calculated results are shown in Table 4-9.</w:t>
      </w:r>
    </w:p>
    <w:p w14:paraId="35C2C1FA">
      <w:pPr>
        <w:pStyle w:val="16"/>
        <w:spacing w:before="31" w:after="31"/>
        <w:ind w:firstLine="482"/>
        <w:jc w:val="center"/>
        <w:rPr>
          <w:b/>
          <w:bCs/>
          <w:szCs w:val="24"/>
        </w:rPr>
      </w:pPr>
      <w:r>
        <w:rPr>
          <w:b/>
          <w:bCs/>
          <w:szCs w:val="24"/>
        </w:rPr>
        <w:t>Table 4-9 Response of Platform Structure under Extreme Ice Loads</w:t>
      </w:r>
    </w:p>
    <w:p w14:paraId="17A25C4C">
      <w:pPr>
        <w:pStyle w:val="20"/>
        <w:spacing w:before="468" w:after="156"/>
      </w:pPr>
      <w:r>
        <w:rPr>
          <w:rFonts w:hint="eastAsia"/>
        </w:rPr>
        <w:t>表4-9 极值冰力作用下平台结构的响应</w:t>
      </w:r>
    </w:p>
    <w:tbl>
      <w:tblPr>
        <w:tblStyle w:val="9"/>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8"/>
        <w:gridCol w:w="1359"/>
        <w:gridCol w:w="1359"/>
        <w:gridCol w:w="1359"/>
        <w:gridCol w:w="1359"/>
      </w:tblGrid>
      <w:tr w14:paraId="275C87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8" w:type="dxa"/>
            <w:vMerge w:val="restart"/>
            <w:tcBorders>
              <w:top w:val="single" w:color="auto" w:sz="12" w:space="0"/>
              <w:bottom w:val="nil"/>
            </w:tcBorders>
            <w:vAlign w:val="center"/>
          </w:tcPr>
          <w:p w14:paraId="4ABB7C0B">
            <w:pPr>
              <w:autoSpaceDE w:val="0"/>
              <w:autoSpaceDN w:val="0"/>
              <w:adjustRightInd w:val="0"/>
              <w:spacing w:line="312" w:lineRule="auto"/>
              <w:jc w:val="center"/>
              <w:rPr>
                <w:szCs w:val="21"/>
              </w:rPr>
            </w:pPr>
            <w:r>
              <w:t>Platform</w:t>
            </w:r>
          </w:p>
        </w:tc>
        <w:tc>
          <w:tcPr>
            <w:tcW w:w="2718" w:type="dxa"/>
            <w:gridSpan w:val="2"/>
            <w:tcBorders>
              <w:top w:val="single" w:color="auto" w:sz="12" w:space="0"/>
              <w:bottom w:val="single" w:color="auto" w:sz="12" w:space="0"/>
            </w:tcBorders>
            <w:vAlign w:val="center"/>
          </w:tcPr>
          <w:p w14:paraId="159280D3">
            <w:pPr>
              <w:autoSpaceDE w:val="0"/>
              <w:autoSpaceDN w:val="0"/>
              <w:adjustRightInd w:val="0"/>
              <w:spacing w:line="312" w:lineRule="auto"/>
              <w:jc w:val="center"/>
              <w:rPr>
                <w:szCs w:val="21"/>
              </w:rPr>
            </w:pPr>
            <w:r>
              <w:t>Maximum Displacement</w:t>
            </w:r>
            <w:r>
              <w:rPr>
                <w:rFonts w:hint="eastAsia"/>
                <w:szCs w:val="21"/>
              </w:rPr>
              <w:t xml:space="preserve"> /mm</w:t>
            </w:r>
          </w:p>
        </w:tc>
        <w:tc>
          <w:tcPr>
            <w:tcW w:w="2718" w:type="dxa"/>
            <w:gridSpan w:val="2"/>
            <w:tcBorders>
              <w:top w:val="single" w:color="auto" w:sz="12" w:space="0"/>
              <w:bottom w:val="single" w:color="auto" w:sz="12" w:space="0"/>
            </w:tcBorders>
            <w:vAlign w:val="center"/>
          </w:tcPr>
          <w:p w14:paraId="3064D56D">
            <w:pPr>
              <w:autoSpaceDE w:val="0"/>
              <w:autoSpaceDN w:val="0"/>
              <w:adjustRightInd w:val="0"/>
              <w:spacing w:line="312" w:lineRule="auto"/>
              <w:jc w:val="center"/>
              <w:rPr>
                <w:szCs w:val="21"/>
              </w:rPr>
            </w:pPr>
            <w:r>
              <w:t>Maximum Nominal Stress</w:t>
            </w:r>
            <w:r>
              <w:rPr>
                <w:rFonts w:hint="eastAsia"/>
                <w:szCs w:val="21"/>
              </w:rPr>
              <w:t xml:space="preserve"> /Mpa</w:t>
            </w:r>
          </w:p>
        </w:tc>
      </w:tr>
      <w:tr w14:paraId="2F3F51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8" w:type="dxa"/>
            <w:vMerge w:val="continue"/>
            <w:tcBorders>
              <w:top w:val="nil"/>
              <w:bottom w:val="single" w:color="auto" w:sz="12" w:space="0"/>
            </w:tcBorders>
            <w:vAlign w:val="center"/>
          </w:tcPr>
          <w:p w14:paraId="23D918FA">
            <w:pPr>
              <w:autoSpaceDE w:val="0"/>
              <w:autoSpaceDN w:val="0"/>
              <w:adjustRightInd w:val="0"/>
              <w:spacing w:line="312" w:lineRule="auto"/>
              <w:jc w:val="center"/>
              <w:rPr>
                <w:szCs w:val="21"/>
              </w:rPr>
            </w:pPr>
          </w:p>
        </w:tc>
        <w:tc>
          <w:tcPr>
            <w:tcW w:w="1359" w:type="dxa"/>
            <w:tcBorders>
              <w:top w:val="single" w:color="auto" w:sz="12" w:space="0"/>
              <w:bottom w:val="single" w:color="auto" w:sz="12" w:space="0"/>
            </w:tcBorders>
            <w:vAlign w:val="center"/>
          </w:tcPr>
          <w:p w14:paraId="5A9FE72A">
            <w:pPr>
              <w:autoSpaceDE w:val="0"/>
              <w:autoSpaceDN w:val="0"/>
              <w:adjustRightInd w:val="0"/>
              <w:spacing w:line="312" w:lineRule="auto"/>
              <w:jc w:val="center"/>
              <w:rPr>
                <w:szCs w:val="21"/>
              </w:rPr>
            </w:pPr>
            <w:r>
              <w:t>Calculated Value</w:t>
            </w:r>
          </w:p>
        </w:tc>
        <w:tc>
          <w:tcPr>
            <w:tcW w:w="1359" w:type="dxa"/>
            <w:tcBorders>
              <w:top w:val="single" w:color="auto" w:sz="12" w:space="0"/>
              <w:bottom w:val="single" w:color="auto" w:sz="12" w:space="0"/>
            </w:tcBorders>
            <w:vAlign w:val="center"/>
          </w:tcPr>
          <w:p w14:paraId="437426E0">
            <w:pPr>
              <w:autoSpaceDE w:val="0"/>
              <w:autoSpaceDN w:val="0"/>
              <w:adjustRightInd w:val="0"/>
              <w:spacing w:line="312" w:lineRule="auto"/>
              <w:jc w:val="center"/>
              <w:rPr>
                <w:szCs w:val="21"/>
              </w:rPr>
            </w:pPr>
            <w:r>
              <w:t>Allowable Value</w:t>
            </w:r>
          </w:p>
        </w:tc>
        <w:tc>
          <w:tcPr>
            <w:tcW w:w="1359" w:type="dxa"/>
            <w:tcBorders>
              <w:top w:val="single" w:color="auto" w:sz="12" w:space="0"/>
              <w:bottom w:val="single" w:color="auto" w:sz="12" w:space="0"/>
            </w:tcBorders>
            <w:vAlign w:val="center"/>
          </w:tcPr>
          <w:p w14:paraId="5A043970">
            <w:pPr>
              <w:autoSpaceDE w:val="0"/>
              <w:autoSpaceDN w:val="0"/>
              <w:adjustRightInd w:val="0"/>
              <w:spacing w:line="312" w:lineRule="auto"/>
              <w:jc w:val="center"/>
              <w:rPr>
                <w:szCs w:val="21"/>
              </w:rPr>
            </w:pPr>
            <w:r>
              <w:t>Calculated Value</w:t>
            </w:r>
          </w:p>
        </w:tc>
        <w:tc>
          <w:tcPr>
            <w:tcW w:w="1359" w:type="dxa"/>
            <w:tcBorders>
              <w:top w:val="single" w:color="auto" w:sz="12" w:space="0"/>
              <w:bottom w:val="single" w:color="auto" w:sz="12" w:space="0"/>
            </w:tcBorders>
            <w:vAlign w:val="center"/>
          </w:tcPr>
          <w:p w14:paraId="6F1C6443">
            <w:pPr>
              <w:autoSpaceDE w:val="0"/>
              <w:autoSpaceDN w:val="0"/>
              <w:adjustRightInd w:val="0"/>
              <w:spacing w:line="312" w:lineRule="auto"/>
              <w:jc w:val="center"/>
              <w:rPr>
                <w:szCs w:val="21"/>
              </w:rPr>
            </w:pPr>
            <w:r>
              <w:t>Allowable Value</w:t>
            </w:r>
          </w:p>
        </w:tc>
      </w:tr>
      <w:tr w14:paraId="712EE4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8" w:type="dxa"/>
            <w:tcBorders>
              <w:top w:val="single" w:color="auto" w:sz="12" w:space="0"/>
              <w:bottom w:val="nil"/>
            </w:tcBorders>
            <w:vAlign w:val="center"/>
          </w:tcPr>
          <w:p w14:paraId="2B2F4249">
            <w:pPr>
              <w:autoSpaceDE w:val="0"/>
              <w:autoSpaceDN w:val="0"/>
              <w:adjustRightInd w:val="0"/>
              <w:spacing w:line="312" w:lineRule="auto"/>
              <w:jc w:val="center"/>
              <w:rPr>
                <w:szCs w:val="21"/>
              </w:rPr>
            </w:pPr>
            <w:r>
              <w:rPr>
                <w:rFonts w:hint="eastAsia"/>
                <w:szCs w:val="21"/>
              </w:rPr>
              <w:t>JZ20-2MUQ</w:t>
            </w:r>
          </w:p>
        </w:tc>
        <w:tc>
          <w:tcPr>
            <w:tcW w:w="1359" w:type="dxa"/>
            <w:tcBorders>
              <w:top w:val="single" w:color="auto" w:sz="12" w:space="0"/>
              <w:bottom w:val="nil"/>
            </w:tcBorders>
            <w:vAlign w:val="center"/>
          </w:tcPr>
          <w:p w14:paraId="4F0EABB5">
            <w:pPr>
              <w:autoSpaceDE w:val="0"/>
              <w:autoSpaceDN w:val="0"/>
              <w:adjustRightInd w:val="0"/>
              <w:spacing w:line="312" w:lineRule="auto"/>
              <w:jc w:val="center"/>
              <w:rPr>
                <w:szCs w:val="21"/>
              </w:rPr>
            </w:pPr>
            <w:r>
              <w:rPr>
                <w:rFonts w:hint="eastAsia"/>
                <w:szCs w:val="21"/>
              </w:rPr>
              <w:t>15</w:t>
            </w:r>
          </w:p>
        </w:tc>
        <w:tc>
          <w:tcPr>
            <w:tcW w:w="1359" w:type="dxa"/>
            <w:tcBorders>
              <w:top w:val="single" w:color="auto" w:sz="12" w:space="0"/>
              <w:bottom w:val="nil"/>
            </w:tcBorders>
            <w:vAlign w:val="center"/>
          </w:tcPr>
          <w:p w14:paraId="00DE19A5">
            <w:pPr>
              <w:autoSpaceDE w:val="0"/>
              <w:autoSpaceDN w:val="0"/>
              <w:adjustRightInd w:val="0"/>
              <w:spacing w:line="312" w:lineRule="auto"/>
              <w:jc w:val="center"/>
              <w:rPr>
                <w:szCs w:val="21"/>
              </w:rPr>
            </w:pPr>
            <w:r>
              <w:rPr>
                <w:rFonts w:hint="eastAsia"/>
                <w:szCs w:val="21"/>
              </w:rPr>
              <w:t>168</w:t>
            </w:r>
          </w:p>
        </w:tc>
        <w:tc>
          <w:tcPr>
            <w:tcW w:w="1359" w:type="dxa"/>
            <w:tcBorders>
              <w:top w:val="single" w:color="auto" w:sz="12" w:space="0"/>
              <w:bottom w:val="nil"/>
            </w:tcBorders>
            <w:vAlign w:val="center"/>
          </w:tcPr>
          <w:p w14:paraId="638A8F14">
            <w:pPr>
              <w:autoSpaceDE w:val="0"/>
              <w:autoSpaceDN w:val="0"/>
              <w:adjustRightInd w:val="0"/>
              <w:spacing w:line="312" w:lineRule="auto"/>
              <w:jc w:val="center"/>
              <w:rPr>
                <w:szCs w:val="21"/>
              </w:rPr>
            </w:pPr>
            <w:r>
              <w:rPr>
                <w:rFonts w:hint="eastAsia"/>
                <w:szCs w:val="21"/>
              </w:rPr>
              <w:t>23</w:t>
            </w:r>
          </w:p>
        </w:tc>
        <w:tc>
          <w:tcPr>
            <w:tcW w:w="1359" w:type="dxa"/>
            <w:tcBorders>
              <w:top w:val="single" w:color="auto" w:sz="12" w:space="0"/>
              <w:bottom w:val="nil"/>
            </w:tcBorders>
            <w:vAlign w:val="center"/>
          </w:tcPr>
          <w:p w14:paraId="559FDEB0">
            <w:pPr>
              <w:autoSpaceDE w:val="0"/>
              <w:autoSpaceDN w:val="0"/>
              <w:adjustRightInd w:val="0"/>
              <w:spacing w:line="312" w:lineRule="auto"/>
              <w:jc w:val="center"/>
              <w:rPr>
                <w:szCs w:val="21"/>
              </w:rPr>
            </w:pPr>
            <w:r>
              <w:rPr>
                <w:rFonts w:hint="eastAsia"/>
                <w:szCs w:val="21"/>
              </w:rPr>
              <w:t>225</w:t>
            </w:r>
          </w:p>
        </w:tc>
      </w:tr>
      <w:tr w14:paraId="40ED1F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8" w:type="dxa"/>
            <w:tcBorders>
              <w:top w:val="nil"/>
              <w:bottom w:val="nil"/>
            </w:tcBorders>
            <w:vAlign w:val="center"/>
          </w:tcPr>
          <w:p w14:paraId="2F0F1E2C">
            <w:pPr>
              <w:autoSpaceDE w:val="0"/>
              <w:autoSpaceDN w:val="0"/>
              <w:adjustRightInd w:val="0"/>
              <w:spacing w:line="312" w:lineRule="auto"/>
              <w:jc w:val="center"/>
              <w:rPr>
                <w:szCs w:val="21"/>
              </w:rPr>
            </w:pPr>
            <w:r>
              <w:rPr>
                <w:rFonts w:hint="eastAsia"/>
                <w:szCs w:val="21"/>
              </w:rPr>
              <w:t>JZ20-2MSW</w:t>
            </w:r>
          </w:p>
        </w:tc>
        <w:tc>
          <w:tcPr>
            <w:tcW w:w="1359" w:type="dxa"/>
            <w:tcBorders>
              <w:top w:val="nil"/>
              <w:bottom w:val="nil"/>
            </w:tcBorders>
            <w:vAlign w:val="center"/>
          </w:tcPr>
          <w:p w14:paraId="72054BD5">
            <w:pPr>
              <w:autoSpaceDE w:val="0"/>
              <w:autoSpaceDN w:val="0"/>
              <w:adjustRightInd w:val="0"/>
              <w:spacing w:line="312" w:lineRule="auto"/>
              <w:jc w:val="center"/>
              <w:rPr>
                <w:szCs w:val="21"/>
              </w:rPr>
            </w:pPr>
            <w:r>
              <w:rPr>
                <w:rFonts w:hint="eastAsia"/>
                <w:szCs w:val="21"/>
              </w:rPr>
              <w:t>24</w:t>
            </w:r>
          </w:p>
        </w:tc>
        <w:tc>
          <w:tcPr>
            <w:tcW w:w="1359" w:type="dxa"/>
            <w:tcBorders>
              <w:top w:val="nil"/>
              <w:bottom w:val="nil"/>
            </w:tcBorders>
            <w:vAlign w:val="center"/>
          </w:tcPr>
          <w:p w14:paraId="503B2004">
            <w:pPr>
              <w:autoSpaceDE w:val="0"/>
              <w:autoSpaceDN w:val="0"/>
              <w:adjustRightInd w:val="0"/>
              <w:spacing w:line="312" w:lineRule="auto"/>
              <w:jc w:val="center"/>
              <w:rPr>
                <w:szCs w:val="21"/>
              </w:rPr>
            </w:pPr>
            <w:r>
              <w:rPr>
                <w:rFonts w:hint="eastAsia"/>
                <w:szCs w:val="21"/>
              </w:rPr>
              <w:t>130</w:t>
            </w:r>
          </w:p>
        </w:tc>
        <w:tc>
          <w:tcPr>
            <w:tcW w:w="1359" w:type="dxa"/>
            <w:tcBorders>
              <w:top w:val="nil"/>
              <w:bottom w:val="nil"/>
            </w:tcBorders>
            <w:vAlign w:val="center"/>
          </w:tcPr>
          <w:p w14:paraId="07481A30">
            <w:pPr>
              <w:autoSpaceDE w:val="0"/>
              <w:autoSpaceDN w:val="0"/>
              <w:adjustRightInd w:val="0"/>
              <w:spacing w:line="312" w:lineRule="auto"/>
              <w:jc w:val="center"/>
              <w:rPr>
                <w:szCs w:val="21"/>
              </w:rPr>
            </w:pPr>
            <w:r>
              <w:rPr>
                <w:rFonts w:hint="eastAsia"/>
                <w:szCs w:val="21"/>
              </w:rPr>
              <w:t>61</w:t>
            </w:r>
          </w:p>
        </w:tc>
        <w:tc>
          <w:tcPr>
            <w:tcW w:w="1359" w:type="dxa"/>
            <w:tcBorders>
              <w:top w:val="nil"/>
              <w:bottom w:val="nil"/>
            </w:tcBorders>
            <w:vAlign w:val="center"/>
          </w:tcPr>
          <w:p w14:paraId="74216A04">
            <w:pPr>
              <w:autoSpaceDE w:val="0"/>
              <w:autoSpaceDN w:val="0"/>
              <w:adjustRightInd w:val="0"/>
              <w:spacing w:line="312" w:lineRule="auto"/>
              <w:jc w:val="center"/>
              <w:rPr>
                <w:szCs w:val="21"/>
              </w:rPr>
            </w:pPr>
            <w:r>
              <w:rPr>
                <w:rFonts w:hint="eastAsia"/>
                <w:szCs w:val="21"/>
              </w:rPr>
              <w:t>225</w:t>
            </w:r>
          </w:p>
        </w:tc>
      </w:tr>
      <w:tr w14:paraId="268206F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8" w:type="dxa"/>
            <w:tcBorders>
              <w:top w:val="nil"/>
              <w:bottom w:val="nil"/>
            </w:tcBorders>
            <w:vAlign w:val="center"/>
          </w:tcPr>
          <w:p w14:paraId="63E606CB">
            <w:pPr>
              <w:autoSpaceDE w:val="0"/>
              <w:autoSpaceDN w:val="0"/>
              <w:adjustRightInd w:val="0"/>
              <w:spacing w:line="312" w:lineRule="auto"/>
              <w:jc w:val="center"/>
              <w:rPr>
                <w:szCs w:val="21"/>
              </w:rPr>
            </w:pPr>
            <w:r>
              <w:rPr>
                <w:rFonts w:hint="eastAsia"/>
                <w:szCs w:val="21"/>
              </w:rPr>
              <w:t>JZ20-2NW</w:t>
            </w:r>
          </w:p>
        </w:tc>
        <w:tc>
          <w:tcPr>
            <w:tcW w:w="1359" w:type="dxa"/>
            <w:tcBorders>
              <w:top w:val="nil"/>
              <w:bottom w:val="nil"/>
            </w:tcBorders>
            <w:vAlign w:val="center"/>
          </w:tcPr>
          <w:p w14:paraId="0A9F81C0">
            <w:pPr>
              <w:autoSpaceDE w:val="0"/>
              <w:autoSpaceDN w:val="0"/>
              <w:adjustRightInd w:val="0"/>
              <w:spacing w:line="312" w:lineRule="auto"/>
              <w:jc w:val="center"/>
              <w:rPr>
                <w:szCs w:val="21"/>
              </w:rPr>
            </w:pPr>
            <w:r>
              <w:rPr>
                <w:rFonts w:hint="eastAsia"/>
                <w:szCs w:val="21"/>
              </w:rPr>
              <w:t>12</w:t>
            </w:r>
          </w:p>
        </w:tc>
        <w:tc>
          <w:tcPr>
            <w:tcW w:w="1359" w:type="dxa"/>
            <w:tcBorders>
              <w:top w:val="nil"/>
              <w:bottom w:val="nil"/>
            </w:tcBorders>
            <w:vAlign w:val="center"/>
          </w:tcPr>
          <w:p w14:paraId="24415AB9">
            <w:pPr>
              <w:autoSpaceDE w:val="0"/>
              <w:autoSpaceDN w:val="0"/>
              <w:adjustRightInd w:val="0"/>
              <w:spacing w:line="312" w:lineRule="auto"/>
              <w:jc w:val="center"/>
              <w:rPr>
                <w:szCs w:val="21"/>
              </w:rPr>
            </w:pPr>
            <w:r>
              <w:rPr>
                <w:rFonts w:hint="eastAsia"/>
                <w:szCs w:val="21"/>
              </w:rPr>
              <w:t>118</w:t>
            </w:r>
          </w:p>
        </w:tc>
        <w:tc>
          <w:tcPr>
            <w:tcW w:w="1359" w:type="dxa"/>
            <w:tcBorders>
              <w:top w:val="nil"/>
              <w:bottom w:val="nil"/>
            </w:tcBorders>
            <w:vAlign w:val="center"/>
          </w:tcPr>
          <w:p w14:paraId="7A4238FB">
            <w:pPr>
              <w:autoSpaceDE w:val="0"/>
              <w:autoSpaceDN w:val="0"/>
              <w:adjustRightInd w:val="0"/>
              <w:spacing w:line="312" w:lineRule="auto"/>
              <w:jc w:val="center"/>
              <w:rPr>
                <w:szCs w:val="21"/>
              </w:rPr>
            </w:pPr>
            <w:r>
              <w:rPr>
                <w:rFonts w:hint="eastAsia"/>
                <w:szCs w:val="21"/>
              </w:rPr>
              <w:t>32</w:t>
            </w:r>
          </w:p>
        </w:tc>
        <w:tc>
          <w:tcPr>
            <w:tcW w:w="1359" w:type="dxa"/>
            <w:tcBorders>
              <w:top w:val="nil"/>
              <w:bottom w:val="nil"/>
            </w:tcBorders>
            <w:vAlign w:val="center"/>
          </w:tcPr>
          <w:p w14:paraId="5990E3DA">
            <w:pPr>
              <w:autoSpaceDE w:val="0"/>
              <w:autoSpaceDN w:val="0"/>
              <w:adjustRightInd w:val="0"/>
              <w:spacing w:line="312" w:lineRule="auto"/>
              <w:jc w:val="center"/>
              <w:rPr>
                <w:szCs w:val="21"/>
              </w:rPr>
            </w:pPr>
            <w:r>
              <w:rPr>
                <w:rFonts w:hint="eastAsia"/>
                <w:szCs w:val="21"/>
              </w:rPr>
              <w:t>225</w:t>
            </w:r>
          </w:p>
        </w:tc>
      </w:tr>
      <w:tr w14:paraId="59CE8B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8" w:type="dxa"/>
            <w:tcBorders>
              <w:top w:val="nil"/>
              <w:bottom w:val="single" w:color="auto" w:sz="12" w:space="0"/>
            </w:tcBorders>
            <w:vAlign w:val="center"/>
          </w:tcPr>
          <w:p w14:paraId="6552640F">
            <w:pPr>
              <w:autoSpaceDE w:val="0"/>
              <w:autoSpaceDN w:val="0"/>
              <w:adjustRightInd w:val="0"/>
              <w:spacing w:line="312" w:lineRule="auto"/>
              <w:jc w:val="center"/>
              <w:rPr>
                <w:szCs w:val="21"/>
              </w:rPr>
            </w:pPr>
            <w:r>
              <w:rPr>
                <w:rFonts w:hint="eastAsia"/>
                <w:szCs w:val="21"/>
              </w:rPr>
              <w:t>JZ20-3GCP</w:t>
            </w:r>
          </w:p>
        </w:tc>
        <w:tc>
          <w:tcPr>
            <w:tcW w:w="1359" w:type="dxa"/>
            <w:tcBorders>
              <w:top w:val="nil"/>
              <w:bottom w:val="single" w:color="auto" w:sz="12" w:space="0"/>
            </w:tcBorders>
            <w:vAlign w:val="center"/>
          </w:tcPr>
          <w:p w14:paraId="24D578FB">
            <w:pPr>
              <w:autoSpaceDE w:val="0"/>
              <w:autoSpaceDN w:val="0"/>
              <w:adjustRightInd w:val="0"/>
              <w:spacing w:line="312" w:lineRule="auto"/>
              <w:jc w:val="center"/>
              <w:rPr>
                <w:szCs w:val="21"/>
              </w:rPr>
            </w:pPr>
            <w:r>
              <w:rPr>
                <w:rFonts w:hint="eastAsia"/>
                <w:szCs w:val="21"/>
              </w:rPr>
              <w:t>24</w:t>
            </w:r>
          </w:p>
        </w:tc>
        <w:tc>
          <w:tcPr>
            <w:tcW w:w="1359" w:type="dxa"/>
            <w:tcBorders>
              <w:top w:val="nil"/>
              <w:bottom w:val="single" w:color="auto" w:sz="12" w:space="0"/>
            </w:tcBorders>
            <w:vAlign w:val="center"/>
          </w:tcPr>
          <w:p w14:paraId="2C8EED62">
            <w:pPr>
              <w:autoSpaceDE w:val="0"/>
              <w:autoSpaceDN w:val="0"/>
              <w:adjustRightInd w:val="0"/>
              <w:spacing w:line="312" w:lineRule="auto"/>
              <w:jc w:val="center"/>
              <w:rPr>
                <w:szCs w:val="21"/>
              </w:rPr>
            </w:pPr>
            <w:r>
              <w:rPr>
                <w:rFonts w:hint="eastAsia"/>
                <w:szCs w:val="21"/>
              </w:rPr>
              <w:t>88</w:t>
            </w:r>
          </w:p>
        </w:tc>
        <w:tc>
          <w:tcPr>
            <w:tcW w:w="1359" w:type="dxa"/>
            <w:tcBorders>
              <w:top w:val="nil"/>
              <w:bottom w:val="single" w:color="auto" w:sz="12" w:space="0"/>
            </w:tcBorders>
            <w:vAlign w:val="center"/>
          </w:tcPr>
          <w:p w14:paraId="023584EC">
            <w:pPr>
              <w:autoSpaceDE w:val="0"/>
              <w:autoSpaceDN w:val="0"/>
              <w:adjustRightInd w:val="0"/>
              <w:spacing w:line="312" w:lineRule="auto"/>
              <w:jc w:val="center"/>
              <w:rPr>
                <w:szCs w:val="21"/>
              </w:rPr>
            </w:pPr>
            <w:r>
              <w:rPr>
                <w:rFonts w:hint="eastAsia"/>
                <w:szCs w:val="21"/>
              </w:rPr>
              <w:t>36</w:t>
            </w:r>
          </w:p>
        </w:tc>
        <w:tc>
          <w:tcPr>
            <w:tcW w:w="1359" w:type="dxa"/>
            <w:tcBorders>
              <w:top w:val="nil"/>
              <w:bottom w:val="single" w:color="auto" w:sz="12" w:space="0"/>
            </w:tcBorders>
            <w:vAlign w:val="center"/>
          </w:tcPr>
          <w:p w14:paraId="5A390DAD">
            <w:pPr>
              <w:autoSpaceDE w:val="0"/>
              <w:autoSpaceDN w:val="0"/>
              <w:adjustRightInd w:val="0"/>
              <w:spacing w:line="312" w:lineRule="auto"/>
              <w:jc w:val="center"/>
              <w:rPr>
                <w:szCs w:val="21"/>
              </w:rPr>
            </w:pPr>
            <w:r>
              <w:rPr>
                <w:rFonts w:hint="eastAsia"/>
                <w:szCs w:val="21"/>
              </w:rPr>
              <w:t>225</w:t>
            </w:r>
          </w:p>
        </w:tc>
      </w:tr>
    </w:tbl>
    <w:p w14:paraId="7CF32A15">
      <w:pPr>
        <w:pStyle w:val="16"/>
        <w:spacing w:before="31" w:after="31"/>
        <w:ind w:firstLine="482"/>
        <w:jc w:val="center"/>
        <w:rPr>
          <w:b/>
          <w:bCs/>
          <w:szCs w:val="24"/>
        </w:rPr>
      </w:pPr>
    </w:p>
    <w:p w14:paraId="0F78848E">
      <w:pPr>
        <w:pStyle w:val="16"/>
        <w:spacing w:before="31" w:after="31"/>
        <w:ind w:firstLine="480"/>
        <w:rPr>
          <w:szCs w:val="24"/>
        </w:rPr>
      </w:pPr>
      <w:r>
        <w:rPr>
          <w:szCs w:val="24"/>
        </w:rPr>
        <w:t>It can be observed that under extreme static ice loads, the maximum displacements and stresses of various typical anti-icing conductor frame platforms in the Bohai region are relatively small, indicating a significant static safety margin. Nevertheless, the safety failure of the structure under extreme static ice loads remains one of the key issues to be considered in the design of flexible anti-icing platforms.</w:t>
      </w:r>
    </w:p>
    <w:p w14:paraId="1CABCB43">
      <w:pPr>
        <w:pStyle w:val="16"/>
        <w:spacing w:before="31" w:after="31"/>
        <w:ind w:firstLine="480"/>
        <w:rPr>
          <w:szCs w:val="24"/>
        </w:rPr>
      </w:pPr>
      <w:r>
        <w:rPr>
          <w:szCs w:val="24"/>
        </w:rPr>
        <w:t>(c) Fatigue Failure of Conductor Frame Pipe Nodes under Dynamic Ice Loads</w:t>
      </w:r>
    </w:p>
    <w:p w14:paraId="05A19519">
      <w:pPr>
        <w:pStyle w:val="16"/>
        <w:spacing w:before="31" w:after="31"/>
        <w:ind w:firstLine="480"/>
        <w:rPr>
          <w:szCs w:val="24"/>
        </w:rPr>
      </w:pPr>
      <w:r>
        <w:rPr>
          <w:szCs w:val="24"/>
        </w:rPr>
        <w:t>To illustrate the possibility of fatigue failure of anti-icing conductor frame platforms in the Bohai region due to ice-induced vibrations, a quantitative analysis is needed to determine whether the hot spot stresses at the pipe nodes under conventional dynamic ice loads exceed the material's fatigue limit. The fatigue damage to platform structures is caused by the repeated action of hot spot stresses at pipe nodes. Using measured ice-induced deck vibration responses (selecting a relatively typical schedule) and finite element numerical simulation, the fatigue stresses of the conductor frame structure were analyzed, as shown in Figure 4-7.1.</w:t>
      </w:r>
    </w:p>
    <w:p w14:paraId="40D2DE8C">
      <w:pPr>
        <w:pStyle w:val="16"/>
        <w:spacing w:before="31" w:after="31"/>
        <w:ind w:firstLine="482"/>
        <w:jc w:val="center"/>
        <w:rPr>
          <w:b/>
          <w:bCs/>
          <w:szCs w:val="24"/>
        </w:rPr>
      </w:pPr>
      <w:r>
        <w:rPr>
          <w:b/>
          <w:bCs/>
          <w:szCs w:val="24"/>
        </w:rPr>
        <w:t>Figure 4-7.1 Stress calculation of conductor frame pipe nodes based on monitoring</w:t>
      </w:r>
    </w:p>
    <w:p w14:paraId="74B07560">
      <w:pPr>
        <w:pStyle w:val="16"/>
        <w:spacing w:before="31" w:after="31"/>
        <w:ind w:firstLine="480"/>
        <w:rPr>
          <w:szCs w:val="24"/>
        </w:rPr>
      </w:pPr>
      <w:r>
        <w:rPr>
          <w:szCs w:val="24"/>
        </w:rPr>
        <w:t>Referring to DNV specifications and considering the stress concentration factor of conductor frame pipe nodes, and based on the S-N curve provided by API (as shown in Figure 4-7.2), the fatigue limit stress is 41 MPa when the infinite life is set at N=10^8 cycles. It can be seen that under this condition, the dynamic stress caused by ice-induced vibration is much greater than the fatigue limit stress. In other words, ice-induced vibration has a significant impact on the fatigue life of the platform and may lead to fatigue failure of pipe nodes.</w:t>
      </w:r>
    </w:p>
    <w:p w14:paraId="3400AC41">
      <w:pPr>
        <w:pStyle w:val="16"/>
        <w:spacing w:before="31" w:after="31"/>
        <w:ind w:firstLine="482"/>
        <w:jc w:val="center"/>
        <w:rPr>
          <w:b/>
          <w:bCs/>
          <w:szCs w:val="24"/>
        </w:rPr>
      </w:pPr>
      <w:r>
        <w:rPr>
          <w:b/>
          <w:bCs/>
          <w:szCs w:val="24"/>
        </w:rPr>
        <w:t>Figure 4-7.2 S-N curve provided by API 2A</w:t>
      </w:r>
    </w:p>
    <w:p w14:paraId="18DD1A93">
      <w:pPr>
        <w:pStyle w:val="16"/>
        <w:spacing w:before="31" w:after="31"/>
        <w:ind w:firstLine="480"/>
        <w:rPr>
          <w:szCs w:val="24"/>
        </w:rPr>
      </w:pPr>
      <w:r>
        <w:rPr>
          <w:szCs w:val="24"/>
        </w:rPr>
        <w:t>(d) Failure caused by Acceleration Response of Platform Deck under Dynamic Ice Loads</w:t>
      </w:r>
    </w:p>
    <w:p w14:paraId="75512E86">
      <w:pPr>
        <w:pStyle w:val="16"/>
        <w:spacing w:before="31" w:after="31"/>
        <w:ind w:firstLine="480"/>
        <w:rPr>
          <w:szCs w:val="24"/>
        </w:rPr>
      </w:pPr>
      <w:r>
        <w:rPr>
          <w:szCs w:val="24"/>
        </w:rPr>
        <w:t>Monitoring has revealed that when sea ice acts on the platform, it can induce significant acceleration responses on the platform, as shown in Figure 4.7.3. Especially for platforms producing natural gas, the upper part is equipped with a complex network of natural gas pipelines. Under long-term ice-induced vibrations, these pipelines may lead to accidents such as fractures and loosening of flanges, posing potential hazards of gas leakage. At the same time, the continuous intense vibration of the platform deck has a significant impact on the life and health of workers. The vibration phenomenon of the upper facilities and workers on the ice-resistant platform is similar to the vibration problem caused by seismic loads. The interaction of ice with the structure induces vibrations in the platform deck, and the acceleration response of the deck imposes inertial forces on the upper structural foundation. Unlike seismic excitation, ice-induced platform vibration lasts for a relatively long time and is a narrow-band random process.</w:t>
      </w:r>
    </w:p>
    <w:p w14:paraId="3B9F0021">
      <w:pPr>
        <w:pStyle w:val="16"/>
        <w:spacing w:before="31" w:after="31"/>
        <w:ind w:firstLine="482"/>
        <w:jc w:val="center"/>
        <w:rPr>
          <w:b/>
          <w:bCs/>
          <w:szCs w:val="24"/>
        </w:rPr>
      </w:pPr>
      <w:r>
        <w:rPr>
          <w:b/>
          <w:bCs/>
          <w:szCs w:val="24"/>
        </w:rPr>
        <w:t>Figure 4.7.3 Maximum daily vibration values of the ice-resistant platform in the winter of 2006/2007</w:t>
      </w:r>
    </w:p>
    <w:p w14:paraId="5DD4C874">
      <w:pPr>
        <w:pStyle w:val="16"/>
        <w:spacing w:before="31" w:after="31"/>
        <w:ind w:firstLine="480"/>
        <w:rPr>
          <w:szCs w:val="24"/>
        </w:rPr>
      </w:pPr>
      <w:r>
        <w:rPr>
          <w:szCs w:val="24"/>
        </w:rPr>
        <w:t>In the winter of 2000, the vent line on the upper part of the JZ20-2MSW platform broke due to severe ice-induced vibrations, causing violent shaking. A single flow valve flange connected to the vent line became loose, resulting in a gas leak. At the accident scene, the local structure diagram of the vent line at the time of the accident is shown in Figure 4-7.4, and the cross-section of the fractured vent line is shown in Figure 4-7.5. At this time, the vibration of the platform is as shown in Figure 4-7.6, belonging to typical steady-state vibration.</w:t>
      </w:r>
    </w:p>
    <w:p w14:paraId="08391BE8">
      <w:pPr>
        <w:pStyle w:val="16"/>
        <w:spacing w:before="31" w:after="31"/>
        <w:ind w:firstLine="482"/>
        <w:jc w:val="center"/>
        <w:rPr>
          <w:szCs w:val="24"/>
        </w:rPr>
      </w:pPr>
      <w:r>
        <w:rPr>
          <w:b/>
          <w:bCs/>
          <w:szCs w:val="24"/>
        </w:rPr>
        <w:t xml:space="preserve">Figure 4-7.4 Local structure of the vent line </w:t>
      </w:r>
      <w:r>
        <w:rPr>
          <w:szCs w:val="24"/>
        </w:rPr>
        <w:t xml:space="preserve">                 </w:t>
      </w:r>
    </w:p>
    <w:p w14:paraId="712F7D3F">
      <w:pPr>
        <w:pStyle w:val="16"/>
        <w:spacing w:before="31" w:after="31"/>
        <w:ind w:firstLine="482"/>
        <w:jc w:val="center"/>
        <w:rPr>
          <w:b/>
          <w:bCs/>
          <w:szCs w:val="24"/>
        </w:rPr>
      </w:pPr>
      <w:r>
        <w:rPr>
          <w:b/>
          <w:bCs/>
          <w:szCs w:val="24"/>
        </w:rPr>
        <w:t>Figure 4-7.5 Fracture shape of the vent line</w:t>
      </w:r>
    </w:p>
    <w:p w14:paraId="45E4BD9E">
      <w:pPr>
        <w:pStyle w:val="16"/>
        <w:spacing w:before="31" w:after="31"/>
        <w:ind w:firstLine="482"/>
        <w:jc w:val="center"/>
        <w:rPr>
          <w:b/>
          <w:bCs/>
          <w:szCs w:val="24"/>
        </w:rPr>
      </w:pPr>
      <w:r>
        <w:rPr>
          <w:b/>
          <w:bCs/>
          <w:szCs w:val="24"/>
        </w:rPr>
        <w:t>Figure 4-7.6 Vibration of the platform when the pipeline is broken</w:t>
      </w:r>
    </w:p>
    <w:p w14:paraId="21F1B32D">
      <w:pPr>
        <w:pStyle w:val="16"/>
        <w:spacing w:before="31" w:after="31"/>
        <w:ind w:firstLine="480"/>
        <w:rPr>
          <w:szCs w:val="24"/>
        </w:rPr>
      </w:pPr>
      <w:r>
        <w:rPr>
          <w:szCs w:val="24"/>
        </w:rPr>
        <w:t>Through observation of the local structure of the vent line, it can be seen that the fixation form of the vent line belongs to a cantilever beam structure. Its fixation is connected to the platform deck, and ice-induced vibrations cause horizontal vibrations of the platform deck, equivalent to seismic loads applied at the fixed support of the vent line, leading to bending vibrations of the vent line, which can easily induce a whip effect. Through the analysis of the vent line fracture V1, it can be concluded that the fracture of the vent line exhibits clear characteristics of fatigue fracture, indicating significant fatigue damage under bending loads. To further verify the impact of ice-induced vibrations on the upper facilities of the platform, especially the flange connections of the pipelines, a platform flange torque wrench was designed, as shown in Figure 4-7.8. By statistically analyzing the loosening of flanges during the platform's spring maintenance, it was found that 47% of the bolts in systems using graphite-wrapped gaskets (most of the measurement systems) were loose after the system was completely depressurized, with a minimum remaining preload force of 50 n·m. Basic physical phenomena (as shown in Figure 4-7.9) also indicate that only bolts subjected to lateral inertial forces will experience nut loosening. To further illustrate this issue, a vibration-induced flange loosening test was designed. As a component unit of the pipeline system, the flange is subjected to lateral loads, and a "four-point bending" test (the test device is shown in Figure 4-7.10) was used to simulate the loosening problem of the flange system under vibration. Here, a small section of the pipeline flange system was used, and the actuator (controlled amplitude and frequency) was used to generate bending stresses at the flange, making the vibration loads on the flange connection bolts consistent with the actual situation. This ensured the rationality of the indoor test, and the test results are shown in Figure 4-7.11.</w:t>
      </w:r>
    </w:p>
    <w:p w14:paraId="4CBDCF6C">
      <w:pPr>
        <w:pStyle w:val="16"/>
        <w:spacing w:before="31" w:after="31"/>
        <w:ind w:firstLine="482"/>
        <w:jc w:val="center"/>
        <w:rPr>
          <w:b/>
          <w:bCs/>
          <w:szCs w:val="24"/>
        </w:rPr>
      </w:pPr>
      <w:r>
        <w:rPr>
          <w:b/>
          <w:bCs/>
          <w:szCs w:val="24"/>
        </w:rPr>
        <w:t>Figure 4-7.8 Flange torque wrench</w:t>
      </w:r>
    </w:p>
    <w:p w14:paraId="7D83D38E">
      <w:pPr>
        <w:pStyle w:val="16"/>
        <w:spacing w:before="31" w:after="31"/>
        <w:ind w:firstLine="482"/>
        <w:jc w:val="center"/>
        <w:rPr>
          <w:b/>
          <w:bCs/>
          <w:szCs w:val="24"/>
        </w:rPr>
      </w:pPr>
      <w:r>
        <w:rPr>
          <w:b/>
          <w:bCs/>
          <w:szCs w:val="24"/>
        </w:rPr>
        <w:t>Figure 4-7.9 Physical model of flange connection bolt loosening</w:t>
      </w:r>
    </w:p>
    <w:p w14:paraId="625AA8AD">
      <w:pPr>
        <w:pStyle w:val="16"/>
        <w:spacing w:before="31" w:after="31"/>
        <w:ind w:firstLine="482"/>
        <w:jc w:val="center"/>
        <w:rPr>
          <w:b/>
          <w:bCs/>
          <w:szCs w:val="24"/>
        </w:rPr>
      </w:pPr>
      <w:r>
        <w:rPr>
          <w:b/>
          <w:bCs/>
          <w:szCs w:val="24"/>
        </w:rPr>
        <w:t>Figure 4-7.10 Flange loosening test</w:t>
      </w:r>
    </w:p>
    <w:p w14:paraId="4557F4EF">
      <w:pPr>
        <w:pStyle w:val="16"/>
        <w:spacing w:before="31" w:after="31"/>
        <w:ind w:firstLine="482"/>
        <w:jc w:val="center"/>
        <w:rPr>
          <w:b/>
          <w:bCs/>
          <w:szCs w:val="24"/>
        </w:rPr>
      </w:pPr>
      <w:r>
        <w:rPr>
          <w:b/>
          <w:bCs/>
          <w:szCs w:val="24"/>
        </w:rPr>
        <w:t>Figure 4-7.11 Test results</w:t>
      </w:r>
    </w:p>
    <w:p w14:paraId="5A5C4286">
      <w:pPr>
        <w:pStyle w:val="16"/>
        <w:spacing w:before="31" w:after="31"/>
        <w:ind w:firstLine="0" w:firstLineChars="0"/>
        <w:rPr>
          <w:szCs w:val="24"/>
        </w:rPr>
      </w:pPr>
      <w:r>
        <w:rPr>
          <w:szCs w:val="24"/>
        </w:rPr>
        <w:t>(7) Impact and Harm Caused</w:t>
      </w:r>
    </w:p>
    <w:p w14:paraId="2070F662">
      <w:pPr>
        <w:pStyle w:val="16"/>
        <w:spacing w:before="31" w:after="31"/>
        <w:ind w:firstLine="480"/>
        <w:rPr>
          <w:szCs w:val="24"/>
        </w:rPr>
      </w:pPr>
      <w:r>
        <w:rPr>
          <w:szCs w:val="24"/>
        </w:rPr>
        <w:t>Through mechanical analysis of the failed pipelines, statistics on flange loosening failures, and vibration-induced flange connection system loosening tests, it can be seen that intense deck acceleration responses under ice-induced vibrations accelerate the fatigue of pipelines and flanges on the upper platform, leading to potential hazards of pipeline fractures and loose flanges.</w:t>
      </w:r>
    </w:p>
    <w:p w14:paraId="6F42D412">
      <w:pPr>
        <w:pStyle w:val="16"/>
        <w:spacing w:before="31" w:after="31"/>
        <w:ind w:firstLine="480"/>
        <w:rPr>
          <w:szCs w:val="24"/>
        </w:rPr>
      </w:pPr>
      <w:r>
        <w:rPr>
          <w:szCs w:val="24"/>
        </w:rPr>
        <w:t>For workers who work and live in a vibrating environment for an extended period, physiological and psychological discomfort may occur. This vibration, when severe, can lead to physical harm to workers. Numerous studies have shown that the impact of vibration on the human body depends mainly on four factors: acceleration amplitude, frequency of vibration, duration of vibration, and direction of vibration. Based on these factors, three limits for evaluating the impact of vibration on the human body have been established: comfort reduction limit, efficiency reduction limit, and exposure limit. According to national standards for the evaluation of whole-body vibration exposure of the human body (GB/T 13442-92), the critical values of acceleration at various stages perceived by the human body under horizontal vibration at frequencies below 2 Hz for different exposure times are given in Table 4-10.</w:t>
      </w:r>
    </w:p>
    <w:p w14:paraId="31721E84">
      <w:pPr>
        <w:pStyle w:val="16"/>
        <w:spacing w:before="31" w:after="31"/>
        <w:ind w:firstLine="482"/>
        <w:jc w:val="center"/>
        <w:rPr>
          <w:b/>
          <w:bCs/>
          <w:szCs w:val="24"/>
        </w:rPr>
      </w:pPr>
      <w:r>
        <w:rPr>
          <w:b/>
          <w:bCs/>
          <w:szCs w:val="24"/>
        </w:rPr>
        <w:t>Table 4-10 Critical Values of Acceleration Perceived by the Human Body under</w:t>
      </w:r>
    </w:p>
    <w:tbl>
      <w:tblPr>
        <w:tblStyle w:val="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15"/>
        <w:gridCol w:w="815"/>
        <w:gridCol w:w="815"/>
        <w:gridCol w:w="815"/>
        <w:gridCol w:w="815"/>
        <w:gridCol w:w="815"/>
        <w:gridCol w:w="815"/>
        <w:gridCol w:w="816"/>
        <w:gridCol w:w="816"/>
        <w:gridCol w:w="816"/>
      </w:tblGrid>
      <w:tr w14:paraId="5218FA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15" w:type="dxa"/>
            <w:vMerge w:val="restart"/>
            <w:vAlign w:val="center"/>
          </w:tcPr>
          <w:p w14:paraId="05249BBF">
            <w:pPr>
              <w:autoSpaceDE w:val="0"/>
              <w:autoSpaceDN w:val="0"/>
              <w:adjustRightInd w:val="0"/>
              <w:spacing w:line="312" w:lineRule="auto"/>
              <w:jc w:val="center"/>
              <w:rPr>
                <w:szCs w:val="21"/>
              </w:rPr>
            </w:pPr>
            <w:r>
              <w:t>Item</w:t>
            </w:r>
          </w:p>
        </w:tc>
        <w:tc>
          <w:tcPr>
            <w:tcW w:w="7338" w:type="dxa"/>
            <w:gridSpan w:val="9"/>
            <w:tcBorders>
              <w:top w:val="single" w:color="auto" w:sz="12" w:space="0"/>
              <w:bottom w:val="single" w:color="auto" w:sz="12" w:space="0"/>
            </w:tcBorders>
            <w:vAlign w:val="center"/>
          </w:tcPr>
          <w:p w14:paraId="6877AC46">
            <w:pPr>
              <w:autoSpaceDE w:val="0"/>
              <w:autoSpaceDN w:val="0"/>
              <w:adjustRightInd w:val="0"/>
              <w:spacing w:line="312" w:lineRule="auto"/>
              <w:jc w:val="center"/>
              <w:rPr>
                <w:szCs w:val="21"/>
              </w:rPr>
            </w:pPr>
            <w:r>
              <w:t>Time</w:t>
            </w:r>
          </w:p>
        </w:tc>
      </w:tr>
      <w:tr w14:paraId="54D4A5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15" w:type="dxa"/>
            <w:vMerge w:val="continue"/>
            <w:tcBorders>
              <w:bottom w:val="single" w:color="auto" w:sz="12" w:space="0"/>
            </w:tcBorders>
            <w:vAlign w:val="center"/>
          </w:tcPr>
          <w:p w14:paraId="23614B33">
            <w:pPr>
              <w:autoSpaceDE w:val="0"/>
              <w:autoSpaceDN w:val="0"/>
              <w:adjustRightInd w:val="0"/>
              <w:spacing w:line="312" w:lineRule="auto"/>
              <w:jc w:val="center"/>
              <w:rPr>
                <w:szCs w:val="21"/>
              </w:rPr>
            </w:pPr>
          </w:p>
        </w:tc>
        <w:tc>
          <w:tcPr>
            <w:tcW w:w="815" w:type="dxa"/>
            <w:tcBorders>
              <w:top w:val="single" w:color="auto" w:sz="12" w:space="0"/>
              <w:bottom w:val="single" w:color="auto" w:sz="12" w:space="0"/>
            </w:tcBorders>
            <w:vAlign w:val="center"/>
          </w:tcPr>
          <w:p w14:paraId="668E9919">
            <w:pPr>
              <w:autoSpaceDE w:val="0"/>
              <w:autoSpaceDN w:val="0"/>
              <w:adjustRightInd w:val="0"/>
              <w:spacing w:line="312" w:lineRule="auto"/>
              <w:jc w:val="center"/>
              <w:rPr>
                <w:szCs w:val="21"/>
              </w:rPr>
            </w:pPr>
            <w:r>
              <w:rPr>
                <w:szCs w:val="21"/>
              </w:rPr>
              <w:t>24h</w:t>
            </w:r>
          </w:p>
        </w:tc>
        <w:tc>
          <w:tcPr>
            <w:tcW w:w="815" w:type="dxa"/>
            <w:tcBorders>
              <w:top w:val="single" w:color="auto" w:sz="12" w:space="0"/>
              <w:bottom w:val="single" w:color="auto" w:sz="12" w:space="0"/>
            </w:tcBorders>
            <w:vAlign w:val="center"/>
          </w:tcPr>
          <w:p w14:paraId="07944F6B">
            <w:pPr>
              <w:autoSpaceDE w:val="0"/>
              <w:autoSpaceDN w:val="0"/>
              <w:adjustRightInd w:val="0"/>
              <w:spacing w:line="312" w:lineRule="auto"/>
              <w:jc w:val="center"/>
              <w:rPr>
                <w:szCs w:val="21"/>
              </w:rPr>
            </w:pPr>
            <w:r>
              <w:rPr>
                <w:szCs w:val="21"/>
              </w:rPr>
              <w:t>16h</w:t>
            </w:r>
          </w:p>
        </w:tc>
        <w:tc>
          <w:tcPr>
            <w:tcW w:w="815" w:type="dxa"/>
            <w:tcBorders>
              <w:top w:val="single" w:color="auto" w:sz="12" w:space="0"/>
              <w:bottom w:val="single" w:color="auto" w:sz="12" w:space="0"/>
            </w:tcBorders>
            <w:vAlign w:val="center"/>
          </w:tcPr>
          <w:p w14:paraId="5FB76E99">
            <w:pPr>
              <w:autoSpaceDE w:val="0"/>
              <w:autoSpaceDN w:val="0"/>
              <w:adjustRightInd w:val="0"/>
              <w:spacing w:line="312" w:lineRule="auto"/>
              <w:jc w:val="center"/>
              <w:rPr>
                <w:szCs w:val="21"/>
              </w:rPr>
            </w:pPr>
            <w:r>
              <w:rPr>
                <w:szCs w:val="21"/>
              </w:rPr>
              <w:t>8h</w:t>
            </w:r>
          </w:p>
        </w:tc>
        <w:tc>
          <w:tcPr>
            <w:tcW w:w="815" w:type="dxa"/>
            <w:tcBorders>
              <w:top w:val="single" w:color="auto" w:sz="12" w:space="0"/>
              <w:bottom w:val="single" w:color="auto" w:sz="12" w:space="0"/>
            </w:tcBorders>
            <w:vAlign w:val="center"/>
          </w:tcPr>
          <w:p w14:paraId="1B1ABC4D">
            <w:pPr>
              <w:autoSpaceDE w:val="0"/>
              <w:autoSpaceDN w:val="0"/>
              <w:adjustRightInd w:val="0"/>
              <w:spacing w:line="312" w:lineRule="auto"/>
              <w:jc w:val="center"/>
              <w:rPr>
                <w:szCs w:val="21"/>
              </w:rPr>
            </w:pPr>
            <w:r>
              <w:rPr>
                <w:szCs w:val="21"/>
              </w:rPr>
              <w:t>4h</w:t>
            </w:r>
          </w:p>
        </w:tc>
        <w:tc>
          <w:tcPr>
            <w:tcW w:w="815" w:type="dxa"/>
            <w:tcBorders>
              <w:top w:val="single" w:color="auto" w:sz="12" w:space="0"/>
              <w:bottom w:val="single" w:color="auto" w:sz="12" w:space="0"/>
            </w:tcBorders>
            <w:vAlign w:val="center"/>
          </w:tcPr>
          <w:p w14:paraId="6BB68BD8">
            <w:pPr>
              <w:autoSpaceDE w:val="0"/>
              <w:autoSpaceDN w:val="0"/>
              <w:adjustRightInd w:val="0"/>
              <w:spacing w:line="312" w:lineRule="auto"/>
              <w:jc w:val="center"/>
              <w:rPr>
                <w:szCs w:val="21"/>
              </w:rPr>
            </w:pPr>
            <w:r>
              <w:rPr>
                <w:szCs w:val="21"/>
              </w:rPr>
              <w:t>2.5h</w:t>
            </w:r>
          </w:p>
        </w:tc>
        <w:tc>
          <w:tcPr>
            <w:tcW w:w="815" w:type="dxa"/>
            <w:tcBorders>
              <w:top w:val="single" w:color="auto" w:sz="12" w:space="0"/>
              <w:bottom w:val="single" w:color="auto" w:sz="12" w:space="0"/>
            </w:tcBorders>
            <w:vAlign w:val="center"/>
          </w:tcPr>
          <w:p w14:paraId="551FCE4F">
            <w:pPr>
              <w:autoSpaceDE w:val="0"/>
              <w:autoSpaceDN w:val="0"/>
              <w:adjustRightInd w:val="0"/>
              <w:spacing w:line="312" w:lineRule="auto"/>
              <w:jc w:val="center"/>
              <w:rPr>
                <w:szCs w:val="21"/>
              </w:rPr>
            </w:pPr>
            <w:r>
              <w:rPr>
                <w:szCs w:val="21"/>
              </w:rPr>
              <w:t>1h</w:t>
            </w:r>
          </w:p>
        </w:tc>
        <w:tc>
          <w:tcPr>
            <w:tcW w:w="816" w:type="dxa"/>
            <w:tcBorders>
              <w:top w:val="single" w:color="auto" w:sz="12" w:space="0"/>
              <w:bottom w:val="single" w:color="auto" w:sz="12" w:space="0"/>
            </w:tcBorders>
            <w:vAlign w:val="center"/>
          </w:tcPr>
          <w:p w14:paraId="403A9BD1">
            <w:pPr>
              <w:autoSpaceDE w:val="0"/>
              <w:autoSpaceDN w:val="0"/>
              <w:adjustRightInd w:val="0"/>
              <w:spacing w:line="312" w:lineRule="auto"/>
              <w:jc w:val="center"/>
              <w:rPr>
                <w:szCs w:val="21"/>
              </w:rPr>
            </w:pPr>
            <w:r>
              <w:rPr>
                <w:szCs w:val="21"/>
              </w:rPr>
              <w:t>25min</w:t>
            </w:r>
          </w:p>
        </w:tc>
        <w:tc>
          <w:tcPr>
            <w:tcW w:w="816" w:type="dxa"/>
            <w:tcBorders>
              <w:top w:val="single" w:color="auto" w:sz="12" w:space="0"/>
              <w:bottom w:val="single" w:color="auto" w:sz="12" w:space="0"/>
            </w:tcBorders>
            <w:vAlign w:val="center"/>
          </w:tcPr>
          <w:p w14:paraId="23788914">
            <w:pPr>
              <w:autoSpaceDE w:val="0"/>
              <w:autoSpaceDN w:val="0"/>
              <w:adjustRightInd w:val="0"/>
              <w:spacing w:line="312" w:lineRule="auto"/>
              <w:jc w:val="center"/>
              <w:rPr>
                <w:szCs w:val="21"/>
              </w:rPr>
            </w:pPr>
            <w:r>
              <w:rPr>
                <w:szCs w:val="21"/>
              </w:rPr>
              <w:t>16min</w:t>
            </w:r>
          </w:p>
        </w:tc>
        <w:tc>
          <w:tcPr>
            <w:tcW w:w="816" w:type="dxa"/>
            <w:tcBorders>
              <w:top w:val="single" w:color="auto" w:sz="12" w:space="0"/>
              <w:bottom w:val="single" w:color="auto" w:sz="12" w:space="0"/>
            </w:tcBorders>
            <w:vAlign w:val="center"/>
          </w:tcPr>
          <w:p w14:paraId="622F8A2C">
            <w:pPr>
              <w:autoSpaceDE w:val="0"/>
              <w:autoSpaceDN w:val="0"/>
              <w:adjustRightInd w:val="0"/>
              <w:spacing w:line="312" w:lineRule="auto"/>
              <w:jc w:val="center"/>
              <w:rPr>
                <w:szCs w:val="21"/>
              </w:rPr>
            </w:pPr>
            <w:r>
              <w:rPr>
                <w:szCs w:val="21"/>
              </w:rPr>
              <w:t>1min</w:t>
            </w:r>
          </w:p>
        </w:tc>
      </w:tr>
      <w:tr w14:paraId="76663F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15" w:type="dxa"/>
            <w:tcBorders>
              <w:top w:val="single" w:color="auto" w:sz="12" w:space="0"/>
              <w:bottom w:val="nil"/>
            </w:tcBorders>
            <w:vAlign w:val="center"/>
          </w:tcPr>
          <w:p w14:paraId="7CEC9827">
            <w:pPr>
              <w:autoSpaceDE w:val="0"/>
              <w:autoSpaceDN w:val="0"/>
              <w:adjustRightInd w:val="0"/>
              <w:spacing w:line="312" w:lineRule="auto"/>
              <w:jc w:val="center"/>
              <w:rPr>
                <w:szCs w:val="21"/>
              </w:rPr>
            </w:pPr>
            <w:r>
              <w:rPr>
                <w:szCs w:val="21"/>
              </w:rPr>
              <w:t>I</w:t>
            </w:r>
          </w:p>
        </w:tc>
        <w:tc>
          <w:tcPr>
            <w:tcW w:w="815" w:type="dxa"/>
            <w:tcBorders>
              <w:top w:val="single" w:color="auto" w:sz="12" w:space="0"/>
              <w:bottom w:val="nil"/>
            </w:tcBorders>
            <w:vAlign w:val="center"/>
          </w:tcPr>
          <w:p w14:paraId="1B961432">
            <w:pPr>
              <w:autoSpaceDE w:val="0"/>
              <w:autoSpaceDN w:val="0"/>
              <w:adjustRightInd w:val="0"/>
              <w:spacing w:line="312" w:lineRule="auto"/>
              <w:jc w:val="center"/>
              <w:rPr>
                <w:szCs w:val="21"/>
              </w:rPr>
            </w:pPr>
            <w:r>
              <w:rPr>
                <w:rFonts w:hint="eastAsia"/>
                <w:szCs w:val="21"/>
              </w:rPr>
              <w:t>0.030</w:t>
            </w:r>
          </w:p>
        </w:tc>
        <w:tc>
          <w:tcPr>
            <w:tcW w:w="815" w:type="dxa"/>
            <w:tcBorders>
              <w:top w:val="single" w:color="auto" w:sz="12" w:space="0"/>
              <w:bottom w:val="nil"/>
            </w:tcBorders>
            <w:vAlign w:val="center"/>
          </w:tcPr>
          <w:p w14:paraId="679177BC">
            <w:pPr>
              <w:autoSpaceDE w:val="0"/>
              <w:autoSpaceDN w:val="0"/>
              <w:adjustRightInd w:val="0"/>
              <w:spacing w:line="312" w:lineRule="auto"/>
              <w:jc w:val="center"/>
              <w:rPr>
                <w:szCs w:val="21"/>
              </w:rPr>
            </w:pPr>
            <w:r>
              <w:rPr>
                <w:rFonts w:hint="eastAsia"/>
                <w:szCs w:val="21"/>
              </w:rPr>
              <w:t>0.050</w:t>
            </w:r>
          </w:p>
        </w:tc>
        <w:tc>
          <w:tcPr>
            <w:tcW w:w="815" w:type="dxa"/>
            <w:tcBorders>
              <w:top w:val="single" w:color="auto" w:sz="12" w:space="0"/>
              <w:bottom w:val="nil"/>
            </w:tcBorders>
            <w:vAlign w:val="center"/>
          </w:tcPr>
          <w:p w14:paraId="52AB62A1">
            <w:pPr>
              <w:autoSpaceDE w:val="0"/>
              <w:autoSpaceDN w:val="0"/>
              <w:adjustRightInd w:val="0"/>
              <w:spacing w:line="312" w:lineRule="auto"/>
              <w:jc w:val="center"/>
              <w:rPr>
                <w:szCs w:val="21"/>
              </w:rPr>
            </w:pPr>
            <w:r>
              <w:rPr>
                <w:rFonts w:hint="eastAsia"/>
                <w:szCs w:val="21"/>
              </w:rPr>
              <w:t>0.070</w:t>
            </w:r>
          </w:p>
        </w:tc>
        <w:tc>
          <w:tcPr>
            <w:tcW w:w="815" w:type="dxa"/>
            <w:tcBorders>
              <w:top w:val="single" w:color="auto" w:sz="12" w:space="0"/>
              <w:bottom w:val="nil"/>
            </w:tcBorders>
            <w:vAlign w:val="center"/>
          </w:tcPr>
          <w:p w14:paraId="13F39395">
            <w:pPr>
              <w:autoSpaceDE w:val="0"/>
              <w:autoSpaceDN w:val="0"/>
              <w:adjustRightInd w:val="0"/>
              <w:spacing w:line="312" w:lineRule="auto"/>
              <w:jc w:val="center"/>
              <w:rPr>
                <w:szCs w:val="21"/>
              </w:rPr>
            </w:pPr>
            <w:r>
              <w:rPr>
                <w:rFonts w:hint="eastAsia"/>
                <w:szCs w:val="21"/>
              </w:rPr>
              <w:t>0.110</w:t>
            </w:r>
          </w:p>
        </w:tc>
        <w:tc>
          <w:tcPr>
            <w:tcW w:w="815" w:type="dxa"/>
            <w:tcBorders>
              <w:top w:val="single" w:color="auto" w:sz="12" w:space="0"/>
              <w:bottom w:val="nil"/>
            </w:tcBorders>
            <w:vAlign w:val="center"/>
          </w:tcPr>
          <w:p w14:paraId="02716D7C">
            <w:pPr>
              <w:autoSpaceDE w:val="0"/>
              <w:autoSpaceDN w:val="0"/>
              <w:adjustRightInd w:val="0"/>
              <w:spacing w:line="312" w:lineRule="auto"/>
              <w:jc w:val="center"/>
              <w:rPr>
                <w:szCs w:val="21"/>
              </w:rPr>
            </w:pPr>
            <w:r>
              <w:rPr>
                <w:rFonts w:hint="eastAsia"/>
                <w:szCs w:val="21"/>
              </w:rPr>
              <w:t>0.160</w:t>
            </w:r>
          </w:p>
        </w:tc>
        <w:tc>
          <w:tcPr>
            <w:tcW w:w="815" w:type="dxa"/>
            <w:tcBorders>
              <w:top w:val="single" w:color="auto" w:sz="12" w:space="0"/>
              <w:bottom w:val="nil"/>
            </w:tcBorders>
            <w:vAlign w:val="center"/>
          </w:tcPr>
          <w:p w14:paraId="5481E3EB">
            <w:pPr>
              <w:autoSpaceDE w:val="0"/>
              <w:autoSpaceDN w:val="0"/>
              <w:adjustRightInd w:val="0"/>
              <w:spacing w:line="312" w:lineRule="auto"/>
              <w:jc w:val="center"/>
              <w:rPr>
                <w:szCs w:val="21"/>
              </w:rPr>
            </w:pPr>
            <w:r>
              <w:rPr>
                <w:rFonts w:hint="eastAsia"/>
                <w:szCs w:val="21"/>
              </w:rPr>
              <w:t>0.270</w:t>
            </w:r>
          </w:p>
        </w:tc>
        <w:tc>
          <w:tcPr>
            <w:tcW w:w="816" w:type="dxa"/>
            <w:tcBorders>
              <w:top w:val="single" w:color="auto" w:sz="12" w:space="0"/>
              <w:bottom w:val="nil"/>
            </w:tcBorders>
            <w:vAlign w:val="center"/>
          </w:tcPr>
          <w:p w14:paraId="16119F38">
            <w:pPr>
              <w:autoSpaceDE w:val="0"/>
              <w:autoSpaceDN w:val="0"/>
              <w:adjustRightInd w:val="0"/>
              <w:spacing w:line="312" w:lineRule="auto"/>
              <w:jc w:val="center"/>
              <w:rPr>
                <w:szCs w:val="21"/>
              </w:rPr>
            </w:pPr>
            <w:r>
              <w:rPr>
                <w:rFonts w:hint="eastAsia"/>
                <w:szCs w:val="21"/>
              </w:rPr>
              <w:t>0.400</w:t>
            </w:r>
          </w:p>
        </w:tc>
        <w:tc>
          <w:tcPr>
            <w:tcW w:w="816" w:type="dxa"/>
            <w:tcBorders>
              <w:top w:val="single" w:color="auto" w:sz="12" w:space="0"/>
              <w:bottom w:val="nil"/>
            </w:tcBorders>
            <w:vAlign w:val="center"/>
          </w:tcPr>
          <w:p w14:paraId="3D15E097">
            <w:pPr>
              <w:autoSpaceDE w:val="0"/>
              <w:autoSpaceDN w:val="0"/>
              <w:adjustRightInd w:val="0"/>
              <w:spacing w:line="312" w:lineRule="auto"/>
              <w:jc w:val="center"/>
              <w:rPr>
                <w:szCs w:val="21"/>
              </w:rPr>
            </w:pPr>
            <w:r>
              <w:rPr>
                <w:rFonts w:hint="eastAsia"/>
                <w:szCs w:val="21"/>
              </w:rPr>
              <w:t>0.480</w:t>
            </w:r>
          </w:p>
        </w:tc>
        <w:tc>
          <w:tcPr>
            <w:tcW w:w="816" w:type="dxa"/>
            <w:tcBorders>
              <w:top w:val="single" w:color="auto" w:sz="12" w:space="0"/>
              <w:bottom w:val="nil"/>
            </w:tcBorders>
            <w:vAlign w:val="center"/>
          </w:tcPr>
          <w:p w14:paraId="0B55D202">
            <w:pPr>
              <w:autoSpaceDE w:val="0"/>
              <w:autoSpaceDN w:val="0"/>
              <w:adjustRightInd w:val="0"/>
              <w:spacing w:line="312" w:lineRule="auto"/>
              <w:jc w:val="center"/>
              <w:rPr>
                <w:szCs w:val="21"/>
              </w:rPr>
            </w:pPr>
            <w:r>
              <w:rPr>
                <w:rFonts w:hint="eastAsia"/>
                <w:szCs w:val="21"/>
              </w:rPr>
              <w:t>0.630</w:t>
            </w:r>
          </w:p>
        </w:tc>
      </w:tr>
      <w:tr w14:paraId="29AC66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15" w:type="dxa"/>
            <w:tcBorders>
              <w:top w:val="nil"/>
            </w:tcBorders>
            <w:vAlign w:val="center"/>
          </w:tcPr>
          <w:p w14:paraId="4B98B150">
            <w:pPr>
              <w:autoSpaceDE w:val="0"/>
              <w:autoSpaceDN w:val="0"/>
              <w:adjustRightInd w:val="0"/>
              <w:spacing w:line="312" w:lineRule="auto"/>
              <w:jc w:val="center"/>
              <w:rPr>
                <w:szCs w:val="21"/>
              </w:rPr>
            </w:pPr>
            <w:r>
              <w:rPr>
                <w:szCs w:val="21"/>
              </w:rPr>
              <w:t>II</w:t>
            </w:r>
          </w:p>
        </w:tc>
        <w:tc>
          <w:tcPr>
            <w:tcW w:w="815" w:type="dxa"/>
            <w:tcBorders>
              <w:top w:val="nil"/>
            </w:tcBorders>
            <w:vAlign w:val="center"/>
          </w:tcPr>
          <w:p w14:paraId="3BD739A2">
            <w:pPr>
              <w:autoSpaceDE w:val="0"/>
              <w:autoSpaceDN w:val="0"/>
              <w:adjustRightInd w:val="0"/>
              <w:spacing w:line="312" w:lineRule="auto"/>
              <w:jc w:val="center"/>
              <w:rPr>
                <w:szCs w:val="21"/>
              </w:rPr>
            </w:pPr>
            <w:r>
              <w:rPr>
                <w:rFonts w:hint="eastAsia"/>
                <w:szCs w:val="21"/>
              </w:rPr>
              <w:t>0.095</w:t>
            </w:r>
          </w:p>
        </w:tc>
        <w:tc>
          <w:tcPr>
            <w:tcW w:w="815" w:type="dxa"/>
            <w:tcBorders>
              <w:top w:val="nil"/>
            </w:tcBorders>
            <w:vAlign w:val="center"/>
          </w:tcPr>
          <w:p w14:paraId="4ACAC116">
            <w:pPr>
              <w:autoSpaceDE w:val="0"/>
              <w:autoSpaceDN w:val="0"/>
              <w:adjustRightInd w:val="0"/>
              <w:spacing w:line="312" w:lineRule="auto"/>
              <w:jc w:val="center"/>
              <w:rPr>
                <w:szCs w:val="21"/>
              </w:rPr>
            </w:pPr>
            <w:r>
              <w:rPr>
                <w:rFonts w:hint="eastAsia"/>
                <w:szCs w:val="21"/>
              </w:rPr>
              <w:t>0.158</w:t>
            </w:r>
          </w:p>
        </w:tc>
        <w:tc>
          <w:tcPr>
            <w:tcW w:w="815" w:type="dxa"/>
            <w:tcBorders>
              <w:top w:val="nil"/>
            </w:tcBorders>
            <w:vAlign w:val="center"/>
          </w:tcPr>
          <w:p w14:paraId="5F5E3C89">
            <w:pPr>
              <w:autoSpaceDE w:val="0"/>
              <w:autoSpaceDN w:val="0"/>
              <w:adjustRightInd w:val="0"/>
              <w:spacing w:line="312" w:lineRule="auto"/>
              <w:jc w:val="center"/>
              <w:rPr>
                <w:szCs w:val="21"/>
              </w:rPr>
            </w:pPr>
            <w:r>
              <w:rPr>
                <w:rFonts w:hint="eastAsia"/>
                <w:szCs w:val="21"/>
              </w:rPr>
              <w:t>0.221</w:t>
            </w:r>
          </w:p>
        </w:tc>
        <w:tc>
          <w:tcPr>
            <w:tcW w:w="815" w:type="dxa"/>
            <w:tcBorders>
              <w:top w:val="nil"/>
            </w:tcBorders>
            <w:vAlign w:val="center"/>
          </w:tcPr>
          <w:p w14:paraId="3D4541EA">
            <w:pPr>
              <w:autoSpaceDE w:val="0"/>
              <w:autoSpaceDN w:val="0"/>
              <w:adjustRightInd w:val="0"/>
              <w:spacing w:line="312" w:lineRule="auto"/>
              <w:jc w:val="center"/>
              <w:rPr>
                <w:szCs w:val="21"/>
              </w:rPr>
            </w:pPr>
            <w:r>
              <w:rPr>
                <w:rFonts w:hint="eastAsia"/>
                <w:szCs w:val="21"/>
              </w:rPr>
              <w:t>0.347</w:t>
            </w:r>
          </w:p>
        </w:tc>
        <w:tc>
          <w:tcPr>
            <w:tcW w:w="815" w:type="dxa"/>
            <w:tcBorders>
              <w:top w:val="nil"/>
            </w:tcBorders>
            <w:vAlign w:val="center"/>
          </w:tcPr>
          <w:p w14:paraId="24FE884C">
            <w:pPr>
              <w:autoSpaceDE w:val="0"/>
              <w:autoSpaceDN w:val="0"/>
              <w:adjustRightInd w:val="0"/>
              <w:spacing w:line="312" w:lineRule="auto"/>
              <w:jc w:val="center"/>
              <w:rPr>
                <w:szCs w:val="21"/>
              </w:rPr>
            </w:pPr>
            <w:r>
              <w:rPr>
                <w:rFonts w:hint="eastAsia"/>
                <w:szCs w:val="21"/>
              </w:rPr>
              <w:t>0.504</w:t>
            </w:r>
          </w:p>
        </w:tc>
        <w:tc>
          <w:tcPr>
            <w:tcW w:w="815" w:type="dxa"/>
            <w:tcBorders>
              <w:top w:val="nil"/>
            </w:tcBorders>
            <w:vAlign w:val="center"/>
          </w:tcPr>
          <w:p w14:paraId="53BFA0BA">
            <w:pPr>
              <w:autoSpaceDE w:val="0"/>
              <w:autoSpaceDN w:val="0"/>
              <w:adjustRightInd w:val="0"/>
              <w:spacing w:line="312" w:lineRule="auto"/>
              <w:jc w:val="center"/>
              <w:rPr>
                <w:szCs w:val="21"/>
              </w:rPr>
            </w:pPr>
            <w:r>
              <w:rPr>
                <w:rFonts w:hint="eastAsia"/>
                <w:szCs w:val="21"/>
              </w:rPr>
              <w:t>0.851</w:t>
            </w:r>
          </w:p>
        </w:tc>
        <w:tc>
          <w:tcPr>
            <w:tcW w:w="816" w:type="dxa"/>
            <w:tcBorders>
              <w:top w:val="nil"/>
            </w:tcBorders>
            <w:vAlign w:val="center"/>
          </w:tcPr>
          <w:p w14:paraId="7985E698">
            <w:pPr>
              <w:autoSpaceDE w:val="0"/>
              <w:autoSpaceDN w:val="0"/>
              <w:adjustRightInd w:val="0"/>
              <w:spacing w:line="312" w:lineRule="auto"/>
              <w:jc w:val="center"/>
              <w:rPr>
                <w:szCs w:val="21"/>
              </w:rPr>
            </w:pPr>
            <w:r>
              <w:rPr>
                <w:rFonts w:hint="eastAsia"/>
                <w:szCs w:val="21"/>
              </w:rPr>
              <w:t>1.260</w:t>
            </w:r>
          </w:p>
        </w:tc>
        <w:tc>
          <w:tcPr>
            <w:tcW w:w="816" w:type="dxa"/>
            <w:tcBorders>
              <w:top w:val="nil"/>
            </w:tcBorders>
            <w:vAlign w:val="center"/>
          </w:tcPr>
          <w:p w14:paraId="20EC4C0F">
            <w:pPr>
              <w:autoSpaceDE w:val="0"/>
              <w:autoSpaceDN w:val="0"/>
              <w:adjustRightInd w:val="0"/>
              <w:spacing w:line="312" w:lineRule="auto"/>
              <w:jc w:val="center"/>
              <w:rPr>
                <w:szCs w:val="21"/>
              </w:rPr>
            </w:pPr>
            <w:r>
              <w:rPr>
                <w:rFonts w:hint="eastAsia"/>
                <w:szCs w:val="21"/>
              </w:rPr>
              <w:t>1.512</w:t>
            </w:r>
          </w:p>
        </w:tc>
        <w:tc>
          <w:tcPr>
            <w:tcW w:w="816" w:type="dxa"/>
            <w:tcBorders>
              <w:top w:val="nil"/>
            </w:tcBorders>
            <w:vAlign w:val="center"/>
          </w:tcPr>
          <w:p w14:paraId="242E9239">
            <w:pPr>
              <w:autoSpaceDE w:val="0"/>
              <w:autoSpaceDN w:val="0"/>
              <w:adjustRightInd w:val="0"/>
              <w:spacing w:line="312" w:lineRule="auto"/>
              <w:jc w:val="center"/>
              <w:rPr>
                <w:szCs w:val="21"/>
              </w:rPr>
            </w:pPr>
            <w:r>
              <w:rPr>
                <w:rFonts w:hint="eastAsia"/>
                <w:szCs w:val="21"/>
              </w:rPr>
              <w:t>1.985</w:t>
            </w:r>
          </w:p>
        </w:tc>
      </w:tr>
      <w:tr w14:paraId="62E467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15" w:type="dxa"/>
            <w:vAlign w:val="center"/>
          </w:tcPr>
          <w:p w14:paraId="55D4F125">
            <w:pPr>
              <w:autoSpaceDE w:val="0"/>
              <w:autoSpaceDN w:val="0"/>
              <w:adjustRightInd w:val="0"/>
              <w:spacing w:line="312" w:lineRule="auto"/>
              <w:jc w:val="center"/>
              <w:rPr>
                <w:szCs w:val="21"/>
              </w:rPr>
            </w:pPr>
            <w:r>
              <w:rPr>
                <w:szCs w:val="21"/>
              </w:rPr>
              <w:t>III</w:t>
            </w:r>
          </w:p>
        </w:tc>
        <w:tc>
          <w:tcPr>
            <w:tcW w:w="815" w:type="dxa"/>
            <w:vAlign w:val="center"/>
          </w:tcPr>
          <w:p w14:paraId="6533F726">
            <w:pPr>
              <w:autoSpaceDE w:val="0"/>
              <w:autoSpaceDN w:val="0"/>
              <w:adjustRightInd w:val="0"/>
              <w:spacing w:line="312" w:lineRule="auto"/>
              <w:jc w:val="center"/>
              <w:rPr>
                <w:szCs w:val="21"/>
              </w:rPr>
            </w:pPr>
            <w:r>
              <w:rPr>
                <w:rFonts w:hint="eastAsia"/>
                <w:szCs w:val="21"/>
              </w:rPr>
              <w:t>0.190</w:t>
            </w:r>
          </w:p>
        </w:tc>
        <w:tc>
          <w:tcPr>
            <w:tcW w:w="815" w:type="dxa"/>
            <w:vAlign w:val="center"/>
          </w:tcPr>
          <w:p w14:paraId="159D5D6D">
            <w:pPr>
              <w:autoSpaceDE w:val="0"/>
              <w:autoSpaceDN w:val="0"/>
              <w:adjustRightInd w:val="0"/>
              <w:spacing w:line="312" w:lineRule="auto"/>
              <w:jc w:val="center"/>
              <w:rPr>
                <w:szCs w:val="21"/>
              </w:rPr>
            </w:pPr>
            <w:r>
              <w:rPr>
                <w:rFonts w:hint="eastAsia"/>
                <w:szCs w:val="21"/>
              </w:rPr>
              <w:t>0.316</w:t>
            </w:r>
          </w:p>
        </w:tc>
        <w:tc>
          <w:tcPr>
            <w:tcW w:w="815" w:type="dxa"/>
            <w:vAlign w:val="center"/>
          </w:tcPr>
          <w:p w14:paraId="5115D24C">
            <w:pPr>
              <w:autoSpaceDE w:val="0"/>
              <w:autoSpaceDN w:val="0"/>
              <w:adjustRightInd w:val="0"/>
              <w:spacing w:line="312" w:lineRule="auto"/>
              <w:jc w:val="center"/>
              <w:rPr>
                <w:szCs w:val="21"/>
              </w:rPr>
            </w:pPr>
            <w:r>
              <w:rPr>
                <w:rFonts w:hint="eastAsia"/>
                <w:szCs w:val="21"/>
              </w:rPr>
              <w:t>0.442</w:t>
            </w:r>
          </w:p>
        </w:tc>
        <w:tc>
          <w:tcPr>
            <w:tcW w:w="815" w:type="dxa"/>
            <w:vAlign w:val="center"/>
          </w:tcPr>
          <w:p w14:paraId="4D319430">
            <w:pPr>
              <w:autoSpaceDE w:val="0"/>
              <w:autoSpaceDN w:val="0"/>
              <w:adjustRightInd w:val="0"/>
              <w:spacing w:line="312" w:lineRule="auto"/>
              <w:jc w:val="center"/>
              <w:rPr>
                <w:szCs w:val="21"/>
              </w:rPr>
            </w:pPr>
            <w:r>
              <w:rPr>
                <w:rFonts w:hint="eastAsia"/>
                <w:szCs w:val="21"/>
              </w:rPr>
              <w:t>0.694</w:t>
            </w:r>
          </w:p>
        </w:tc>
        <w:tc>
          <w:tcPr>
            <w:tcW w:w="815" w:type="dxa"/>
            <w:vAlign w:val="center"/>
          </w:tcPr>
          <w:p w14:paraId="020EC278">
            <w:pPr>
              <w:autoSpaceDE w:val="0"/>
              <w:autoSpaceDN w:val="0"/>
              <w:adjustRightInd w:val="0"/>
              <w:spacing w:line="312" w:lineRule="auto"/>
              <w:jc w:val="center"/>
              <w:rPr>
                <w:szCs w:val="21"/>
              </w:rPr>
            </w:pPr>
            <w:r>
              <w:rPr>
                <w:rFonts w:hint="eastAsia"/>
                <w:szCs w:val="21"/>
              </w:rPr>
              <w:t>1.008</w:t>
            </w:r>
          </w:p>
        </w:tc>
        <w:tc>
          <w:tcPr>
            <w:tcW w:w="815" w:type="dxa"/>
            <w:vAlign w:val="center"/>
          </w:tcPr>
          <w:p w14:paraId="0B471E95">
            <w:pPr>
              <w:autoSpaceDE w:val="0"/>
              <w:autoSpaceDN w:val="0"/>
              <w:adjustRightInd w:val="0"/>
              <w:spacing w:line="312" w:lineRule="auto"/>
              <w:jc w:val="center"/>
              <w:rPr>
                <w:szCs w:val="21"/>
              </w:rPr>
            </w:pPr>
            <w:r>
              <w:rPr>
                <w:rFonts w:hint="eastAsia"/>
                <w:szCs w:val="21"/>
              </w:rPr>
              <w:t>1.702</w:t>
            </w:r>
          </w:p>
        </w:tc>
        <w:tc>
          <w:tcPr>
            <w:tcW w:w="816" w:type="dxa"/>
            <w:vAlign w:val="center"/>
          </w:tcPr>
          <w:p w14:paraId="426CFB52">
            <w:pPr>
              <w:autoSpaceDE w:val="0"/>
              <w:autoSpaceDN w:val="0"/>
              <w:adjustRightInd w:val="0"/>
              <w:spacing w:line="312" w:lineRule="auto"/>
              <w:jc w:val="center"/>
              <w:rPr>
                <w:szCs w:val="21"/>
              </w:rPr>
            </w:pPr>
            <w:r>
              <w:rPr>
                <w:rFonts w:hint="eastAsia"/>
                <w:szCs w:val="21"/>
              </w:rPr>
              <w:t>2.520</w:t>
            </w:r>
          </w:p>
        </w:tc>
        <w:tc>
          <w:tcPr>
            <w:tcW w:w="816" w:type="dxa"/>
            <w:vAlign w:val="center"/>
          </w:tcPr>
          <w:p w14:paraId="69F2444E">
            <w:pPr>
              <w:autoSpaceDE w:val="0"/>
              <w:autoSpaceDN w:val="0"/>
              <w:adjustRightInd w:val="0"/>
              <w:spacing w:line="312" w:lineRule="auto"/>
              <w:jc w:val="center"/>
              <w:rPr>
                <w:szCs w:val="21"/>
              </w:rPr>
            </w:pPr>
            <w:r>
              <w:rPr>
                <w:rFonts w:hint="eastAsia"/>
                <w:szCs w:val="21"/>
              </w:rPr>
              <w:t>3.024</w:t>
            </w:r>
          </w:p>
        </w:tc>
        <w:tc>
          <w:tcPr>
            <w:tcW w:w="816" w:type="dxa"/>
            <w:vAlign w:val="center"/>
          </w:tcPr>
          <w:p w14:paraId="0E3358DA">
            <w:pPr>
              <w:autoSpaceDE w:val="0"/>
              <w:autoSpaceDN w:val="0"/>
              <w:adjustRightInd w:val="0"/>
              <w:spacing w:line="312" w:lineRule="auto"/>
              <w:jc w:val="center"/>
              <w:rPr>
                <w:szCs w:val="21"/>
              </w:rPr>
            </w:pPr>
            <w:r>
              <w:rPr>
                <w:rFonts w:hint="eastAsia"/>
                <w:szCs w:val="21"/>
              </w:rPr>
              <w:t>3.970</w:t>
            </w:r>
          </w:p>
        </w:tc>
      </w:tr>
    </w:tbl>
    <w:p w14:paraId="417D75FF">
      <w:pPr>
        <w:pStyle w:val="16"/>
        <w:spacing w:before="31" w:after="31"/>
        <w:ind w:firstLine="0" w:firstLineChars="0"/>
        <w:rPr>
          <w:szCs w:val="24"/>
        </w:rPr>
      </w:pPr>
    </w:p>
    <w:p w14:paraId="46A3B3D8">
      <w:pPr>
        <w:pStyle w:val="16"/>
        <w:spacing w:before="31" w:after="31"/>
        <w:ind w:firstLine="480"/>
        <w:rPr>
          <w:szCs w:val="24"/>
        </w:rPr>
      </w:pPr>
      <w:r>
        <w:rPr>
          <w:szCs w:val="24"/>
        </w:rPr>
        <w:t>Note: I represents the comfort limit, II represents the efficiency reduction limit, and III represents the exposure limit. The relationship between numerical values is II is 3.15 times I, and III is 2 times II.</w:t>
      </w:r>
    </w:p>
    <w:p w14:paraId="11373D96">
      <w:pPr>
        <w:pStyle w:val="16"/>
        <w:spacing w:before="31" w:after="31"/>
        <w:ind w:firstLine="480"/>
        <w:rPr>
          <w:szCs w:val="24"/>
        </w:rPr>
      </w:pPr>
      <w:r>
        <w:rPr>
          <w:szCs w:val="24"/>
        </w:rPr>
        <w:t>Monitoring shows that the platform vibrates mainly in the horizontal direction under ice-induced actions, and the platform vibration response is mainly concentrated at the structural fundamental frequency. What workers mainly feel should be the acceleration of the structural fundamental frequency. For flexible conductor frame platforms in the Bohai Sea, their fundamental frequency is generally around 1 Hz. Based on the above analysis, as long as the vibration acceleration amplitude and duration are clear, the impact of ice-induced vibrations on the workers on the platform can be evaluated in combination with the standards. According to the winter monitoring data of JZ20-2MUQ and MSW anti-icing platforms, the average equivalent exposure times are 4.1 hours and 4.33 hours, and the average equivalent exposure accelerations are 0.29 m/s2 and 0.37 m/s2, respectively.</w:t>
      </w:r>
    </w:p>
    <w:p w14:paraId="0290116C">
      <w:pPr>
        <w:pStyle w:val="16"/>
        <w:spacing w:before="31" w:after="31"/>
        <w:ind w:firstLine="480"/>
        <w:rPr>
          <w:szCs w:val="24"/>
        </w:rPr>
      </w:pPr>
      <w:r>
        <w:rPr>
          <w:szCs w:val="24"/>
        </w:rPr>
        <w:t>From the results of data processing and comparison with national standards, the following conclusions can be drawn: under normal ice vibration conditions, for the JZ20-MUQ platform, the equivalent vibration duration of 4 hours exceeds the comfort limit for personnel, while the equivalent exposure acceleration value for the JZ20-2MSW platform has already exceeded the efficiency reduction limit. It can be seen that during ice vibration periods, workers on the anti-icing platform may experience discomfort due to ice-induced vibrations, and it may even reduce the efficiency of personnel.</w:t>
      </w:r>
    </w:p>
    <w:p w14:paraId="6BF8FB7A">
      <w:pPr>
        <w:pStyle w:val="16"/>
        <w:spacing w:before="31" w:after="31"/>
        <w:ind w:firstLine="0" w:firstLineChars="0"/>
        <w:rPr>
          <w:szCs w:val="24"/>
        </w:rPr>
      </w:pPr>
      <w:r>
        <w:rPr>
          <w:szCs w:val="24"/>
        </w:rPr>
        <w:t>(8) Conclusion and Improvement Measures</w:t>
      </w:r>
    </w:p>
    <w:p w14:paraId="49D46DB6">
      <w:pPr>
        <w:pStyle w:val="16"/>
        <w:spacing w:before="31" w:after="31"/>
        <w:ind w:firstLine="480"/>
        <w:rPr>
          <w:szCs w:val="24"/>
        </w:rPr>
      </w:pPr>
      <w:r>
        <w:rPr>
          <w:szCs w:val="24"/>
        </w:rPr>
        <w:t>Based on the above analysis, the main failure modes of ice-resistant offshore platforms can be summarized into three types:</w:t>
      </w:r>
    </w:p>
    <w:p w14:paraId="0A4B7B94">
      <w:pPr>
        <w:pStyle w:val="16"/>
        <w:spacing w:before="31" w:after="31"/>
        <w:ind w:firstLine="480"/>
        <w:rPr>
          <w:szCs w:val="24"/>
        </w:rPr>
      </w:pPr>
      <w:r>
        <w:rPr>
          <w:szCs w:val="24"/>
        </w:rPr>
        <w:t>Structural failure mode, including overall structural failure under extreme ice loads, such as maximum deformation or strength exceeding the limit value under extreme static ice loads, leading to structural failure; fatigue failure of conductor frame structure under conventional dynamic ice loads.</w:t>
      </w:r>
    </w:p>
    <w:p w14:paraId="0CD09D22">
      <w:pPr>
        <w:pStyle w:val="16"/>
        <w:spacing w:before="31" w:after="31"/>
        <w:ind w:firstLine="480"/>
        <w:rPr>
          <w:szCs w:val="24"/>
        </w:rPr>
      </w:pPr>
      <w:r>
        <w:rPr>
          <w:szCs w:val="24"/>
        </w:rPr>
        <w:t>Personnel perception failure mode, mainly the discomfort felt by workers due to platform deck vibration under dynamic ice loads, affecting work efficiency and even damaging human health.</w:t>
      </w:r>
    </w:p>
    <w:p w14:paraId="3A28D5F4">
      <w:pPr>
        <w:pStyle w:val="16"/>
        <w:spacing w:before="31" w:after="31"/>
        <w:ind w:firstLine="480"/>
        <w:rPr>
          <w:szCs w:val="24"/>
        </w:rPr>
      </w:pPr>
      <w:r>
        <w:rPr>
          <w:szCs w:val="24"/>
        </w:rPr>
        <w:t>Upper facility failure mode, where intense and sustained vibrations of the platform under dynamic ice loads cause pipeline fractures and flange loosening, affecting the normal performance of facilities.</w:t>
      </w:r>
    </w:p>
    <w:p w14:paraId="4BA4B8BF">
      <w:pPr>
        <w:pStyle w:val="16"/>
        <w:spacing w:before="31" w:after="31"/>
        <w:ind w:firstLine="480"/>
        <w:rPr>
          <w:szCs w:val="24"/>
        </w:rPr>
      </w:pPr>
      <w:r>
        <w:rPr>
          <w:szCs w:val="24"/>
        </w:rPr>
        <w:t>Various failure modes and discrimination indicators are summarized in Table 4-11.</w:t>
      </w:r>
    </w:p>
    <w:p w14:paraId="2743F97F">
      <w:pPr>
        <w:pStyle w:val="16"/>
        <w:spacing w:before="31" w:after="31"/>
        <w:ind w:firstLine="482"/>
        <w:jc w:val="center"/>
        <w:rPr>
          <w:b/>
          <w:bCs/>
          <w:szCs w:val="24"/>
        </w:rPr>
      </w:pPr>
      <w:r>
        <w:rPr>
          <w:b/>
          <w:bCs/>
          <w:szCs w:val="24"/>
        </w:rPr>
        <w:t>Table 4-11 Discrimination Indicators for Various Failure Modes of Ice Zone Offshore Platforms</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6"/>
        <w:gridCol w:w="4051"/>
        <w:gridCol w:w="2718"/>
      </w:tblGrid>
      <w:tr w14:paraId="1253FB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tcBorders>
              <w:top w:val="single" w:color="auto" w:sz="12" w:space="0"/>
              <w:bottom w:val="single" w:color="auto" w:sz="12" w:space="0"/>
            </w:tcBorders>
            <w:vAlign w:val="center"/>
          </w:tcPr>
          <w:p w14:paraId="75C755C6">
            <w:pPr>
              <w:autoSpaceDE w:val="0"/>
              <w:autoSpaceDN w:val="0"/>
              <w:adjustRightInd w:val="0"/>
              <w:spacing w:line="360" w:lineRule="auto"/>
              <w:jc w:val="center"/>
              <w:rPr>
                <w:szCs w:val="21"/>
              </w:rPr>
            </w:pPr>
            <w:r>
              <w:t>Failure Type</w:t>
            </w:r>
          </w:p>
        </w:tc>
        <w:tc>
          <w:tcPr>
            <w:tcW w:w="4051" w:type="dxa"/>
            <w:tcBorders>
              <w:top w:val="single" w:color="auto" w:sz="12" w:space="0"/>
              <w:bottom w:val="single" w:color="auto" w:sz="12" w:space="0"/>
            </w:tcBorders>
            <w:vAlign w:val="center"/>
          </w:tcPr>
          <w:p w14:paraId="7B32888F">
            <w:pPr>
              <w:autoSpaceDE w:val="0"/>
              <w:autoSpaceDN w:val="0"/>
              <w:adjustRightInd w:val="0"/>
              <w:spacing w:line="360" w:lineRule="auto"/>
              <w:jc w:val="center"/>
              <w:rPr>
                <w:szCs w:val="21"/>
              </w:rPr>
            </w:pPr>
            <w:r>
              <w:t>Functional Description</w:t>
            </w:r>
          </w:p>
        </w:tc>
        <w:tc>
          <w:tcPr>
            <w:tcW w:w="2718" w:type="dxa"/>
            <w:tcBorders>
              <w:top w:val="single" w:color="auto" w:sz="12" w:space="0"/>
              <w:bottom w:val="single" w:color="auto" w:sz="12" w:space="0"/>
            </w:tcBorders>
            <w:vAlign w:val="center"/>
          </w:tcPr>
          <w:p w14:paraId="5CADCB10">
            <w:pPr>
              <w:autoSpaceDE w:val="0"/>
              <w:autoSpaceDN w:val="0"/>
              <w:adjustRightInd w:val="0"/>
              <w:spacing w:line="360" w:lineRule="auto"/>
              <w:jc w:val="center"/>
              <w:rPr>
                <w:szCs w:val="21"/>
              </w:rPr>
            </w:pPr>
            <w:r>
              <w:t>Failure Discrimination Indicator</w:t>
            </w:r>
          </w:p>
        </w:tc>
      </w:tr>
      <w:tr w14:paraId="749404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tcBorders>
              <w:top w:val="single" w:color="auto" w:sz="12" w:space="0"/>
            </w:tcBorders>
            <w:vAlign w:val="center"/>
          </w:tcPr>
          <w:p w14:paraId="3AD3248C">
            <w:pPr>
              <w:autoSpaceDE w:val="0"/>
              <w:autoSpaceDN w:val="0"/>
              <w:adjustRightInd w:val="0"/>
              <w:spacing w:line="360" w:lineRule="auto"/>
              <w:jc w:val="center"/>
              <w:rPr>
                <w:szCs w:val="21"/>
              </w:rPr>
            </w:pPr>
            <w:r>
              <w:t>Structural Failure</w:t>
            </w:r>
          </w:p>
        </w:tc>
        <w:tc>
          <w:tcPr>
            <w:tcW w:w="4051" w:type="dxa"/>
            <w:tcBorders>
              <w:top w:val="single" w:color="auto" w:sz="12" w:space="0"/>
            </w:tcBorders>
            <w:vAlign w:val="center"/>
          </w:tcPr>
          <w:p w14:paraId="512DEE3E">
            <w:pPr>
              <w:autoSpaceDE w:val="0"/>
              <w:autoSpaceDN w:val="0"/>
              <w:adjustRightInd w:val="0"/>
              <w:spacing w:line="360" w:lineRule="auto"/>
              <w:jc w:val="center"/>
              <w:rPr>
                <w:szCs w:val="21"/>
              </w:rPr>
            </w:pPr>
            <w:r>
              <w:t>Overall structural failure under extreme ice loads</w:t>
            </w:r>
          </w:p>
        </w:tc>
        <w:tc>
          <w:tcPr>
            <w:tcW w:w="2718" w:type="dxa"/>
            <w:tcBorders>
              <w:top w:val="single" w:color="auto" w:sz="12" w:space="0"/>
            </w:tcBorders>
            <w:vAlign w:val="center"/>
          </w:tcPr>
          <w:p w14:paraId="6A19A320">
            <w:pPr>
              <w:autoSpaceDE w:val="0"/>
              <w:autoSpaceDN w:val="0"/>
              <w:adjustRightInd w:val="0"/>
              <w:spacing w:line="360" w:lineRule="auto"/>
              <w:jc w:val="center"/>
              <w:rPr>
                <w:szCs w:val="21"/>
              </w:rPr>
            </w:pPr>
            <w:r>
              <w:t>Structural stress or equivalent</w:t>
            </w:r>
          </w:p>
        </w:tc>
      </w:tr>
      <w:tr w14:paraId="5FEE70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vAlign w:val="center"/>
          </w:tcPr>
          <w:p w14:paraId="6D76CE19">
            <w:pPr>
              <w:autoSpaceDE w:val="0"/>
              <w:autoSpaceDN w:val="0"/>
              <w:adjustRightInd w:val="0"/>
              <w:spacing w:line="360" w:lineRule="auto"/>
              <w:rPr>
                <w:szCs w:val="21"/>
              </w:rPr>
            </w:pPr>
          </w:p>
        </w:tc>
        <w:tc>
          <w:tcPr>
            <w:tcW w:w="4051" w:type="dxa"/>
          </w:tcPr>
          <w:p w14:paraId="01CD8F4B">
            <w:pPr>
              <w:autoSpaceDE w:val="0"/>
              <w:autoSpaceDN w:val="0"/>
              <w:adjustRightInd w:val="0"/>
              <w:spacing w:line="360" w:lineRule="auto"/>
              <w:jc w:val="center"/>
              <w:rPr>
                <w:szCs w:val="21"/>
              </w:rPr>
            </w:pPr>
            <w:r>
              <w:t>deformation under conventional dynamic ice loads, conductor frame pipe node strain stress</w:t>
            </w:r>
          </w:p>
        </w:tc>
        <w:tc>
          <w:tcPr>
            <w:tcW w:w="2718" w:type="dxa"/>
          </w:tcPr>
          <w:p w14:paraId="45FEED9D">
            <w:pPr>
              <w:autoSpaceDE w:val="0"/>
              <w:autoSpaceDN w:val="0"/>
              <w:adjustRightInd w:val="0"/>
              <w:spacing w:line="360" w:lineRule="auto"/>
              <w:jc w:val="center"/>
              <w:rPr>
                <w:szCs w:val="21"/>
              </w:rPr>
            </w:pPr>
            <w:r>
              <w:t>deformation under conventional dynamic ice loads, conductor frame pipe node strain stress</w:t>
            </w:r>
          </w:p>
        </w:tc>
      </w:tr>
      <w:tr w14:paraId="638D51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vAlign w:val="center"/>
          </w:tcPr>
          <w:p w14:paraId="596A9EB2">
            <w:pPr>
              <w:autoSpaceDE w:val="0"/>
              <w:autoSpaceDN w:val="0"/>
              <w:adjustRightInd w:val="0"/>
              <w:spacing w:line="360" w:lineRule="auto"/>
              <w:jc w:val="center"/>
              <w:rPr>
                <w:szCs w:val="21"/>
              </w:rPr>
            </w:pPr>
            <w:r>
              <w:t>Non-Structural Failure</w:t>
            </w:r>
          </w:p>
        </w:tc>
        <w:tc>
          <w:tcPr>
            <w:tcW w:w="4051" w:type="dxa"/>
            <w:vAlign w:val="center"/>
          </w:tcPr>
          <w:p w14:paraId="6A570946">
            <w:pPr>
              <w:autoSpaceDE w:val="0"/>
              <w:autoSpaceDN w:val="0"/>
              <w:adjustRightInd w:val="0"/>
              <w:spacing w:line="360" w:lineRule="auto"/>
              <w:jc w:val="center"/>
              <w:rPr>
                <w:szCs w:val="21"/>
              </w:rPr>
            </w:pPr>
            <w:r>
              <w:t>Impact of platform deck vibration on workers under dynamic ice loads</w:t>
            </w:r>
          </w:p>
        </w:tc>
        <w:tc>
          <w:tcPr>
            <w:tcW w:w="2718" w:type="dxa"/>
            <w:vAlign w:val="center"/>
          </w:tcPr>
          <w:p w14:paraId="2FC4B68D">
            <w:pPr>
              <w:pStyle w:val="16"/>
              <w:spacing w:before="31" w:after="31"/>
              <w:ind w:firstLine="480"/>
              <w:rPr>
                <w:szCs w:val="24"/>
              </w:rPr>
            </w:pPr>
            <w:r>
              <w:rPr>
                <w:szCs w:val="24"/>
              </w:rPr>
              <w:t>Deck vibration acceleration effective value, vibration direction, frequency, equivalent duration</w:t>
            </w:r>
          </w:p>
          <w:p w14:paraId="280BB0E0">
            <w:pPr>
              <w:autoSpaceDE w:val="0"/>
              <w:autoSpaceDN w:val="0"/>
              <w:adjustRightInd w:val="0"/>
              <w:spacing w:line="360" w:lineRule="auto"/>
              <w:jc w:val="center"/>
              <w:rPr>
                <w:szCs w:val="21"/>
              </w:rPr>
            </w:pPr>
          </w:p>
        </w:tc>
      </w:tr>
      <w:tr w14:paraId="789E2C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vAlign w:val="center"/>
          </w:tcPr>
          <w:p w14:paraId="3F6FEFFB">
            <w:pPr>
              <w:autoSpaceDE w:val="0"/>
              <w:autoSpaceDN w:val="0"/>
              <w:adjustRightInd w:val="0"/>
              <w:spacing w:line="360" w:lineRule="auto"/>
              <w:jc w:val="center"/>
              <w:rPr>
                <w:szCs w:val="21"/>
              </w:rPr>
            </w:pPr>
          </w:p>
        </w:tc>
        <w:tc>
          <w:tcPr>
            <w:tcW w:w="4051" w:type="dxa"/>
            <w:vAlign w:val="center"/>
          </w:tcPr>
          <w:p w14:paraId="445658B5">
            <w:pPr>
              <w:autoSpaceDE w:val="0"/>
              <w:autoSpaceDN w:val="0"/>
              <w:adjustRightInd w:val="0"/>
              <w:spacing w:line="360" w:lineRule="auto"/>
              <w:jc w:val="center"/>
              <w:rPr>
                <w:szCs w:val="21"/>
              </w:rPr>
            </w:pPr>
            <w:r>
              <w:t>Impact of platform deck vibration on upper facilities under dynamic ice loads</w:t>
            </w:r>
          </w:p>
        </w:tc>
        <w:tc>
          <w:tcPr>
            <w:tcW w:w="2718" w:type="dxa"/>
            <w:vAlign w:val="center"/>
          </w:tcPr>
          <w:p w14:paraId="3F960081">
            <w:pPr>
              <w:autoSpaceDE w:val="0"/>
              <w:autoSpaceDN w:val="0"/>
              <w:adjustRightInd w:val="0"/>
              <w:spacing w:line="360" w:lineRule="auto"/>
              <w:jc w:val="center"/>
              <w:rPr>
                <w:szCs w:val="21"/>
              </w:rPr>
            </w:pPr>
            <w:r>
              <w:t>Deck vibration acceleration effective value</w:t>
            </w:r>
          </w:p>
        </w:tc>
      </w:tr>
    </w:tbl>
    <w:p w14:paraId="130F54DF">
      <w:pPr>
        <w:pStyle w:val="16"/>
        <w:spacing w:before="31" w:after="31"/>
        <w:ind w:firstLine="0" w:firstLineChars="0"/>
        <w:rPr>
          <w:szCs w:val="24"/>
        </w:rPr>
      </w:pPr>
    </w:p>
    <w:p w14:paraId="46AF2F1A">
      <w:pPr>
        <w:pStyle w:val="16"/>
        <w:spacing w:before="31" w:after="31"/>
        <w:ind w:firstLine="480"/>
        <w:rPr>
          <w:szCs w:val="24"/>
        </w:rPr>
      </w:pPr>
      <w:r>
        <w:rPr>
          <w:szCs w:val="24"/>
        </w:rPr>
        <w:t>Under ice-induced dynamic force response, anti-icing structures can be classified into two types of failures (as shown in Figure 4-7.12): one is fatigue failure of structural pipe nodes caused by alternating stresses, and the other is the intense acceleration hazard to upper facilities caused by platform deck vibrations, reducing work efficiency for personnel.</w:t>
      </w:r>
    </w:p>
    <w:p w14:paraId="0E5C8FAD">
      <w:pPr>
        <w:pStyle w:val="16"/>
        <w:spacing w:before="31" w:after="31"/>
        <w:ind w:firstLine="482"/>
        <w:jc w:val="center"/>
        <w:rPr>
          <w:b/>
          <w:bCs/>
          <w:szCs w:val="24"/>
        </w:rPr>
      </w:pPr>
      <w:r>
        <w:rPr>
          <w:b/>
          <w:bCs/>
          <w:szCs w:val="24"/>
        </w:rPr>
        <w:t>Figure 4-7.12 Failure modes of flexible anti-icing platforms under ice-induced vibrations</w:t>
      </w:r>
    </w:p>
    <w:p w14:paraId="7C6DE82A">
      <w:pPr>
        <w:pStyle w:val="16"/>
        <w:spacing w:before="31" w:after="31"/>
        <w:ind w:firstLine="0" w:firstLineChars="0"/>
        <w:rPr>
          <w:b/>
          <w:bCs/>
          <w:szCs w:val="24"/>
        </w:rPr>
      </w:pPr>
    </w:p>
    <w:p w14:paraId="2F7D8E96">
      <w:pPr>
        <w:pStyle w:val="16"/>
        <w:spacing w:before="31" w:after="31"/>
        <w:ind w:firstLine="0" w:firstLineChars="0"/>
        <w:rPr>
          <w:b/>
          <w:bCs/>
          <w:szCs w:val="24"/>
        </w:rPr>
      </w:pPr>
      <w:r>
        <w:rPr>
          <w:b/>
          <w:bCs/>
          <w:szCs w:val="24"/>
        </w:rPr>
        <w:t>4.2.8 Case 4-8 Failure of Offshore Platform Lifting Points</w:t>
      </w:r>
    </w:p>
    <w:p w14:paraId="234D2AFE">
      <w:pPr>
        <w:pStyle w:val="16"/>
        <w:spacing w:before="31" w:after="31"/>
        <w:ind w:firstLine="0" w:firstLineChars="0"/>
        <w:rPr>
          <w:szCs w:val="24"/>
        </w:rPr>
      </w:pPr>
      <w:r>
        <w:rPr>
          <w:szCs w:val="24"/>
        </w:rPr>
        <w:t>(1) Case Name</w:t>
      </w:r>
    </w:p>
    <w:p w14:paraId="627713FC">
      <w:pPr>
        <w:pStyle w:val="16"/>
        <w:spacing w:before="31" w:after="31"/>
        <w:ind w:firstLine="480"/>
        <w:rPr>
          <w:szCs w:val="24"/>
        </w:rPr>
      </w:pPr>
      <w:r>
        <w:rPr>
          <w:szCs w:val="24"/>
        </w:rPr>
        <w:t>Failure of Offshore Platform Lifting Points [9]</w:t>
      </w:r>
    </w:p>
    <w:p w14:paraId="6A208432">
      <w:pPr>
        <w:pStyle w:val="16"/>
        <w:spacing w:before="31" w:after="31"/>
        <w:ind w:firstLine="0" w:firstLineChars="0"/>
        <w:rPr>
          <w:rFonts w:hint="eastAsia"/>
          <w:szCs w:val="24"/>
        </w:rPr>
      </w:pPr>
      <w:r>
        <w:rPr>
          <w:szCs w:val="24"/>
        </w:rPr>
        <w:t>(2) Description of Failure Process</w:t>
      </w:r>
    </w:p>
    <w:p w14:paraId="6EE1DEE0">
      <w:pPr>
        <w:pStyle w:val="16"/>
        <w:spacing w:before="31" w:after="31"/>
        <w:ind w:firstLine="480"/>
        <w:rPr>
          <w:szCs w:val="24"/>
        </w:rPr>
      </w:pPr>
      <w:r>
        <w:rPr>
          <w:szCs w:val="24"/>
        </w:rPr>
        <w:t>The lifting points are critical components ensuring the safe transportation of offshore platform conductor frames, and the quality of their welding is crucial. In the past, China used imported steel for welding this critical component, and no quality issues were identified. However, during the transition to using domestically produced steel to replace imported steel, cracks of varying depths (up to 12mm) and lengths (up to 800mm) were discovered in the welds of the ring plate to the conductor frame and the cover plate to the conductor frame after the welding of the lifting points. This significantly impacted the welding quality and safety of the lifting points.</w:t>
      </w:r>
    </w:p>
    <w:p w14:paraId="6B1A163B">
      <w:pPr>
        <w:pStyle w:val="16"/>
        <w:spacing w:before="31" w:after="31"/>
        <w:ind w:firstLine="0" w:firstLineChars="0"/>
        <w:rPr>
          <w:szCs w:val="24"/>
        </w:rPr>
      </w:pPr>
      <w:r>
        <w:rPr>
          <w:szCs w:val="24"/>
        </w:rPr>
        <w:t>(3) Service Environment:</w:t>
      </w:r>
    </w:p>
    <w:p w14:paraId="62D3B5F0">
      <w:pPr>
        <w:pStyle w:val="16"/>
        <w:spacing w:before="31" w:after="31"/>
        <w:ind w:firstLine="420" w:firstLineChars="0"/>
        <w:rPr>
          <w:szCs w:val="24"/>
        </w:rPr>
      </w:pPr>
      <w:r>
        <w:rPr>
          <w:szCs w:val="24"/>
        </w:rPr>
        <w:t>Null</w:t>
      </w:r>
    </w:p>
    <w:p w14:paraId="6EF7B697">
      <w:pPr>
        <w:pStyle w:val="16"/>
        <w:spacing w:before="31" w:after="31"/>
        <w:ind w:firstLine="0" w:firstLineChars="0"/>
        <w:rPr>
          <w:szCs w:val="24"/>
        </w:rPr>
      </w:pPr>
      <w:r>
        <w:rPr>
          <w:szCs w:val="24"/>
        </w:rPr>
        <w:t>(4) Failed Components and Material:</w:t>
      </w:r>
    </w:p>
    <w:p w14:paraId="3024A91B">
      <w:pPr>
        <w:pStyle w:val="16"/>
        <w:spacing w:before="31" w:after="31"/>
        <w:ind w:firstLine="420" w:firstLineChars="0"/>
        <w:rPr>
          <w:szCs w:val="24"/>
        </w:rPr>
      </w:pPr>
      <w:r>
        <w:rPr>
          <w:szCs w:val="24"/>
        </w:rPr>
        <w:t>Null</w:t>
      </w:r>
    </w:p>
    <w:p w14:paraId="09783A2B">
      <w:pPr>
        <w:pStyle w:val="16"/>
        <w:spacing w:before="31" w:after="31"/>
        <w:ind w:firstLine="0" w:firstLineChars="0"/>
        <w:rPr>
          <w:szCs w:val="24"/>
        </w:rPr>
      </w:pPr>
      <w:r>
        <w:rPr>
          <w:szCs w:val="24"/>
        </w:rPr>
        <w:t>(5) Failed Component Morphology:</w:t>
      </w:r>
    </w:p>
    <w:p w14:paraId="645C306D">
      <w:pPr>
        <w:pStyle w:val="16"/>
        <w:spacing w:before="31" w:after="31"/>
        <w:ind w:firstLine="420" w:firstLineChars="0"/>
        <w:rPr>
          <w:szCs w:val="24"/>
        </w:rPr>
      </w:pPr>
      <w:r>
        <w:rPr>
          <w:szCs w:val="24"/>
        </w:rPr>
        <w:t>Null</w:t>
      </w:r>
    </w:p>
    <w:p w14:paraId="359F94EF">
      <w:pPr>
        <w:pStyle w:val="16"/>
        <w:spacing w:before="31" w:after="31"/>
        <w:ind w:firstLine="480"/>
        <w:rPr>
          <w:szCs w:val="24"/>
        </w:rPr>
      </w:pPr>
    </w:p>
    <w:p w14:paraId="522AF00D">
      <w:pPr>
        <w:pStyle w:val="16"/>
        <w:spacing w:before="31" w:after="31"/>
        <w:ind w:firstLine="0" w:firstLineChars="0"/>
        <w:rPr>
          <w:szCs w:val="24"/>
        </w:rPr>
      </w:pPr>
      <w:r>
        <w:rPr>
          <w:szCs w:val="24"/>
        </w:rPr>
        <w:t>(6) Analysis of Failure Causes</w:t>
      </w:r>
    </w:p>
    <w:p w14:paraId="54481536">
      <w:pPr>
        <w:pStyle w:val="16"/>
        <w:spacing w:before="31" w:after="31"/>
        <w:ind w:firstLine="480"/>
        <w:rPr>
          <w:szCs w:val="24"/>
        </w:rPr>
      </w:pPr>
      <w:r>
        <w:rPr>
          <w:szCs w:val="24"/>
        </w:rPr>
        <w:t>(a) Static Analysis of Detailed Structure of Offshore Platform Lifting Points</w:t>
      </w:r>
    </w:p>
    <w:p w14:paraId="6C62A76F">
      <w:pPr>
        <w:pStyle w:val="16"/>
        <w:spacing w:before="31" w:after="31"/>
        <w:ind w:firstLine="480"/>
        <w:rPr>
          <w:szCs w:val="24"/>
        </w:rPr>
      </w:pPr>
      <w:r>
        <w:rPr>
          <w:szCs w:val="24"/>
        </w:rPr>
        <w:t>The lifting points are auxiliary structures during the hoisting process of offshore platforms and are cut off after the installation of the conductor frame. The structure of the lifting points is located at the upper part of the simplified structure of the offshore platform conductor frame, with the lifting lug plate connected to the cylindrical body through longitudinal welds. Additionally, there are rib plates connecting the vertical lifting lug plate to the simplified structure and lifting lug plate, respectively. To ensure stability during the lifting process, there are reinforcement rib plates on the lifting lug plate outside the simplified structure, which are welded to the cover plate at the top of the cylindrical body. The basic structure of the lifting points is shown in Figure 4-8.1.</w:t>
      </w:r>
    </w:p>
    <w:p w14:paraId="60A8BD45">
      <w:pPr>
        <w:pStyle w:val="16"/>
        <w:spacing w:before="31" w:after="31"/>
        <w:ind w:firstLine="480"/>
        <w:rPr>
          <w:szCs w:val="24"/>
        </w:rPr>
      </w:pPr>
      <w:r>
        <w:rPr>
          <w:szCs w:val="24"/>
        </w:rPr>
        <w:t>During the actual welding process, due to the need to weld the cover plate and the simplified structure, and the welding between the cylindrical body and the ring plate connected to the girder, significant constraints during welding can lead to tearing of the previously welded seams from the cylindrical body.</w:t>
      </w:r>
    </w:p>
    <w:p w14:paraId="63535651">
      <w:pPr>
        <w:pStyle w:val="16"/>
        <w:spacing w:before="31" w:after="31"/>
        <w:ind w:firstLine="482"/>
        <w:jc w:val="center"/>
        <w:rPr>
          <w:b/>
          <w:bCs/>
          <w:szCs w:val="24"/>
        </w:rPr>
      </w:pPr>
      <w:r>
        <w:rPr>
          <w:b/>
          <w:bCs/>
          <w:szCs w:val="24"/>
        </w:rPr>
        <w:t>Figure 4-8.1 Basic structure diagram of lifting points</w:t>
      </w:r>
    </w:p>
    <w:p w14:paraId="0F234589">
      <w:pPr>
        <w:pStyle w:val="16"/>
        <w:spacing w:before="31" w:after="31"/>
        <w:ind w:firstLine="480"/>
        <w:rPr>
          <w:szCs w:val="24"/>
        </w:rPr>
      </w:pPr>
    </w:p>
    <w:p w14:paraId="572F3FA8">
      <w:pPr>
        <w:pStyle w:val="16"/>
        <w:spacing w:before="31" w:after="31"/>
        <w:ind w:firstLine="480"/>
        <w:rPr>
          <w:szCs w:val="24"/>
        </w:rPr>
      </w:pPr>
      <w:r>
        <w:rPr>
          <w:szCs w:val="24"/>
        </w:rPr>
        <w:t>The load condition of the detailed structure of the lifting points involves applying the maximum diagonal tensile force of 10804kN on the lifting lug of the lifting points, decomposing it into vertical and horizontal components during loading. The boundary conditions assume that the lower part of the simplified structure is rigidly constrained, and other parts connected to the lifting points are simplified into corresponding boundary constraint conditions. A finite element analysis model was established, dividing the structure into 5418 4-node tetrahedral solid elements and 19125 nodes, and using the ANSYS finite element analysis software to conduct static analysis of the structure. In Figure 4-28, the sectional view of the lifting points structure, large arrows indicate the direction of the diagonal tensile force of the lifting points, and points A, B, C, and D are on the weld seams. The calculation results are shown in Table 4-12. As seen from the table, the maximum equivalent stress in the lifting points structure appears at the lower end of the longitudinal weld seam between the lifting lug plate and the simplified structure, with a maximum stress value of 436MPa. This value has exceeded the yield strength of the steel used for the lifting points (approximately 370MPa).</w:t>
      </w:r>
    </w:p>
    <w:p w14:paraId="4AA9F449">
      <w:pPr>
        <w:pStyle w:val="16"/>
        <w:spacing w:before="31" w:after="31"/>
        <w:ind w:firstLine="480"/>
        <w:rPr>
          <w:szCs w:val="24"/>
        </w:rPr>
      </w:pPr>
    </w:p>
    <w:p w14:paraId="750D6FB4">
      <w:pPr>
        <w:pStyle w:val="16"/>
        <w:spacing w:before="31" w:after="31"/>
        <w:ind w:firstLine="482"/>
        <w:jc w:val="center"/>
        <w:rPr>
          <w:b/>
          <w:bCs/>
          <w:szCs w:val="24"/>
        </w:rPr>
      </w:pPr>
      <w:r>
        <w:rPr>
          <w:b/>
          <w:bCs/>
          <w:szCs w:val="24"/>
        </w:rPr>
        <w:t>Table 4-12 Calculated von Mises equivalent stresses at key points in the structure</w:t>
      </w:r>
    </w:p>
    <w:tbl>
      <w:tblPr>
        <w:tblStyle w:val="9"/>
        <w:tblW w:w="0" w:type="auto"/>
        <w:jc w:val="center"/>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1626"/>
        <w:gridCol w:w="1626"/>
        <w:gridCol w:w="1627"/>
        <w:gridCol w:w="1627"/>
        <w:gridCol w:w="1627"/>
      </w:tblGrid>
      <w:tr w14:paraId="5462FBE4">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409" w:hRule="atLeast"/>
          <w:jc w:val="center"/>
        </w:trPr>
        <w:tc>
          <w:tcPr>
            <w:tcW w:w="1626" w:type="dxa"/>
            <w:tcBorders>
              <w:top w:val="single" w:color="auto" w:sz="12" w:space="0"/>
              <w:left w:val="nil"/>
              <w:bottom w:val="single" w:color="auto" w:sz="12" w:space="0"/>
              <w:right w:val="nil"/>
            </w:tcBorders>
            <w:vAlign w:val="center"/>
          </w:tcPr>
          <w:p w14:paraId="295D5F11">
            <w:pPr>
              <w:pStyle w:val="16"/>
              <w:spacing w:before="31" w:after="31"/>
              <w:ind w:firstLine="480"/>
              <w:rPr>
                <w:szCs w:val="24"/>
              </w:rPr>
            </w:pPr>
            <w:r>
              <w:rPr>
                <w:szCs w:val="24"/>
              </w:rPr>
              <w:t>Stress MPa | Point</w:t>
            </w:r>
          </w:p>
          <w:p w14:paraId="0C24B83F">
            <w:pPr>
              <w:autoSpaceDE w:val="0"/>
              <w:autoSpaceDN w:val="0"/>
              <w:adjustRightInd w:val="0"/>
              <w:spacing w:line="360" w:lineRule="auto"/>
              <w:jc w:val="center"/>
              <w:rPr>
                <w:kern w:val="0"/>
                <w:szCs w:val="21"/>
              </w:rPr>
            </w:pPr>
          </w:p>
        </w:tc>
        <w:tc>
          <w:tcPr>
            <w:tcW w:w="1626" w:type="dxa"/>
            <w:tcBorders>
              <w:top w:val="single" w:color="auto" w:sz="12" w:space="0"/>
              <w:left w:val="nil"/>
              <w:bottom w:val="single" w:color="auto" w:sz="12" w:space="0"/>
              <w:right w:val="nil"/>
            </w:tcBorders>
            <w:vAlign w:val="center"/>
          </w:tcPr>
          <w:p w14:paraId="77BD122A">
            <w:pPr>
              <w:autoSpaceDE w:val="0"/>
              <w:autoSpaceDN w:val="0"/>
              <w:adjustRightInd w:val="0"/>
              <w:spacing w:line="360" w:lineRule="auto"/>
              <w:jc w:val="center"/>
              <w:rPr>
                <w:kern w:val="0"/>
                <w:szCs w:val="21"/>
              </w:rPr>
            </w:pPr>
            <w:r>
              <w:rPr>
                <w:kern w:val="0"/>
                <w:szCs w:val="21"/>
              </w:rPr>
              <w:t>A</w:t>
            </w:r>
          </w:p>
        </w:tc>
        <w:tc>
          <w:tcPr>
            <w:tcW w:w="1627" w:type="dxa"/>
            <w:tcBorders>
              <w:top w:val="single" w:color="auto" w:sz="12" w:space="0"/>
              <w:left w:val="nil"/>
              <w:bottom w:val="single" w:color="auto" w:sz="12" w:space="0"/>
              <w:right w:val="nil"/>
            </w:tcBorders>
            <w:vAlign w:val="center"/>
          </w:tcPr>
          <w:p w14:paraId="2B6EC7D3">
            <w:pPr>
              <w:autoSpaceDE w:val="0"/>
              <w:autoSpaceDN w:val="0"/>
              <w:adjustRightInd w:val="0"/>
              <w:spacing w:line="360" w:lineRule="auto"/>
              <w:jc w:val="center"/>
              <w:rPr>
                <w:kern w:val="0"/>
                <w:szCs w:val="21"/>
              </w:rPr>
            </w:pPr>
            <w:r>
              <w:rPr>
                <w:kern w:val="0"/>
                <w:szCs w:val="21"/>
              </w:rPr>
              <w:t>B</w:t>
            </w:r>
          </w:p>
        </w:tc>
        <w:tc>
          <w:tcPr>
            <w:tcW w:w="1627" w:type="dxa"/>
            <w:tcBorders>
              <w:top w:val="single" w:color="auto" w:sz="12" w:space="0"/>
              <w:left w:val="nil"/>
              <w:bottom w:val="single" w:color="auto" w:sz="12" w:space="0"/>
              <w:right w:val="nil"/>
            </w:tcBorders>
            <w:vAlign w:val="center"/>
          </w:tcPr>
          <w:p w14:paraId="53F4B926">
            <w:pPr>
              <w:autoSpaceDE w:val="0"/>
              <w:autoSpaceDN w:val="0"/>
              <w:adjustRightInd w:val="0"/>
              <w:spacing w:line="360" w:lineRule="auto"/>
              <w:jc w:val="center"/>
              <w:rPr>
                <w:kern w:val="0"/>
                <w:szCs w:val="21"/>
              </w:rPr>
            </w:pPr>
            <w:r>
              <w:rPr>
                <w:kern w:val="0"/>
                <w:szCs w:val="21"/>
              </w:rPr>
              <w:t>C</w:t>
            </w:r>
          </w:p>
        </w:tc>
        <w:tc>
          <w:tcPr>
            <w:tcW w:w="1627" w:type="dxa"/>
            <w:tcBorders>
              <w:top w:val="single" w:color="auto" w:sz="12" w:space="0"/>
              <w:left w:val="nil"/>
              <w:bottom w:val="single" w:color="auto" w:sz="12" w:space="0"/>
              <w:right w:val="nil"/>
            </w:tcBorders>
            <w:vAlign w:val="center"/>
          </w:tcPr>
          <w:p w14:paraId="6E6FDC4A">
            <w:pPr>
              <w:autoSpaceDE w:val="0"/>
              <w:autoSpaceDN w:val="0"/>
              <w:adjustRightInd w:val="0"/>
              <w:spacing w:line="360" w:lineRule="auto"/>
              <w:jc w:val="center"/>
              <w:rPr>
                <w:kern w:val="0"/>
                <w:szCs w:val="21"/>
              </w:rPr>
            </w:pPr>
            <w:r>
              <w:rPr>
                <w:kern w:val="0"/>
                <w:szCs w:val="21"/>
              </w:rPr>
              <w:t>D</w:t>
            </w:r>
          </w:p>
        </w:tc>
      </w:tr>
      <w:tr w14:paraId="25A509E1">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427" w:hRule="atLeast"/>
          <w:jc w:val="center"/>
        </w:trPr>
        <w:tc>
          <w:tcPr>
            <w:tcW w:w="1626" w:type="dxa"/>
            <w:tcBorders>
              <w:top w:val="single" w:color="auto" w:sz="12" w:space="0"/>
              <w:left w:val="nil"/>
              <w:bottom w:val="single" w:color="auto" w:sz="12" w:space="0"/>
              <w:right w:val="nil"/>
            </w:tcBorders>
            <w:vAlign w:val="center"/>
          </w:tcPr>
          <w:p w14:paraId="74664127">
            <w:pPr>
              <w:autoSpaceDE w:val="0"/>
              <w:autoSpaceDN w:val="0"/>
              <w:adjustRightInd w:val="0"/>
              <w:spacing w:line="360" w:lineRule="auto"/>
              <w:jc w:val="center"/>
              <w:rPr>
                <w:kern w:val="0"/>
                <w:szCs w:val="21"/>
              </w:rPr>
            </w:pPr>
            <w:r>
              <w:t>Structure</w:t>
            </w:r>
          </w:p>
        </w:tc>
        <w:tc>
          <w:tcPr>
            <w:tcW w:w="1626" w:type="dxa"/>
            <w:tcBorders>
              <w:top w:val="single" w:color="auto" w:sz="12" w:space="0"/>
              <w:left w:val="nil"/>
              <w:bottom w:val="single" w:color="auto" w:sz="12" w:space="0"/>
              <w:right w:val="nil"/>
            </w:tcBorders>
            <w:vAlign w:val="center"/>
          </w:tcPr>
          <w:p w14:paraId="11DE6184">
            <w:pPr>
              <w:autoSpaceDE w:val="0"/>
              <w:autoSpaceDN w:val="0"/>
              <w:adjustRightInd w:val="0"/>
              <w:spacing w:line="360" w:lineRule="auto"/>
              <w:jc w:val="center"/>
              <w:rPr>
                <w:kern w:val="0"/>
                <w:szCs w:val="21"/>
              </w:rPr>
            </w:pPr>
            <w:r>
              <w:rPr>
                <w:kern w:val="0"/>
                <w:szCs w:val="21"/>
              </w:rPr>
              <w:t>339</w:t>
            </w:r>
          </w:p>
        </w:tc>
        <w:tc>
          <w:tcPr>
            <w:tcW w:w="1627" w:type="dxa"/>
            <w:tcBorders>
              <w:top w:val="single" w:color="auto" w:sz="12" w:space="0"/>
              <w:left w:val="nil"/>
              <w:bottom w:val="single" w:color="auto" w:sz="12" w:space="0"/>
              <w:right w:val="nil"/>
            </w:tcBorders>
            <w:vAlign w:val="center"/>
          </w:tcPr>
          <w:p w14:paraId="1B4FD19B">
            <w:pPr>
              <w:autoSpaceDE w:val="0"/>
              <w:autoSpaceDN w:val="0"/>
              <w:adjustRightInd w:val="0"/>
              <w:spacing w:line="360" w:lineRule="auto"/>
              <w:jc w:val="center"/>
              <w:rPr>
                <w:kern w:val="0"/>
                <w:szCs w:val="21"/>
              </w:rPr>
            </w:pPr>
            <w:r>
              <w:rPr>
                <w:kern w:val="0"/>
                <w:szCs w:val="21"/>
              </w:rPr>
              <w:t>436</w:t>
            </w:r>
          </w:p>
        </w:tc>
        <w:tc>
          <w:tcPr>
            <w:tcW w:w="1627" w:type="dxa"/>
            <w:tcBorders>
              <w:top w:val="single" w:color="auto" w:sz="12" w:space="0"/>
              <w:left w:val="nil"/>
              <w:bottom w:val="single" w:color="auto" w:sz="12" w:space="0"/>
              <w:right w:val="nil"/>
            </w:tcBorders>
            <w:vAlign w:val="center"/>
          </w:tcPr>
          <w:p w14:paraId="6028FA2D">
            <w:pPr>
              <w:autoSpaceDE w:val="0"/>
              <w:autoSpaceDN w:val="0"/>
              <w:adjustRightInd w:val="0"/>
              <w:spacing w:line="360" w:lineRule="auto"/>
              <w:jc w:val="center"/>
              <w:rPr>
                <w:kern w:val="0"/>
                <w:szCs w:val="21"/>
              </w:rPr>
            </w:pPr>
            <w:r>
              <w:rPr>
                <w:kern w:val="0"/>
                <w:szCs w:val="21"/>
              </w:rPr>
              <w:t>397</w:t>
            </w:r>
          </w:p>
        </w:tc>
        <w:tc>
          <w:tcPr>
            <w:tcW w:w="1627" w:type="dxa"/>
            <w:tcBorders>
              <w:top w:val="single" w:color="auto" w:sz="12" w:space="0"/>
              <w:left w:val="nil"/>
              <w:bottom w:val="single" w:color="auto" w:sz="12" w:space="0"/>
              <w:right w:val="nil"/>
            </w:tcBorders>
            <w:vAlign w:val="center"/>
          </w:tcPr>
          <w:p w14:paraId="1F128C82">
            <w:pPr>
              <w:autoSpaceDE w:val="0"/>
              <w:autoSpaceDN w:val="0"/>
              <w:adjustRightInd w:val="0"/>
              <w:spacing w:line="360" w:lineRule="auto"/>
              <w:jc w:val="center"/>
              <w:rPr>
                <w:kern w:val="0"/>
                <w:szCs w:val="21"/>
              </w:rPr>
            </w:pPr>
            <w:r>
              <w:rPr>
                <w:kern w:val="0"/>
                <w:szCs w:val="21"/>
              </w:rPr>
              <w:t>246</w:t>
            </w:r>
          </w:p>
        </w:tc>
      </w:tr>
    </w:tbl>
    <w:p w14:paraId="0D8F647F">
      <w:pPr>
        <w:pStyle w:val="16"/>
        <w:spacing w:before="31" w:after="31"/>
        <w:ind w:firstLine="480"/>
        <w:rPr>
          <w:szCs w:val="24"/>
        </w:rPr>
      </w:pPr>
      <w:r>
        <w:rPr>
          <w:szCs w:val="24"/>
        </w:rPr>
        <w:t>(b) Sensitivity Analysis of Welded Joint Cracking in Lifting Points</w:t>
      </w:r>
    </w:p>
    <w:p w14:paraId="510F1202">
      <w:pPr>
        <w:pStyle w:val="16"/>
        <w:spacing w:before="31" w:after="31"/>
        <w:ind w:firstLine="480"/>
        <w:rPr>
          <w:szCs w:val="24"/>
        </w:rPr>
      </w:pPr>
      <w:r>
        <w:rPr>
          <w:szCs w:val="24"/>
        </w:rPr>
        <w:t>This study focused on the 50mm-thick steel used for the lifting points, employing the "carbon equivalent" method, the slant Y-groove welding crack test method, and the rigid restraint welding crack test method. This was done to analyze the cold cracking sensitivity and conduct experimental research on the lifting points' welded joints using the CHE58-1 high-toughness carbon steel welding rod. The chemical composition and carbon equivalent Ceq of the lifting points steel for supply and reinspection are shown in Table 4-13.</w:t>
      </w:r>
    </w:p>
    <w:p w14:paraId="191EF4A6">
      <w:pPr>
        <w:pStyle w:val="16"/>
        <w:spacing w:before="31" w:after="31"/>
        <w:ind w:firstLine="480"/>
        <w:rPr>
          <w:szCs w:val="24"/>
        </w:rPr>
      </w:pPr>
      <w:r>
        <w:rPr>
          <w:szCs w:val="24"/>
        </w:rPr>
        <w:t>The slant Y-groove welding crack test results showed that for the 50mm-thick lifting points steel using the CHE58-1 welding rod, whether preheated at 66°C before welding or not preheated and welded at 4°C, the fracture crack rate was zero. Similarly, the fracture crack rate in the rigid restraint welding crack test was also zero.</w:t>
      </w:r>
    </w:p>
    <w:p w14:paraId="2B2324AF">
      <w:pPr>
        <w:pStyle w:val="16"/>
        <w:spacing w:before="31" w:after="31"/>
        <w:ind w:firstLine="482"/>
        <w:jc w:val="center"/>
        <w:rPr>
          <w:b/>
          <w:bCs/>
          <w:szCs w:val="24"/>
        </w:rPr>
      </w:pPr>
      <w:r>
        <w:rPr>
          <w:b/>
          <w:bCs/>
          <w:szCs w:val="24"/>
        </w:rPr>
        <w:t>Table 4-13 Chemical composition and carbon equivalent of 50mm-thick lifting points steel</w:t>
      </w:r>
    </w:p>
    <w:tbl>
      <w:tblPr>
        <w:tblStyle w:val="9"/>
        <w:tblW w:w="8625" w:type="dxa"/>
        <w:jc w:val="center"/>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fixed"/>
        <w:tblCellMar>
          <w:top w:w="0" w:type="dxa"/>
          <w:left w:w="108" w:type="dxa"/>
          <w:bottom w:w="0" w:type="dxa"/>
          <w:right w:w="108" w:type="dxa"/>
        </w:tblCellMar>
      </w:tblPr>
      <w:tblGrid>
        <w:gridCol w:w="881"/>
        <w:gridCol w:w="687"/>
        <w:gridCol w:w="667"/>
        <w:gridCol w:w="597"/>
        <w:gridCol w:w="820"/>
        <w:gridCol w:w="708"/>
        <w:gridCol w:w="708"/>
        <w:gridCol w:w="707"/>
        <w:gridCol w:w="708"/>
        <w:gridCol w:w="726"/>
        <w:gridCol w:w="708"/>
        <w:gridCol w:w="708"/>
      </w:tblGrid>
      <w:tr w14:paraId="11557CEF">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881" w:type="dxa"/>
            <w:tcBorders>
              <w:top w:val="single" w:color="auto" w:sz="12" w:space="0"/>
              <w:left w:val="nil"/>
              <w:bottom w:val="single" w:color="auto" w:sz="12" w:space="0"/>
              <w:right w:val="nil"/>
            </w:tcBorders>
            <w:vAlign w:val="center"/>
          </w:tcPr>
          <w:p w14:paraId="2BA6AD39">
            <w:pPr>
              <w:pStyle w:val="20"/>
              <w:spacing w:before="468" w:after="156" w:line="312" w:lineRule="auto"/>
              <w:rPr>
                <w:b w:val="0"/>
              </w:rPr>
            </w:pPr>
          </w:p>
        </w:tc>
        <w:tc>
          <w:tcPr>
            <w:tcW w:w="687" w:type="dxa"/>
            <w:tcBorders>
              <w:top w:val="single" w:color="auto" w:sz="12" w:space="0"/>
              <w:left w:val="nil"/>
              <w:bottom w:val="single" w:color="auto" w:sz="12" w:space="0"/>
              <w:right w:val="nil"/>
            </w:tcBorders>
            <w:vAlign w:val="center"/>
          </w:tcPr>
          <w:p w14:paraId="34502233">
            <w:pPr>
              <w:pStyle w:val="20"/>
              <w:spacing w:before="468" w:after="156" w:line="312" w:lineRule="auto"/>
              <w:rPr>
                <w:b w:val="0"/>
              </w:rPr>
            </w:pPr>
            <w:r>
              <w:rPr>
                <w:b w:val="0"/>
              </w:rPr>
              <w:t>C</w:t>
            </w:r>
          </w:p>
        </w:tc>
        <w:tc>
          <w:tcPr>
            <w:tcW w:w="667" w:type="dxa"/>
            <w:tcBorders>
              <w:top w:val="single" w:color="auto" w:sz="12" w:space="0"/>
              <w:left w:val="nil"/>
              <w:bottom w:val="single" w:color="auto" w:sz="12" w:space="0"/>
              <w:right w:val="nil"/>
            </w:tcBorders>
            <w:vAlign w:val="center"/>
          </w:tcPr>
          <w:p w14:paraId="013CC4BD">
            <w:pPr>
              <w:pStyle w:val="20"/>
              <w:spacing w:before="468" w:after="156" w:line="312" w:lineRule="auto"/>
              <w:rPr>
                <w:b w:val="0"/>
              </w:rPr>
            </w:pPr>
            <w:r>
              <w:rPr>
                <w:b w:val="0"/>
              </w:rPr>
              <w:t>Si</w:t>
            </w:r>
          </w:p>
        </w:tc>
        <w:tc>
          <w:tcPr>
            <w:tcW w:w="596" w:type="dxa"/>
            <w:tcBorders>
              <w:top w:val="single" w:color="auto" w:sz="12" w:space="0"/>
              <w:left w:val="nil"/>
              <w:bottom w:val="single" w:color="auto" w:sz="12" w:space="0"/>
              <w:right w:val="nil"/>
            </w:tcBorders>
            <w:vAlign w:val="center"/>
          </w:tcPr>
          <w:p w14:paraId="135441B5">
            <w:pPr>
              <w:pStyle w:val="20"/>
              <w:spacing w:before="468" w:after="156" w:line="312" w:lineRule="auto"/>
              <w:rPr>
                <w:b w:val="0"/>
              </w:rPr>
            </w:pPr>
            <w:r>
              <w:rPr>
                <w:b w:val="0"/>
              </w:rPr>
              <w:t>Mn</w:t>
            </w:r>
          </w:p>
        </w:tc>
        <w:tc>
          <w:tcPr>
            <w:tcW w:w="821" w:type="dxa"/>
            <w:tcBorders>
              <w:top w:val="single" w:color="auto" w:sz="12" w:space="0"/>
              <w:left w:val="nil"/>
              <w:bottom w:val="single" w:color="auto" w:sz="12" w:space="0"/>
              <w:right w:val="nil"/>
            </w:tcBorders>
            <w:vAlign w:val="center"/>
          </w:tcPr>
          <w:p w14:paraId="22697554">
            <w:pPr>
              <w:pStyle w:val="20"/>
              <w:spacing w:before="468" w:after="156" w:line="312" w:lineRule="auto"/>
              <w:rPr>
                <w:b w:val="0"/>
              </w:rPr>
            </w:pPr>
            <w:r>
              <w:rPr>
                <w:b w:val="0"/>
              </w:rPr>
              <w:t>P</w:t>
            </w:r>
          </w:p>
        </w:tc>
        <w:tc>
          <w:tcPr>
            <w:tcW w:w="709" w:type="dxa"/>
            <w:tcBorders>
              <w:top w:val="single" w:color="auto" w:sz="12" w:space="0"/>
              <w:left w:val="nil"/>
              <w:bottom w:val="single" w:color="auto" w:sz="12" w:space="0"/>
              <w:right w:val="nil"/>
            </w:tcBorders>
            <w:vAlign w:val="center"/>
          </w:tcPr>
          <w:p w14:paraId="42C6DBD0">
            <w:pPr>
              <w:pStyle w:val="20"/>
              <w:spacing w:before="468" w:after="156" w:line="312" w:lineRule="auto"/>
              <w:rPr>
                <w:b w:val="0"/>
              </w:rPr>
            </w:pPr>
            <w:r>
              <w:rPr>
                <w:b w:val="0"/>
              </w:rPr>
              <w:t>S</w:t>
            </w:r>
          </w:p>
        </w:tc>
        <w:tc>
          <w:tcPr>
            <w:tcW w:w="709" w:type="dxa"/>
            <w:tcBorders>
              <w:top w:val="single" w:color="auto" w:sz="12" w:space="0"/>
              <w:left w:val="nil"/>
              <w:bottom w:val="single" w:color="auto" w:sz="12" w:space="0"/>
              <w:right w:val="nil"/>
            </w:tcBorders>
            <w:vAlign w:val="center"/>
          </w:tcPr>
          <w:p w14:paraId="61EB96E9">
            <w:pPr>
              <w:pStyle w:val="20"/>
              <w:spacing w:before="468" w:after="156" w:line="312" w:lineRule="auto"/>
              <w:rPr>
                <w:b w:val="0"/>
              </w:rPr>
            </w:pPr>
            <w:r>
              <w:rPr>
                <w:b w:val="0"/>
              </w:rPr>
              <w:t>Cr</w:t>
            </w:r>
          </w:p>
        </w:tc>
        <w:tc>
          <w:tcPr>
            <w:tcW w:w="708" w:type="dxa"/>
            <w:tcBorders>
              <w:top w:val="single" w:color="auto" w:sz="12" w:space="0"/>
              <w:left w:val="nil"/>
              <w:bottom w:val="single" w:color="auto" w:sz="12" w:space="0"/>
              <w:right w:val="nil"/>
            </w:tcBorders>
            <w:vAlign w:val="center"/>
          </w:tcPr>
          <w:p w14:paraId="260950CC">
            <w:pPr>
              <w:pStyle w:val="20"/>
              <w:spacing w:before="468" w:after="156" w:line="312" w:lineRule="auto"/>
              <w:rPr>
                <w:b w:val="0"/>
              </w:rPr>
            </w:pPr>
            <w:r>
              <w:rPr>
                <w:b w:val="0"/>
              </w:rPr>
              <w:t>Ni</w:t>
            </w:r>
          </w:p>
        </w:tc>
        <w:tc>
          <w:tcPr>
            <w:tcW w:w="709" w:type="dxa"/>
            <w:tcBorders>
              <w:top w:val="single" w:color="auto" w:sz="12" w:space="0"/>
              <w:left w:val="nil"/>
              <w:bottom w:val="single" w:color="auto" w:sz="12" w:space="0"/>
              <w:right w:val="nil"/>
            </w:tcBorders>
            <w:vAlign w:val="center"/>
          </w:tcPr>
          <w:p w14:paraId="4E6D6804">
            <w:pPr>
              <w:pStyle w:val="20"/>
              <w:spacing w:before="468" w:after="156" w:line="312" w:lineRule="auto"/>
              <w:rPr>
                <w:b w:val="0"/>
              </w:rPr>
            </w:pPr>
            <w:r>
              <w:rPr>
                <w:b w:val="0"/>
              </w:rPr>
              <w:t>Cu</w:t>
            </w:r>
          </w:p>
        </w:tc>
        <w:tc>
          <w:tcPr>
            <w:tcW w:w="727" w:type="dxa"/>
            <w:tcBorders>
              <w:top w:val="single" w:color="auto" w:sz="12" w:space="0"/>
              <w:left w:val="nil"/>
              <w:bottom w:val="single" w:color="auto" w:sz="12" w:space="0"/>
              <w:right w:val="nil"/>
            </w:tcBorders>
            <w:vAlign w:val="center"/>
          </w:tcPr>
          <w:p w14:paraId="563C4D59">
            <w:pPr>
              <w:pStyle w:val="20"/>
              <w:spacing w:before="468" w:after="156" w:line="312" w:lineRule="auto"/>
              <w:rPr>
                <w:b w:val="0"/>
              </w:rPr>
            </w:pPr>
            <w:r>
              <w:rPr>
                <w:b w:val="0"/>
              </w:rPr>
              <w:t>Ti</w:t>
            </w:r>
          </w:p>
        </w:tc>
        <w:tc>
          <w:tcPr>
            <w:tcW w:w="709" w:type="dxa"/>
            <w:tcBorders>
              <w:top w:val="single" w:color="auto" w:sz="12" w:space="0"/>
              <w:left w:val="nil"/>
              <w:bottom w:val="single" w:color="auto" w:sz="12" w:space="0"/>
              <w:right w:val="nil"/>
            </w:tcBorders>
            <w:vAlign w:val="center"/>
          </w:tcPr>
          <w:p w14:paraId="62703EC0">
            <w:pPr>
              <w:pStyle w:val="20"/>
              <w:spacing w:before="468" w:after="156" w:line="312" w:lineRule="auto"/>
              <w:rPr>
                <w:b w:val="0"/>
              </w:rPr>
            </w:pPr>
            <w:r>
              <w:rPr>
                <w:b w:val="0"/>
              </w:rPr>
              <w:t>Nb</w:t>
            </w:r>
          </w:p>
        </w:tc>
        <w:tc>
          <w:tcPr>
            <w:tcW w:w="709" w:type="dxa"/>
            <w:tcBorders>
              <w:top w:val="single" w:color="auto" w:sz="12" w:space="0"/>
              <w:left w:val="nil"/>
              <w:bottom w:val="single" w:color="auto" w:sz="12" w:space="0"/>
              <w:right w:val="nil"/>
            </w:tcBorders>
            <w:vAlign w:val="center"/>
          </w:tcPr>
          <w:p w14:paraId="0724296A">
            <w:pPr>
              <w:pStyle w:val="20"/>
              <w:spacing w:before="468" w:after="156" w:line="312" w:lineRule="auto"/>
              <w:rPr>
                <w:b w:val="0"/>
              </w:rPr>
            </w:pPr>
            <w:r>
              <w:rPr>
                <w:b w:val="0"/>
              </w:rPr>
              <w:t>C</w:t>
            </w:r>
            <w:r>
              <w:rPr>
                <w:b w:val="0"/>
                <w:vertAlign w:val="subscript"/>
              </w:rPr>
              <w:t>eq</w:t>
            </w:r>
          </w:p>
        </w:tc>
      </w:tr>
      <w:tr w14:paraId="775AE083">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881" w:type="dxa"/>
            <w:tcBorders>
              <w:top w:val="single" w:color="auto" w:sz="12" w:space="0"/>
              <w:left w:val="nil"/>
              <w:bottom w:val="nil"/>
              <w:right w:val="nil"/>
            </w:tcBorders>
            <w:vAlign w:val="center"/>
          </w:tcPr>
          <w:p w14:paraId="17A6A3DC">
            <w:pPr>
              <w:pStyle w:val="20"/>
              <w:spacing w:before="468" w:after="156" w:line="312" w:lineRule="auto"/>
              <w:rPr>
                <w:b w:val="0"/>
                <w:bCs/>
              </w:rPr>
            </w:pPr>
            <w:r>
              <w:rPr>
                <w:b w:val="0"/>
                <w:bCs/>
              </w:rPr>
              <w:t>Supply</w:t>
            </w:r>
          </w:p>
        </w:tc>
        <w:tc>
          <w:tcPr>
            <w:tcW w:w="687" w:type="dxa"/>
            <w:tcBorders>
              <w:top w:val="single" w:color="auto" w:sz="12" w:space="0"/>
              <w:left w:val="nil"/>
              <w:bottom w:val="nil"/>
              <w:right w:val="nil"/>
            </w:tcBorders>
            <w:vAlign w:val="center"/>
          </w:tcPr>
          <w:p w14:paraId="6EE8E9E3">
            <w:pPr>
              <w:pStyle w:val="20"/>
              <w:spacing w:before="468" w:after="156" w:line="312" w:lineRule="auto"/>
              <w:rPr>
                <w:b w:val="0"/>
              </w:rPr>
            </w:pPr>
            <w:r>
              <w:rPr>
                <w:b w:val="0"/>
              </w:rPr>
              <w:t>0.16</w:t>
            </w:r>
          </w:p>
        </w:tc>
        <w:tc>
          <w:tcPr>
            <w:tcW w:w="667" w:type="dxa"/>
            <w:tcBorders>
              <w:top w:val="single" w:color="auto" w:sz="12" w:space="0"/>
              <w:left w:val="nil"/>
              <w:bottom w:val="nil"/>
              <w:right w:val="nil"/>
            </w:tcBorders>
            <w:vAlign w:val="center"/>
          </w:tcPr>
          <w:p w14:paraId="7861A7CA">
            <w:pPr>
              <w:pStyle w:val="20"/>
              <w:spacing w:before="468" w:after="156" w:line="312" w:lineRule="auto"/>
              <w:rPr>
                <w:b w:val="0"/>
              </w:rPr>
            </w:pPr>
            <w:r>
              <w:rPr>
                <w:b w:val="0"/>
              </w:rPr>
              <w:t>0.27</w:t>
            </w:r>
          </w:p>
        </w:tc>
        <w:tc>
          <w:tcPr>
            <w:tcW w:w="596" w:type="dxa"/>
            <w:tcBorders>
              <w:top w:val="single" w:color="auto" w:sz="12" w:space="0"/>
              <w:left w:val="nil"/>
              <w:bottom w:val="nil"/>
              <w:right w:val="nil"/>
            </w:tcBorders>
            <w:vAlign w:val="center"/>
          </w:tcPr>
          <w:p w14:paraId="556EFA2D">
            <w:pPr>
              <w:pStyle w:val="20"/>
              <w:spacing w:before="468" w:after="156" w:line="312" w:lineRule="auto"/>
              <w:rPr>
                <w:b w:val="0"/>
              </w:rPr>
            </w:pPr>
            <w:r>
              <w:rPr>
                <w:b w:val="0"/>
              </w:rPr>
              <w:t>1.4</w:t>
            </w:r>
          </w:p>
        </w:tc>
        <w:tc>
          <w:tcPr>
            <w:tcW w:w="821" w:type="dxa"/>
            <w:tcBorders>
              <w:top w:val="single" w:color="auto" w:sz="12" w:space="0"/>
              <w:left w:val="nil"/>
              <w:bottom w:val="nil"/>
              <w:right w:val="nil"/>
            </w:tcBorders>
            <w:vAlign w:val="center"/>
          </w:tcPr>
          <w:p w14:paraId="1D806BB0">
            <w:pPr>
              <w:pStyle w:val="20"/>
              <w:spacing w:before="468" w:after="156" w:line="312" w:lineRule="auto"/>
              <w:rPr>
                <w:b w:val="0"/>
              </w:rPr>
            </w:pPr>
            <w:r>
              <w:rPr>
                <w:b w:val="0"/>
              </w:rPr>
              <w:t>0.015</w:t>
            </w:r>
          </w:p>
        </w:tc>
        <w:tc>
          <w:tcPr>
            <w:tcW w:w="709" w:type="dxa"/>
            <w:tcBorders>
              <w:top w:val="single" w:color="auto" w:sz="12" w:space="0"/>
              <w:left w:val="nil"/>
              <w:bottom w:val="nil"/>
              <w:right w:val="nil"/>
            </w:tcBorders>
            <w:vAlign w:val="center"/>
          </w:tcPr>
          <w:p w14:paraId="62B00285">
            <w:pPr>
              <w:pStyle w:val="20"/>
              <w:spacing w:before="468" w:after="156" w:line="312" w:lineRule="auto"/>
              <w:rPr>
                <w:b w:val="0"/>
              </w:rPr>
            </w:pPr>
            <w:r>
              <w:rPr>
                <w:b w:val="0"/>
              </w:rPr>
              <w:t>0.005</w:t>
            </w:r>
          </w:p>
        </w:tc>
        <w:tc>
          <w:tcPr>
            <w:tcW w:w="709" w:type="dxa"/>
            <w:tcBorders>
              <w:top w:val="single" w:color="auto" w:sz="12" w:space="0"/>
              <w:left w:val="nil"/>
              <w:bottom w:val="nil"/>
              <w:right w:val="nil"/>
            </w:tcBorders>
            <w:vAlign w:val="center"/>
          </w:tcPr>
          <w:p w14:paraId="155DA261">
            <w:pPr>
              <w:pStyle w:val="20"/>
              <w:spacing w:before="468" w:after="156" w:line="312" w:lineRule="auto"/>
              <w:rPr>
                <w:b w:val="0"/>
              </w:rPr>
            </w:pPr>
            <w:r>
              <w:rPr>
                <w:b w:val="0"/>
              </w:rPr>
              <w:t>0.02</w:t>
            </w:r>
          </w:p>
        </w:tc>
        <w:tc>
          <w:tcPr>
            <w:tcW w:w="708" w:type="dxa"/>
            <w:tcBorders>
              <w:top w:val="single" w:color="auto" w:sz="12" w:space="0"/>
              <w:left w:val="nil"/>
              <w:bottom w:val="nil"/>
              <w:right w:val="nil"/>
            </w:tcBorders>
            <w:vAlign w:val="center"/>
          </w:tcPr>
          <w:p w14:paraId="442B1298">
            <w:pPr>
              <w:pStyle w:val="20"/>
              <w:spacing w:before="468" w:after="156" w:line="312" w:lineRule="auto"/>
              <w:rPr>
                <w:b w:val="0"/>
              </w:rPr>
            </w:pPr>
            <w:r>
              <w:rPr>
                <w:b w:val="0"/>
              </w:rPr>
              <w:t>0.02</w:t>
            </w:r>
          </w:p>
        </w:tc>
        <w:tc>
          <w:tcPr>
            <w:tcW w:w="709" w:type="dxa"/>
            <w:tcBorders>
              <w:top w:val="single" w:color="auto" w:sz="12" w:space="0"/>
              <w:left w:val="nil"/>
              <w:bottom w:val="nil"/>
              <w:right w:val="nil"/>
            </w:tcBorders>
            <w:vAlign w:val="center"/>
          </w:tcPr>
          <w:p w14:paraId="43752344">
            <w:pPr>
              <w:pStyle w:val="20"/>
              <w:spacing w:before="468" w:after="156" w:line="312" w:lineRule="auto"/>
              <w:rPr>
                <w:b w:val="0"/>
              </w:rPr>
            </w:pPr>
            <w:r>
              <w:rPr>
                <w:b w:val="0"/>
              </w:rPr>
              <w:t>0.001</w:t>
            </w:r>
          </w:p>
        </w:tc>
        <w:tc>
          <w:tcPr>
            <w:tcW w:w="727" w:type="dxa"/>
            <w:tcBorders>
              <w:top w:val="single" w:color="auto" w:sz="12" w:space="0"/>
              <w:left w:val="nil"/>
              <w:bottom w:val="nil"/>
              <w:right w:val="nil"/>
            </w:tcBorders>
            <w:vAlign w:val="center"/>
          </w:tcPr>
          <w:p w14:paraId="7FD6BD91">
            <w:pPr>
              <w:pStyle w:val="20"/>
              <w:spacing w:before="468" w:after="156" w:line="312" w:lineRule="auto"/>
              <w:rPr>
                <w:b w:val="0"/>
              </w:rPr>
            </w:pPr>
            <w:r>
              <w:rPr>
                <w:b w:val="0"/>
              </w:rPr>
              <w:t>0.004</w:t>
            </w:r>
          </w:p>
        </w:tc>
        <w:tc>
          <w:tcPr>
            <w:tcW w:w="709" w:type="dxa"/>
            <w:tcBorders>
              <w:top w:val="single" w:color="auto" w:sz="12" w:space="0"/>
              <w:left w:val="nil"/>
              <w:bottom w:val="nil"/>
              <w:right w:val="nil"/>
            </w:tcBorders>
            <w:vAlign w:val="center"/>
          </w:tcPr>
          <w:p w14:paraId="6C336A05">
            <w:pPr>
              <w:pStyle w:val="20"/>
              <w:spacing w:before="468" w:after="156" w:line="312" w:lineRule="auto"/>
              <w:rPr>
                <w:b w:val="0"/>
              </w:rPr>
            </w:pPr>
            <w:r>
              <w:rPr>
                <w:b w:val="0"/>
              </w:rPr>
              <w:t>0.031</w:t>
            </w:r>
          </w:p>
        </w:tc>
        <w:tc>
          <w:tcPr>
            <w:tcW w:w="709" w:type="dxa"/>
            <w:tcBorders>
              <w:top w:val="single" w:color="auto" w:sz="12" w:space="0"/>
              <w:left w:val="nil"/>
              <w:bottom w:val="nil"/>
              <w:right w:val="nil"/>
            </w:tcBorders>
            <w:vAlign w:val="center"/>
          </w:tcPr>
          <w:p w14:paraId="0B7735E2">
            <w:pPr>
              <w:pStyle w:val="20"/>
              <w:spacing w:before="468" w:after="156" w:line="312" w:lineRule="auto"/>
              <w:rPr>
                <w:b w:val="0"/>
              </w:rPr>
            </w:pPr>
            <w:r>
              <w:rPr>
                <w:b w:val="0"/>
              </w:rPr>
              <w:t>0.409</w:t>
            </w:r>
          </w:p>
        </w:tc>
      </w:tr>
      <w:tr w14:paraId="0EED02F6">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628" w:hRule="atLeast"/>
          <w:jc w:val="center"/>
        </w:trPr>
        <w:tc>
          <w:tcPr>
            <w:tcW w:w="881" w:type="dxa"/>
            <w:tcBorders>
              <w:top w:val="nil"/>
              <w:left w:val="nil"/>
              <w:bottom w:val="single" w:color="auto" w:sz="12" w:space="0"/>
              <w:right w:val="nil"/>
            </w:tcBorders>
            <w:vAlign w:val="center"/>
          </w:tcPr>
          <w:p w14:paraId="7463F161">
            <w:pPr>
              <w:pStyle w:val="20"/>
              <w:spacing w:before="468" w:after="156" w:line="312" w:lineRule="auto"/>
              <w:rPr>
                <w:b w:val="0"/>
                <w:bCs/>
              </w:rPr>
            </w:pPr>
            <w:r>
              <w:rPr>
                <w:b w:val="0"/>
                <w:bCs/>
              </w:rPr>
              <w:t>Reinspection</w:t>
            </w:r>
          </w:p>
        </w:tc>
        <w:tc>
          <w:tcPr>
            <w:tcW w:w="687" w:type="dxa"/>
            <w:tcBorders>
              <w:top w:val="nil"/>
              <w:left w:val="nil"/>
              <w:bottom w:val="single" w:color="auto" w:sz="12" w:space="0"/>
              <w:right w:val="nil"/>
            </w:tcBorders>
            <w:vAlign w:val="center"/>
          </w:tcPr>
          <w:p w14:paraId="393016BE">
            <w:pPr>
              <w:pStyle w:val="20"/>
              <w:spacing w:before="468" w:after="156" w:line="312" w:lineRule="auto"/>
              <w:rPr>
                <w:b w:val="0"/>
              </w:rPr>
            </w:pPr>
            <w:r>
              <w:rPr>
                <w:b w:val="0"/>
              </w:rPr>
              <w:t>0.17</w:t>
            </w:r>
          </w:p>
        </w:tc>
        <w:tc>
          <w:tcPr>
            <w:tcW w:w="667" w:type="dxa"/>
            <w:tcBorders>
              <w:top w:val="nil"/>
              <w:left w:val="nil"/>
              <w:bottom w:val="single" w:color="auto" w:sz="12" w:space="0"/>
              <w:right w:val="nil"/>
            </w:tcBorders>
            <w:vAlign w:val="center"/>
          </w:tcPr>
          <w:p w14:paraId="04E53E49">
            <w:pPr>
              <w:pStyle w:val="20"/>
              <w:spacing w:before="468" w:after="156" w:line="312" w:lineRule="auto"/>
              <w:rPr>
                <w:b w:val="0"/>
              </w:rPr>
            </w:pPr>
            <w:r>
              <w:rPr>
                <w:b w:val="0"/>
              </w:rPr>
              <w:t>0.24</w:t>
            </w:r>
          </w:p>
        </w:tc>
        <w:tc>
          <w:tcPr>
            <w:tcW w:w="596" w:type="dxa"/>
            <w:tcBorders>
              <w:top w:val="nil"/>
              <w:left w:val="nil"/>
              <w:bottom w:val="single" w:color="auto" w:sz="12" w:space="0"/>
              <w:right w:val="nil"/>
            </w:tcBorders>
            <w:vAlign w:val="center"/>
          </w:tcPr>
          <w:p w14:paraId="69932007">
            <w:pPr>
              <w:pStyle w:val="20"/>
              <w:spacing w:before="468" w:after="156" w:line="312" w:lineRule="auto"/>
              <w:rPr>
                <w:b w:val="0"/>
              </w:rPr>
            </w:pPr>
            <w:r>
              <w:rPr>
                <w:b w:val="0"/>
              </w:rPr>
              <w:t>1.46</w:t>
            </w:r>
          </w:p>
        </w:tc>
        <w:tc>
          <w:tcPr>
            <w:tcW w:w="821" w:type="dxa"/>
            <w:tcBorders>
              <w:top w:val="nil"/>
              <w:left w:val="nil"/>
              <w:bottom w:val="single" w:color="auto" w:sz="12" w:space="0"/>
              <w:right w:val="nil"/>
            </w:tcBorders>
            <w:vAlign w:val="center"/>
          </w:tcPr>
          <w:p w14:paraId="4C409E82">
            <w:pPr>
              <w:pStyle w:val="20"/>
              <w:spacing w:before="468" w:after="156" w:line="312" w:lineRule="auto"/>
              <w:rPr>
                <w:b w:val="0"/>
              </w:rPr>
            </w:pPr>
            <w:r>
              <w:rPr>
                <w:b w:val="0"/>
              </w:rPr>
              <w:t>0.017</w:t>
            </w:r>
          </w:p>
        </w:tc>
        <w:tc>
          <w:tcPr>
            <w:tcW w:w="709" w:type="dxa"/>
            <w:tcBorders>
              <w:top w:val="nil"/>
              <w:left w:val="nil"/>
              <w:bottom w:val="single" w:color="auto" w:sz="12" w:space="0"/>
              <w:right w:val="nil"/>
            </w:tcBorders>
            <w:vAlign w:val="center"/>
          </w:tcPr>
          <w:p w14:paraId="660DC5A1">
            <w:pPr>
              <w:pStyle w:val="20"/>
              <w:spacing w:before="468" w:after="156" w:line="312" w:lineRule="auto"/>
              <w:rPr>
                <w:b w:val="0"/>
              </w:rPr>
            </w:pPr>
            <w:r>
              <w:rPr>
                <w:b w:val="0"/>
              </w:rPr>
              <w:t>0.005</w:t>
            </w:r>
          </w:p>
        </w:tc>
        <w:tc>
          <w:tcPr>
            <w:tcW w:w="709" w:type="dxa"/>
            <w:tcBorders>
              <w:top w:val="nil"/>
              <w:left w:val="nil"/>
              <w:bottom w:val="single" w:color="auto" w:sz="12" w:space="0"/>
              <w:right w:val="nil"/>
            </w:tcBorders>
            <w:vAlign w:val="center"/>
          </w:tcPr>
          <w:p w14:paraId="39639A9D">
            <w:pPr>
              <w:pStyle w:val="20"/>
              <w:spacing w:before="468" w:after="156" w:line="312" w:lineRule="auto"/>
              <w:rPr>
                <w:b w:val="0"/>
              </w:rPr>
            </w:pPr>
            <w:r>
              <w:rPr>
                <w:b w:val="0"/>
              </w:rPr>
              <w:t>0.05</w:t>
            </w:r>
          </w:p>
        </w:tc>
        <w:tc>
          <w:tcPr>
            <w:tcW w:w="708" w:type="dxa"/>
            <w:tcBorders>
              <w:top w:val="nil"/>
              <w:left w:val="nil"/>
              <w:bottom w:val="single" w:color="auto" w:sz="12" w:space="0"/>
              <w:right w:val="nil"/>
            </w:tcBorders>
            <w:vAlign w:val="center"/>
          </w:tcPr>
          <w:p w14:paraId="3D2F4CCE">
            <w:pPr>
              <w:pStyle w:val="20"/>
              <w:spacing w:before="468" w:after="156" w:line="312" w:lineRule="auto"/>
              <w:rPr>
                <w:b w:val="0"/>
              </w:rPr>
            </w:pPr>
            <w:r>
              <w:rPr>
                <w:b w:val="0"/>
              </w:rPr>
              <w:t>0.034</w:t>
            </w:r>
          </w:p>
        </w:tc>
        <w:tc>
          <w:tcPr>
            <w:tcW w:w="709" w:type="dxa"/>
            <w:tcBorders>
              <w:top w:val="nil"/>
              <w:left w:val="nil"/>
              <w:bottom w:val="single" w:color="auto" w:sz="12" w:space="0"/>
              <w:right w:val="nil"/>
            </w:tcBorders>
            <w:vAlign w:val="center"/>
          </w:tcPr>
          <w:p w14:paraId="5AA25785">
            <w:pPr>
              <w:pStyle w:val="20"/>
              <w:spacing w:before="468" w:after="156" w:line="312" w:lineRule="auto"/>
              <w:rPr>
                <w:b w:val="0"/>
              </w:rPr>
            </w:pPr>
            <w:r>
              <w:rPr>
                <w:b w:val="0"/>
              </w:rPr>
              <w:t>0.020</w:t>
            </w:r>
          </w:p>
        </w:tc>
        <w:tc>
          <w:tcPr>
            <w:tcW w:w="727" w:type="dxa"/>
            <w:tcBorders>
              <w:top w:val="nil"/>
              <w:left w:val="nil"/>
              <w:bottom w:val="single" w:color="auto" w:sz="12" w:space="0"/>
              <w:right w:val="nil"/>
            </w:tcBorders>
            <w:vAlign w:val="center"/>
          </w:tcPr>
          <w:p w14:paraId="21047D9B">
            <w:pPr>
              <w:pStyle w:val="20"/>
              <w:spacing w:before="468" w:after="156" w:line="312" w:lineRule="auto"/>
              <w:rPr>
                <w:b w:val="0"/>
              </w:rPr>
            </w:pPr>
            <w:r>
              <w:rPr>
                <w:b w:val="0"/>
              </w:rPr>
              <w:t>0.022</w:t>
            </w:r>
          </w:p>
        </w:tc>
        <w:tc>
          <w:tcPr>
            <w:tcW w:w="709" w:type="dxa"/>
            <w:tcBorders>
              <w:top w:val="nil"/>
              <w:left w:val="nil"/>
              <w:bottom w:val="single" w:color="auto" w:sz="12" w:space="0"/>
              <w:right w:val="nil"/>
            </w:tcBorders>
            <w:vAlign w:val="center"/>
          </w:tcPr>
          <w:p w14:paraId="4453798D">
            <w:pPr>
              <w:pStyle w:val="20"/>
              <w:spacing w:before="468" w:after="156" w:line="312" w:lineRule="auto"/>
              <w:rPr>
                <w:b w:val="0"/>
              </w:rPr>
            </w:pPr>
            <w:r>
              <w:rPr>
                <w:b w:val="0"/>
              </w:rPr>
              <w:t>0.036</w:t>
            </w:r>
          </w:p>
        </w:tc>
        <w:tc>
          <w:tcPr>
            <w:tcW w:w="709" w:type="dxa"/>
            <w:tcBorders>
              <w:top w:val="nil"/>
              <w:left w:val="nil"/>
              <w:bottom w:val="single" w:color="auto" w:sz="12" w:space="0"/>
              <w:right w:val="nil"/>
            </w:tcBorders>
            <w:vAlign w:val="center"/>
          </w:tcPr>
          <w:p w14:paraId="516AF2AF">
            <w:pPr>
              <w:pStyle w:val="20"/>
              <w:spacing w:before="468" w:after="156" w:line="312" w:lineRule="auto"/>
              <w:rPr>
                <w:b w:val="0"/>
              </w:rPr>
            </w:pPr>
            <w:r>
              <w:rPr>
                <w:b w:val="0"/>
              </w:rPr>
              <w:t>0.434</w:t>
            </w:r>
          </w:p>
        </w:tc>
      </w:tr>
    </w:tbl>
    <w:p w14:paraId="74000562">
      <w:pPr>
        <w:pStyle w:val="16"/>
        <w:spacing w:before="31" w:after="31"/>
        <w:ind w:firstLine="480"/>
        <w:rPr>
          <w:szCs w:val="24"/>
        </w:rPr>
      </w:pPr>
      <w:r>
        <w:rPr>
          <w:szCs w:val="24"/>
        </w:rPr>
        <w:t>The combined calculation and test results indicate that the lifting points steel welded joint has low susceptibility to cold cracking.</w:t>
      </w:r>
    </w:p>
    <w:p w14:paraId="60E6A7A8">
      <w:pPr>
        <w:pStyle w:val="16"/>
        <w:spacing w:before="31" w:after="31"/>
        <w:ind w:firstLine="480"/>
        <w:rPr>
          <w:szCs w:val="24"/>
        </w:rPr>
      </w:pPr>
      <w:r>
        <w:rPr>
          <w:szCs w:val="24"/>
        </w:rPr>
        <w:t>According to the lifting points' steel, the structural form of the lifting points, and the results of finite element calculations, it is indicated that there is a possibility of laminar tearing in this structure. Laminar tearing is a severe internal cracking phenomenon that often occurs in thick-walled structures. It occurs at lower temperatures and is mainly influenced by internal laminar inclusions in rolled steel (especially sulfides and oxides). During welding, stress perpendicular to the steel plate surface is generated, causing step-like laminar cracking near or slightly away from the heat-affected zone, and it can propagate transgranularly. For laminar tearing, the platform or shear wall of laminar tearing is closely related to the plasticity and toughness of the base material. If the plasticity and toughness are poor, indicating low deformation ability, the crack is more prone to propagation, and the resistance to laminar tearing is lower. To assess the laminar tearing tendency of the lifting points steel, a z-direction tensile test was conducted, using the shrinkage ratio of the section along the thickness direction of the steel plate to evaluate the laminar tearing tendency.</w:t>
      </w:r>
    </w:p>
    <w:p w14:paraId="15859B55">
      <w:pPr>
        <w:pStyle w:val="16"/>
        <w:spacing w:before="31" w:after="31"/>
        <w:ind w:firstLine="480"/>
        <w:rPr>
          <w:szCs w:val="24"/>
        </w:rPr>
      </w:pPr>
      <w:r>
        <w:rPr>
          <w:szCs w:val="24"/>
        </w:rPr>
        <w:t>The z-direction tensile test results showed that the lifting points steel had a shrinkage ratio along the thickness direction (approximately 18%) that was one-third of the shrinkage ratio along the non-thickness direction (approximately 62%). The fracture morphology of the thickness direction fracture was brittle with a high tendency toward grainy fracture, while the non-thickness direction tensile fracture was fibrous. This indicates that the lifting points steel of this thickness has poor plastic deformation ability in the thickness direction. Additionally, from the -40°C impact test results, it is evident that the steel's average impact absorption energy, whether near-surface specimens or near-center specimens, is relatively low, with an average value of only 15J. This further suggests that the lifting points steel has low plasticity and toughness in the thickness direction, and there is a tendency for laminar fracture when welded with significant restraint.</w:t>
      </w:r>
    </w:p>
    <w:p w14:paraId="6474139B">
      <w:pPr>
        <w:pStyle w:val="16"/>
        <w:spacing w:before="31" w:after="31"/>
        <w:ind w:firstLine="480"/>
        <w:rPr>
          <w:szCs w:val="24"/>
        </w:rPr>
      </w:pPr>
      <w:r>
        <w:rPr>
          <w:szCs w:val="24"/>
        </w:rPr>
        <w:t>(c) Evaluation of Fracture Performance of Lifting Points Welded Joints</w:t>
      </w:r>
    </w:p>
    <w:p w14:paraId="54211718">
      <w:pPr>
        <w:pStyle w:val="16"/>
        <w:spacing w:before="31" w:after="31"/>
        <w:ind w:firstLine="480"/>
        <w:rPr>
          <w:szCs w:val="24"/>
        </w:rPr>
      </w:pPr>
      <w:r>
        <w:rPr>
          <w:szCs w:val="24"/>
        </w:rPr>
        <w:t>This study measured the characteristic COD values of the welded seam, fusion zone, heat-affected zone, and base material specimens of the lifting points steel welded joints at -20°C. The specimens used were full-thickness square three-point bending specimens with pre-made fatigue cracks. The test strength and data processing followed the relevant requirements, and the test results are shown in Table 4-14. The average values in the table are the averages of the three specimens.</w:t>
      </w:r>
    </w:p>
    <w:p w14:paraId="091714EE">
      <w:pPr>
        <w:pStyle w:val="16"/>
        <w:spacing w:before="31" w:after="31"/>
        <w:ind w:firstLine="480"/>
        <w:rPr>
          <w:szCs w:val="24"/>
        </w:rPr>
      </w:pPr>
      <w:r>
        <w:rPr>
          <w:szCs w:val="24"/>
        </w:rPr>
        <w:t>The test on the crack opening displacement (COD) showed that although the characteristic COD values of the lifting points steel and the welded joints at -20°C did not reach the CTOD at the maximum load, the fracture toughness of the welded seam and heat-affected zone of the lifting points steel still met the requirements of relevant standards. However, the average COD value in the fusion zone was relatively low.</w:t>
      </w:r>
    </w:p>
    <w:p w14:paraId="558AAEF9">
      <w:pPr>
        <w:pStyle w:val="16"/>
        <w:spacing w:before="31" w:after="31"/>
        <w:ind w:firstLine="480"/>
        <w:rPr>
          <w:szCs w:val="24"/>
        </w:rPr>
      </w:pPr>
    </w:p>
    <w:p w14:paraId="44676F5B">
      <w:pPr>
        <w:pStyle w:val="16"/>
        <w:spacing w:before="31" w:after="31"/>
        <w:ind w:firstLine="480"/>
        <w:rPr>
          <w:szCs w:val="24"/>
        </w:rPr>
      </w:pPr>
      <w:r>
        <w:rPr>
          <w:szCs w:val="24"/>
        </w:rPr>
        <w:t>According to the British Code for the Construction of Fixed Offshore Petroleum Platforms (BS6235-82), the evaluation of the fracture performance of this steel was performed. The maximum allowable defect size at point B was calculated, and the results are shown in Table 4-15.</w:t>
      </w:r>
    </w:p>
    <w:p w14:paraId="4F27DB49">
      <w:pPr>
        <w:pStyle w:val="16"/>
        <w:spacing w:before="31" w:after="31"/>
        <w:ind w:firstLine="480"/>
        <w:rPr>
          <w:szCs w:val="24"/>
        </w:rPr>
      </w:pPr>
    </w:p>
    <w:p w14:paraId="47A8B1AE">
      <w:pPr>
        <w:pStyle w:val="16"/>
        <w:spacing w:before="31" w:after="31"/>
        <w:ind w:firstLine="482"/>
        <w:jc w:val="center"/>
        <w:rPr>
          <w:rFonts w:hint="eastAsia"/>
          <w:b/>
          <w:bCs/>
          <w:szCs w:val="24"/>
        </w:rPr>
      </w:pPr>
      <w:r>
        <w:rPr>
          <w:b/>
          <w:bCs/>
          <w:szCs w:val="24"/>
        </w:rPr>
        <w:t>Table 4-14 Test results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8"/>
        <w:gridCol w:w="2038"/>
        <w:gridCol w:w="2038"/>
        <w:gridCol w:w="2039"/>
      </w:tblGrid>
      <w:tr w14:paraId="1CCE7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3" w:type="dxa"/>
            <w:gridSpan w:val="4"/>
            <w:tcBorders>
              <w:top w:val="single" w:color="auto" w:sz="12" w:space="0"/>
              <w:left w:val="nil"/>
              <w:bottom w:val="single" w:color="auto" w:sz="12" w:space="0"/>
              <w:right w:val="nil"/>
            </w:tcBorders>
          </w:tcPr>
          <w:p w14:paraId="12868233">
            <w:pPr>
              <w:pStyle w:val="16"/>
              <w:spacing w:before="31" w:after="31"/>
              <w:ind w:firstLine="480"/>
              <w:rPr>
                <w:szCs w:val="24"/>
              </w:rPr>
            </w:pPr>
            <w:r>
              <w:rPr>
                <w:szCs w:val="24"/>
              </w:rPr>
              <w:t>Characteristic COD (average) values / mm</w:t>
            </w:r>
          </w:p>
          <w:p w14:paraId="2DB53C13">
            <w:pPr>
              <w:spacing w:line="360" w:lineRule="auto"/>
              <w:jc w:val="center"/>
              <w:rPr>
                <w:kern w:val="0"/>
                <w:szCs w:val="21"/>
              </w:rPr>
            </w:pPr>
          </w:p>
        </w:tc>
      </w:tr>
      <w:tr w14:paraId="61A18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8" w:type="dxa"/>
            <w:tcBorders>
              <w:top w:val="single" w:color="auto" w:sz="12" w:space="0"/>
              <w:left w:val="nil"/>
              <w:bottom w:val="nil"/>
              <w:right w:val="nil"/>
            </w:tcBorders>
          </w:tcPr>
          <w:p w14:paraId="371AE521">
            <w:pPr>
              <w:spacing w:line="360" w:lineRule="auto"/>
              <w:jc w:val="center"/>
              <w:rPr>
                <w:kern w:val="0"/>
                <w:szCs w:val="21"/>
              </w:rPr>
            </w:pPr>
            <w:r>
              <w:t>Weld Seam</w:t>
            </w:r>
          </w:p>
        </w:tc>
        <w:tc>
          <w:tcPr>
            <w:tcW w:w="2038" w:type="dxa"/>
            <w:tcBorders>
              <w:top w:val="single" w:color="auto" w:sz="12" w:space="0"/>
              <w:left w:val="nil"/>
              <w:bottom w:val="nil"/>
              <w:right w:val="nil"/>
            </w:tcBorders>
          </w:tcPr>
          <w:p w14:paraId="1DD4FB55">
            <w:pPr>
              <w:spacing w:line="360" w:lineRule="auto"/>
              <w:jc w:val="center"/>
              <w:rPr>
                <w:kern w:val="0"/>
                <w:szCs w:val="21"/>
              </w:rPr>
            </w:pPr>
            <w:r>
              <w:t>Fusion Zone</w:t>
            </w:r>
          </w:p>
        </w:tc>
        <w:tc>
          <w:tcPr>
            <w:tcW w:w="2038" w:type="dxa"/>
            <w:tcBorders>
              <w:top w:val="single" w:color="auto" w:sz="12" w:space="0"/>
              <w:left w:val="nil"/>
              <w:bottom w:val="nil"/>
              <w:right w:val="nil"/>
            </w:tcBorders>
          </w:tcPr>
          <w:p w14:paraId="0EBAA547">
            <w:pPr>
              <w:spacing w:line="360" w:lineRule="auto"/>
              <w:jc w:val="center"/>
              <w:rPr>
                <w:kern w:val="0"/>
                <w:szCs w:val="21"/>
              </w:rPr>
            </w:pPr>
            <w:r>
              <w:t>Heat-Affected Zone</w:t>
            </w:r>
          </w:p>
        </w:tc>
        <w:tc>
          <w:tcPr>
            <w:tcW w:w="2039" w:type="dxa"/>
            <w:tcBorders>
              <w:top w:val="single" w:color="auto" w:sz="12" w:space="0"/>
              <w:left w:val="nil"/>
              <w:bottom w:val="nil"/>
              <w:right w:val="nil"/>
            </w:tcBorders>
          </w:tcPr>
          <w:p w14:paraId="29634D84">
            <w:pPr>
              <w:spacing w:line="360" w:lineRule="auto"/>
              <w:jc w:val="center"/>
              <w:rPr>
                <w:kern w:val="0"/>
                <w:szCs w:val="21"/>
              </w:rPr>
            </w:pPr>
            <w:r>
              <w:t>Base Material</w:t>
            </w:r>
          </w:p>
        </w:tc>
      </w:tr>
      <w:tr w14:paraId="10C2B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8" w:type="dxa"/>
            <w:tcBorders>
              <w:top w:val="nil"/>
              <w:left w:val="nil"/>
              <w:bottom w:val="single" w:color="auto" w:sz="12" w:space="0"/>
              <w:right w:val="nil"/>
            </w:tcBorders>
          </w:tcPr>
          <w:p w14:paraId="0CDF3066">
            <w:pPr>
              <w:spacing w:line="360" w:lineRule="auto"/>
              <w:jc w:val="center"/>
              <w:rPr>
                <w:kern w:val="0"/>
                <w:szCs w:val="21"/>
              </w:rPr>
            </w:pPr>
            <w:r>
              <w:rPr>
                <w:kern w:val="0"/>
                <w:szCs w:val="21"/>
              </w:rPr>
              <w:t>0.1546</w:t>
            </w:r>
          </w:p>
        </w:tc>
        <w:tc>
          <w:tcPr>
            <w:tcW w:w="2038" w:type="dxa"/>
            <w:tcBorders>
              <w:top w:val="nil"/>
              <w:left w:val="nil"/>
              <w:bottom w:val="single" w:color="auto" w:sz="12" w:space="0"/>
              <w:right w:val="nil"/>
            </w:tcBorders>
          </w:tcPr>
          <w:p w14:paraId="69507B24">
            <w:pPr>
              <w:spacing w:line="360" w:lineRule="auto"/>
              <w:jc w:val="center"/>
              <w:rPr>
                <w:kern w:val="0"/>
                <w:szCs w:val="21"/>
              </w:rPr>
            </w:pPr>
            <w:r>
              <w:rPr>
                <w:kern w:val="0"/>
                <w:szCs w:val="21"/>
              </w:rPr>
              <w:t>0.1342</w:t>
            </w:r>
          </w:p>
        </w:tc>
        <w:tc>
          <w:tcPr>
            <w:tcW w:w="2038" w:type="dxa"/>
            <w:tcBorders>
              <w:top w:val="nil"/>
              <w:left w:val="nil"/>
              <w:bottom w:val="single" w:color="auto" w:sz="12" w:space="0"/>
              <w:right w:val="nil"/>
            </w:tcBorders>
          </w:tcPr>
          <w:p w14:paraId="4F90F5DC">
            <w:pPr>
              <w:spacing w:line="360" w:lineRule="auto"/>
              <w:jc w:val="center"/>
              <w:rPr>
                <w:kern w:val="0"/>
                <w:szCs w:val="21"/>
              </w:rPr>
            </w:pPr>
            <w:r>
              <w:rPr>
                <w:kern w:val="0"/>
                <w:szCs w:val="21"/>
              </w:rPr>
              <w:t>0.2313</w:t>
            </w:r>
          </w:p>
        </w:tc>
        <w:tc>
          <w:tcPr>
            <w:tcW w:w="2039" w:type="dxa"/>
            <w:tcBorders>
              <w:top w:val="nil"/>
              <w:left w:val="nil"/>
              <w:bottom w:val="single" w:color="auto" w:sz="12" w:space="0"/>
              <w:right w:val="nil"/>
            </w:tcBorders>
          </w:tcPr>
          <w:p w14:paraId="0734D457">
            <w:pPr>
              <w:spacing w:line="360" w:lineRule="auto"/>
              <w:jc w:val="center"/>
              <w:rPr>
                <w:kern w:val="0"/>
                <w:szCs w:val="21"/>
              </w:rPr>
            </w:pPr>
            <w:r>
              <w:rPr>
                <w:kern w:val="0"/>
                <w:szCs w:val="21"/>
              </w:rPr>
              <w:t>0.2575</w:t>
            </w:r>
          </w:p>
        </w:tc>
      </w:tr>
    </w:tbl>
    <w:p w14:paraId="12F00EB7">
      <w:pPr>
        <w:pStyle w:val="16"/>
        <w:spacing w:before="31" w:after="31"/>
        <w:ind w:firstLine="0" w:firstLineChars="0"/>
        <w:rPr>
          <w:rFonts w:hint="eastAsia"/>
          <w:szCs w:val="24"/>
        </w:rPr>
      </w:pPr>
    </w:p>
    <w:p w14:paraId="1E714D30">
      <w:pPr>
        <w:pStyle w:val="16"/>
        <w:spacing w:before="31" w:after="31"/>
        <w:ind w:firstLine="482"/>
        <w:jc w:val="center"/>
        <w:rPr>
          <w:b/>
          <w:bCs/>
          <w:szCs w:val="24"/>
        </w:rPr>
      </w:pPr>
      <w:r>
        <w:rPr>
          <w:b/>
          <w:bCs/>
          <w:szCs w:val="24"/>
        </w:rPr>
        <w:t>Table 4-15 Determination of allowable defect size</w:t>
      </w:r>
    </w:p>
    <w:p w14:paraId="2ECD4576">
      <w:pPr>
        <w:autoSpaceDE w:val="0"/>
        <w:autoSpaceDN w:val="0"/>
        <w:adjustRightInd w:val="0"/>
        <w:spacing w:before="468" w:beforeLines="150" w:after="156" w:afterLines="50" w:line="360" w:lineRule="auto"/>
        <w:jc w:val="center"/>
        <w:rPr>
          <w:rFonts w:eastAsia="黑体" w:cs="宋体"/>
          <w:b/>
          <w:szCs w:val="20"/>
        </w:rPr>
      </w:pPr>
      <w:r>
        <w:rPr>
          <w:rFonts w:hint="eastAsia" w:eastAsia="黑体" w:cs="宋体"/>
          <w:b/>
          <w:szCs w:val="20"/>
        </w:rPr>
        <w:t>表</w:t>
      </w:r>
      <w:r>
        <w:rPr>
          <w:rFonts w:eastAsia="黑体" w:cs="宋体"/>
          <w:b/>
          <w:szCs w:val="20"/>
        </w:rPr>
        <w:t xml:space="preserve">4-15 </w:t>
      </w:r>
      <w:r>
        <w:rPr>
          <w:rFonts w:hint="eastAsia" w:eastAsia="黑体" w:cs="宋体"/>
          <w:b/>
          <w:szCs w:val="20"/>
        </w:rPr>
        <w:t>容许缺陷尺寸的确定</w:t>
      </w:r>
    </w:p>
    <w:p w14:paraId="13EE9909">
      <w:pPr>
        <w:pStyle w:val="16"/>
        <w:spacing w:before="31" w:after="31"/>
        <w:ind w:firstLine="420"/>
        <w:jc w:val="center"/>
        <w:rPr>
          <w:rFonts w:cs="Times New Roman"/>
          <w:sz w:val="21"/>
          <w:szCs w:val="21"/>
        </w:rPr>
      </w:pPr>
      <w:r>
        <w:rPr>
          <w:rFonts w:cs="Times New Roman"/>
          <w:sz w:val="21"/>
          <w:szCs w:val="21"/>
        </w:rPr>
        <w:t>(</w:t>
      </w:r>
      <w:r>
        <w:rPr>
          <w:rFonts w:eastAsia="黑体" w:cs="Times New Roman"/>
          <w:sz w:val="21"/>
          <w:szCs w:val="21"/>
        </w:rPr>
        <w:t>σ</w:t>
      </w:r>
      <w:r>
        <w:rPr>
          <w:rFonts w:cs="Times New Roman"/>
          <w:sz w:val="21"/>
          <w:szCs w:val="21"/>
        </w:rPr>
        <w:t xml:space="preserve">=436Mpa, </w:t>
      </w:r>
      <w:r>
        <w:rPr>
          <w:rFonts w:eastAsia="黑体" w:cs="Times New Roman"/>
          <w:sz w:val="21"/>
          <w:szCs w:val="21"/>
        </w:rPr>
        <w:t>σ</w:t>
      </w:r>
      <w:r>
        <w:rPr>
          <w:rFonts w:cs="Times New Roman"/>
          <w:sz w:val="21"/>
          <w:szCs w:val="21"/>
          <w:vertAlign w:val="subscript"/>
        </w:rPr>
        <w:t>rp</w:t>
      </w:r>
      <w:r>
        <w:rPr>
          <w:rFonts w:cs="Times New Roman"/>
          <w:sz w:val="21"/>
          <w:szCs w:val="21"/>
        </w:rPr>
        <w:t xml:space="preserve">=375Mpa, </w:t>
      </w:r>
      <w:r>
        <w:rPr>
          <w:rFonts w:eastAsia="黑体" w:cs="Times New Roman"/>
          <w:sz w:val="21"/>
          <w:szCs w:val="21"/>
        </w:rPr>
        <w:t>σ</w:t>
      </w:r>
      <w:r>
        <w:rPr>
          <w:rFonts w:cs="Times New Roman"/>
          <w:sz w:val="21"/>
          <w:szCs w:val="21"/>
          <w:vertAlign w:val="subscript"/>
        </w:rPr>
        <w:t>rm</w:t>
      </w:r>
      <w:r>
        <w:rPr>
          <w:rFonts w:cs="Times New Roman"/>
          <w:sz w:val="21"/>
          <w:szCs w:val="21"/>
        </w:rPr>
        <w:t>=440Mpa)</w:t>
      </w:r>
    </w:p>
    <w:tbl>
      <w:tblPr>
        <w:tblStyle w:val="9"/>
        <w:tblW w:w="0" w:type="auto"/>
        <w:jc w:val="center"/>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1630"/>
        <w:gridCol w:w="2306"/>
        <w:gridCol w:w="3118"/>
      </w:tblGrid>
      <w:tr w14:paraId="33700C39">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630" w:type="dxa"/>
            <w:tcBorders>
              <w:top w:val="single" w:color="auto" w:sz="12" w:space="0"/>
              <w:left w:val="nil"/>
              <w:bottom w:val="single" w:color="auto" w:sz="12" w:space="0"/>
              <w:right w:val="nil"/>
            </w:tcBorders>
            <w:vAlign w:val="center"/>
          </w:tcPr>
          <w:p w14:paraId="4371A797">
            <w:pPr>
              <w:autoSpaceDE w:val="0"/>
              <w:autoSpaceDN w:val="0"/>
              <w:adjustRightInd w:val="0"/>
              <w:spacing w:line="360" w:lineRule="auto"/>
              <w:rPr>
                <w:kern w:val="0"/>
                <w:szCs w:val="21"/>
              </w:rPr>
            </w:pPr>
            <w:r>
              <w:t>Joint Position</w:t>
            </w:r>
          </w:p>
        </w:tc>
        <w:tc>
          <w:tcPr>
            <w:tcW w:w="2306" w:type="dxa"/>
            <w:tcBorders>
              <w:top w:val="single" w:color="auto" w:sz="12" w:space="0"/>
              <w:left w:val="nil"/>
              <w:bottom w:val="single" w:color="auto" w:sz="12" w:space="0"/>
              <w:right w:val="nil"/>
            </w:tcBorders>
            <w:vAlign w:val="center"/>
          </w:tcPr>
          <w:p w14:paraId="7A3723F8">
            <w:pPr>
              <w:autoSpaceDE w:val="0"/>
              <w:autoSpaceDN w:val="0"/>
              <w:adjustRightInd w:val="0"/>
              <w:spacing w:line="360" w:lineRule="auto"/>
              <w:jc w:val="center"/>
              <w:rPr>
                <w:kern w:val="0"/>
                <w:szCs w:val="21"/>
              </w:rPr>
            </w:pPr>
            <w:r>
              <w:t>Characteristic COD value δ/ mm</w:t>
            </w:r>
          </w:p>
        </w:tc>
        <w:tc>
          <w:tcPr>
            <w:tcW w:w="3118" w:type="dxa"/>
            <w:tcBorders>
              <w:top w:val="single" w:color="auto" w:sz="12" w:space="0"/>
              <w:left w:val="nil"/>
              <w:bottom w:val="single" w:color="auto" w:sz="12" w:space="0"/>
              <w:right w:val="nil"/>
            </w:tcBorders>
            <w:vAlign w:val="center"/>
          </w:tcPr>
          <w:p w14:paraId="55265716">
            <w:pPr>
              <w:pStyle w:val="16"/>
              <w:spacing w:before="31" w:after="31"/>
              <w:ind w:firstLine="480"/>
              <w:rPr>
                <w:szCs w:val="24"/>
              </w:rPr>
            </w:pPr>
            <w:r>
              <w:rPr>
                <w:szCs w:val="24"/>
              </w:rPr>
              <w:t>Allowable defect size σmax / mm</w:t>
            </w:r>
          </w:p>
          <w:p w14:paraId="306BD250">
            <w:pPr>
              <w:autoSpaceDE w:val="0"/>
              <w:autoSpaceDN w:val="0"/>
              <w:adjustRightInd w:val="0"/>
              <w:spacing w:line="360" w:lineRule="auto"/>
              <w:jc w:val="center"/>
              <w:rPr>
                <w:kern w:val="0"/>
                <w:szCs w:val="21"/>
              </w:rPr>
            </w:pPr>
          </w:p>
        </w:tc>
      </w:tr>
      <w:tr w14:paraId="4F16CA51">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630" w:type="dxa"/>
            <w:tcBorders>
              <w:top w:val="single" w:color="auto" w:sz="12" w:space="0"/>
              <w:left w:val="nil"/>
              <w:bottom w:val="single" w:color="auto" w:sz="12" w:space="0"/>
              <w:right w:val="nil"/>
            </w:tcBorders>
            <w:vAlign w:val="center"/>
          </w:tcPr>
          <w:p w14:paraId="6C91B348">
            <w:pPr>
              <w:autoSpaceDE w:val="0"/>
              <w:autoSpaceDN w:val="0"/>
              <w:adjustRightInd w:val="0"/>
              <w:spacing w:line="360" w:lineRule="auto"/>
              <w:jc w:val="center"/>
              <w:rPr>
                <w:kern w:val="0"/>
                <w:szCs w:val="21"/>
              </w:rPr>
            </w:pPr>
            <w:r>
              <w:t>Weld Seam</w:t>
            </w:r>
          </w:p>
        </w:tc>
        <w:tc>
          <w:tcPr>
            <w:tcW w:w="2306" w:type="dxa"/>
            <w:tcBorders>
              <w:top w:val="single" w:color="auto" w:sz="12" w:space="0"/>
              <w:left w:val="nil"/>
              <w:bottom w:val="single" w:color="auto" w:sz="12" w:space="0"/>
              <w:right w:val="nil"/>
            </w:tcBorders>
            <w:vAlign w:val="center"/>
          </w:tcPr>
          <w:p w14:paraId="2C97C36C">
            <w:pPr>
              <w:autoSpaceDE w:val="0"/>
              <w:autoSpaceDN w:val="0"/>
              <w:adjustRightInd w:val="0"/>
              <w:spacing w:line="360" w:lineRule="auto"/>
              <w:jc w:val="center"/>
              <w:rPr>
                <w:kern w:val="0"/>
                <w:szCs w:val="21"/>
              </w:rPr>
            </w:pPr>
            <w:r>
              <w:rPr>
                <w:kern w:val="0"/>
                <w:szCs w:val="21"/>
              </w:rPr>
              <w:t>0.1546</w:t>
            </w:r>
          </w:p>
        </w:tc>
        <w:tc>
          <w:tcPr>
            <w:tcW w:w="3118" w:type="dxa"/>
            <w:tcBorders>
              <w:top w:val="single" w:color="auto" w:sz="12" w:space="0"/>
              <w:left w:val="nil"/>
              <w:bottom w:val="single" w:color="auto" w:sz="12" w:space="0"/>
              <w:right w:val="nil"/>
            </w:tcBorders>
            <w:vAlign w:val="center"/>
          </w:tcPr>
          <w:p w14:paraId="5530E039">
            <w:pPr>
              <w:autoSpaceDE w:val="0"/>
              <w:autoSpaceDN w:val="0"/>
              <w:adjustRightInd w:val="0"/>
              <w:spacing w:line="360" w:lineRule="auto"/>
              <w:jc w:val="center"/>
              <w:rPr>
                <w:kern w:val="0"/>
                <w:szCs w:val="21"/>
              </w:rPr>
            </w:pPr>
            <w:r>
              <w:rPr>
                <w:kern w:val="0"/>
                <w:szCs w:val="21"/>
              </w:rPr>
              <w:t>7.37</w:t>
            </w:r>
          </w:p>
        </w:tc>
      </w:tr>
      <w:tr w14:paraId="50DFE068">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630" w:type="dxa"/>
            <w:tcBorders>
              <w:top w:val="single" w:color="auto" w:sz="12" w:space="0"/>
              <w:left w:val="nil"/>
              <w:bottom w:val="single" w:color="auto" w:sz="12" w:space="0"/>
              <w:right w:val="nil"/>
            </w:tcBorders>
            <w:vAlign w:val="center"/>
          </w:tcPr>
          <w:p w14:paraId="385C5693">
            <w:pPr>
              <w:autoSpaceDE w:val="0"/>
              <w:autoSpaceDN w:val="0"/>
              <w:adjustRightInd w:val="0"/>
              <w:spacing w:line="360" w:lineRule="auto"/>
              <w:jc w:val="center"/>
              <w:rPr>
                <w:kern w:val="0"/>
                <w:szCs w:val="21"/>
              </w:rPr>
            </w:pPr>
            <w:r>
              <w:t>Fusion Zone</w:t>
            </w:r>
          </w:p>
        </w:tc>
        <w:tc>
          <w:tcPr>
            <w:tcW w:w="2306" w:type="dxa"/>
            <w:tcBorders>
              <w:top w:val="single" w:color="auto" w:sz="12" w:space="0"/>
              <w:left w:val="nil"/>
              <w:bottom w:val="single" w:color="auto" w:sz="12" w:space="0"/>
              <w:right w:val="nil"/>
            </w:tcBorders>
            <w:vAlign w:val="center"/>
          </w:tcPr>
          <w:p w14:paraId="49721460">
            <w:pPr>
              <w:autoSpaceDE w:val="0"/>
              <w:autoSpaceDN w:val="0"/>
              <w:adjustRightInd w:val="0"/>
              <w:spacing w:line="360" w:lineRule="auto"/>
              <w:jc w:val="center"/>
              <w:rPr>
                <w:kern w:val="0"/>
                <w:szCs w:val="21"/>
              </w:rPr>
            </w:pPr>
            <w:r>
              <w:rPr>
                <w:kern w:val="0"/>
                <w:szCs w:val="21"/>
              </w:rPr>
              <w:t>0.1342</w:t>
            </w:r>
          </w:p>
        </w:tc>
        <w:tc>
          <w:tcPr>
            <w:tcW w:w="3118" w:type="dxa"/>
            <w:tcBorders>
              <w:top w:val="single" w:color="auto" w:sz="12" w:space="0"/>
              <w:left w:val="nil"/>
              <w:bottom w:val="single" w:color="auto" w:sz="12" w:space="0"/>
              <w:right w:val="nil"/>
            </w:tcBorders>
            <w:vAlign w:val="center"/>
          </w:tcPr>
          <w:p w14:paraId="388491F3">
            <w:pPr>
              <w:autoSpaceDE w:val="0"/>
              <w:autoSpaceDN w:val="0"/>
              <w:adjustRightInd w:val="0"/>
              <w:spacing w:line="360" w:lineRule="auto"/>
              <w:jc w:val="center"/>
              <w:rPr>
                <w:kern w:val="0"/>
                <w:szCs w:val="21"/>
              </w:rPr>
            </w:pPr>
            <w:r>
              <w:rPr>
                <w:kern w:val="0"/>
                <w:szCs w:val="21"/>
              </w:rPr>
              <w:t>6.40</w:t>
            </w:r>
          </w:p>
        </w:tc>
      </w:tr>
      <w:tr w14:paraId="7DCF9EE7">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630" w:type="dxa"/>
            <w:tcBorders>
              <w:top w:val="single" w:color="auto" w:sz="12" w:space="0"/>
              <w:left w:val="nil"/>
              <w:bottom w:val="single" w:color="auto" w:sz="12" w:space="0"/>
              <w:right w:val="nil"/>
            </w:tcBorders>
            <w:vAlign w:val="center"/>
          </w:tcPr>
          <w:p w14:paraId="37B0DA69">
            <w:pPr>
              <w:autoSpaceDE w:val="0"/>
              <w:autoSpaceDN w:val="0"/>
              <w:adjustRightInd w:val="0"/>
              <w:spacing w:line="360" w:lineRule="auto"/>
              <w:jc w:val="center"/>
              <w:rPr>
                <w:kern w:val="0"/>
                <w:szCs w:val="21"/>
              </w:rPr>
            </w:pPr>
            <w:r>
              <w:t>Heat-Affected Zone</w:t>
            </w:r>
          </w:p>
        </w:tc>
        <w:tc>
          <w:tcPr>
            <w:tcW w:w="2306" w:type="dxa"/>
            <w:tcBorders>
              <w:top w:val="single" w:color="auto" w:sz="12" w:space="0"/>
              <w:left w:val="nil"/>
              <w:bottom w:val="single" w:color="auto" w:sz="12" w:space="0"/>
              <w:right w:val="nil"/>
            </w:tcBorders>
            <w:vAlign w:val="center"/>
          </w:tcPr>
          <w:p w14:paraId="16B7C5D0">
            <w:pPr>
              <w:autoSpaceDE w:val="0"/>
              <w:autoSpaceDN w:val="0"/>
              <w:adjustRightInd w:val="0"/>
              <w:spacing w:line="360" w:lineRule="auto"/>
              <w:jc w:val="center"/>
              <w:rPr>
                <w:kern w:val="0"/>
                <w:szCs w:val="21"/>
              </w:rPr>
            </w:pPr>
            <w:r>
              <w:rPr>
                <w:kern w:val="0"/>
                <w:szCs w:val="21"/>
              </w:rPr>
              <w:t>0.2313</w:t>
            </w:r>
          </w:p>
        </w:tc>
        <w:tc>
          <w:tcPr>
            <w:tcW w:w="3118" w:type="dxa"/>
            <w:tcBorders>
              <w:top w:val="single" w:color="auto" w:sz="12" w:space="0"/>
              <w:left w:val="nil"/>
              <w:bottom w:val="single" w:color="auto" w:sz="12" w:space="0"/>
              <w:right w:val="nil"/>
            </w:tcBorders>
            <w:vAlign w:val="center"/>
          </w:tcPr>
          <w:p w14:paraId="232C83F9">
            <w:pPr>
              <w:autoSpaceDE w:val="0"/>
              <w:autoSpaceDN w:val="0"/>
              <w:adjustRightInd w:val="0"/>
              <w:spacing w:line="360" w:lineRule="auto"/>
              <w:jc w:val="center"/>
              <w:rPr>
                <w:kern w:val="0"/>
                <w:szCs w:val="21"/>
              </w:rPr>
            </w:pPr>
            <w:r>
              <w:rPr>
                <w:kern w:val="0"/>
                <w:szCs w:val="21"/>
              </w:rPr>
              <w:t>11.30</w:t>
            </w:r>
          </w:p>
        </w:tc>
      </w:tr>
    </w:tbl>
    <w:p w14:paraId="60DDA017">
      <w:pPr>
        <w:pStyle w:val="16"/>
        <w:spacing w:before="31" w:after="31"/>
        <w:ind w:firstLine="0" w:firstLineChars="0"/>
        <w:rPr>
          <w:szCs w:val="24"/>
        </w:rPr>
      </w:pPr>
      <w:r>
        <w:rPr>
          <w:szCs w:val="24"/>
        </w:rPr>
        <w:t>(7) Impact and Harm Caused</w:t>
      </w:r>
    </w:p>
    <w:p w14:paraId="3153732A">
      <w:pPr>
        <w:pStyle w:val="16"/>
        <w:spacing w:before="31" w:after="31"/>
        <w:ind w:firstLine="420" w:firstLineChars="0"/>
        <w:rPr>
          <w:szCs w:val="24"/>
        </w:rPr>
      </w:pPr>
      <w:r>
        <w:rPr>
          <w:szCs w:val="24"/>
        </w:rPr>
        <w:t>Null</w:t>
      </w:r>
    </w:p>
    <w:p w14:paraId="6BFC7308">
      <w:pPr>
        <w:pStyle w:val="16"/>
        <w:spacing w:before="31" w:after="31"/>
        <w:ind w:firstLine="0" w:firstLineChars="0"/>
        <w:rPr>
          <w:szCs w:val="24"/>
        </w:rPr>
      </w:pPr>
      <w:r>
        <w:rPr>
          <w:szCs w:val="24"/>
        </w:rPr>
        <w:t>(8) Conclusion and Improvement Measures</w:t>
      </w:r>
    </w:p>
    <w:p w14:paraId="4ED5F3D0">
      <w:pPr>
        <w:pStyle w:val="16"/>
        <w:spacing w:before="31" w:after="31"/>
        <w:ind w:firstLine="480"/>
        <w:rPr>
          <w:szCs w:val="24"/>
        </w:rPr>
      </w:pPr>
      <w:r>
        <w:rPr>
          <w:szCs w:val="24"/>
        </w:rPr>
        <w:t>(a) The maximum equivalent stress of the lifting point structure weld seam occurs at the lower end of the longitudinal weld seam between the lifting lug plate and the cylindrical body, with a value of 436MPa.</w:t>
      </w:r>
    </w:p>
    <w:p w14:paraId="00F760C9">
      <w:pPr>
        <w:pStyle w:val="16"/>
        <w:spacing w:before="31" w:after="31"/>
        <w:ind w:firstLine="480"/>
        <w:rPr>
          <w:szCs w:val="24"/>
        </w:rPr>
      </w:pPr>
      <w:r>
        <w:rPr>
          <w:szCs w:val="24"/>
        </w:rPr>
        <w:t>(b) The lifting points steel (thickness 50mm) has low plasticity and toughness in the thickness direction, indicating a tendency for laminar tearing.</w:t>
      </w:r>
    </w:p>
    <w:p w14:paraId="34C61FA1">
      <w:pPr>
        <w:pStyle w:val="16"/>
        <w:spacing w:before="31" w:after="31"/>
        <w:ind w:firstLine="480"/>
        <w:rPr>
          <w:szCs w:val="24"/>
        </w:rPr>
      </w:pPr>
      <w:r>
        <w:rPr>
          <w:szCs w:val="24"/>
        </w:rPr>
        <w:t>(c) The evaluation results indicate that the defects in the lifting points welded joints far exceed the maximum allowable defect size, and these defects must be repaired.</w:t>
      </w:r>
    </w:p>
    <w:p w14:paraId="31888C66">
      <w:pPr>
        <w:pStyle w:val="16"/>
        <w:spacing w:before="31" w:after="31"/>
        <w:ind w:firstLine="480"/>
        <w:rPr>
          <w:szCs w:val="24"/>
        </w:rPr>
      </w:pPr>
    </w:p>
    <w:p w14:paraId="5608E80C">
      <w:pPr>
        <w:pStyle w:val="16"/>
        <w:spacing w:before="31" w:after="31"/>
        <w:ind w:firstLine="0" w:firstLineChars="0"/>
        <w:rPr>
          <w:rFonts w:hint="eastAsia"/>
          <w:b/>
          <w:bCs/>
          <w:szCs w:val="24"/>
        </w:rPr>
      </w:pPr>
      <w:r>
        <w:rPr>
          <w:b/>
          <w:bCs/>
          <w:szCs w:val="24"/>
        </w:rPr>
        <w:t>4.3 Summary</w:t>
      </w:r>
    </w:p>
    <w:p w14:paraId="2EBAE9DB">
      <w:pPr>
        <w:pStyle w:val="16"/>
        <w:spacing w:before="31" w:after="31"/>
        <w:ind w:firstLine="0" w:firstLineChars="0"/>
        <w:rPr>
          <w:b/>
          <w:bCs/>
          <w:szCs w:val="24"/>
        </w:rPr>
      </w:pPr>
      <w:r>
        <w:rPr>
          <w:b/>
          <w:bCs/>
          <w:szCs w:val="24"/>
        </w:rPr>
        <w:t>4.3.1 Main Failure Modes and Issues</w:t>
      </w:r>
    </w:p>
    <w:p w14:paraId="438E3C42">
      <w:pPr>
        <w:pStyle w:val="16"/>
        <w:spacing w:before="31" w:after="31"/>
        <w:ind w:firstLine="0" w:firstLineChars="0"/>
        <w:rPr>
          <w:szCs w:val="24"/>
        </w:rPr>
      </w:pPr>
      <w:r>
        <w:rPr>
          <w:szCs w:val="24"/>
        </w:rPr>
        <w:t>4.3.1.1 Major Failure Modes</w:t>
      </w:r>
    </w:p>
    <w:p w14:paraId="42AA8ED6">
      <w:pPr>
        <w:pStyle w:val="16"/>
        <w:spacing w:before="31" w:after="31"/>
        <w:ind w:firstLine="480"/>
        <w:rPr>
          <w:szCs w:val="24"/>
        </w:rPr>
      </w:pPr>
      <w:r>
        <w:rPr>
          <w:szCs w:val="24"/>
        </w:rPr>
        <w:t>From the results of failure investigations, the main safety hazards in the marine engineering industry include corrosion of subsea oil pipelines, corrosion of offshore oil platforms, and failures of various protective measures. Specific failure modes include uniform corrosion, pitting corrosion, crevice corrosion, cavitation corrosion, fracture, failure of protective coatings, and failure due to ice-induced vibrations. For specific investigation cases, the causes of accidents were summarized from material factors, production and construction, design reasons, and environmental factors, as shown in Table 4-16.</w:t>
      </w:r>
    </w:p>
    <w:p w14:paraId="59D6C5A5">
      <w:pPr>
        <w:pStyle w:val="16"/>
        <w:spacing w:before="31" w:after="31"/>
        <w:ind w:firstLine="0" w:firstLineChars="0"/>
        <w:rPr>
          <w:szCs w:val="24"/>
        </w:rPr>
      </w:pPr>
      <w:r>
        <w:rPr>
          <w:szCs w:val="24"/>
        </w:rPr>
        <w:t>4.3.1.2 Existing Issues</w:t>
      </w:r>
    </w:p>
    <w:p w14:paraId="1F693245">
      <w:pPr>
        <w:pStyle w:val="16"/>
        <w:spacing w:before="31" w:after="31"/>
        <w:ind w:firstLine="480"/>
        <w:rPr>
          <w:szCs w:val="24"/>
        </w:rPr>
      </w:pPr>
      <w:r>
        <w:rPr>
          <w:szCs w:val="24"/>
        </w:rPr>
        <w:t>Through failure investigations, it was found that the harsh corrosive environment in the marine engineering industry led to severe corrosion of marine steel structures. Among them, the parts of offshore steel structures in the sea spray zone are subject to severe stress corrosion conditions, often the most severely corroded areas. Therefore, the implementation of various corrosion protection measures is crucial. The failure of various protective measures is mostly caused by human factors during actual construction. Construction operations are not strictly carried out according to relevant regulations, and operators are often not professional enough, resulting in significant losses in the marine engineering industry.</w:t>
      </w:r>
    </w:p>
    <w:p w14:paraId="29432B18">
      <w:pPr>
        <w:pStyle w:val="16"/>
        <w:spacing w:before="31" w:after="31"/>
        <w:ind w:firstLine="199" w:firstLineChars="83"/>
        <w:rPr>
          <w:rFonts w:hint="eastAsia"/>
          <w:szCs w:val="24"/>
        </w:rPr>
      </w:pPr>
    </w:p>
    <w:p w14:paraId="10D9069F">
      <w:pPr>
        <w:pStyle w:val="16"/>
        <w:spacing w:before="31" w:after="31"/>
        <w:ind w:firstLine="480"/>
        <w:rPr>
          <w:szCs w:val="24"/>
        </w:rPr>
      </w:pPr>
      <w:r>
        <w:rPr>
          <w:szCs w:val="24"/>
        </w:rPr>
        <w:t>Table 4-16 Summary of failure causes in marine engineering research cases</w:t>
      </w:r>
    </w:p>
    <w:tbl>
      <w:tblPr>
        <w:tblStyle w:val="9"/>
        <w:tblW w:w="0" w:type="auto"/>
        <w:tblInd w:w="108"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1"/>
        <w:gridCol w:w="2445"/>
        <w:gridCol w:w="1029"/>
        <w:gridCol w:w="1270"/>
        <w:gridCol w:w="896"/>
        <w:gridCol w:w="1643"/>
      </w:tblGrid>
      <w:tr w14:paraId="12F802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1276" w:type="dxa"/>
            <w:vMerge w:val="restart"/>
            <w:tcBorders>
              <w:top w:val="single" w:color="auto" w:sz="12" w:space="0"/>
              <w:left w:val="nil"/>
              <w:bottom w:val="single" w:color="auto" w:sz="12" w:space="0"/>
              <w:right w:val="nil"/>
            </w:tcBorders>
            <w:vAlign w:val="center"/>
          </w:tcPr>
          <w:p w14:paraId="3E0305DC">
            <w:pPr>
              <w:pStyle w:val="16"/>
              <w:spacing w:before="31" w:after="31"/>
              <w:ind w:firstLine="0" w:firstLineChars="0"/>
              <w:jc w:val="center"/>
              <w:rPr>
                <w:sz w:val="21"/>
                <w:szCs w:val="21"/>
              </w:rPr>
            </w:pPr>
            <w:r>
              <w:rPr>
                <w:szCs w:val="24"/>
              </w:rPr>
              <w:t>Number</w:t>
            </w:r>
          </w:p>
        </w:tc>
        <w:tc>
          <w:tcPr>
            <w:tcW w:w="3656" w:type="dxa"/>
            <w:vMerge w:val="restart"/>
            <w:tcBorders>
              <w:top w:val="single" w:color="auto" w:sz="12" w:space="0"/>
              <w:left w:val="nil"/>
              <w:bottom w:val="single" w:color="auto" w:sz="12" w:space="0"/>
              <w:right w:val="nil"/>
            </w:tcBorders>
            <w:vAlign w:val="center"/>
          </w:tcPr>
          <w:p w14:paraId="15049DD2">
            <w:pPr>
              <w:pStyle w:val="16"/>
              <w:spacing w:before="31" w:after="31"/>
              <w:ind w:firstLine="480"/>
              <w:jc w:val="center"/>
              <w:rPr>
                <w:sz w:val="21"/>
                <w:szCs w:val="21"/>
              </w:rPr>
            </w:pPr>
            <w:r>
              <w:rPr>
                <w:szCs w:val="24"/>
              </w:rPr>
              <w:t>Case Name</w:t>
            </w:r>
          </w:p>
        </w:tc>
        <w:tc>
          <w:tcPr>
            <w:tcW w:w="2865" w:type="dxa"/>
            <w:gridSpan w:val="4"/>
            <w:tcBorders>
              <w:top w:val="single" w:color="auto" w:sz="12" w:space="0"/>
              <w:left w:val="nil"/>
              <w:bottom w:val="single" w:color="auto" w:sz="12" w:space="0"/>
              <w:right w:val="nil"/>
            </w:tcBorders>
            <w:vAlign w:val="center"/>
          </w:tcPr>
          <w:p w14:paraId="6D272D0B">
            <w:pPr>
              <w:pStyle w:val="16"/>
              <w:spacing w:before="31" w:after="31"/>
              <w:ind w:firstLine="0" w:firstLineChars="0"/>
              <w:jc w:val="center"/>
              <w:rPr>
                <w:sz w:val="21"/>
                <w:szCs w:val="21"/>
              </w:rPr>
            </w:pPr>
            <w:r>
              <w:rPr>
                <w:szCs w:val="24"/>
              </w:rPr>
              <w:t>Failure Causes</w:t>
            </w:r>
          </w:p>
        </w:tc>
      </w:tr>
      <w:tr w14:paraId="644854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0" w:hRule="atLeast"/>
        </w:trPr>
        <w:tc>
          <w:tcPr>
            <w:tcW w:w="0" w:type="auto"/>
            <w:vMerge w:val="continue"/>
            <w:tcBorders>
              <w:top w:val="single" w:color="auto" w:sz="12" w:space="0"/>
              <w:left w:val="nil"/>
              <w:bottom w:val="single" w:color="auto" w:sz="12" w:space="0"/>
              <w:right w:val="nil"/>
            </w:tcBorders>
            <w:vAlign w:val="center"/>
          </w:tcPr>
          <w:p w14:paraId="4F79141A">
            <w:pPr>
              <w:widowControl/>
              <w:spacing w:beforeAutospacing="1" w:afterAutospacing="1"/>
              <w:jc w:val="left"/>
              <w:rPr>
                <w:rFonts w:cs="宋体"/>
                <w:szCs w:val="21"/>
              </w:rPr>
            </w:pPr>
          </w:p>
        </w:tc>
        <w:tc>
          <w:tcPr>
            <w:tcW w:w="0" w:type="auto"/>
            <w:vMerge w:val="continue"/>
            <w:tcBorders>
              <w:top w:val="single" w:color="auto" w:sz="12" w:space="0"/>
              <w:left w:val="nil"/>
              <w:bottom w:val="single" w:color="auto" w:sz="12" w:space="0"/>
              <w:right w:val="nil"/>
            </w:tcBorders>
            <w:vAlign w:val="center"/>
          </w:tcPr>
          <w:p w14:paraId="7304FE69">
            <w:pPr>
              <w:widowControl/>
              <w:spacing w:beforeAutospacing="1" w:afterAutospacing="1"/>
              <w:jc w:val="left"/>
              <w:rPr>
                <w:rFonts w:cs="宋体"/>
                <w:szCs w:val="21"/>
              </w:rPr>
            </w:pPr>
          </w:p>
        </w:tc>
        <w:tc>
          <w:tcPr>
            <w:tcW w:w="738" w:type="dxa"/>
            <w:tcBorders>
              <w:top w:val="single" w:color="auto" w:sz="12" w:space="0"/>
              <w:left w:val="nil"/>
              <w:bottom w:val="single" w:color="auto" w:sz="12" w:space="0"/>
              <w:right w:val="nil"/>
            </w:tcBorders>
            <w:vAlign w:val="center"/>
          </w:tcPr>
          <w:p w14:paraId="38C7235F">
            <w:pPr>
              <w:pStyle w:val="16"/>
              <w:spacing w:before="31" w:after="31"/>
              <w:ind w:firstLine="0" w:firstLineChars="0"/>
              <w:jc w:val="center"/>
              <w:rPr>
                <w:sz w:val="21"/>
                <w:szCs w:val="21"/>
              </w:rPr>
            </w:pPr>
            <w:r>
              <w:rPr>
                <w:szCs w:val="24"/>
              </w:rPr>
              <w:t>Material</w:t>
            </w:r>
          </w:p>
        </w:tc>
        <w:tc>
          <w:tcPr>
            <w:tcW w:w="709" w:type="dxa"/>
            <w:tcBorders>
              <w:top w:val="single" w:color="auto" w:sz="12" w:space="0"/>
              <w:left w:val="nil"/>
              <w:bottom w:val="single" w:color="auto" w:sz="12" w:space="0"/>
              <w:right w:val="nil"/>
            </w:tcBorders>
            <w:vAlign w:val="center"/>
          </w:tcPr>
          <w:p w14:paraId="30CE1734">
            <w:pPr>
              <w:pStyle w:val="16"/>
              <w:spacing w:before="31" w:after="31"/>
              <w:ind w:firstLine="0" w:firstLineChars="0"/>
              <w:jc w:val="center"/>
              <w:rPr>
                <w:sz w:val="21"/>
                <w:szCs w:val="21"/>
              </w:rPr>
            </w:pPr>
            <w:r>
              <w:rPr>
                <w:szCs w:val="24"/>
              </w:rPr>
              <w:t>Production</w:t>
            </w:r>
          </w:p>
        </w:tc>
        <w:tc>
          <w:tcPr>
            <w:tcW w:w="709" w:type="dxa"/>
            <w:tcBorders>
              <w:top w:val="single" w:color="auto" w:sz="12" w:space="0"/>
              <w:left w:val="nil"/>
              <w:bottom w:val="single" w:color="auto" w:sz="12" w:space="0"/>
              <w:right w:val="nil"/>
            </w:tcBorders>
            <w:vAlign w:val="center"/>
          </w:tcPr>
          <w:p w14:paraId="6D5CEEDE">
            <w:pPr>
              <w:pStyle w:val="16"/>
              <w:spacing w:before="31" w:after="31"/>
              <w:ind w:firstLine="0" w:firstLineChars="0"/>
              <w:jc w:val="center"/>
              <w:rPr>
                <w:sz w:val="21"/>
                <w:szCs w:val="21"/>
              </w:rPr>
            </w:pPr>
            <w:r>
              <w:rPr>
                <w:szCs w:val="24"/>
              </w:rPr>
              <w:t>Design</w:t>
            </w:r>
          </w:p>
        </w:tc>
        <w:tc>
          <w:tcPr>
            <w:tcW w:w="709" w:type="dxa"/>
            <w:tcBorders>
              <w:top w:val="single" w:color="auto" w:sz="12" w:space="0"/>
              <w:left w:val="nil"/>
              <w:bottom w:val="single" w:color="auto" w:sz="12" w:space="0"/>
              <w:right w:val="nil"/>
            </w:tcBorders>
            <w:vAlign w:val="center"/>
          </w:tcPr>
          <w:p w14:paraId="2144B7B5">
            <w:pPr>
              <w:pStyle w:val="16"/>
              <w:spacing w:before="31" w:after="31"/>
              <w:ind w:firstLine="0" w:firstLineChars="0"/>
              <w:jc w:val="center"/>
              <w:rPr>
                <w:sz w:val="21"/>
                <w:szCs w:val="21"/>
              </w:rPr>
            </w:pPr>
            <w:r>
              <w:rPr>
                <w:szCs w:val="24"/>
              </w:rPr>
              <w:t>Environmental</w:t>
            </w:r>
          </w:p>
        </w:tc>
      </w:tr>
      <w:tr w14:paraId="7F8830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Borders>
              <w:top w:val="single" w:color="auto" w:sz="12" w:space="0"/>
              <w:left w:val="nil"/>
              <w:bottom w:val="nil"/>
              <w:right w:val="nil"/>
            </w:tcBorders>
            <w:vAlign w:val="center"/>
          </w:tcPr>
          <w:p w14:paraId="45D9B480">
            <w:pPr>
              <w:pStyle w:val="16"/>
              <w:spacing w:before="31" w:after="31"/>
              <w:ind w:firstLine="0" w:firstLineChars="0"/>
              <w:jc w:val="center"/>
              <w:rPr>
                <w:sz w:val="21"/>
                <w:szCs w:val="21"/>
              </w:rPr>
            </w:pPr>
            <w:r>
              <w:rPr>
                <w:rFonts w:hint="eastAsia"/>
                <w:szCs w:val="24"/>
              </w:rPr>
              <w:t>Case 4-1</w:t>
            </w:r>
          </w:p>
        </w:tc>
        <w:tc>
          <w:tcPr>
            <w:tcW w:w="3656" w:type="dxa"/>
            <w:tcBorders>
              <w:top w:val="single" w:color="auto" w:sz="12" w:space="0"/>
              <w:left w:val="nil"/>
              <w:bottom w:val="nil"/>
              <w:right w:val="nil"/>
            </w:tcBorders>
            <w:vAlign w:val="center"/>
          </w:tcPr>
          <w:p w14:paraId="4BEE733B">
            <w:pPr>
              <w:pStyle w:val="16"/>
              <w:spacing w:before="31" w:after="31"/>
              <w:ind w:firstLine="0" w:firstLineChars="0"/>
              <w:jc w:val="left"/>
              <w:rPr>
                <w:sz w:val="21"/>
                <w:szCs w:val="21"/>
              </w:rPr>
            </w:pPr>
            <w:r>
              <w:rPr>
                <w:rFonts w:hint="eastAsia"/>
                <w:szCs w:val="24"/>
              </w:rPr>
              <w:t>Failure due to seawater corrosion at the welding of stainless steel pipes</w:t>
            </w:r>
          </w:p>
        </w:tc>
        <w:tc>
          <w:tcPr>
            <w:tcW w:w="738" w:type="dxa"/>
            <w:tcBorders>
              <w:top w:val="single" w:color="auto" w:sz="12" w:space="0"/>
              <w:left w:val="nil"/>
              <w:bottom w:val="nil"/>
              <w:right w:val="nil"/>
            </w:tcBorders>
            <w:vAlign w:val="center"/>
          </w:tcPr>
          <w:p w14:paraId="15C78B62">
            <w:pPr>
              <w:pStyle w:val="16"/>
              <w:spacing w:before="31" w:after="31"/>
              <w:ind w:firstLine="0" w:firstLineChars="0"/>
              <w:jc w:val="center"/>
              <w:rPr>
                <w:sz w:val="21"/>
                <w:szCs w:val="21"/>
              </w:rPr>
            </w:pPr>
          </w:p>
        </w:tc>
        <w:tc>
          <w:tcPr>
            <w:tcW w:w="709" w:type="dxa"/>
            <w:tcBorders>
              <w:top w:val="single" w:color="auto" w:sz="12" w:space="0"/>
              <w:left w:val="nil"/>
              <w:bottom w:val="nil"/>
              <w:right w:val="nil"/>
            </w:tcBorders>
            <w:vAlign w:val="center"/>
          </w:tcPr>
          <w:p w14:paraId="233AE620">
            <w:pPr>
              <w:pStyle w:val="16"/>
              <w:spacing w:before="31" w:after="31"/>
              <w:ind w:firstLine="0" w:firstLineChars="0"/>
              <w:jc w:val="center"/>
              <w:rPr>
                <w:sz w:val="21"/>
                <w:szCs w:val="21"/>
              </w:rPr>
            </w:pPr>
            <w:r>
              <w:rPr>
                <w:rFonts w:hint="eastAsia"/>
                <w:sz w:val="21"/>
                <w:szCs w:val="21"/>
              </w:rPr>
              <w:t>√</w:t>
            </w:r>
          </w:p>
        </w:tc>
        <w:tc>
          <w:tcPr>
            <w:tcW w:w="709" w:type="dxa"/>
            <w:tcBorders>
              <w:top w:val="single" w:color="auto" w:sz="12" w:space="0"/>
              <w:left w:val="nil"/>
              <w:bottom w:val="nil"/>
              <w:right w:val="nil"/>
            </w:tcBorders>
            <w:vAlign w:val="center"/>
          </w:tcPr>
          <w:p w14:paraId="259B23F5">
            <w:pPr>
              <w:pStyle w:val="16"/>
              <w:spacing w:before="31" w:after="31"/>
              <w:ind w:firstLine="0" w:firstLineChars="0"/>
              <w:jc w:val="center"/>
              <w:rPr>
                <w:sz w:val="21"/>
                <w:szCs w:val="21"/>
              </w:rPr>
            </w:pPr>
          </w:p>
        </w:tc>
        <w:tc>
          <w:tcPr>
            <w:tcW w:w="709" w:type="dxa"/>
            <w:tcBorders>
              <w:top w:val="single" w:color="auto" w:sz="12" w:space="0"/>
              <w:left w:val="nil"/>
              <w:bottom w:val="nil"/>
              <w:right w:val="nil"/>
            </w:tcBorders>
            <w:vAlign w:val="center"/>
          </w:tcPr>
          <w:p w14:paraId="4BBF28AC">
            <w:pPr>
              <w:pStyle w:val="16"/>
              <w:spacing w:before="31" w:after="31"/>
              <w:ind w:firstLine="0" w:firstLineChars="0"/>
              <w:jc w:val="center"/>
              <w:rPr>
                <w:sz w:val="21"/>
                <w:szCs w:val="21"/>
              </w:rPr>
            </w:pPr>
            <w:r>
              <w:rPr>
                <w:rFonts w:hint="eastAsia"/>
                <w:sz w:val="21"/>
                <w:szCs w:val="21"/>
              </w:rPr>
              <w:t>√</w:t>
            </w:r>
          </w:p>
        </w:tc>
      </w:tr>
      <w:tr w14:paraId="4983CA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Borders>
              <w:top w:val="nil"/>
              <w:left w:val="nil"/>
              <w:bottom w:val="nil"/>
              <w:right w:val="nil"/>
            </w:tcBorders>
            <w:vAlign w:val="center"/>
          </w:tcPr>
          <w:p w14:paraId="26CA5AF4">
            <w:pPr>
              <w:pStyle w:val="16"/>
              <w:spacing w:before="31" w:after="31"/>
              <w:ind w:firstLine="0" w:firstLineChars="0"/>
              <w:jc w:val="center"/>
              <w:rPr>
                <w:sz w:val="21"/>
                <w:szCs w:val="21"/>
              </w:rPr>
            </w:pPr>
            <w:r>
              <w:rPr>
                <w:rFonts w:hint="eastAsia"/>
                <w:szCs w:val="24"/>
              </w:rPr>
              <w:t>Case 4-</w:t>
            </w:r>
            <w:r>
              <w:rPr>
                <w:szCs w:val="24"/>
              </w:rPr>
              <w:t>2</w:t>
            </w:r>
          </w:p>
        </w:tc>
        <w:tc>
          <w:tcPr>
            <w:tcW w:w="3656" w:type="dxa"/>
            <w:tcBorders>
              <w:top w:val="nil"/>
              <w:left w:val="nil"/>
              <w:bottom w:val="nil"/>
              <w:right w:val="nil"/>
            </w:tcBorders>
            <w:vAlign w:val="center"/>
          </w:tcPr>
          <w:p w14:paraId="3C100E8B">
            <w:pPr>
              <w:pStyle w:val="16"/>
              <w:spacing w:before="31" w:after="31"/>
              <w:ind w:firstLine="0" w:firstLineChars="0"/>
              <w:jc w:val="left"/>
              <w:rPr>
                <w:sz w:val="21"/>
                <w:szCs w:val="21"/>
              </w:rPr>
            </w:pPr>
            <w:r>
              <w:rPr>
                <w:rFonts w:hint="eastAsia"/>
                <w:szCs w:val="24"/>
              </w:rPr>
              <w:t>Corrosion protection failure of steel floodgates in the Bohai Sea</w:t>
            </w:r>
          </w:p>
        </w:tc>
        <w:tc>
          <w:tcPr>
            <w:tcW w:w="738" w:type="dxa"/>
            <w:tcBorders>
              <w:top w:val="nil"/>
              <w:left w:val="nil"/>
              <w:bottom w:val="nil"/>
              <w:right w:val="nil"/>
            </w:tcBorders>
            <w:vAlign w:val="center"/>
          </w:tcPr>
          <w:p w14:paraId="4F0AC469">
            <w:pPr>
              <w:pStyle w:val="16"/>
              <w:spacing w:before="31" w:after="31"/>
              <w:ind w:firstLine="0" w:firstLineChars="0"/>
              <w:jc w:val="center"/>
              <w:rPr>
                <w:sz w:val="21"/>
                <w:szCs w:val="21"/>
              </w:rPr>
            </w:pPr>
            <w:r>
              <w:rPr>
                <w:rFonts w:hint="eastAsia"/>
                <w:sz w:val="21"/>
                <w:szCs w:val="21"/>
              </w:rPr>
              <w:t>√</w:t>
            </w:r>
          </w:p>
        </w:tc>
        <w:tc>
          <w:tcPr>
            <w:tcW w:w="709" w:type="dxa"/>
            <w:tcBorders>
              <w:top w:val="nil"/>
              <w:left w:val="nil"/>
              <w:bottom w:val="nil"/>
              <w:right w:val="nil"/>
            </w:tcBorders>
            <w:vAlign w:val="center"/>
          </w:tcPr>
          <w:p w14:paraId="6B1DC8C8">
            <w:pPr>
              <w:pStyle w:val="16"/>
              <w:spacing w:before="31" w:after="31"/>
              <w:ind w:firstLine="0" w:firstLineChars="0"/>
              <w:jc w:val="center"/>
              <w:rPr>
                <w:sz w:val="21"/>
                <w:szCs w:val="21"/>
              </w:rPr>
            </w:pPr>
            <w:r>
              <w:rPr>
                <w:rFonts w:hint="eastAsia"/>
                <w:sz w:val="21"/>
                <w:szCs w:val="21"/>
              </w:rPr>
              <w:t>√</w:t>
            </w:r>
          </w:p>
        </w:tc>
        <w:tc>
          <w:tcPr>
            <w:tcW w:w="709" w:type="dxa"/>
            <w:tcBorders>
              <w:top w:val="nil"/>
              <w:left w:val="nil"/>
              <w:bottom w:val="nil"/>
              <w:right w:val="nil"/>
            </w:tcBorders>
            <w:vAlign w:val="center"/>
          </w:tcPr>
          <w:p w14:paraId="70AC9C49">
            <w:pPr>
              <w:pStyle w:val="16"/>
              <w:spacing w:before="31" w:after="31"/>
              <w:ind w:firstLine="0" w:firstLineChars="0"/>
              <w:jc w:val="center"/>
              <w:rPr>
                <w:sz w:val="21"/>
                <w:szCs w:val="21"/>
              </w:rPr>
            </w:pPr>
            <w:r>
              <w:rPr>
                <w:rFonts w:hint="eastAsia"/>
                <w:sz w:val="21"/>
                <w:szCs w:val="21"/>
              </w:rPr>
              <w:t>√</w:t>
            </w:r>
          </w:p>
        </w:tc>
        <w:tc>
          <w:tcPr>
            <w:tcW w:w="709" w:type="dxa"/>
            <w:tcBorders>
              <w:top w:val="nil"/>
              <w:left w:val="nil"/>
              <w:bottom w:val="nil"/>
              <w:right w:val="nil"/>
            </w:tcBorders>
            <w:vAlign w:val="center"/>
          </w:tcPr>
          <w:p w14:paraId="28F491A2">
            <w:pPr>
              <w:pStyle w:val="16"/>
              <w:spacing w:before="31" w:after="31"/>
              <w:ind w:firstLine="0" w:firstLineChars="0"/>
              <w:jc w:val="center"/>
              <w:rPr>
                <w:sz w:val="21"/>
                <w:szCs w:val="21"/>
              </w:rPr>
            </w:pPr>
          </w:p>
        </w:tc>
      </w:tr>
      <w:tr w14:paraId="1B0FA9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Borders>
              <w:top w:val="nil"/>
              <w:left w:val="nil"/>
              <w:bottom w:val="nil"/>
              <w:right w:val="nil"/>
            </w:tcBorders>
            <w:vAlign w:val="center"/>
          </w:tcPr>
          <w:p w14:paraId="5FECD72E">
            <w:pPr>
              <w:pStyle w:val="16"/>
              <w:spacing w:before="31" w:after="31"/>
              <w:ind w:firstLine="0" w:firstLineChars="0"/>
              <w:jc w:val="center"/>
              <w:rPr>
                <w:sz w:val="21"/>
                <w:szCs w:val="21"/>
              </w:rPr>
            </w:pPr>
            <w:r>
              <w:rPr>
                <w:rFonts w:hint="eastAsia"/>
                <w:szCs w:val="24"/>
              </w:rPr>
              <w:t>Case 4-1</w:t>
            </w:r>
            <w:r>
              <w:rPr>
                <w:szCs w:val="24"/>
              </w:rPr>
              <w:t>3</w:t>
            </w:r>
          </w:p>
        </w:tc>
        <w:tc>
          <w:tcPr>
            <w:tcW w:w="3656" w:type="dxa"/>
            <w:tcBorders>
              <w:top w:val="nil"/>
              <w:left w:val="nil"/>
              <w:bottom w:val="nil"/>
              <w:right w:val="nil"/>
            </w:tcBorders>
            <w:vAlign w:val="center"/>
          </w:tcPr>
          <w:p w14:paraId="1C07DF19">
            <w:pPr>
              <w:pStyle w:val="16"/>
              <w:spacing w:before="31" w:after="31"/>
              <w:ind w:firstLine="0" w:firstLineChars="0"/>
              <w:jc w:val="left"/>
              <w:rPr>
                <w:sz w:val="21"/>
                <w:szCs w:val="21"/>
              </w:rPr>
            </w:pPr>
            <w:r>
              <w:rPr>
                <w:rFonts w:hint="eastAsia"/>
                <w:szCs w:val="24"/>
              </w:rPr>
              <w:t>Perforation failure caused by cavitation corrosion in offshore oil drilling pipelines</w:t>
            </w:r>
          </w:p>
        </w:tc>
        <w:tc>
          <w:tcPr>
            <w:tcW w:w="738" w:type="dxa"/>
            <w:tcBorders>
              <w:top w:val="nil"/>
              <w:left w:val="nil"/>
              <w:bottom w:val="nil"/>
              <w:right w:val="nil"/>
            </w:tcBorders>
            <w:vAlign w:val="center"/>
          </w:tcPr>
          <w:p w14:paraId="75067E52">
            <w:pPr>
              <w:pStyle w:val="16"/>
              <w:spacing w:before="31" w:after="31"/>
              <w:ind w:firstLine="0" w:firstLineChars="0"/>
              <w:jc w:val="center"/>
              <w:rPr>
                <w:sz w:val="21"/>
                <w:szCs w:val="21"/>
              </w:rPr>
            </w:pPr>
            <w:r>
              <w:rPr>
                <w:rFonts w:hint="eastAsia"/>
                <w:sz w:val="21"/>
                <w:szCs w:val="21"/>
              </w:rPr>
              <w:t>√</w:t>
            </w:r>
          </w:p>
        </w:tc>
        <w:tc>
          <w:tcPr>
            <w:tcW w:w="709" w:type="dxa"/>
            <w:tcBorders>
              <w:top w:val="nil"/>
              <w:left w:val="nil"/>
              <w:bottom w:val="nil"/>
              <w:right w:val="nil"/>
            </w:tcBorders>
            <w:vAlign w:val="center"/>
          </w:tcPr>
          <w:p w14:paraId="1529117E">
            <w:pPr>
              <w:pStyle w:val="16"/>
              <w:spacing w:before="31" w:after="31"/>
              <w:ind w:firstLine="0" w:firstLineChars="0"/>
              <w:jc w:val="center"/>
              <w:rPr>
                <w:sz w:val="21"/>
                <w:szCs w:val="21"/>
              </w:rPr>
            </w:pPr>
            <w:r>
              <w:rPr>
                <w:rFonts w:hint="eastAsia"/>
                <w:sz w:val="21"/>
                <w:szCs w:val="21"/>
              </w:rPr>
              <w:t>√</w:t>
            </w:r>
          </w:p>
        </w:tc>
        <w:tc>
          <w:tcPr>
            <w:tcW w:w="709" w:type="dxa"/>
            <w:tcBorders>
              <w:top w:val="nil"/>
              <w:left w:val="nil"/>
              <w:bottom w:val="nil"/>
              <w:right w:val="nil"/>
            </w:tcBorders>
            <w:vAlign w:val="center"/>
          </w:tcPr>
          <w:p w14:paraId="6390D26F">
            <w:pPr>
              <w:pStyle w:val="16"/>
              <w:spacing w:before="31" w:after="31"/>
              <w:ind w:firstLine="0" w:firstLineChars="0"/>
              <w:jc w:val="center"/>
              <w:rPr>
                <w:sz w:val="21"/>
                <w:szCs w:val="21"/>
              </w:rPr>
            </w:pPr>
          </w:p>
        </w:tc>
        <w:tc>
          <w:tcPr>
            <w:tcW w:w="709" w:type="dxa"/>
            <w:tcBorders>
              <w:top w:val="nil"/>
              <w:left w:val="nil"/>
              <w:bottom w:val="nil"/>
              <w:right w:val="nil"/>
            </w:tcBorders>
            <w:vAlign w:val="center"/>
          </w:tcPr>
          <w:p w14:paraId="45E5C6FD">
            <w:pPr>
              <w:pStyle w:val="16"/>
              <w:spacing w:before="31" w:after="31"/>
              <w:ind w:firstLine="0" w:firstLineChars="0"/>
              <w:jc w:val="center"/>
              <w:rPr>
                <w:sz w:val="21"/>
                <w:szCs w:val="21"/>
              </w:rPr>
            </w:pPr>
          </w:p>
        </w:tc>
      </w:tr>
      <w:tr w14:paraId="4957B4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Borders>
              <w:top w:val="nil"/>
              <w:left w:val="nil"/>
              <w:bottom w:val="nil"/>
              <w:right w:val="nil"/>
            </w:tcBorders>
            <w:vAlign w:val="center"/>
          </w:tcPr>
          <w:p w14:paraId="42E6B2A6">
            <w:pPr>
              <w:pStyle w:val="16"/>
              <w:spacing w:before="31" w:after="31"/>
              <w:ind w:firstLine="0" w:firstLineChars="0"/>
              <w:jc w:val="center"/>
              <w:rPr>
                <w:sz w:val="21"/>
                <w:szCs w:val="21"/>
              </w:rPr>
            </w:pPr>
            <w:r>
              <w:rPr>
                <w:rFonts w:hint="eastAsia"/>
                <w:szCs w:val="24"/>
              </w:rPr>
              <w:t>Case 4-</w:t>
            </w:r>
            <w:r>
              <w:rPr>
                <w:szCs w:val="24"/>
              </w:rPr>
              <w:t>4</w:t>
            </w:r>
          </w:p>
        </w:tc>
        <w:tc>
          <w:tcPr>
            <w:tcW w:w="3656" w:type="dxa"/>
            <w:tcBorders>
              <w:top w:val="nil"/>
              <w:left w:val="nil"/>
              <w:bottom w:val="nil"/>
              <w:right w:val="nil"/>
            </w:tcBorders>
            <w:vAlign w:val="center"/>
          </w:tcPr>
          <w:p w14:paraId="27605CA7">
            <w:pPr>
              <w:pStyle w:val="16"/>
              <w:spacing w:before="31" w:after="31"/>
              <w:ind w:firstLine="0" w:firstLineChars="0"/>
              <w:jc w:val="left"/>
              <w:rPr>
                <w:sz w:val="21"/>
                <w:szCs w:val="21"/>
              </w:rPr>
            </w:pPr>
            <w:r>
              <w:rPr>
                <w:rFonts w:hint="eastAsia"/>
                <w:szCs w:val="24"/>
              </w:rPr>
              <w:t>|Corrosion in a seawater cooling system of an oil platform</w:t>
            </w:r>
          </w:p>
        </w:tc>
        <w:tc>
          <w:tcPr>
            <w:tcW w:w="738" w:type="dxa"/>
            <w:tcBorders>
              <w:top w:val="nil"/>
              <w:left w:val="nil"/>
              <w:bottom w:val="nil"/>
              <w:right w:val="nil"/>
            </w:tcBorders>
            <w:vAlign w:val="center"/>
          </w:tcPr>
          <w:p w14:paraId="36CF3E0C">
            <w:pPr>
              <w:pStyle w:val="16"/>
              <w:spacing w:before="31" w:after="31"/>
              <w:ind w:firstLine="0" w:firstLineChars="0"/>
              <w:jc w:val="center"/>
              <w:rPr>
                <w:sz w:val="21"/>
                <w:szCs w:val="21"/>
              </w:rPr>
            </w:pPr>
          </w:p>
        </w:tc>
        <w:tc>
          <w:tcPr>
            <w:tcW w:w="709" w:type="dxa"/>
            <w:tcBorders>
              <w:top w:val="nil"/>
              <w:left w:val="nil"/>
              <w:bottom w:val="nil"/>
              <w:right w:val="nil"/>
            </w:tcBorders>
            <w:vAlign w:val="center"/>
          </w:tcPr>
          <w:p w14:paraId="478C21DC">
            <w:pPr>
              <w:pStyle w:val="16"/>
              <w:spacing w:before="31" w:after="31"/>
              <w:ind w:firstLine="0" w:firstLineChars="0"/>
              <w:jc w:val="center"/>
              <w:rPr>
                <w:sz w:val="21"/>
                <w:szCs w:val="21"/>
              </w:rPr>
            </w:pPr>
          </w:p>
        </w:tc>
        <w:tc>
          <w:tcPr>
            <w:tcW w:w="709" w:type="dxa"/>
            <w:tcBorders>
              <w:top w:val="nil"/>
              <w:left w:val="nil"/>
              <w:bottom w:val="nil"/>
              <w:right w:val="nil"/>
            </w:tcBorders>
            <w:vAlign w:val="center"/>
          </w:tcPr>
          <w:p w14:paraId="65FBC40B">
            <w:pPr>
              <w:pStyle w:val="16"/>
              <w:spacing w:before="31" w:after="31"/>
              <w:ind w:firstLine="0" w:firstLineChars="0"/>
              <w:jc w:val="center"/>
              <w:rPr>
                <w:sz w:val="21"/>
                <w:szCs w:val="21"/>
              </w:rPr>
            </w:pPr>
            <w:r>
              <w:rPr>
                <w:rFonts w:hint="eastAsia"/>
                <w:sz w:val="21"/>
                <w:szCs w:val="21"/>
              </w:rPr>
              <w:t>√</w:t>
            </w:r>
          </w:p>
        </w:tc>
        <w:tc>
          <w:tcPr>
            <w:tcW w:w="709" w:type="dxa"/>
            <w:tcBorders>
              <w:top w:val="nil"/>
              <w:left w:val="nil"/>
              <w:bottom w:val="nil"/>
              <w:right w:val="nil"/>
            </w:tcBorders>
            <w:vAlign w:val="center"/>
          </w:tcPr>
          <w:p w14:paraId="069CD302">
            <w:pPr>
              <w:pStyle w:val="16"/>
              <w:spacing w:before="31" w:after="31"/>
              <w:ind w:firstLine="0" w:firstLineChars="0"/>
              <w:jc w:val="center"/>
              <w:rPr>
                <w:sz w:val="21"/>
                <w:szCs w:val="21"/>
              </w:rPr>
            </w:pPr>
            <w:r>
              <w:rPr>
                <w:rFonts w:hint="eastAsia"/>
                <w:sz w:val="21"/>
                <w:szCs w:val="21"/>
              </w:rPr>
              <w:t>√</w:t>
            </w:r>
          </w:p>
        </w:tc>
      </w:tr>
      <w:tr w14:paraId="3CC523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Borders>
              <w:top w:val="nil"/>
              <w:left w:val="nil"/>
              <w:bottom w:val="nil"/>
              <w:right w:val="nil"/>
            </w:tcBorders>
            <w:vAlign w:val="center"/>
          </w:tcPr>
          <w:p w14:paraId="44B8D06A">
            <w:pPr>
              <w:pStyle w:val="16"/>
              <w:spacing w:before="31" w:after="31"/>
              <w:ind w:firstLine="0" w:firstLineChars="0"/>
              <w:jc w:val="center"/>
              <w:rPr>
                <w:sz w:val="21"/>
                <w:szCs w:val="21"/>
              </w:rPr>
            </w:pPr>
            <w:r>
              <w:rPr>
                <w:rFonts w:hint="eastAsia"/>
                <w:szCs w:val="24"/>
              </w:rPr>
              <w:t>Case</w:t>
            </w:r>
            <w:r>
              <w:rPr>
                <w:sz w:val="21"/>
                <w:szCs w:val="21"/>
              </w:rPr>
              <w:t xml:space="preserve"> 4-5</w:t>
            </w:r>
          </w:p>
        </w:tc>
        <w:tc>
          <w:tcPr>
            <w:tcW w:w="3656" w:type="dxa"/>
            <w:tcBorders>
              <w:top w:val="nil"/>
              <w:left w:val="nil"/>
              <w:bottom w:val="nil"/>
              <w:right w:val="nil"/>
            </w:tcBorders>
            <w:vAlign w:val="center"/>
          </w:tcPr>
          <w:p w14:paraId="01204323">
            <w:pPr>
              <w:pStyle w:val="16"/>
              <w:spacing w:before="31" w:after="31"/>
              <w:ind w:firstLine="0" w:firstLineChars="0"/>
              <w:jc w:val="left"/>
              <w:rPr>
                <w:sz w:val="21"/>
                <w:szCs w:val="21"/>
              </w:rPr>
            </w:pPr>
            <w:r>
              <w:rPr>
                <w:rFonts w:hint="eastAsia"/>
                <w:szCs w:val="24"/>
              </w:rPr>
              <w:t>Corrosion and fracture of wellbore pipes in offshore gas fields</w:t>
            </w:r>
          </w:p>
        </w:tc>
        <w:tc>
          <w:tcPr>
            <w:tcW w:w="738" w:type="dxa"/>
            <w:tcBorders>
              <w:top w:val="nil"/>
              <w:left w:val="nil"/>
              <w:bottom w:val="nil"/>
              <w:right w:val="nil"/>
            </w:tcBorders>
            <w:vAlign w:val="center"/>
          </w:tcPr>
          <w:p w14:paraId="4DBC33E9">
            <w:pPr>
              <w:pStyle w:val="16"/>
              <w:spacing w:before="31" w:after="31"/>
              <w:ind w:firstLine="0" w:firstLineChars="0"/>
              <w:jc w:val="center"/>
              <w:rPr>
                <w:sz w:val="21"/>
                <w:szCs w:val="21"/>
              </w:rPr>
            </w:pPr>
            <w:r>
              <w:rPr>
                <w:rFonts w:hint="eastAsia"/>
                <w:sz w:val="21"/>
                <w:szCs w:val="21"/>
              </w:rPr>
              <w:t>√</w:t>
            </w:r>
          </w:p>
        </w:tc>
        <w:tc>
          <w:tcPr>
            <w:tcW w:w="709" w:type="dxa"/>
            <w:tcBorders>
              <w:top w:val="nil"/>
              <w:left w:val="nil"/>
              <w:bottom w:val="nil"/>
              <w:right w:val="nil"/>
            </w:tcBorders>
            <w:vAlign w:val="center"/>
          </w:tcPr>
          <w:p w14:paraId="48205334">
            <w:pPr>
              <w:pStyle w:val="16"/>
              <w:spacing w:before="31" w:after="31"/>
              <w:ind w:firstLine="0" w:firstLineChars="0"/>
              <w:jc w:val="center"/>
              <w:rPr>
                <w:sz w:val="21"/>
                <w:szCs w:val="21"/>
              </w:rPr>
            </w:pPr>
          </w:p>
        </w:tc>
        <w:tc>
          <w:tcPr>
            <w:tcW w:w="709" w:type="dxa"/>
            <w:tcBorders>
              <w:top w:val="nil"/>
              <w:left w:val="nil"/>
              <w:bottom w:val="nil"/>
              <w:right w:val="nil"/>
            </w:tcBorders>
            <w:vAlign w:val="center"/>
          </w:tcPr>
          <w:p w14:paraId="1B24C3DD">
            <w:pPr>
              <w:pStyle w:val="16"/>
              <w:spacing w:before="31" w:after="31"/>
              <w:ind w:firstLine="0" w:firstLineChars="0"/>
              <w:jc w:val="center"/>
              <w:rPr>
                <w:sz w:val="21"/>
                <w:szCs w:val="21"/>
              </w:rPr>
            </w:pPr>
          </w:p>
        </w:tc>
        <w:tc>
          <w:tcPr>
            <w:tcW w:w="709" w:type="dxa"/>
            <w:tcBorders>
              <w:top w:val="nil"/>
              <w:left w:val="nil"/>
              <w:bottom w:val="nil"/>
              <w:right w:val="nil"/>
            </w:tcBorders>
            <w:vAlign w:val="center"/>
          </w:tcPr>
          <w:p w14:paraId="6C7AC42F">
            <w:pPr>
              <w:pStyle w:val="16"/>
              <w:spacing w:before="31" w:after="31"/>
              <w:ind w:firstLine="0" w:firstLineChars="0"/>
              <w:jc w:val="center"/>
              <w:rPr>
                <w:sz w:val="21"/>
                <w:szCs w:val="21"/>
              </w:rPr>
            </w:pPr>
            <w:r>
              <w:rPr>
                <w:rFonts w:hint="eastAsia"/>
                <w:sz w:val="21"/>
                <w:szCs w:val="21"/>
              </w:rPr>
              <w:t>√</w:t>
            </w:r>
          </w:p>
        </w:tc>
      </w:tr>
      <w:tr w14:paraId="5070A7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Borders>
              <w:top w:val="nil"/>
              <w:left w:val="nil"/>
              <w:bottom w:val="nil"/>
              <w:right w:val="nil"/>
            </w:tcBorders>
            <w:vAlign w:val="center"/>
          </w:tcPr>
          <w:p w14:paraId="71E368F6">
            <w:pPr>
              <w:pStyle w:val="16"/>
              <w:spacing w:before="31" w:after="31"/>
              <w:ind w:firstLine="0" w:firstLineChars="0"/>
              <w:jc w:val="center"/>
              <w:rPr>
                <w:sz w:val="21"/>
                <w:szCs w:val="21"/>
              </w:rPr>
            </w:pPr>
            <w:r>
              <w:rPr>
                <w:rFonts w:hint="eastAsia"/>
                <w:szCs w:val="24"/>
              </w:rPr>
              <w:t>Case</w:t>
            </w:r>
            <w:r>
              <w:rPr>
                <w:sz w:val="21"/>
                <w:szCs w:val="21"/>
              </w:rPr>
              <w:t xml:space="preserve"> 4-6</w:t>
            </w:r>
          </w:p>
        </w:tc>
        <w:tc>
          <w:tcPr>
            <w:tcW w:w="3656" w:type="dxa"/>
            <w:tcBorders>
              <w:top w:val="nil"/>
              <w:left w:val="nil"/>
              <w:bottom w:val="nil"/>
              <w:right w:val="nil"/>
            </w:tcBorders>
            <w:vAlign w:val="center"/>
          </w:tcPr>
          <w:p w14:paraId="3C3E899F">
            <w:pPr>
              <w:pStyle w:val="16"/>
              <w:spacing w:before="31" w:after="31"/>
              <w:ind w:firstLine="0" w:firstLineChars="0"/>
              <w:jc w:val="left"/>
              <w:rPr>
                <w:sz w:val="21"/>
                <w:szCs w:val="21"/>
              </w:rPr>
            </w:pPr>
            <w:r>
              <w:rPr>
                <w:rFonts w:hint="eastAsia"/>
                <w:szCs w:val="24"/>
              </w:rPr>
              <w:t>Fracture of underwater ball joints</w:t>
            </w:r>
          </w:p>
        </w:tc>
        <w:tc>
          <w:tcPr>
            <w:tcW w:w="738" w:type="dxa"/>
            <w:tcBorders>
              <w:top w:val="nil"/>
              <w:left w:val="nil"/>
              <w:bottom w:val="nil"/>
              <w:right w:val="nil"/>
            </w:tcBorders>
            <w:vAlign w:val="center"/>
          </w:tcPr>
          <w:p w14:paraId="46327419">
            <w:pPr>
              <w:pStyle w:val="16"/>
              <w:spacing w:before="31" w:after="31"/>
              <w:ind w:firstLine="0" w:firstLineChars="0"/>
              <w:jc w:val="center"/>
              <w:rPr>
                <w:sz w:val="21"/>
                <w:szCs w:val="21"/>
              </w:rPr>
            </w:pPr>
          </w:p>
        </w:tc>
        <w:tc>
          <w:tcPr>
            <w:tcW w:w="709" w:type="dxa"/>
            <w:tcBorders>
              <w:top w:val="nil"/>
              <w:left w:val="nil"/>
              <w:bottom w:val="nil"/>
              <w:right w:val="nil"/>
            </w:tcBorders>
            <w:vAlign w:val="center"/>
          </w:tcPr>
          <w:p w14:paraId="189CCD09">
            <w:pPr>
              <w:pStyle w:val="16"/>
              <w:spacing w:before="31" w:after="31"/>
              <w:ind w:firstLine="0" w:firstLineChars="0"/>
              <w:jc w:val="center"/>
              <w:rPr>
                <w:sz w:val="21"/>
                <w:szCs w:val="21"/>
              </w:rPr>
            </w:pPr>
            <w:r>
              <w:rPr>
                <w:rFonts w:hint="eastAsia"/>
                <w:sz w:val="21"/>
                <w:szCs w:val="21"/>
              </w:rPr>
              <w:t>√</w:t>
            </w:r>
          </w:p>
        </w:tc>
        <w:tc>
          <w:tcPr>
            <w:tcW w:w="709" w:type="dxa"/>
            <w:tcBorders>
              <w:top w:val="nil"/>
              <w:left w:val="nil"/>
              <w:bottom w:val="nil"/>
              <w:right w:val="nil"/>
            </w:tcBorders>
            <w:vAlign w:val="center"/>
          </w:tcPr>
          <w:p w14:paraId="52727F9A">
            <w:pPr>
              <w:pStyle w:val="16"/>
              <w:spacing w:before="31" w:after="31"/>
              <w:ind w:firstLine="0" w:firstLineChars="0"/>
              <w:jc w:val="center"/>
              <w:rPr>
                <w:sz w:val="21"/>
                <w:szCs w:val="21"/>
              </w:rPr>
            </w:pPr>
            <w:r>
              <w:rPr>
                <w:rFonts w:hint="eastAsia"/>
                <w:sz w:val="21"/>
                <w:szCs w:val="21"/>
              </w:rPr>
              <w:t>√</w:t>
            </w:r>
          </w:p>
        </w:tc>
        <w:tc>
          <w:tcPr>
            <w:tcW w:w="709" w:type="dxa"/>
            <w:tcBorders>
              <w:top w:val="nil"/>
              <w:left w:val="nil"/>
              <w:bottom w:val="nil"/>
              <w:right w:val="nil"/>
            </w:tcBorders>
            <w:vAlign w:val="center"/>
          </w:tcPr>
          <w:p w14:paraId="0D960CAB">
            <w:pPr>
              <w:pStyle w:val="16"/>
              <w:spacing w:before="31" w:after="31"/>
              <w:ind w:firstLine="0" w:firstLineChars="0"/>
              <w:jc w:val="center"/>
              <w:rPr>
                <w:sz w:val="21"/>
                <w:szCs w:val="21"/>
              </w:rPr>
            </w:pPr>
          </w:p>
        </w:tc>
      </w:tr>
      <w:tr w14:paraId="0BF2A8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Borders>
              <w:top w:val="nil"/>
              <w:left w:val="nil"/>
              <w:bottom w:val="nil"/>
              <w:right w:val="nil"/>
            </w:tcBorders>
            <w:vAlign w:val="center"/>
          </w:tcPr>
          <w:p w14:paraId="0CE25FB5">
            <w:pPr>
              <w:pStyle w:val="16"/>
              <w:spacing w:before="31" w:after="31"/>
              <w:ind w:firstLine="0" w:firstLineChars="0"/>
              <w:jc w:val="center"/>
              <w:rPr>
                <w:sz w:val="21"/>
                <w:szCs w:val="21"/>
              </w:rPr>
            </w:pPr>
            <w:r>
              <w:rPr>
                <w:rFonts w:hint="eastAsia"/>
                <w:szCs w:val="24"/>
              </w:rPr>
              <w:t>Case</w:t>
            </w:r>
            <w:r>
              <w:rPr>
                <w:sz w:val="21"/>
                <w:szCs w:val="21"/>
              </w:rPr>
              <w:t xml:space="preserve"> 4-7</w:t>
            </w:r>
          </w:p>
        </w:tc>
        <w:tc>
          <w:tcPr>
            <w:tcW w:w="3656" w:type="dxa"/>
            <w:tcBorders>
              <w:top w:val="nil"/>
              <w:left w:val="nil"/>
              <w:bottom w:val="nil"/>
              <w:right w:val="nil"/>
            </w:tcBorders>
            <w:vAlign w:val="center"/>
          </w:tcPr>
          <w:p w14:paraId="637E5C5F">
            <w:pPr>
              <w:pStyle w:val="16"/>
              <w:spacing w:before="31" w:after="31"/>
              <w:ind w:firstLine="0" w:firstLineChars="0"/>
              <w:jc w:val="left"/>
              <w:rPr>
                <w:sz w:val="21"/>
                <w:szCs w:val="21"/>
              </w:rPr>
            </w:pPr>
            <w:r>
              <w:rPr>
                <w:rFonts w:hint="eastAsia"/>
                <w:szCs w:val="24"/>
              </w:rPr>
              <w:t>Failure of the Bohai ice-resistant guide frame platform</w:t>
            </w:r>
          </w:p>
        </w:tc>
        <w:tc>
          <w:tcPr>
            <w:tcW w:w="738" w:type="dxa"/>
            <w:tcBorders>
              <w:top w:val="nil"/>
              <w:left w:val="nil"/>
              <w:bottom w:val="nil"/>
              <w:right w:val="nil"/>
            </w:tcBorders>
            <w:vAlign w:val="center"/>
          </w:tcPr>
          <w:p w14:paraId="01AA9C81">
            <w:pPr>
              <w:pStyle w:val="16"/>
              <w:spacing w:before="31" w:after="31"/>
              <w:ind w:firstLine="0" w:firstLineChars="0"/>
              <w:jc w:val="center"/>
              <w:rPr>
                <w:sz w:val="21"/>
                <w:szCs w:val="21"/>
              </w:rPr>
            </w:pPr>
          </w:p>
        </w:tc>
        <w:tc>
          <w:tcPr>
            <w:tcW w:w="709" w:type="dxa"/>
            <w:tcBorders>
              <w:top w:val="nil"/>
              <w:left w:val="nil"/>
              <w:bottom w:val="nil"/>
              <w:right w:val="nil"/>
            </w:tcBorders>
            <w:vAlign w:val="center"/>
          </w:tcPr>
          <w:p w14:paraId="0942BB3C">
            <w:pPr>
              <w:pStyle w:val="16"/>
              <w:spacing w:before="31" w:after="31"/>
              <w:ind w:firstLine="0" w:firstLineChars="0"/>
              <w:jc w:val="center"/>
              <w:rPr>
                <w:sz w:val="21"/>
                <w:szCs w:val="21"/>
              </w:rPr>
            </w:pPr>
          </w:p>
        </w:tc>
        <w:tc>
          <w:tcPr>
            <w:tcW w:w="709" w:type="dxa"/>
            <w:tcBorders>
              <w:top w:val="nil"/>
              <w:left w:val="nil"/>
              <w:bottom w:val="nil"/>
              <w:right w:val="nil"/>
            </w:tcBorders>
            <w:vAlign w:val="center"/>
          </w:tcPr>
          <w:p w14:paraId="6015B361">
            <w:pPr>
              <w:pStyle w:val="16"/>
              <w:spacing w:before="31" w:after="31"/>
              <w:ind w:firstLine="0" w:firstLineChars="0"/>
              <w:jc w:val="center"/>
              <w:rPr>
                <w:sz w:val="21"/>
                <w:szCs w:val="21"/>
              </w:rPr>
            </w:pPr>
          </w:p>
        </w:tc>
        <w:tc>
          <w:tcPr>
            <w:tcW w:w="709" w:type="dxa"/>
            <w:tcBorders>
              <w:top w:val="nil"/>
              <w:left w:val="nil"/>
              <w:bottom w:val="nil"/>
              <w:right w:val="nil"/>
            </w:tcBorders>
            <w:vAlign w:val="center"/>
          </w:tcPr>
          <w:p w14:paraId="3B8F851E">
            <w:pPr>
              <w:pStyle w:val="16"/>
              <w:spacing w:before="31" w:after="31"/>
              <w:ind w:firstLine="0" w:firstLineChars="0"/>
              <w:jc w:val="center"/>
              <w:rPr>
                <w:sz w:val="21"/>
                <w:szCs w:val="21"/>
              </w:rPr>
            </w:pPr>
            <w:r>
              <w:rPr>
                <w:rFonts w:hint="eastAsia"/>
                <w:sz w:val="21"/>
                <w:szCs w:val="21"/>
              </w:rPr>
              <w:t>√</w:t>
            </w:r>
          </w:p>
        </w:tc>
      </w:tr>
      <w:tr w14:paraId="0420C1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Borders>
              <w:top w:val="nil"/>
              <w:left w:val="nil"/>
              <w:bottom w:val="single" w:color="auto" w:sz="12" w:space="0"/>
              <w:right w:val="nil"/>
            </w:tcBorders>
            <w:vAlign w:val="center"/>
          </w:tcPr>
          <w:p w14:paraId="772D0BEA">
            <w:pPr>
              <w:pStyle w:val="16"/>
              <w:spacing w:before="31" w:after="31"/>
              <w:ind w:firstLine="0" w:firstLineChars="0"/>
              <w:jc w:val="center"/>
              <w:rPr>
                <w:sz w:val="21"/>
                <w:szCs w:val="21"/>
              </w:rPr>
            </w:pPr>
            <w:r>
              <w:rPr>
                <w:rFonts w:hint="eastAsia"/>
                <w:szCs w:val="24"/>
              </w:rPr>
              <w:t>Case</w:t>
            </w:r>
            <w:r>
              <w:rPr>
                <w:sz w:val="21"/>
                <w:szCs w:val="21"/>
              </w:rPr>
              <w:t xml:space="preserve"> 4-8</w:t>
            </w:r>
          </w:p>
        </w:tc>
        <w:tc>
          <w:tcPr>
            <w:tcW w:w="3656" w:type="dxa"/>
            <w:tcBorders>
              <w:top w:val="nil"/>
              <w:left w:val="nil"/>
              <w:bottom w:val="single" w:color="auto" w:sz="12" w:space="0"/>
              <w:right w:val="nil"/>
            </w:tcBorders>
            <w:vAlign w:val="center"/>
          </w:tcPr>
          <w:p w14:paraId="162F1575">
            <w:pPr>
              <w:pStyle w:val="16"/>
              <w:spacing w:before="31" w:after="31"/>
              <w:ind w:firstLine="0" w:firstLineChars="0"/>
              <w:jc w:val="left"/>
              <w:rPr>
                <w:sz w:val="21"/>
                <w:szCs w:val="21"/>
              </w:rPr>
            </w:pPr>
            <w:r>
              <w:rPr>
                <w:rFonts w:hint="eastAsia"/>
                <w:szCs w:val="24"/>
              </w:rPr>
              <w:t>Failure of lifting points on an offshore platform</w:t>
            </w:r>
          </w:p>
        </w:tc>
        <w:tc>
          <w:tcPr>
            <w:tcW w:w="738" w:type="dxa"/>
            <w:tcBorders>
              <w:top w:val="nil"/>
              <w:left w:val="nil"/>
              <w:bottom w:val="single" w:color="auto" w:sz="12" w:space="0"/>
              <w:right w:val="nil"/>
            </w:tcBorders>
            <w:vAlign w:val="center"/>
          </w:tcPr>
          <w:p w14:paraId="2756F050">
            <w:pPr>
              <w:pStyle w:val="16"/>
              <w:spacing w:before="31" w:after="31"/>
              <w:ind w:firstLine="0" w:firstLineChars="0"/>
              <w:jc w:val="center"/>
              <w:rPr>
                <w:sz w:val="21"/>
                <w:szCs w:val="21"/>
              </w:rPr>
            </w:pPr>
          </w:p>
        </w:tc>
        <w:tc>
          <w:tcPr>
            <w:tcW w:w="709" w:type="dxa"/>
            <w:tcBorders>
              <w:top w:val="nil"/>
              <w:left w:val="nil"/>
              <w:bottom w:val="single" w:color="auto" w:sz="12" w:space="0"/>
              <w:right w:val="nil"/>
            </w:tcBorders>
            <w:vAlign w:val="center"/>
          </w:tcPr>
          <w:p w14:paraId="4D4DF97D">
            <w:pPr>
              <w:pStyle w:val="16"/>
              <w:spacing w:before="31" w:after="31"/>
              <w:ind w:firstLine="0" w:firstLineChars="0"/>
              <w:jc w:val="center"/>
              <w:rPr>
                <w:sz w:val="21"/>
                <w:szCs w:val="21"/>
              </w:rPr>
            </w:pPr>
            <w:r>
              <w:rPr>
                <w:rFonts w:hint="eastAsia"/>
                <w:sz w:val="21"/>
                <w:szCs w:val="21"/>
              </w:rPr>
              <w:t>√</w:t>
            </w:r>
          </w:p>
        </w:tc>
        <w:tc>
          <w:tcPr>
            <w:tcW w:w="709" w:type="dxa"/>
            <w:tcBorders>
              <w:top w:val="nil"/>
              <w:left w:val="nil"/>
              <w:bottom w:val="single" w:color="auto" w:sz="12" w:space="0"/>
              <w:right w:val="nil"/>
            </w:tcBorders>
            <w:vAlign w:val="center"/>
          </w:tcPr>
          <w:p w14:paraId="436914BD">
            <w:pPr>
              <w:pStyle w:val="16"/>
              <w:spacing w:before="31" w:after="31"/>
              <w:ind w:firstLine="0" w:firstLineChars="0"/>
              <w:jc w:val="center"/>
              <w:rPr>
                <w:sz w:val="21"/>
                <w:szCs w:val="21"/>
              </w:rPr>
            </w:pPr>
          </w:p>
        </w:tc>
        <w:tc>
          <w:tcPr>
            <w:tcW w:w="709" w:type="dxa"/>
            <w:tcBorders>
              <w:top w:val="nil"/>
              <w:left w:val="nil"/>
              <w:bottom w:val="single" w:color="auto" w:sz="12" w:space="0"/>
              <w:right w:val="nil"/>
            </w:tcBorders>
            <w:vAlign w:val="center"/>
          </w:tcPr>
          <w:p w14:paraId="314D78D1">
            <w:pPr>
              <w:pStyle w:val="16"/>
              <w:spacing w:before="31" w:after="31"/>
              <w:ind w:firstLine="0" w:firstLineChars="0"/>
              <w:jc w:val="center"/>
              <w:rPr>
                <w:sz w:val="21"/>
                <w:szCs w:val="21"/>
              </w:rPr>
            </w:pPr>
          </w:p>
        </w:tc>
      </w:tr>
    </w:tbl>
    <w:p w14:paraId="3A8AF6FF">
      <w:pPr>
        <w:pStyle w:val="16"/>
        <w:spacing w:before="31" w:after="31"/>
        <w:ind w:firstLine="0" w:firstLineChars="0"/>
        <w:rPr>
          <w:b/>
          <w:bCs/>
          <w:szCs w:val="24"/>
        </w:rPr>
      </w:pPr>
      <w:r>
        <w:rPr>
          <w:b/>
          <w:bCs/>
          <w:szCs w:val="24"/>
        </w:rPr>
        <w:t>4.3.2 Current Status of Failure Investigation Work</w:t>
      </w:r>
    </w:p>
    <w:p w14:paraId="7DC42958">
      <w:pPr>
        <w:pStyle w:val="16"/>
        <w:spacing w:before="31" w:after="31"/>
        <w:ind w:firstLine="480"/>
        <w:rPr>
          <w:szCs w:val="24"/>
        </w:rPr>
      </w:pPr>
      <w:r>
        <w:rPr>
          <w:szCs w:val="24"/>
        </w:rPr>
        <w:t>Corrosion-related failure accidents in the marine engineering industry generally follow the steps of general engineering material failure analysis, including material analysis, environmental factors, failure causes, failure types, safety assessment, and failure prevention. The analysis of accidents is relatively complete, with clear, mature, and well-established ideas and comprehensive analysis methods. The information obtained is substantial, and case analyses are comprehensive. However, the analysis of protection measure failures does not have a fixed train of thought, and the common characteristics of case analyses are not apparent. The analysis content is relatively simple, mainly focusing on construction and design, with less abundant information obtained.</w:t>
      </w:r>
    </w:p>
    <w:p w14:paraId="3A0BF563">
      <w:pPr>
        <w:pStyle w:val="16"/>
        <w:spacing w:before="31" w:after="31"/>
        <w:ind w:firstLine="480"/>
        <w:rPr>
          <w:szCs w:val="24"/>
        </w:rPr>
      </w:pPr>
    </w:p>
    <w:p w14:paraId="3DAC3DF1">
      <w:pPr>
        <w:pStyle w:val="16"/>
        <w:spacing w:before="31" w:after="31"/>
        <w:ind w:firstLine="0" w:firstLineChars="0"/>
        <w:rPr>
          <w:b/>
          <w:bCs/>
          <w:sz w:val="28"/>
          <w:szCs w:val="28"/>
        </w:rPr>
      </w:pPr>
      <w:r>
        <w:rPr>
          <w:b/>
          <w:bCs/>
          <w:sz w:val="28"/>
          <w:szCs w:val="28"/>
        </w:rPr>
        <w:t>5 Summary of Energy Engineering Failure Cases</w:t>
      </w:r>
    </w:p>
    <w:p w14:paraId="5AD416FB">
      <w:pPr>
        <w:pStyle w:val="16"/>
        <w:spacing w:before="31" w:after="31"/>
        <w:ind w:firstLine="480"/>
        <w:rPr>
          <w:szCs w:val="24"/>
        </w:rPr>
      </w:pPr>
      <w:r>
        <w:rPr>
          <w:szCs w:val="24"/>
        </w:rPr>
        <w:t>In this investigation, the energy engineering industry mainly involves three major areas: oil drilling and extraction, thermal energy engineering, and the coal industry. The typical failure cases of engineering components in these areas over the past five years were compiled primarily through literature reviews. It was found that in the oil drilling and extraction field, failures of components such as oil drilling bits, drill pipes, pump rods, and oil pipes were predominant. In thermal energy engineering failure cases, boilers were the primary focus, with failure components mainly involving boiler air ducts, steam pipes, superheaters, and high-pressure gear pumps. Failures in the coal industry primarily occurred in some mining equipment, such as anchor rods, hydraulic supports, and various components of coal mining machine oil pumps. The cases are summarized with accident overviews, cause analyses, failure mechanisms, and remedial measures as the main content. The overall investigation categorizes the causes of industry failure incidents from four aspects: material itself, production and construction, design reasons, and environmental factors. The summary of the failure case investigation is presented in Table 5-1.</w:t>
      </w:r>
    </w:p>
    <w:p w14:paraId="15826FEE">
      <w:pPr>
        <w:pStyle w:val="16"/>
        <w:spacing w:before="31" w:after="31"/>
        <w:ind w:firstLine="480"/>
        <w:rPr>
          <w:szCs w:val="24"/>
        </w:rPr>
      </w:pPr>
    </w:p>
    <w:p w14:paraId="480CC1A5">
      <w:pPr>
        <w:pStyle w:val="16"/>
        <w:spacing w:before="31" w:after="31"/>
        <w:ind w:firstLine="482"/>
        <w:jc w:val="center"/>
        <w:rPr>
          <w:b/>
          <w:bCs/>
          <w:szCs w:val="24"/>
        </w:rPr>
      </w:pPr>
      <w:r>
        <w:rPr>
          <w:b/>
          <w:bCs/>
          <w:szCs w:val="24"/>
        </w:rPr>
        <w:t>Table 5-1 Summary of Energy Engineering Failure Case Research</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93"/>
        <w:gridCol w:w="5040"/>
        <w:gridCol w:w="1020"/>
      </w:tblGrid>
      <w:tr w14:paraId="1A70A5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3" w:type="dxa"/>
            <w:tcBorders>
              <w:top w:val="single" w:color="auto" w:sz="12" w:space="0"/>
              <w:left w:val="nil"/>
              <w:bottom w:val="single" w:color="auto" w:sz="12" w:space="0"/>
              <w:right w:val="nil"/>
            </w:tcBorders>
          </w:tcPr>
          <w:p w14:paraId="365F3E0C">
            <w:pPr>
              <w:pStyle w:val="16"/>
              <w:spacing w:before="31" w:after="31"/>
              <w:ind w:firstLine="0" w:firstLineChars="0"/>
              <w:jc w:val="center"/>
              <w:rPr>
                <w:color w:val="000000"/>
                <w:sz w:val="21"/>
                <w:szCs w:val="21"/>
              </w:rPr>
            </w:pPr>
            <w:bookmarkStart w:id="6" w:name="_Hlk156744897"/>
            <w:r>
              <w:rPr>
                <w:szCs w:val="24"/>
              </w:rPr>
              <w:t>Results</w:t>
            </w:r>
          </w:p>
        </w:tc>
        <w:tc>
          <w:tcPr>
            <w:tcW w:w="5040" w:type="dxa"/>
            <w:tcBorders>
              <w:top w:val="single" w:color="auto" w:sz="12" w:space="0"/>
              <w:left w:val="nil"/>
              <w:bottom w:val="single" w:color="auto" w:sz="12" w:space="0"/>
              <w:right w:val="nil"/>
            </w:tcBorders>
          </w:tcPr>
          <w:p w14:paraId="7EDC13B1">
            <w:pPr>
              <w:pStyle w:val="16"/>
              <w:spacing w:before="31" w:after="31" w:line="240" w:lineRule="auto"/>
              <w:ind w:firstLine="0" w:firstLineChars="0"/>
              <w:jc w:val="center"/>
              <w:rPr>
                <w:color w:val="000000"/>
                <w:sz w:val="21"/>
                <w:szCs w:val="21"/>
              </w:rPr>
            </w:pPr>
            <w:r>
              <w:rPr>
                <w:szCs w:val="24"/>
              </w:rPr>
              <w:t xml:space="preserve">Energy Engineering Industry </w:t>
            </w:r>
          </w:p>
        </w:tc>
        <w:tc>
          <w:tcPr>
            <w:tcW w:w="1020" w:type="dxa"/>
            <w:tcBorders>
              <w:top w:val="single" w:color="auto" w:sz="12" w:space="0"/>
              <w:left w:val="nil"/>
              <w:bottom w:val="single" w:color="auto" w:sz="12" w:space="0"/>
              <w:right w:val="nil"/>
            </w:tcBorders>
          </w:tcPr>
          <w:p w14:paraId="5BEC7C7D">
            <w:pPr>
              <w:pStyle w:val="16"/>
              <w:spacing w:before="31" w:after="31"/>
              <w:ind w:firstLine="0" w:firstLineChars="0"/>
              <w:jc w:val="center"/>
              <w:rPr>
                <w:color w:val="000000"/>
                <w:sz w:val="21"/>
                <w:szCs w:val="21"/>
              </w:rPr>
            </w:pPr>
            <w:r>
              <w:rPr>
                <w:szCs w:val="24"/>
              </w:rPr>
              <w:t>Total</w:t>
            </w:r>
          </w:p>
        </w:tc>
      </w:tr>
      <w:tr w14:paraId="5CDE0D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3" w:type="dxa"/>
            <w:tcBorders>
              <w:top w:val="single" w:color="auto" w:sz="12" w:space="0"/>
              <w:left w:val="nil"/>
              <w:bottom w:val="nil"/>
              <w:right w:val="nil"/>
            </w:tcBorders>
            <w:vAlign w:val="center"/>
          </w:tcPr>
          <w:p w14:paraId="6E935E29">
            <w:pPr>
              <w:pStyle w:val="16"/>
              <w:spacing w:before="31" w:after="31" w:line="240" w:lineRule="auto"/>
              <w:ind w:firstLine="0" w:firstLineChars="0"/>
              <w:jc w:val="center"/>
              <w:rPr>
                <w:color w:val="000000"/>
                <w:sz w:val="21"/>
                <w:szCs w:val="21"/>
              </w:rPr>
            </w:pPr>
            <w:r>
              <w:rPr>
                <w:szCs w:val="24"/>
              </w:rPr>
              <w:t>Number of Cases</w:t>
            </w:r>
          </w:p>
        </w:tc>
        <w:tc>
          <w:tcPr>
            <w:tcW w:w="5040" w:type="dxa"/>
            <w:tcBorders>
              <w:top w:val="single" w:color="auto" w:sz="12" w:space="0"/>
              <w:left w:val="nil"/>
              <w:bottom w:val="nil"/>
              <w:right w:val="nil"/>
            </w:tcBorders>
            <w:vAlign w:val="center"/>
          </w:tcPr>
          <w:p w14:paraId="26903991">
            <w:pPr>
              <w:pStyle w:val="16"/>
              <w:spacing w:before="31" w:after="31"/>
              <w:ind w:firstLine="0" w:firstLineChars="0"/>
              <w:jc w:val="center"/>
              <w:rPr>
                <w:color w:val="000000"/>
                <w:sz w:val="21"/>
                <w:szCs w:val="21"/>
              </w:rPr>
            </w:pPr>
            <w:r>
              <w:rPr>
                <w:color w:val="000000"/>
                <w:sz w:val="21"/>
                <w:szCs w:val="21"/>
              </w:rPr>
              <w:t>18</w:t>
            </w:r>
          </w:p>
        </w:tc>
        <w:tc>
          <w:tcPr>
            <w:tcW w:w="1020" w:type="dxa"/>
            <w:tcBorders>
              <w:top w:val="single" w:color="auto" w:sz="12" w:space="0"/>
              <w:left w:val="nil"/>
              <w:bottom w:val="nil"/>
              <w:right w:val="nil"/>
            </w:tcBorders>
            <w:vAlign w:val="center"/>
          </w:tcPr>
          <w:p w14:paraId="05FD2E18">
            <w:pPr>
              <w:pStyle w:val="16"/>
              <w:spacing w:before="31" w:after="31"/>
              <w:ind w:firstLine="0" w:firstLineChars="0"/>
              <w:jc w:val="center"/>
              <w:rPr>
                <w:color w:val="000000"/>
                <w:sz w:val="21"/>
                <w:szCs w:val="21"/>
              </w:rPr>
            </w:pPr>
            <w:r>
              <w:rPr>
                <w:color w:val="000000"/>
                <w:sz w:val="21"/>
                <w:szCs w:val="21"/>
              </w:rPr>
              <w:t>18</w:t>
            </w:r>
          </w:p>
        </w:tc>
      </w:tr>
      <w:tr w14:paraId="645A4C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3" w:type="dxa"/>
            <w:tcBorders>
              <w:top w:val="nil"/>
              <w:left w:val="nil"/>
              <w:bottom w:val="nil"/>
              <w:right w:val="nil"/>
            </w:tcBorders>
            <w:vAlign w:val="center"/>
          </w:tcPr>
          <w:p w14:paraId="4DCA5588">
            <w:pPr>
              <w:pStyle w:val="16"/>
              <w:spacing w:before="31" w:after="31" w:line="240" w:lineRule="auto"/>
              <w:ind w:firstLine="0" w:firstLineChars="0"/>
              <w:jc w:val="center"/>
              <w:rPr>
                <w:color w:val="000000"/>
                <w:sz w:val="21"/>
                <w:szCs w:val="21"/>
              </w:rPr>
            </w:pPr>
            <w:r>
              <w:rPr>
                <w:szCs w:val="24"/>
              </w:rPr>
              <w:t>Image Data</w:t>
            </w:r>
          </w:p>
        </w:tc>
        <w:tc>
          <w:tcPr>
            <w:tcW w:w="5040" w:type="dxa"/>
            <w:tcBorders>
              <w:top w:val="nil"/>
              <w:left w:val="nil"/>
              <w:bottom w:val="nil"/>
              <w:right w:val="nil"/>
            </w:tcBorders>
            <w:vAlign w:val="center"/>
          </w:tcPr>
          <w:p w14:paraId="664020F7">
            <w:pPr>
              <w:pStyle w:val="16"/>
              <w:spacing w:before="31" w:after="31"/>
              <w:ind w:firstLine="0" w:firstLineChars="0"/>
              <w:jc w:val="center"/>
              <w:rPr>
                <w:color w:val="000000"/>
                <w:sz w:val="21"/>
                <w:szCs w:val="21"/>
              </w:rPr>
            </w:pPr>
            <w:r>
              <w:rPr>
                <w:color w:val="000000"/>
                <w:sz w:val="21"/>
                <w:szCs w:val="21"/>
              </w:rPr>
              <w:t>125</w:t>
            </w:r>
          </w:p>
        </w:tc>
        <w:tc>
          <w:tcPr>
            <w:tcW w:w="1020" w:type="dxa"/>
            <w:tcBorders>
              <w:top w:val="nil"/>
              <w:left w:val="nil"/>
              <w:bottom w:val="nil"/>
              <w:right w:val="nil"/>
            </w:tcBorders>
            <w:vAlign w:val="center"/>
          </w:tcPr>
          <w:p w14:paraId="453D8669">
            <w:pPr>
              <w:pStyle w:val="16"/>
              <w:spacing w:before="31" w:after="31"/>
              <w:ind w:firstLine="0" w:firstLineChars="0"/>
              <w:jc w:val="center"/>
              <w:rPr>
                <w:color w:val="000000"/>
                <w:sz w:val="21"/>
                <w:szCs w:val="21"/>
              </w:rPr>
            </w:pPr>
            <w:r>
              <w:rPr>
                <w:color w:val="000000"/>
                <w:sz w:val="21"/>
                <w:szCs w:val="21"/>
              </w:rPr>
              <w:t>125</w:t>
            </w:r>
          </w:p>
        </w:tc>
      </w:tr>
      <w:tr w14:paraId="69E503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3" w:type="dxa"/>
            <w:tcBorders>
              <w:top w:val="nil"/>
              <w:left w:val="nil"/>
              <w:bottom w:val="single" w:color="auto" w:sz="12" w:space="0"/>
              <w:right w:val="nil"/>
            </w:tcBorders>
            <w:vAlign w:val="center"/>
          </w:tcPr>
          <w:p w14:paraId="7733BD9A">
            <w:pPr>
              <w:pStyle w:val="16"/>
              <w:spacing w:before="31" w:after="31" w:line="240" w:lineRule="auto"/>
              <w:ind w:firstLine="0" w:firstLineChars="0"/>
              <w:jc w:val="center"/>
              <w:rPr>
                <w:color w:val="000000"/>
                <w:sz w:val="21"/>
                <w:szCs w:val="21"/>
              </w:rPr>
            </w:pPr>
            <w:r>
              <w:rPr>
                <w:szCs w:val="24"/>
              </w:rPr>
              <w:t>Number of References</w:t>
            </w:r>
          </w:p>
        </w:tc>
        <w:tc>
          <w:tcPr>
            <w:tcW w:w="5040" w:type="dxa"/>
            <w:tcBorders>
              <w:top w:val="nil"/>
              <w:left w:val="nil"/>
              <w:bottom w:val="single" w:color="auto" w:sz="12" w:space="0"/>
              <w:right w:val="nil"/>
            </w:tcBorders>
            <w:vAlign w:val="center"/>
          </w:tcPr>
          <w:p w14:paraId="16FDB762">
            <w:pPr>
              <w:pStyle w:val="16"/>
              <w:spacing w:before="31" w:after="31"/>
              <w:ind w:firstLine="0" w:firstLineChars="0"/>
              <w:jc w:val="center"/>
              <w:rPr>
                <w:color w:val="000000"/>
                <w:sz w:val="21"/>
                <w:szCs w:val="21"/>
              </w:rPr>
            </w:pPr>
            <w:r>
              <w:rPr>
                <w:color w:val="000000"/>
                <w:sz w:val="21"/>
                <w:szCs w:val="21"/>
              </w:rPr>
              <w:t>20</w:t>
            </w:r>
          </w:p>
        </w:tc>
        <w:tc>
          <w:tcPr>
            <w:tcW w:w="1020" w:type="dxa"/>
            <w:tcBorders>
              <w:top w:val="nil"/>
              <w:left w:val="nil"/>
              <w:bottom w:val="single" w:color="auto" w:sz="12" w:space="0"/>
              <w:right w:val="nil"/>
            </w:tcBorders>
            <w:vAlign w:val="center"/>
          </w:tcPr>
          <w:p w14:paraId="1E70D696">
            <w:pPr>
              <w:pStyle w:val="16"/>
              <w:spacing w:before="31" w:after="31"/>
              <w:ind w:firstLine="0" w:firstLineChars="0"/>
              <w:jc w:val="center"/>
              <w:rPr>
                <w:color w:val="000000"/>
                <w:sz w:val="21"/>
                <w:szCs w:val="21"/>
              </w:rPr>
            </w:pPr>
            <w:r>
              <w:rPr>
                <w:color w:val="000000"/>
                <w:sz w:val="21"/>
                <w:szCs w:val="21"/>
              </w:rPr>
              <w:t>20</w:t>
            </w:r>
          </w:p>
          <w:bookmarkEnd w:id="6"/>
        </w:tc>
      </w:tr>
    </w:tbl>
    <w:p w14:paraId="10C70E02">
      <w:pPr>
        <w:pStyle w:val="16"/>
        <w:spacing w:before="31" w:after="31"/>
        <w:ind w:firstLine="482"/>
        <w:jc w:val="center"/>
        <w:rPr>
          <w:b/>
          <w:bCs/>
          <w:szCs w:val="24"/>
        </w:rPr>
      </w:pPr>
    </w:p>
    <w:p w14:paraId="2ACFA484">
      <w:pPr>
        <w:pStyle w:val="16"/>
        <w:spacing w:before="31" w:after="31"/>
        <w:ind w:firstLine="0" w:firstLineChars="0"/>
        <w:rPr>
          <w:b/>
          <w:bCs/>
          <w:szCs w:val="24"/>
        </w:rPr>
      </w:pPr>
      <w:r>
        <w:rPr>
          <w:b/>
          <w:bCs/>
          <w:szCs w:val="24"/>
        </w:rPr>
        <w:t>5.1 Common Failure Locations</w:t>
      </w:r>
    </w:p>
    <w:p w14:paraId="12F63F32">
      <w:pPr>
        <w:pStyle w:val="16"/>
        <w:spacing w:before="31" w:after="31"/>
        <w:ind w:firstLine="480"/>
        <w:rPr>
          <w:szCs w:val="24"/>
        </w:rPr>
      </w:pPr>
      <w:r>
        <w:rPr>
          <w:szCs w:val="24"/>
        </w:rPr>
        <w:t>In power plant boilers, the primary pressure-bearing components during operation are the water-cooled wall, superheater, reheater, and economizer, collectively known as the "four pipes" of the boiler. These components constitute the main heating surfaces of power plant boilers. With the enlargement of power plant boilers and the increase in operating parameters, accidents involving the explosion and leakage of the boiler's "four pipes" have become the most frequent incidents in thermal power plants. These accidents are critical factors affecting the stable and reliable operation of power plant units [1].</w:t>
      </w:r>
    </w:p>
    <w:p w14:paraId="253EFF5A">
      <w:pPr>
        <w:pStyle w:val="16"/>
        <w:spacing w:before="31" w:after="31"/>
        <w:ind w:firstLine="480"/>
        <w:rPr>
          <w:szCs w:val="24"/>
        </w:rPr>
      </w:pPr>
      <w:r>
        <w:rPr>
          <w:szCs w:val="24"/>
        </w:rPr>
        <w:t>In oilfield drilling equipment, major components include drill pipes, drilling bits, drill heads, and connectors. Failures of drilling equipment are common incidents in oilfields. The selection of inappropriate materials or the use of inferior materials, along with outdated processes and the quality of thread processing, are closely related to the service life of drilling equipment. Statistics indicate that there are around 1,000 cases of drilling equipment failure annually, with drill rod failures accounting for 50% to 60% of the total failures of drilling equipment [2].</w:t>
      </w:r>
    </w:p>
    <w:p w14:paraId="63EC41CA">
      <w:pPr>
        <w:pStyle w:val="16"/>
        <w:spacing w:before="31" w:after="31"/>
        <w:ind w:firstLine="0" w:firstLineChars="0"/>
        <w:rPr>
          <w:b/>
          <w:bCs/>
          <w:szCs w:val="24"/>
        </w:rPr>
      </w:pPr>
      <w:r>
        <w:rPr>
          <w:b/>
          <w:bCs/>
          <w:szCs w:val="24"/>
        </w:rPr>
        <w:t>5.2 Failure Case</w:t>
      </w:r>
      <w:r>
        <w:rPr>
          <w:szCs w:val="24"/>
        </w:rPr>
        <w:t>s</w:t>
      </w:r>
    </w:p>
    <w:p w14:paraId="2BB99579">
      <w:pPr>
        <w:pStyle w:val="16"/>
        <w:spacing w:before="31" w:after="31"/>
        <w:ind w:firstLine="0" w:firstLineChars="0"/>
        <w:rPr>
          <w:b/>
          <w:bCs/>
          <w:szCs w:val="24"/>
        </w:rPr>
      </w:pPr>
      <w:r>
        <w:rPr>
          <w:b/>
          <w:bCs/>
          <w:szCs w:val="24"/>
        </w:rPr>
        <w:t>5.2.1 Case 5-1: Failure of Superheated Steam Pipeline</w:t>
      </w:r>
    </w:p>
    <w:p w14:paraId="09A811EF">
      <w:pPr>
        <w:pStyle w:val="16"/>
        <w:spacing w:before="31" w:after="31"/>
        <w:ind w:firstLine="0" w:firstLineChars="0"/>
        <w:rPr>
          <w:szCs w:val="24"/>
        </w:rPr>
      </w:pPr>
      <w:r>
        <w:rPr>
          <w:szCs w:val="24"/>
        </w:rPr>
        <w:t>(1) Case Name</w:t>
      </w:r>
    </w:p>
    <w:p w14:paraId="0FC4C289">
      <w:pPr>
        <w:pStyle w:val="16"/>
        <w:spacing w:before="31" w:after="31"/>
        <w:ind w:firstLine="480"/>
        <w:rPr>
          <w:szCs w:val="24"/>
        </w:rPr>
      </w:pPr>
      <w:r>
        <w:rPr>
          <w:szCs w:val="24"/>
        </w:rPr>
        <w:t>Failure of Superheated Steam Pipeline [3]</w:t>
      </w:r>
    </w:p>
    <w:p w14:paraId="0A67CAE7">
      <w:pPr>
        <w:pStyle w:val="16"/>
        <w:spacing w:before="31" w:after="31"/>
        <w:ind w:firstLine="0" w:firstLineChars="0"/>
        <w:rPr>
          <w:szCs w:val="24"/>
        </w:rPr>
      </w:pPr>
      <w:r>
        <w:rPr>
          <w:szCs w:val="24"/>
        </w:rPr>
        <w:t>(2) Failure Process Description</w:t>
      </w:r>
    </w:p>
    <w:p w14:paraId="4ADFBE2F">
      <w:pPr>
        <w:pStyle w:val="16"/>
        <w:spacing w:before="31" w:after="31"/>
        <w:ind w:firstLine="480"/>
        <w:rPr>
          <w:szCs w:val="24"/>
        </w:rPr>
      </w:pPr>
      <w:r>
        <w:rPr>
          <w:szCs w:val="24"/>
        </w:rPr>
        <w:t>A high-pressure boiler's superheated steam pipeline in a certain unit experienced a bursting accident after 10 years of service, although the pipeline's normal design service life should exceed 20 years.</w:t>
      </w:r>
    </w:p>
    <w:p w14:paraId="048FE8BF">
      <w:pPr>
        <w:pStyle w:val="16"/>
        <w:spacing w:before="31" w:after="31"/>
        <w:ind w:firstLine="0" w:firstLineChars="0"/>
        <w:rPr>
          <w:szCs w:val="24"/>
        </w:rPr>
      </w:pPr>
      <w:r>
        <w:rPr>
          <w:szCs w:val="24"/>
        </w:rPr>
        <w:t>(3) Service Environment</w:t>
      </w:r>
    </w:p>
    <w:p w14:paraId="1FE0886F">
      <w:pPr>
        <w:pStyle w:val="16"/>
        <w:spacing w:before="31" w:after="31"/>
        <w:ind w:firstLine="480"/>
        <w:rPr>
          <w:szCs w:val="24"/>
        </w:rPr>
      </w:pPr>
      <w:r>
        <w:rPr>
          <w:szCs w:val="24"/>
        </w:rPr>
        <w:t>The working pressure is 3.8 MPa, and the working temperature is 450°C.</w:t>
      </w:r>
    </w:p>
    <w:p w14:paraId="03DEC1C6">
      <w:pPr>
        <w:pStyle w:val="16"/>
        <w:spacing w:before="31" w:after="31"/>
        <w:ind w:firstLine="0" w:firstLineChars="0"/>
        <w:rPr>
          <w:szCs w:val="24"/>
        </w:rPr>
      </w:pPr>
      <w:r>
        <w:rPr>
          <w:szCs w:val="24"/>
        </w:rPr>
        <w:t>(4) Failed Component and Material</w:t>
      </w:r>
    </w:p>
    <w:p w14:paraId="13BC8C4B">
      <w:pPr>
        <w:pStyle w:val="16"/>
        <w:spacing w:before="31" w:after="31"/>
        <w:ind w:firstLine="480"/>
        <w:rPr>
          <w:szCs w:val="24"/>
        </w:rPr>
      </w:pPr>
      <w:r>
        <w:rPr>
          <w:szCs w:val="24"/>
        </w:rPr>
        <w:t>The failed pipeline has a specification of Ф219×10mm, and the material is 20# carbon steel. The mechanical properties, chemical composition, and standard requirements for the failed pipeline are shown in Tables 5-2 and 5-3. The chemical composition of the failed pipeline exceeds the standard requirements for P and S content, the C content reaches the upper limit specified by the standard, and the tensile strength of the superheated steam pipeline is lower than the standard value, no longer meeting the normal operational requirements.</w:t>
      </w:r>
    </w:p>
    <w:p w14:paraId="435ED809">
      <w:pPr>
        <w:pStyle w:val="16"/>
        <w:spacing w:before="31" w:after="31"/>
        <w:ind w:firstLine="480"/>
        <w:rPr>
          <w:szCs w:val="24"/>
        </w:rPr>
      </w:pPr>
    </w:p>
    <w:p w14:paraId="2892B35A">
      <w:pPr>
        <w:pStyle w:val="16"/>
        <w:spacing w:before="31" w:after="31"/>
        <w:ind w:firstLine="482"/>
        <w:jc w:val="center"/>
        <w:rPr>
          <w:b/>
          <w:bCs/>
          <w:szCs w:val="24"/>
        </w:rPr>
      </w:pPr>
      <w:r>
        <w:rPr>
          <w:b/>
          <w:bCs/>
          <w:szCs w:val="24"/>
        </w:rPr>
        <w:t>Table 5-2 Mechanical Properties Test Results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8E81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F24BCC7">
            <w:pPr>
              <w:pStyle w:val="16"/>
              <w:spacing w:before="31" w:after="31"/>
              <w:ind w:firstLine="0" w:firstLineChars="0"/>
              <w:rPr>
                <w:szCs w:val="24"/>
              </w:rPr>
            </w:pPr>
            <w:r>
              <w:rPr>
                <w:szCs w:val="24"/>
              </w:rPr>
              <w:t>Sample</w:t>
            </w:r>
          </w:p>
        </w:tc>
        <w:tc>
          <w:tcPr>
            <w:tcW w:w="2130" w:type="dxa"/>
          </w:tcPr>
          <w:p w14:paraId="4F6B0565">
            <w:pPr>
              <w:pStyle w:val="16"/>
              <w:spacing w:before="31" w:after="31"/>
              <w:ind w:firstLine="0" w:firstLineChars="0"/>
              <w:rPr>
                <w:szCs w:val="24"/>
              </w:rPr>
            </w:pPr>
            <w:r>
              <w:rPr>
                <w:szCs w:val="24"/>
              </w:rPr>
              <w:t>Yield Strength (MPa)</w:t>
            </w:r>
          </w:p>
        </w:tc>
        <w:tc>
          <w:tcPr>
            <w:tcW w:w="2131" w:type="dxa"/>
          </w:tcPr>
          <w:p w14:paraId="57BACB22">
            <w:pPr>
              <w:pStyle w:val="16"/>
              <w:spacing w:before="31" w:after="31"/>
              <w:ind w:firstLine="0" w:firstLineChars="0"/>
              <w:rPr>
                <w:szCs w:val="24"/>
              </w:rPr>
            </w:pPr>
            <w:r>
              <w:rPr>
                <w:szCs w:val="24"/>
              </w:rPr>
              <w:t>Tensile Strength (MPa)</w:t>
            </w:r>
          </w:p>
        </w:tc>
        <w:tc>
          <w:tcPr>
            <w:tcW w:w="2131" w:type="dxa"/>
          </w:tcPr>
          <w:p w14:paraId="340FB038">
            <w:pPr>
              <w:pStyle w:val="16"/>
              <w:spacing w:before="31" w:after="31"/>
              <w:ind w:firstLine="0" w:firstLineChars="0"/>
              <w:rPr>
                <w:szCs w:val="24"/>
              </w:rPr>
            </w:pPr>
            <w:r>
              <w:rPr>
                <w:szCs w:val="24"/>
              </w:rPr>
              <w:t>Fracture Elongation (%)</w:t>
            </w:r>
          </w:p>
        </w:tc>
      </w:tr>
      <w:tr w14:paraId="5BBA6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AF378C4">
            <w:pPr>
              <w:pStyle w:val="16"/>
              <w:spacing w:before="31" w:after="31"/>
              <w:ind w:firstLine="0" w:firstLineChars="0"/>
              <w:rPr>
                <w:szCs w:val="24"/>
              </w:rPr>
            </w:pPr>
            <w:r>
              <w:rPr>
                <w:szCs w:val="24"/>
              </w:rPr>
              <w:t>1</w:t>
            </w:r>
          </w:p>
        </w:tc>
        <w:tc>
          <w:tcPr>
            <w:tcW w:w="2130" w:type="dxa"/>
          </w:tcPr>
          <w:p w14:paraId="496CE6EC">
            <w:pPr>
              <w:pStyle w:val="16"/>
              <w:spacing w:before="31" w:after="31"/>
              <w:ind w:firstLine="0" w:firstLineChars="0"/>
              <w:rPr>
                <w:szCs w:val="24"/>
              </w:rPr>
            </w:pPr>
            <w:r>
              <w:rPr>
                <w:szCs w:val="24"/>
              </w:rPr>
              <w:t>263.2</w:t>
            </w:r>
          </w:p>
        </w:tc>
        <w:tc>
          <w:tcPr>
            <w:tcW w:w="2131" w:type="dxa"/>
          </w:tcPr>
          <w:p w14:paraId="71E3BEE7">
            <w:pPr>
              <w:pStyle w:val="16"/>
              <w:spacing w:before="31" w:after="31"/>
              <w:ind w:firstLine="0" w:firstLineChars="0"/>
              <w:rPr>
                <w:szCs w:val="24"/>
              </w:rPr>
            </w:pPr>
            <w:r>
              <w:rPr>
                <w:szCs w:val="24"/>
              </w:rPr>
              <w:t>381.17</w:t>
            </w:r>
          </w:p>
        </w:tc>
        <w:tc>
          <w:tcPr>
            <w:tcW w:w="2131" w:type="dxa"/>
          </w:tcPr>
          <w:p w14:paraId="491F9595">
            <w:pPr>
              <w:pStyle w:val="16"/>
              <w:spacing w:before="31" w:after="31"/>
              <w:ind w:firstLine="0" w:firstLineChars="0"/>
              <w:rPr>
                <w:szCs w:val="24"/>
              </w:rPr>
            </w:pPr>
            <w:r>
              <w:rPr>
                <w:szCs w:val="24"/>
              </w:rPr>
              <w:t>37.67</w:t>
            </w:r>
          </w:p>
        </w:tc>
      </w:tr>
      <w:tr w14:paraId="000AE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89EED4C">
            <w:pPr>
              <w:pStyle w:val="16"/>
              <w:spacing w:before="31" w:after="31"/>
              <w:ind w:firstLine="0" w:firstLineChars="0"/>
              <w:rPr>
                <w:szCs w:val="24"/>
              </w:rPr>
            </w:pPr>
            <w:r>
              <w:rPr>
                <w:szCs w:val="24"/>
              </w:rPr>
              <w:t>2</w:t>
            </w:r>
          </w:p>
        </w:tc>
        <w:tc>
          <w:tcPr>
            <w:tcW w:w="2130" w:type="dxa"/>
          </w:tcPr>
          <w:p w14:paraId="24024AC3">
            <w:pPr>
              <w:pStyle w:val="16"/>
              <w:spacing w:before="31" w:after="31"/>
              <w:ind w:firstLine="0" w:firstLineChars="0"/>
              <w:rPr>
                <w:szCs w:val="24"/>
              </w:rPr>
            </w:pPr>
            <w:r>
              <w:rPr>
                <w:szCs w:val="24"/>
              </w:rPr>
              <w:t>261.5</w:t>
            </w:r>
          </w:p>
        </w:tc>
        <w:tc>
          <w:tcPr>
            <w:tcW w:w="2131" w:type="dxa"/>
          </w:tcPr>
          <w:p w14:paraId="06FADFA1">
            <w:pPr>
              <w:pStyle w:val="16"/>
              <w:spacing w:before="31" w:after="31"/>
              <w:ind w:firstLine="0" w:firstLineChars="0"/>
              <w:rPr>
                <w:szCs w:val="24"/>
              </w:rPr>
            </w:pPr>
            <w:r>
              <w:rPr>
                <w:szCs w:val="24"/>
              </w:rPr>
              <w:t>382.72</w:t>
            </w:r>
          </w:p>
        </w:tc>
        <w:tc>
          <w:tcPr>
            <w:tcW w:w="2131" w:type="dxa"/>
          </w:tcPr>
          <w:p w14:paraId="6161CD39">
            <w:pPr>
              <w:pStyle w:val="16"/>
              <w:spacing w:before="31" w:after="31"/>
              <w:ind w:firstLine="0" w:firstLineChars="0"/>
              <w:rPr>
                <w:szCs w:val="24"/>
              </w:rPr>
            </w:pPr>
            <w:r>
              <w:rPr>
                <w:szCs w:val="24"/>
              </w:rPr>
              <w:t>37.17</w:t>
            </w:r>
          </w:p>
        </w:tc>
      </w:tr>
      <w:tr w14:paraId="14E26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CE1EA06">
            <w:pPr>
              <w:pStyle w:val="16"/>
              <w:spacing w:before="31" w:after="31"/>
              <w:ind w:firstLine="0" w:firstLineChars="0"/>
              <w:rPr>
                <w:szCs w:val="24"/>
              </w:rPr>
            </w:pPr>
            <w:r>
              <w:rPr>
                <w:szCs w:val="24"/>
              </w:rPr>
              <w:t>3</w:t>
            </w:r>
          </w:p>
        </w:tc>
        <w:tc>
          <w:tcPr>
            <w:tcW w:w="2130" w:type="dxa"/>
          </w:tcPr>
          <w:p w14:paraId="41DBAC11">
            <w:pPr>
              <w:pStyle w:val="16"/>
              <w:spacing w:before="31" w:after="31"/>
              <w:ind w:firstLine="0" w:firstLineChars="0"/>
              <w:rPr>
                <w:szCs w:val="24"/>
              </w:rPr>
            </w:pPr>
            <w:r>
              <w:rPr>
                <w:szCs w:val="24"/>
              </w:rPr>
              <w:t>259.5</w:t>
            </w:r>
          </w:p>
        </w:tc>
        <w:tc>
          <w:tcPr>
            <w:tcW w:w="2131" w:type="dxa"/>
          </w:tcPr>
          <w:p w14:paraId="2364DF05">
            <w:pPr>
              <w:pStyle w:val="16"/>
              <w:spacing w:before="31" w:after="31"/>
              <w:ind w:firstLine="0" w:firstLineChars="0"/>
              <w:rPr>
                <w:szCs w:val="24"/>
              </w:rPr>
            </w:pPr>
            <w:r>
              <w:rPr>
                <w:szCs w:val="24"/>
              </w:rPr>
              <w:t>378.92</w:t>
            </w:r>
          </w:p>
        </w:tc>
        <w:tc>
          <w:tcPr>
            <w:tcW w:w="2131" w:type="dxa"/>
          </w:tcPr>
          <w:p w14:paraId="6FCC8A4C">
            <w:pPr>
              <w:pStyle w:val="16"/>
              <w:spacing w:before="31" w:after="31"/>
              <w:ind w:firstLine="0" w:firstLineChars="0"/>
              <w:rPr>
                <w:szCs w:val="24"/>
              </w:rPr>
            </w:pPr>
            <w:r>
              <w:rPr>
                <w:szCs w:val="24"/>
              </w:rPr>
              <w:t>30.17</w:t>
            </w:r>
          </w:p>
        </w:tc>
      </w:tr>
      <w:tr w14:paraId="5523C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D183DA4">
            <w:pPr>
              <w:pStyle w:val="16"/>
              <w:spacing w:before="31" w:after="31"/>
              <w:ind w:firstLine="0" w:firstLineChars="0"/>
              <w:rPr>
                <w:szCs w:val="24"/>
              </w:rPr>
            </w:pPr>
            <w:r>
              <w:rPr>
                <w:szCs w:val="24"/>
              </w:rPr>
              <w:t>4</w:t>
            </w:r>
          </w:p>
        </w:tc>
        <w:tc>
          <w:tcPr>
            <w:tcW w:w="2130" w:type="dxa"/>
          </w:tcPr>
          <w:p w14:paraId="3601A913">
            <w:pPr>
              <w:pStyle w:val="16"/>
              <w:spacing w:before="31" w:after="31"/>
              <w:ind w:firstLine="0" w:firstLineChars="0"/>
              <w:rPr>
                <w:szCs w:val="24"/>
              </w:rPr>
            </w:pPr>
            <w:r>
              <w:rPr>
                <w:szCs w:val="24"/>
              </w:rPr>
              <w:t>262.3</w:t>
            </w:r>
          </w:p>
        </w:tc>
        <w:tc>
          <w:tcPr>
            <w:tcW w:w="2131" w:type="dxa"/>
          </w:tcPr>
          <w:p w14:paraId="78C01856">
            <w:pPr>
              <w:pStyle w:val="16"/>
              <w:spacing w:before="31" w:after="31"/>
              <w:ind w:firstLine="0" w:firstLineChars="0"/>
              <w:rPr>
                <w:szCs w:val="24"/>
              </w:rPr>
            </w:pPr>
            <w:r>
              <w:rPr>
                <w:szCs w:val="24"/>
              </w:rPr>
              <w:t>380.49</w:t>
            </w:r>
          </w:p>
        </w:tc>
        <w:tc>
          <w:tcPr>
            <w:tcW w:w="2131" w:type="dxa"/>
          </w:tcPr>
          <w:p w14:paraId="7C72A4A8">
            <w:pPr>
              <w:pStyle w:val="16"/>
              <w:spacing w:before="31" w:after="31"/>
              <w:ind w:firstLine="0" w:firstLineChars="0"/>
              <w:rPr>
                <w:szCs w:val="24"/>
              </w:rPr>
            </w:pPr>
            <w:r>
              <w:rPr>
                <w:szCs w:val="24"/>
              </w:rPr>
              <w:t>35.13</w:t>
            </w:r>
          </w:p>
        </w:tc>
      </w:tr>
      <w:tr w14:paraId="45F08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87C63C0">
            <w:pPr>
              <w:pStyle w:val="16"/>
              <w:spacing w:before="31" w:after="31"/>
              <w:ind w:firstLine="0" w:firstLineChars="0"/>
              <w:rPr>
                <w:rFonts w:hint="eastAsia"/>
                <w:szCs w:val="24"/>
              </w:rPr>
            </w:pPr>
            <w:r>
              <w:rPr>
                <w:rFonts w:hint="eastAsia"/>
                <w:szCs w:val="24"/>
              </w:rPr>
              <w:t>GB3087-1999</w:t>
            </w:r>
          </w:p>
        </w:tc>
        <w:tc>
          <w:tcPr>
            <w:tcW w:w="2130" w:type="dxa"/>
          </w:tcPr>
          <w:p w14:paraId="370B916B">
            <w:pPr>
              <w:pStyle w:val="16"/>
              <w:spacing w:before="31" w:after="31"/>
              <w:ind w:firstLine="0" w:firstLineChars="0"/>
              <w:rPr>
                <w:rFonts w:hint="eastAsia"/>
                <w:szCs w:val="24"/>
              </w:rPr>
            </w:pPr>
            <w:r>
              <w:rPr>
                <w:rFonts w:hint="eastAsia"/>
                <w:szCs w:val="24"/>
              </w:rPr>
              <w:t>≥226</w:t>
            </w:r>
          </w:p>
        </w:tc>
        <w:tc>
          <w:tcPr>
            <w:tcW w:w="2131" w:type="dxa"/>
          </w:tcPr>
          <w:p w14:paraId="51D69973">
            <w:pPr>
              <w:pStyle w:val="16"/>
              <w:spacing w:before="31" w:after="31"/>
              <w:ind w:firstLine="0" w:firstLineChars="0"/>
              <w:rPr>
                <w:rFonts w:hint="eastAsia"/>
                <w:szCs w:val="24"/>
              </w:rPr>
            </w:pPr>
            <w:r>
              <w:rPr>
                <w:rFonts w:hint="eastAsia"/>
                <w:szCs w:val="24"/>
              </w:rPr>
              <w:t>392~588</w:t>
            </w:r>
          </w:p>
        </w:tc>
        <w:tc>
          <w:tcPr>
            <w:tcW w:w="2131" w:type="dxa"/>
          </w:tcPr>
          <w:p w14:paraId="30C9B9FA">
            <w:pPr>
              <w:pStyle w:val="16"/>
              <w:spacing w:before="31" w:after="31"/>
              <w:ind w:firstLine="0" w:firstLineChars="0"/>
              <w:rPr>
                <w:rFonts w:hint="eastAsia"/>
                <w:szCs w:val="24"/>
              </w:rPr>
            </w:pPr>
            <w:r>
              <w:rPr>
                <w:rFonts w:hint="eastAsia"/>
                <w:szCs w:val="24"/>
              </w:rPr>
              <w:t>≥20</w:t>
            </w:r>
          </w:p>
        </w:tc>
      </w:tr>
    </w:tbl>
    <w:p w14:paraId="29C89223">
      <w:pPr>
        <w:pStyle w:val="16"/>
        <w:spacing w:before="31" w:after="31"/>
        <w:ind w:firstLine="482"/>
        <w:jc w:val="center"/>
        <w:rPr>
          <w:b/>
          <w:bCs/>
          <w:szCs w:val="24"/>
        </w:rPr>
      </w:pPr>
      <w:r>
        <w:rPr>
          <w:b/>
          <w:bCs/>
          <w:szCs w:val="24"/>
        </w:rPr>
        <w:t>Table 5-3 Chemical Composition Analysis Results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0"/>
        <w:gridCol w:w="1209"/>
        <w:gridCol w:w="1209"/>
        <w:gridCol w:w="1209"/>
        <w:gridCol w:w="1101"/>
        <w:gridCol w:w="1102"/>
        <w:gridCol w:w="1102"/>
      </w:tblGrid>
      <w:tr w14:paraId="40940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48ACEA21">
            <w:pPr>
              <w:pStyle w:val="16"/>
              <w:spacing w:before="31" w:after="31"/>
              <w:ind w:firstLine="0" w:firstLineChars="0"/>
              <w:rPr>
                <w:szCs w:val="24"/>
              </w:rPr>
            </w:pPr>
            <w:r>
              <w:rPr>
                <w:szCs w:val="24"/>
              </w:rPr>
              <w:t>Item</w:t>
            </w:r>
          </w:p>
        </w:tc>
        <w:tc>
          <w:tcPr>
            <w:tcW w:w="1217" w:type="dxa"/>
          </w:tcPr>
          <w:p w14:paraId="2C9EBEEB">
            <w:pPr>
              <w:pStyle w:val="16"/>
              <w:spacing w:before="31" w:after="31"/>
              <w:ind w:firstLine="0" w:firstLineChars="0"/>
              <w:rPr>
                <w:szCs w:val="24"/>
              </w:rPr>
            </w:pPr>
            <w:r>
              <w:rPr>
                <w:szCs w:val="24"/>
              </w:rPr>
              <w:t>C</w:t>
            </w:r>
          </w:p>
        </w:tc>
        <w:tc>
          <w:tcPr>
            <w:tcW w:w="1217" w:type="dxa"/>
          </w:tcPr>
          <w:p w14:paraId="610F096C">
            <w:pPr>
              <w:pStyle w:val="16"/>
              <w:spacing w:before="31" w:after="31"/>
              <w:ind w:firstLine="0" w:firstLineChars="0"/>
              <w:rPr>
                <w:szCs w:val="24"/>
              </w:rPr>
            </w:pPr>
            <w:r>
              <w:rPr>
                <w:szCs w:val="24"/>
              </w:rPr>
              <w:t>Si</w:t>
            </w:r>
          </w:p>
        </w:tc>
        <w:tc>
          <w:tcPr>
            <w:tcW w:w="1217" w:type="dxa"/>
          </w:tcPr>
          <w:p w14:paraId="18E95C16">
            <w:pPr>
              <w:pStyle w:val="16"/>
              <w:spacing w:before="31" w:after="31"/>
              <w:ind w:firstLine="0" w:firstLineChars="0"/>
              <w:rPr>
                <w:szCs w:val="24"/>
              </w:rPr>
            </w:pPr>
            <w:r>
              <w:rPr>
                <w:szCs w:val="24"/>
              </w:rPr>
              <w:t>Mn</w:t>
            </w:r>
          </w:p>
        </w:tc>
        <w:tc>
          <w:tcPr>
            <w:tcW w:w="1218" w:type="dxa"/>
          </w:tcPr>
          <w:p w14:paraId="4B7E8864">
            <w:pPr>
              <w:pStyle w:val="16"/>
              <w:spacing w:before="31" w:after="31"/>
              <w:ind w:firstLine="0" w:firstLineChars="0"/>
              <w:rPr>
                <w:szCs w:val="24"/>
              </w:rPr>
            </w:pPr>
            <w:r>
              <w:rPr>
                <w:szCs w:val="24"/>
              </w:rPr>
              <w:t>P</w:t>
            </w:r>
          </w:p>
        </w:tc>
        <w:tc>
          <w:tcPr>
            <w:tcW w:w="1218" w:type="dxa"/>
          </w:tcPr>
          <w:p w14:paraId="50433A58">
            <w:pPr>
              <w:pStyle w:val="16"/>
              <w:spacing w:before="31" w:after="31"/>
              <w:ind w:firstLine="0" w:firstLineChars="0"/>
              <w:rPr>
                <w:szCs w:val="24"/>
              </w:rPr>
            </w:pPr>
            <w:r>
              <w:rPr>
                <w:szCs w:val="24"/>
              </w:rPr>
              <w:t>S</w:t>
            </w:r>
          </w:p>
        </w:tc>
        <w:tc>
          <w:tcPr>
            <w:tcW w:w="1218" w:type="dxa"/>
          </w:tcPr>
          <w:p w14:paraId="3E222FE4">
            <w:pPr>
              <w:pStyle w:val="16"/>
              <w:spacing w:before="31" w:after="31"/>
              <w:ind w:firstLine="0" w:firstLineChars="0"/>
              <w:rPr>
                <w:szCs w:val="24"/>
              </w:rPr>
            </w:pPr>
            <w:r>
              <w:rPr>
                <w:szCs w:val="24"/>
              </w:rPr>
              <w:t>Fe</w:t>
            </w:r>
          </w:p>
        </w:tc>
      </w:tr>
      <w:tr w14:paraId="7387E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094C101A">
            <w:pPr>
              <w:pStyle w:val="16"/>
              <w:spacing w:before="31" w:after="31"/>
              <w:ind w:firstLine="0" w:firstLineChars="0"/>
              <w:rPr>
                <w:szCs w:val="24"/>
              </w:rPr>
            </w:pPr>
            <w:r>
              <w:rPr>
                <w:szCs w:val="24"/>
              </w:rPr>
              <w:t>Failed Pipeline</w:t>
            </w:r>
          </w:p>
        </w:tc>
        <w:tc>
          <w:tcPr>
            <w:tcW w:w="1217" w:type="dxa"/>
          </w:tcPr>
          <w:p w14:paraId="461274FC">
            <w:pPr>
              <w:pStyle w:val="16"/>
              <w:spacing w:before="31" w:after="31"/>
              <w:ind w:firstLine="0" w:firstLineChars="0"/>
              <w:rPr>
                <w:szCs w:val="24"/>
              </w:rPr>
            </w:pPr>
            <w:r>
              <w:rPr>
                <w:szCs w:val="24"/>
              </w:rPr>
              <w:t>0.23</w:t>
            </w:r>
          </w:p>
        </w:tc>
        <w:tc>
          <w:tcPr>
            <w:tcW w:w="1217" w:type="dxa"/>
          </w:tcPr>
          <w:p w14:paraId="4D1EC296">
            <w:pPr>
              <w:pStyle w:val="16"/>
              <w:spacing w:before="31" w:after="31"/>
              <w:ind w:firstLine="0" w:firstLineChars="0"/>
              <w:rPr>
                <w:szCs w:val="24"/>
              </w:rPr>
            </w:pPr>
            <w:r>
              <w:rPr>
                <w:szCs w:val="24"/>
              </w:rPr>
              <w:t>0.26</w:t>
            </w:r>
          </w:p>
        </w:tc>
        <w:tc>
          <w:tcPr>
            <w:tcW w:w="1217" w:type="dxa"/>
          </w:tcPr>
          <w:p w14:paraId="301BC292">
            <w:pPr>
              <w:pStyle w:val="16"/>
              <w:spacing w:before="31" w:after="31"/>
              <w:ind w:firstLine="0" w:firstLineChars="0"/>
              <w:rPr>
                <w:szCs w:val="24"/>
              </w:rPr>
            </w:pPr>
            <w:r>
              <w:rPr>
                <w:szCs w:val="24"/>
              </w:rPr>
              <w:t>0.52</w:t>
            </w:r>
          </w:p>
        </w:tc>
        <w:tc>
          <w:tcPr>
            <w:tcW w:w="1218" w:type="dxa"/>
          </w:tcPr>
          <w:p w14:paraId="340418DB">
            <w:pPr>
              <w:pStyle w:val="16"/>
              <w:spacing w:before="31" w:after="31"/>
              <w:ind w:firstLine="0" w:firstLineChars="0"/>
              <w:rPr>
                <w:szCs w:val="24"/>
              </w:rPr>
            </w:pPr>
            <w:r>
              <w:rPr>
                <w:szCs w:val="24"/>
              </w:rPr>
              <w:t>0.041</w:t>
            </w:r>
          </w:p>
        </w:tc>
        <w:tc>
          <w:tcPr>
            <w:tcW w:w="1218" w:type="dxa"/>
          </w:tcPr>
          <w:p w14:paraId="1C3A5DC8">
            <w:pPr>
              <w:pStyle w:val="16"/>
              <w:spacing w:before="31" w:after="31"/>
              <w:ind w:firstLine="0" w:firstLineChars="0"/>
              <w:rPr>
                <w:szCs w:val="24"/>
              </w:rPr>
            </w:pPr>
            <w:r>
              <w:rPr>
                <w:szCs w:val="24"/>
              </w:rPr>
              <w:t>0.039</w:t>
            </w:r>
          </w:p>
        </w:tc>
        <w:tc>
          <w:tcPr>
            <w:tcW w:w="1218" w:type="dxa"/>
          </w:tcPr>
          <w:p w14:paraId="062C7B6E">
            <w:pPr>
              <w:pStyle w:val="16"/>
              <w:spacing w:before="31" w:after="31"/>
              <w:ind w:firstLine="0" w:firstLineChars="0"/>
              <w:rPr>
                <w:szCs w:val="24"/>
              </w:rPr>
            </w:pPr>
            <w:r>
              <w:rPr>
                <w:szCs w:val="24"/>
              </w:rPr>
              <w:t>98.94</w:t>
            </w:r>
          </w:p>
        </w:tc>
      </w:tr>
      <w:tr w14:paraId="4A898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3EAF5D63">
            <w:pPr>
              <w:pStyle w:val="16"/>
              <w:spacing w:before="31" w:after="31"/>
              <w:ind w:firstLine="0" w:firstLineChars="0"/>
              <w:rPr>
                <w:rFonts w:hint="eastAsia"/>
                <w:szCs w:val="24"/>
              </w:rPr>
            </w:pPr>
            <w:r>
              <w:rPr>
                <w:rFonts w:hint="eastAsia"/>
                <w:szCs w:val="24"/>
              </w:rPr>
              <w:t>GB3087-1999</w:t>
            </w:r>
          </w:p>
        </w:tc>
        <w:tc>
          <w:tcPr>
            <w:tcW w:w="1217" w:type="dxa"/>
          </w:tcPr>
          <w:p w14:paraId="689E665F">
            <w:pPr>
              <w:pStyle w:val="16"/>
              <w:spacing w:before="31" w:after="31"/>
              <w:ind w:firstLine="0" w:firstLineChars="0"/>
              <w:rPr>
                <w:rFonts w:hint="eastAsia"/>
                <w:szCs w:val="24"/>
              </w:rPr>
            </w:pPr>
            <w:r>
              <w:rPr>
                <w:rFonts w:hint="eastAsia"/>
                <w:szCs w:val="24"/>
              </w:rPr>
              <w:t>0.17~0.24</w:t>
            </w:r>
          </w:p>
        </w:tc>
        <w:tc>
          <w:tcPr>
            <w:tcW w:w="1217" w:type="dxa"/>
          </w:tcPr>
          <w:p w14:paraId="1FCA2853">
            <w:pPr>
              <w:pStyle w:val="16"/>
              <w:spacing w:before="31" w:after="31"/>
              <w:ind w:firstLine="0" w:firstLineChars="0"/>
              <w:rPr>
                <w:rFonts w:hint="eastAsia"/>
                <w:szCs w:val="24"/>
              </w:rPr>
            </w:pPr>
            <w:r>
              <w:rPr>
                <w:rFonts w:hint="eastAsia"/>
                <w:szCs w:val="24"/>
              </w:rPr>
              <w:t>0.17~0.37</w:t>
            </w:r>
          </w:p>
        </w:tc>
        <w:tc>
          <w:tcPr>
            <w:tcW w:w="1217" w:type="dxa"/>
          </w:tcPr>
          <w:p w14:paraId="2979BB84">
            <w:pPr>
              <w:pStyle w:val="16"/>
              <w:spacing w:before="31" w:after="31"/>
              <w:ind w:firstLine="0" w:firstLineChars="0"/>
              <w:rPr>
                <w:rFonts w:hint="eastAsia"/>
                <w:szCs w:val="24"/>
              </w:rPr>
            </w:pPr>
            <w:r>
              <w:rPr>
                <w:rFonts w:hint="eastAsia"/>
                <w:szCs w:val="24"/>
              </w:rPr>
              <w:t>0.35~0.85</w:t>
            </w:r>
          </w:p>
        </w:tc>
        <w:tc>
          <w:tcPr>
            <w:tcW w:w="1218" w:type="dxa"/>
          </w:tcPr>
          <w:p w14:paraId="3E1B75BE">
            <w:pPr>
              <w:pStyle w:val="16"/>
              <w:spacing w:before="31" w:after="31"/>
              <w:ind w:firstLine="0" w:firstLineChars="0"/>
              <w:rPr>
                <w:rFonts w:hint="eastAsia"/>
                <w:szCs w:val="24"/>
              </w:rPr>
            </w:pPr>
            <w:r>
              <w:rPr>
                <w:rFonts w:hint="eastAsia"/>
                <w:szCs w:val="24"/>
              </w:rPr>
              <w:t>≤0.035</w:t>
            </w:r>
          </w:p>
        </w:tc>
        <w:tc>
          <w:tcPr>
            <w:tcW w:w="1218" w:type="dxa"/>
          </w:tcPr>
          <w:p w14:paraId="3E80DC1B">
            <w:pPr>
              <w:pStyle w:val="16"/>
              <w:spacing w:before="31" w:after="31"/>
              <w:ind w:firstLine="0" w:firstLineChars="0"/>
              <w:rPr>
                <w:rFonts w:hint="eastAsia"/>
                <w:szCs w:val="24"/>
              </w:rPr>
            </w:pPr>
            <w:r>
              <w:rPr>
                <w:rFonts w:hint="eastAsia"/>
                <w:szCs w:val="24"/>
              </w:rPr>
              <w:t>≤0.035</w:t>
            </w:r>
          </w:p>
        </w:tc>
        <w:tc>
          <w:tcPr>
            <w:tcW w:w="1218" w:type="dxa"/>
          </w:tcPr>
          <w:p w14:paraId="7088C8BA">
            <w:pPr>
              <w:pStyle w:val="16"/>
              <w:spacing w:before="31" w:after="31"/>
              <w:ind w:firstLine="0" w:firstLineChars="0"/>
              <w:rPr>
                <w:rFonts w:hint="eastAsia"/>
                <w:szCs w:val="24"/>
              </w:rPr>
            </w:pPr>
            <w:r>
              <w:rPr>
                <w:rFonts w:hint="eastAsia"/>
                <w:szCs w:val="24"/>
              </w:rPr>
              <w:t>---</w:t>
            </w:r>
          </w:p>
        </w:tc>
      </w:tr>
    </w:tbl>
    <w:p w14:paraId="1EA71366">
      <w:pPr>
        <w:pStyle w:val="16"/>
        <w:spacing w:before="31" w:after="31"/>
        <w:ind w:firstLine="480"/>
        <w:rPr>
          <w:szCs w:val="24"/>
        </w:rPr>
      </w:pPr>
      <w:r>
        <w:rPr>
          <w:szCs w:val="24"/>
        </w:rPr>
        <w:t>The microstructure near the crack region is shown in Figure 5-1.1, with a pearlite structure and severe spheroidization of pearlite.</w:t>
      </w:r>
    </w:p>
    <w:p w14:paraId="32F149B1">
      <w:pPr>
        <w:pStyle w:val="16"/>
        <w:spacing w:before="31" w:after="31"/>
        <w:ind w:firstLine="482"/>
        <w:jc w:val="center"/>
        <w:rPr>
          <w:b/>
          <w:bCs/>
          <w:szCs w:val="24"/>
        </w:rPr>
      </w:pPr>
      <w:r>
        <w:rPr>
          <w:b/>
          <w:bCs/>
          <w:szCs w:val="24"/>
        </w:rPr>
        <w:t>Figure 5-1.1 Metallographic Microstructure at 500× Magnification</w:t>
      </w:r>
    </w:p>
    <w:p w14:paraId="6DA4D853">
      <w:pPr>
        <w:pStyle w:val="16"/>
        <w:spacing w:before="31" w:after="31"/>
        <w:ind w:firstLine="0" w:firstLineChars="0"/>
        <w:rPr>
          <w:szCs w:val="24"/>
        </w:rPr>
      </w:pPr>
      <w:r>
        <w:rPr>
          <w:szCs w:val="24"/>
        </w:rPr>
        <w:t>(5) Component Failure Morphology</w:t>
      </w:r>
    </w:p>
    <w:p w14:paraId="680BDDDD">
      <w:pPr>
        <w:pStyle w:val="16"/>
        <w:spacing w:before="31" w:after="31"/>
        <w:ind w:firstLine="480"/>
        <w:rPr>
          <w:szCs w:val="24"/>
        </w:rPr>
      </w:pPr>
      <w:r>
        <w:rPr>
          <w:szCs w:val="24"/>
        </w:rPr>
        <w:t>Upon inspecting the burst pipeline, severe expansion was observed with a maximum outer diameter of 241.6mm, and the expansion rate reached 10.3%. A penetrating crack approximately 20mm long appeared at the expanded section. The burst occurred 100mm away from the butt weld (butt weld between straight pipe section and elbow). The crack exhibited a thickness-lipped opening, approximately 2mm wide, with no obvious plastic deformation, as shown in Figure 5-1.2. Numerous creep cracks parallel to the axial direction of the pipe were observed around the rupture, showing strong directionality. The pipe wall showed no significant thinning, but severe oxidation was present on the outer wall.</w:t>
      </w:r>
    </w:p>
    <w:p w14:paraId="261F2281">
      <w:pPr>
        <w:pStyle w:val="16"/>
        <w:spacing w:before="31" w:after="31"/>
        <w:ind w:firstLine="480"/>
        <w:rPr>
          <w:szCs w:val="24"/>
        </w:rPr>
      </w:pPr>
      <w:r>
        <w:rPr>
          <w:szCs w:val="24"/>
        </w:rPr>
        <w:t>After cutting open the superheated steam pipeline, the local area of the inner surface is shown in Figure 5-1.3. The inner wall of the pipe suffered severe corrosion, with many pits present. In some areas, the pits formed a chain-like pattern, with the maximum diameter reaching 20mm and a depth of 6mm. The penetrating crack at the rupture was located at the site of the largest pit.</w:t>
      </w:r>
    </w:p>
    <w:p w14:paraId="4BC5A682">
      <w:pPr>
        <w:pStyle w:val="16"/>
        <w:spacing w:before="31" w:after="31"/>
        <w:ind w:firstLine="482"/>
        <w:jc w:val="center"/>
        <w:rPr>
          <w:b/>
          <w:bCs/>
          <w:szCs w:val="24"/>
        </w:rPr>
      </w:pPr>
      <w:r>
        <w:rPr>
          <w:b/>
          <w:bCs/>
          <w:szCs w:val="24"/>
        </w:rPr>
        <w:t>Figure 5-1.2 Rupture and Nearby Creep Cracks  Figure</w:t>
      </w:r>
    </w:p>
    <w:p w14:paraId="00C0268A">
      <w:pPr>
        <w:pStyle w:val="16"/>
        <w:spacing w:before="31" w:after="31"/>
        <w:ind w:firstLine="482"/>
        <w:jc w:val="center"/>
        <w:rPr>
          <w:b/>
          <w:bCs/>
          <w:szCs w:val="24"/>
        </w:rPr>
      </w:pPr>
      <w:r>
        <w:rPr>
          <w:b/>
          <w:bCs/>
          <w:szCs w:val="24"/>
        </w:rPr>
        <w:t>5-1.3 Inner Surface of Superheated Steam Pipeline</w:t>
      </w:r>
    </w:p>
    <w:p w14:paraId="669325B7">
      <w:pPr>
        <w:pStyle w:val="16"/>
        <w:spacing w:before="31" w:after="31"/>
        <w:ind w:firstLine="480"/>
        <w:rPr>
          <w:szCs w:val="24"/>
        </w:rPr>
      </w:pPr>
    </w:p>
    <w:p w14:paraId="361AD66B">
      <w:pPr>
        <w:pStyle w:val="16"/>
        <w:spacing w:before="31" w:after="31"/>
        <w:ind w:firstLine="480"/>
        <w:rPr>
          <w:szCs w:val="24"/>
        </w:rPr>
      </w:pPr>
      <w:r>
        <w:rPr>
          <w:szCs w:val="24"/>
        </w:rPr>
        <w:t>The fractured surface after cutting along the crack front is depicted in Figure 5-1.4. The fracture surface is rough and irregular, with a blunt edge, indicating brittle fracture characteristics. Obvious intergranular layers parallel to the pipe wall were present, and the oxide on the intergranular layer inhibited the bonding of metal in the gap, forming a sharp discontinuity defect, leading to stress concentration and eventually crack initiation.</w:t>
      </w:r>
    </w:p>
    <w:p w14:paraId="21218BD9">
      <w:pPr>
        <w:pStyle w:val="16"/>
        <w:spacing w:before="31" w:after="31"/>
        <w:ind w:firstLine="482"/>
        <w:jc w:val="center"/>
        <w:rPr>
          <w:b/>
          <w:bCs/>
          <w:szCs w:val="24"/>
        </w:rPr>
      </w:pPr>
      <w:r>
        <w:rPr>
          <w:b/>
          <w:bCs/>
          <w:szCs w:val="24"/>
        </w:rPr>
        <w:t>Figure 5-1.4 Fracture Surface Morphology</w:t>
      </w:r>
    </w:p>
    <w:p w14:paraId="754C2D9E">
      <w:pPr>
        <w:pStyle w:val="16"/>
        <w:spacing w:before="31" w:after="31"/>
        <w:ind w:firstLine="0" w:firstLineChars="0"/>
        <w:rPr>
          <w:b/>
          <w:bCs/>
          <w:szCs w:val="24"/>
        </w:rPr>
      </w:pPr>
      <w:r>
        <w:rPr>
          <w:szCs w:val="24"/>
        </w:rPr>
        <w:t>(6) Failure Cause Analysis</w:t>
      </w:r>
    </w:p>
    <w:p w14:paraId="067F07CE">
      <w:pPr>
        <w:pStyle w:val="16"/>
        <w:spacing w:before="31" w:after="31"/>
        <w:ind w:firstLine="480"/>
        <w:rPr>
          <w:szCs w:val="24"/>
        </w:rPr>
      </w:pPr>
      <w:r>
        <w:rPr>
          <w:szCs w:val="24"/>
        </w:rPr>
        <w:t>The excessive P and S content in the chemical composition of the failed pipeline, along with the excessively high C content, resulted in decreased plasticity and toughness of the material at high temperatures, leading to increased brittleness.</w:t>
      </w:r>
    </w:p>
    <w:p w14:paraId="0ABFEBEA">
      <w:pPr>
        <w:pStyle w:val="16"/>
        <w:spacing w:before="31" w:after="31"/>
        <w:ind w:firstLine="480"/>
        <w:rPr>
          <w:szCs w:val="24"/>
        </w:rPr>
      </w:pPr>
      <w:r>
        <w:rPr>
          <w:rFonts w:hint="eastAsia"/>
          <w:szCs w:val="24"/>
        </w:rPr>
        <w:t>The "Steam Boiler Safety Technical Supervision Regulations" stipulate that 20 steel used for steam pipelines should have a maximum allowable temperature of ≤430°C. However, the working temperature of this superheated steam pipeline reached 450°C, indicatin</w:t>
      </w:r>
      <w:r>
        <w:rPr>
          <w:szCs w:val="24"/>
        </w:rPr>
        <w:t>g it was in a state of overheating. Overheating can generally be classified into short-term overheating and long-term overheating. Short-term overheating results in rapid metal rupture under a large temperature difference for a short period, typically resulting in a tearing ductile fracture. Long-term overheating, on the other hand, occurs when the metal is subjected to a moderate temperature difference for an extended period, causing creep and subsequent rupture, displaying a brittle fracture feature. The burst morphology of this superheated steam pipeline exhibits clear characteristics of long-term overheating rupture.</w:t>
      </w:r>
    </w:p>
    <w:p w14:paraId="074A6E89">
      <w:pPr>
        <w:pStyle w:val="16"/>
        <w:spacing w:before="31" w:after="31"/>
        <w:ind w:firstLine="480"/>
        <w:rPr>
          <w:szCs w:val="24"/>
        </w:rPr>
      </w:pPr>
      <w:r>
        <w:rPr>
          <w:szCs w:val="24"/>
        </w:rPr>
        <w:t>The microstructure of the pipe material showed obvious spheroidization of pearlite. Under normal circumstances, spheroidization occurs over an extended period. However, under overheating conditions, spheroidization happens rapidly, degrading the microstructure and accelerating creep. The effect of high temperature and stress transforms carbides from a lamellar shape with higher surface energy to a spherical shape with lower surface energy, resulting in spheroidization of pearlite and carbide aggregation, significantly reducing the material's enduring strength. Severe spheroidization makes the grain boundary strength lower than that of the interior at high temperatures. Under load, creep voids will preferentially form at the grain boundaries and gradually develop into microcracks, eventually leading to pipe rupture. The higher the temperature, the more likely this phenomenon will occur.</w:t>
      </w:r>
    </w:p>
    <w:p w14:paraId="6B7FDE24">
      <w:pPr>
        <w:pStyle w:val="16"/>
        <w:spacing w:before="31" w:after="31"/>
        <w:ind w:firstLine="0" w:firstLineChars="0"/>
        <w:rPr>
          <w:szCs w:val="24"/>
        </w:rPr>
      </w:pPr>
      <w:r>
        <w:rPr>
          <w:szCs w:val="24"/>
        </w:rPr>
        <w:t>(7) Impact and Harm Caused</w:t>
      </w:r>
    </w:p>
    <w:p w14:paraId="2379EC90">
      <w:pPr>
        <w:pStyle w:val="16"/>
        <w:spacing w:before="31" w:after="31"/>
        <w:ind w:firstLine="420" w:firstLineChars="0"/>
        <w:rPr>
          <w:szCs w:val="24"/>
        </w:rPr>
      </w:pPr>
      <w:r>
        <w:rPr>
          <w:szCs w:val="24"/>
        </w:rPr>
        <w:t>Null</w:t>
      </w:r>
    </w:p>
    <w:p w14:paraId="234C12AA">
      <w:pPr>
        <w:pStyle w:val="16"/>
        <w:spacing w:before="31" w:after="31"/>
        <w:ind w:firstLine="0" w:firstLineChars="0"/>
        <w:rPr>
          <w:szCs w:val="24"/>
        </w:rPr>
      </w:pPr>
      <w:r>
        <w:rPr>
          <w:szCs w:val="24"/>
        </w:rPr>
        <w:t>(8) Conclusion and Improvement Measures</w:t>
      </w:r>
    </w:p>
    <w:p w14:paraId="3874CCF7">
      <w:pPr>
        <w:pStyle w:val="16"/>
        <w:spacing w:before="31" w:after="31"/>
        <w:ind w:firstLine="480"/>
        <w:rPr>
          <w:szCs w:val="24"/>
        </w:rPr>
      </w:pPr>
      <w:r>
        <w:rPr>
          <w:szCs w:val="24"/>
        </w:rPr>
        <w:t>(a) The bursting of the superheated steam pipeline was attributed to long-term embrittlement due to overheating. During long-term operation, spheroidization of pearlite and precipitation of carbides occurred in the steel, leading to microvoids and microcracks.</w:t>
      </w:r>
    </w:p>
    <w:p w14:paraId="2247AB47">
      <w:pPr>
        <w:pStyle w:val="16"/>
        <w:spacing w:before="31" w:after="31"/>
        <w:ind w:firstLine="480"/>
        <w:rPr>
          <w:szCs w:val="24"/>
        </w:rPr>
      </w:pPr>
      <w:r>
        <w:rPr>
          <w:szCs w:val="24"/>
        </w:rPr>
        <w:t>(b) Severe corrosion on the inner wall of the pipe and the presence of intergranular layers significantly reduced the mechanical strength of the material. Ultimately, the pipe ruptured when the remaining wall thickness was insufficient to withstand the internal pressure, causing the crack to rapidly propagate, resulting in pipe rupture.</w:t>
      </w:r>
    </w:p>
    <w:p w14:paraId="550DE390">
      <w:pPr>
        <w:pStyle w:val="16"/>
        <w:spacing w:before="31" w:after="31"/>
        <w:ind w:firstLine="480"/>
        <w:rPr>
          <w:szCs w:val="24"/>
        </w:rPr>
      </w:pPr>
      <w:r>
        <w:rPr>
          <w:szCs w:val="24"/>
        </w:rPr>
        <w:t>To address this failure, the following improvement measures can be proposed:</w:t>
      </w:r>
    </w:p>
    <w:p w14:paraId="7713AA19">
      <w:pPr>
        <w:pStyle w:val="16"/>
        <w:spacing w:before="31" w:after="31"/>
        <w:ind w:firstLine="480"/>
        <w:rPr>
          <w:szCs w:val="24"/>
        </w:rPr>
      </w:pPr>
      <w:r>
        <w:rPr>
          <w:szCs w:val="24"/>
        </w:rPr>
        <w:t>(a) Replace the failed pipe section with a pipe of 20G (GB5310-1995) and enhance the inspection of raw materials.</w:t>
      </w:r>
    </w:p>
    <w:p w14:paraId="438B3583">
      <w:pPr>
        <w:pStyle w:val="16"/>
        <w:spacing w:before="31" w:after="31"/>
        <w:ind w:firstLine="480"/>
        <w:rPr>
          <w:szCs w:val="24"/>
        </w:rPr>
      </w:pPr>
      <w:r>
        <w:rPr>
          <w:szCs w:val="24"/>
        </w:rPr>
        <w:t>(b) Strengthen pipeline monitoring by adding creep measurement points, metallographic analysis points, and thickness measurement points. Identify any abnormal phenomena early and ensure the safe operation of the equipment.</w:t>
      </w:r>
    </w:p>
    <w:p w14:paraId="1F91510B">
      <w:pPr>
        <w:pStyle w:val="16"/>
        <w:spacing w:before="31" w:after="31"/>
        <w:ind w:firstLine="0" w:firstLineChars="0"/>
        <w:rPr>
          <w:szCs w:val="24"/>
        </w:rPr>
      </w:pPr>
      <w:r>
        <w:rPr>
          <w:b/>
          <w:bCs/>
          <w:szCs w:val="24"/>
        </w:rPr>
        <w:t>5.2.2 Case 5-2: Failure of Boiler High-Temperature Superheater Bend Pip</w:t>
      </w:r>
      <w:r>
        <w:rPr>
          <w:szCs w:val="24"/>
        </w:rPr>
        <w:t>e</w:t>
      </w:r>
    </w:p>
    <w:p w14:paraId="24DED708">
      <w:pPr>
        <w:pStyle w:val="16"/>
        <w:spacing w:before="31" w:after="31"/>
        <w:ind w:firstLine="0" w:firstLineChars="0"/>
        <w:rPr>
          <w:szCs w:val="24"/>
        </w:rPr>
      </w:pPr>
      <w:r>
        <w:rPr>
          <w:szCs w:val="24"/>
        </w:rPr>
        <w:t>(1) Case Name</w:t>
      </w:r>
    </w:p>
    <w:p w14:paraId="13EC250D">
      <w:pPr>
        <w:pStyle w:val="16"/>
        <w:spacing w:before="31" w:after="31"/>
        <w:ind w:firstLine="480"/>
        <w:rPr>
          <w:szCs w:val="24"/>
        </w:rPr>
      </w:pPr>
      <w:r>
        <w:rPr>
          <w:szCs w:val="24"/>
        </w:rPr>
        <w:t>Failure of Boiler High-Temperature Superheater Bend Pipe [4]</w:t>
      </w:r>
    </w:p>
    <w:p w14:paraId="655620B6">
      <w:pPr>
        <w:pStyle w:val="16"/>
        <w:spacing w:before="31" w:after="31"/>
        <w:ind w:firstLine="0" w:firstLineChars="0"/>
        <w:rPr>
          <w:szCs w:val="24"/>
        </w:rPr>
      </w:pPr>
      <w:r>
        <w:rPr>
          <w:szCs w:val="24"/>
        </w:rPr>
        <w:t>(2) Failure Process Description</w:t>
      </w:r>
    </w:p>
    <w:p w14:paraId="3431E0C7">
      <w:pPr>
        <w:pStyle w:val="16"/>
        <w:spacing w:before="31" w:after="31"/>
        <w:ind w:firstLine="480"/>
        <w:rPr>
          <w:szCs w:val="24"/>
        </w:rPr>
      </w:pPr>
      <w:r>
        <w:rPr>
          <w:szCs w:val="24"/>
        </w:rPr>
        <w:t>In a 600MW ultra-supercritical coal-fired power generation unit, a boiler with ultra-supercritical parameters and a variable pressure</w:t>
      </w:r>
    </w:p>
    <w:p w14:paraId="38E05159">
      <w:pPr>
        <w:pStyle w:val="16"/>
        <w:spacing w:before="31" w:after="31"/>
        <w:ind w:firstLine="480"/>
        <w:rPr>
          <w:szCs w:val="24"/>
        </w:rPr>
      </w:pPr>
      <w:r>
        <w:rPr>
          <w:szCs w:val="24"/>
        </w:rPr>
        <w:t>operation mode, the high-temperature superheater bend pipe experienced multiple leakage failures after nearly 1000 hours of cumulative operation.</w:t>
      </w:r>
    </w:p>
    <w:p w14:paraId="109D9C46">
      <w:pPr>
        <w:pStyle w:val="16"/>
        <w:spacing w:before="31" w:after="31"/>
        <w:ind w:firstLine="480"/>
        <w:rPr>
          <w:szCs w:val="24"/>
        </w:rPr>
      </w:pPr>
      <w:r>
        <w:rPr>
          <w:szCs w:val="24"/>
        </w:rPr>
        <w:t>(3) Service Environment</w:t>
      </w:r>
    </w:p>
    <w:p w14:paraId="0980F436">
      <w:pPr>
        <w:pStyle w:val="16"/>
        <w:spacing w:before="31" w:after="31"/>
        <w:ind w:firstLine="480"/>
        <w:rPr>
          <w:szCs w:val="24"/>
        </w:rPr>
      </w:pPr>
      <w:r>
        <w:rPr>
          <w:szCs w:val="24"/>
        </w:rPr>
        <w:t>The outlet steam pressure is 25.4 MPa, and the steam temperature is 571°C. The boiler adopts a variable pressure operation mode, and the steam temperature of the high-temperature superheater is variable.</w:t>
      </w:r>
    </w:p>
    <w:p w14:paraId="332579BC">
      <w:pPr>
        <w:pStyle w:val="16"/>
        <w:spacing w:before="31" w:after="31"/>
        <w:ind w:firstLine="480"/>
        <w:rPr>
          <w:szCs w:val="24"/>
        </w:rPr>
      </w:pPr>
      <w:r>
        <w:rPr>
          <w:szCs w:val="24"/>
        </w:rPr>
        <w:t>(4) Failed Component and Material</w:t>
      </w:r>
    </w:p>
    <w:p w14:paraId="3FBBEB07">
      <w:pPr>
        <w:pStyle w:val="16"/>
        <w:spacing w:before="31" w:after="31"/>
        <w:ind w:firstLine="480"/>
        <w:rPr>
          <w:szCs w:val="24"/>
        </w:rPr>
      </w:pPr>
      <w:r>
        <w:rPr>
          <w:szCs w:val="24"/>
        </w:rPr>
        <w:t>The material of the failed pipe is SA213-TP347H, and the specification is 445×7.8mm. The chemical composition, mechanical properties, and standard requirements for the failed pipe are shown in Tables 5-4 and 5-5. The chemical composition of the failed pipe meets the standard requirements, and the tensile strength is within the standard range. However, the material still failed in service.</w:t>
      </w:r>
    </w:p>
    <w:p w14:paraId="60573E8D">
      <w:pPr>
        <w:pStyle w:val="16"/>
        <w:spacing w:before="31" w:after="31"/>
        <w:ind w:firstLine="482"/>
        <w:jc w:val="center"/>
        <w:rPr>
          <w:rFonts w:hint="eastAsia"/>
          <w:b/>
          <w:bCs/>
          <w:szCs w:val="24"/>
        </w:rPr>
      </w:pPr>
      <w:r>
        <w:rPr>
          <w:b/>
          <w:bCs/>
          <w:szCs w:val="24"/>
        </w:rPr>
        <w:t>Table 5-4 Mechanical Properties Test Results</w:t>
      </w:r>
    </w:p>
    <w:tbl>
      <w:tblPr>
        <w:tblStyle w:val="9"/>
        <w:tblW w:w="847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5"/>
        <w:gridCol w:w="1119"/>
        <w:gridCol w:w="924"/>
        <w:gridCol w:w="911"/>
        <w:gridCol w:w="841"/>
        <w:gridCol w:w="1065"/>
        <w:gridCol w:w="960"/>
        <w:gridCol w:w="1157"/>
      </w:tblGrid>
      <w:tr w14:paraId="6F2E47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5" w:type="dxa"/>
            <w:tcBorders>
              <w:top w:val="single" w:color="auto" w:sz="12" w:space="0"/>
              <w:left w:val="nil"/>
              <w:bottom w:val="single" w:color="auto" w:sz="12" w:space="0"/>
              <w:right w:val="nil"/>
            </w:tcBorders>
            <w:vAlign w:val="center"/>
          </w:tcPr>
          <w:p w14:paraId="0E0781ED">
            <w:pPr>
              <w:pStyle w:val="16"/>
              <w:spacing w:before="31" w:after="31"/>
              <w:ind w:firstLine="0" w:firstLineChars="0"/>
              <w:jc w:val="center"/>
              <w:rPr>
                <w:rFonts w:cs="Times New Roman"/>
                <w:sz w:val="21"/>
                <w:szCs w:val="21"/>
              </w:rPr>
            </w:pPr>
            <w:r>
              <w:rPr>
                <w:rFonts w:hint="eastAsia" w:cs="Times New Roman"/>
                <w:sz w:val="21"/>
                <w:szCs w:val="21"/>
              </w:rPr>
              <w:t>i</w:t>
            </w:r>
            <w:r>
              <w:rPr>
                <w:rFonts w:cs="Times New Roman"/>
                <w:sz w:val="21"/>
                <w:szCs w:val="21"/>
              </w:rPr>
              <w:t>tem</w:t>
            </w:r>
          </w:p>
        </w:tc>
        <w:tc>
          <w:tcPr>
            <w:tcW w:w="1119" w:type="dxa"/>
            <w:tcBorders>
              <w:top w:val="single" w:color="auto" w:sz="12" w:space="0"/>
              <w:left w:val="nil"/>
              <w:bottom w:val="single" w:color="auto" w:sz="12" w:space="0"/>
              <w:right w:val="nil"/>
            </w:tcBorders>
            <w:vAlign w:val="center"/>
          </w:tcPr>
          <w:p w14:paraId="51102309">
            <w:pPr>
              <w:pStyle w:val="16"/>
              <w:spacing w:before="31" w:after="31"/>
              <w:ind w:firstLine="0" w:firstLineChars="0"/>
              <w:jc w:val="center"/>
              <w:rPr>
                <w:rFonts w:cs="Times New Roman"/>
                <w:sz w:val="21"/>
                <w:szCs w:val="21"/>
              </w:rPr>
            </w:pPr>
            <w:r>
              <w:rPr>
                <w:rFonts w:cs="Times New Roman"/>
                <w:sz w:val="21"/>
                <w:szCs w:val="21"/>
              </w:rPr>
              <w:t>C</w:t>
            </w:r>
          </w:p>
        </w:tc>
        <w:tc>
          <w:tcPr>
            <w:tcW w:w="924" w:type="dxa"/>
            <w:tcBorders>
              <w:top w:val="single" w:color="auto" w:sz="12" w:space="0"/>
              <w:left w:val="nil"/>
              <w:bottom w:val="single" w:color="auto" w:sz="12" w:space="0"/>
              <w:right w:val="nil"/>
            </w:tcBorders>
            <w:vAlign w:val="center"/>
          </w:tcPr>
          <w:p w14:paraId="731CE41D">
            <w:pPr>
              <w:pStyle w:val="16"/>
              <w:spacing w:before="31" w:after="31"/>
              <w:ind w:firstLine="0" w:firstLineChars="0"/>
              <w:jc w:val="center"/>
              <w:rPr>
                <w:rFonts w:cs="Times New Roman"/>
                <w:sz w:val="21"/>
                <w:szCs w:val="21"/>
              </w:rPr>
            </w:pPr>
            <w:r>
              <w:rPr>
                <w:rFonts w:cs="Times New Roman"/>
                <w:sz w:val="21"/>
                <w:szCs w:val="21"/>
              </w:rPr>
              <w:t>Si</w:t>
            </w:r>
          </w:p>
        </w:tc>
        <w:tc>
          <w:tcPr>
            <w:tcW w:w="911" w:type="dxa"/>
            <w:tcBorders>
              <w:top w:val="single" w:color="auto" w:sz="12" w:space="0"/>
              <w:left w:val="nil"/>
              <w:bottom w:val="single" w:color="auto" w:sz="12" w:space="0"/>
              <w:right w:val="nil"/>
            </w:tcBorders>
            <w:vAlign w:val="center"/>
          </w:tcPr>
          <w:p w14:paraId="36681031">
            <w:pPr>
              <w:pStyle w:val="16"/>
              <w:spacing w:before="31" w:after="31"/>
              <w:ind w:firstLine="0" w:firstLineChars="0"/>
              <w:jc w:val="center"/>
              <w:rPr>
                <w:rFonts w:cs="Times New Roman"/>
                <w:sz w:val="21"/>
                <w:szCs w:val="21"/>
              </w:rPr>
            </w:pPr>
            <w:r>
              <w:rPr>
                <w:rFonts w:cs="Times New Roman"/>
                <w:sz w:val="21"/>
                <w:szCs w:val="21"/>
              </w:rPr>
              <w:t>S</w:t>
            </w:r>
          </w:p>
        </w:tc>
        <w:tc>
          <w:tcPr>
            <w:tcW w:w="841" w:type="dxa"/>
            <w:tcBorders>
              <w:top w:val="single" w:color="auto" w:sz="12" w:space="0"/>
              <w:left w:val="nil"/>
              <w:bottom w:val="single" w:color="auto" w:sz="12" w:space="0"/>
              <w:right w:val="nil"/>
            </w:tcBorders>
            <w:vAlign w:val="center"/>
          </w:tcPr>
          <w:p w14:paraId="5141F1C1">
            <w:pPr>
              <w:pStyle w:val="16"/>
              <w:spacing w:before="31" w:after="31"/>
              <w:ind w:firstLine="0" w:firstLineChars="0"/>
              <w:jc w:val="center"/>
              <w:rPr>
                <w:rFonts w:cs="Times New Roman"/>
                <w:sz w:val="21"/>
                <w:szCs w:val="21"/>
              </w:rPr>
            </w:pPr>
            <w:r>
              <w:rPr>
                <w:rFonts w:cs="Times New Roman"/>
                <w:sz w:val="21"/>
                <w:szCs w:val="21"/>
              </w:rPr>
              <w:t>P</w:t>
            </w:r>
          </w:p>
        </w:tc>
        <w:tc>
          <w:tcPr>
            <w:tcW w:w="1065" w:type="dxa"/>
            <w:tcBorders>
              <w:top w:val="single" w:color="auto" w:sz="12" w:space="0"/>
              <w:left w:val="nil"/>
              <w:bottom w:val="single" w:color="auto" w:sz="12" w:space="0"/>
              <w:right w:val="nil"/>
            </w:tcBorders>
            <w:vAlign w:val="center"/>
          </w:tcPr>
          <w:p w14:paraId="69E45DAA">
            <w:pPr>
              <w:pStyle w:val="16"/>
              <w:spacing w:before="31" w:after="31"/>
              <w:ind w:firstLine="0" w:firstLineChars="0"/>
              <w:jc w:val="center"/>
              <w:rPr>
                <w:rFonts w:cs="Times New Roman"/>
                <w:sz w:val="21"/>
                <w:szCs w:val="21"/>
              </w:rPr>
            </w:pPr>
            <w:r>
              <w:rPr>
                <w:rFonts w:cs="Times New Roman"/>
                <w:sz w:val="21"/>
                <w:szCs w:val="21"/>
              </w:rPr>
              <w:t>Cr</w:t>
            </w:r>
          </w:p>
        </w:tc>
        <w:tc>
          <w:tcPr>
            <w:tcW w:w="960" w:type="dxa"/>
            <w:tcBorders>
              <w:top w:val="single" w:color="auto" w:sz="12" w:space="0"/>
              <w:left w:val="nil"/>
              <w:bottom w:val="single" w:color="auto" w:sz="12" w:space="0"/>
              <w:right w:val="nil"/>
            </w:tcBorders>
            <w:vAlign w:val="center"/>
          </w:tcPr>
          <w:p w14:paraId="78EA39D1">
            <w:pPr>
              <w:pStyle w:val="16"/>
              <w:spacing w:before="31" w:after="31"/>
              <w:ind w:firstLine="0" w:firstLineChars="0"/>
              <w:jc w:val="center"/>
              <w:rPr>
                <w:rFonts w:cs="Times New Roman"/>
                <w:sz w:val="21"/>
                <w:szCs w:val="21"/>
              </w:rPr>
            </w:pPr>
            <w:r>
              <w:rPr>
                <w:rFonts w:cs="Times New Roman"/>
                <w:sz w:val="21"/>
                <w:szCs w:val="21"/>
              </w:rPr>
              <w:t>Ni</w:t>
            </w:r>
          </w:p>
        </w:tc>
        <w:tc>
          <w:tcPr>
            <w:tcW w:w="1157" w:type="dxa"/>
            <w:tcBorders>
              <w:top w:val="single" w:color="auto" w:sz="12" w:space="0"/>
              <w:left w:val="nil"/>
              <w:bottom w:val="single" w:color="auto" w:sz="12" w:space="0"/>
              <w:right w:val="nil"/>
            </w:tcBorders>
          </w:tcPr>
          <w:p w14:paraId="4CB8F8D1">
            <w:pPr>
              <w:pStyle w:val="16"/>
              <w:spacing w:before="31" w:after="31"/>
              <w:ind w:firstLine="0" w:firstLineChars="0"/>
              <w:jc w:val="center"/>
              <w:rPr>
                <w:rFonts w:cs="Times New Roman"/>
                <w:sz w:val="21"/>
                <w:szCs w:val="21"/>
              </w:rPr>
            </w:pPr>
            <w:r>
              <w:rPr>
                <w:rFonts w:cs="Times New Roman"/>
                <w:sz w:val="21"/>
                <w:szCs w:val="21"/>
              </w:rPr>
              <w:t>Nb</w:t>
            </w:r>
          </w:p>
        </w:tc>
      </w:tr>
      <w:tr w14:paraId="1FB37C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5" w:type="dxa"/>
            <w:tcBorders>
              <w:top w:val="single" w:color="auto" w:sz="12" w:space="0"/>
              <w:left w:val="nil"/>
              <w:bottom w:val="nil"/>
              <w:right w:val="nil"/>
            </w:tcBorders>
            <w:vAlign w:val="center"/>
          </w:tcPr>
          <w:p w14:paraId="5D7481AA">
            <w:pPr>
              <w:pStyle w:val="16"/>
              <w:spacing w:before="31" w:after="31"/>
              <w:ind w:firstLine="0" w:firstLineChars="0"/>
              <w:jc w:val="center"/>
              <w:rPr>
                <w:rFonts w:cs="Times New Roman"/>
                <w:sz w:val="21"/>
                <w:szCs w:val="21"/>
              </w:rPr>
            </w:pPr>
            <w:r>
              <w:rPr>
                <w:rFonts w:cs="Times New Roman"/>
                <w:sz w:val="21"/>
                <w:szCs w:val="21"/>
              </w:rPr>
              <w:t>Sample</w:t>
            </w:r>
          </w:p>
        </w:tc>
        <w:tc>
          <w:tcPr>
            <w:tcW w:w="1119" w:type="dxa"/>
            <w:tcBorders>
              <w:top w:val="single" w:color="auto" w:sz="12" w:space="0"/>
              <w:left w:val="nil"/>
              <w:bottom w:val="nil"/>
              <w:right w:val="nil"/>
            </w:tcBorders>
            <w:vAlign w:val="center"/>
          </w:tcPr>
          <w:p w14:paraId="599F50AA">
            <w:pPr>
              <w:pStyle w:val="16"/>
              <w:spacing w:before="31" w:after="31"/>
              <w:ind w:firstLine="0" w:firstLineChars="0"/>
              <w:jc w:val="center"/>
              <w:rPr>
                <w:rFonts w:cs="Times New Roman"/>
                <w:sz w:val="21"/>
                <w:szCs w:val="21"/>
              </w:rPr>
            </w:pPr>
            <w:r>
              <w:rPr>
                <w:rFonts w:cs="Times New Roman"/>
                <w:sz w:val="21"/>
                <w:szCs w:val="21"/>
              </w:rPr>
              <w:t>0.059</w:t>
            </w:r>
          </w:p>
        </w:tc>
        <w:tc>
          <w:tcPr>
            <w:tcW w:w="924" w:type="dxa"/>
            <w:tcBorders>
              <w:top w:val="single" w:color="auto" w:sz="12" w:space="0"/>
              <w:left w:val="nil"/>
              <w:bottom w:val="nil"/>
              <w:right w:val="nil"/>
            </w:tcBorders>
            <w:vAlign w:val="center"/>
          </w:tcPr>
          <w:p w14:paraId="4FE677E7">
            <w:pPr>
              <w:pStyle w:val="16"/>
              <w:spacing w:before="31" w:after="31"/>
              <w:ind w:firstLine="0" w:firstLineChars="0"/>
              <w:jc w:val="center"/>
              <w:rPr>
                <w:rFonts w:cs="Times New Roman"/>
                <w:sz w:val="21"/>
                <w:szCs w:val="21"/>
              </w:rPr>
            </w:pPr>
            <w:r>
              <w:rPr>
                <w:rFonts w:cs="Times New Roman"/>
                <w:sz w:val="21"/>
                <w:szCs w:val="21"/>
              </w:rPr>
              <w:t>0.49</w:t>
            </w:r>
          </w:p>
        </w:tc>
        <w:tc>
          <w:tcPr>
            <w:tcW w:w="911" w:type="dxa"/>
            <w:tcBorders>
              <w:top w:val="single" w:color="auto" w:sz="12" w:space="0"/>
              <w:left w:val="nil"/>
              <w:bottom w:val="nil"/>
              <w:right w:val="nil"/>
            </w:tcBorders>
            <w:vAlign w:val="center"/>
          </w:tcPr>
          <w:p w14:paraId="5792B335">
            <w:pPr>
              <w:pStyle w:val="16"/>
              <w:spacing w:before="31" w:after="31"/>
              <w:ind w:firstLine="0" w:firstLineChars="0"/>
              <w:jc w:val="center"/>
              <w:rPr>
                <w:rFonts w:cs="Times New Roman"/>
                <w:sz w:val="21"/>
                <w:szCs w:val="21"/>
              </w:rPr>
            </w:pPr>
            <w:r>
              <w:rPr>
                <w:rFonts w:cs="Times New Roman"/>
                <w:sz w:val="21"/>
                <w:szCs w:val="21"/>
              </w:rPr>
              <w:t>0.017</w:t>
            </w:r>
          </w:p>
        </w:tc>
        <w:tc>
          <w:tcPr>
            <w:tcW w:w="841" w:type="dxa"/>
            <w:tcBorders>
              <w:top w:val="single" w:color="auto" w:sz="12" w:space="0"/>
              <w:left w:val="nil"/>
              <w:bottom w:val="nil"/>
              <w:right w:val="nil"/>
            </w:tcBorders>
            <w:vAlign w:val="center"/>
          </w:tcPr>
          <w:p w14:paraId="31F1CD60">
            <w:pPr>
              <w:pStyle w:val="16"/>
              <w:spacing w:before="31" w:after="31"/>
              <w:ind w:firstLine="0" w:firstLineChars="0"/>
              <w:jc w:val="center"/>
              <w:rPr>
                <w:rFonts w:cs="Times New Roman"/>
                <w:sz w:val="21"/>
                <w:szCs w:val="21"/>
              </w:rPr>
            </w:pPr>
            <w:r>
              <w:rPr>
                <w:rFonts w:cs="Times New Roman"/>
                <w:sz w:val="21"/>
                <w:szCs w:val="21"/>
              </w:rPr>
              <w:t>0.019</w:t>
            </w:r>
          </w:p>
        </w:tc>
        <w:tc>
          <w:tcPr>
            <w:tcW w:w="1065" w:type="dxa"/>
            <w:tcBorders>
              <w:top w:val="single" w:color="auto" w:sz="12" w:space="0"/>
              <w:left w:val="nil"/>
              <w:bottom w:val="nil"/>
              <w:right w:val="nil"/>
            </w:tcBorders>
            <w:vAlign w:val="center"/>
          </w:tcPr>
          <w:p w14:paraId="24609C8A">
            <w:pPr>
              <w:pStyle w:val="16"/>
              <w:spacing w:before="31" w:after="31"/>
              <w:ind w:firstLine="0" w:firstLineChars="0"/>
              <w:jc w:val="center"/>
              <w:rPr>
                <w:rFonts w:cs="Times New Roman"/>
                <w:sz w:val="21"/>
                <w:szCs w:val="21"/>
              </w:rPr>
            </w:pPr>
            <w:r>
              <w:rPr>
                <w:rFonts w:cs="Times New Roman"/>
                <w:sz w:val="21"/>
                <w:szCs w:val="21"/>
              </w:rPr>
              <w:t>17.20</w:t>
            </w:r>
          </w:p>
        </w:tc>
        <w:tc>
          <w:tcPr>
            <w:tcW w:w="960" w:type="dxa"/>
            <w:tcBorders>
              <w:top w:val="single" w:color="auto" w:sz="12" w:space="0"/>
              <w:left w:val="nil"/>
              <w:bottom w:val="nil"/>
              <w:right w:val="nil"/>
            </w:tcBorders>
            <w:vAlign w:val="center"/>
          </w:tcPr>
          <w:p w14:paraId="29622A9C">
            <w:pPr>
              <w:pStyle w:val="16"/>
              <w:spacing w:before="31" w:after="31"/>
              <w:ind w:firstLine="0" w:firstLineChars="0"/>
              <w:jc w:val="center"/>
              <w:rPr>
                <w:rFonts w:cs="Times New Roman"/>
                <w:sz w:val="21"/>
                <w:szCs w:val="21"/>
              </w:rPr>
            </w:pPr>
            <w:r>
              <w:rPr>
                <w:rFonts w:cs="Times New Roman"/>
                <w:sz w:val="21"/>
                <w:szCs w:val="21"/>
              </w:rPr>
              <w:t>9.95</w:t>
            </w:r>
          </w:p>
        </w:tc>
        <w:tc>
          <w:tcPr>
            <w:tcW w:w="1157" w:type="dxa"/>
            <w:tcBorders>
              <w:top w:val="single" w:color="auto" w:sz="12" w:space="0"/>
              <w:left w:val="nil"/>
              <w:bottom w:val="nil"/>
              <w:right w:val="nil"/>
            </w:tcBorders>
          </w:tcPr>
          <w:p w14:paraId="3609594C">
            <w:pPr>
              <w:pStyle w:val="16"/>
              <w:spacing w:before="31" w:after="31"/>
              <w:ind w:firstLine="0" w:firstLineChars="0"/>
              <w:jc w:val="center"/>
              <w:rPr>
                <w:rFonts w:cs="Times New Roman"/>
                <w:sz w:val="21"/>
                <w:szCs w:val="21"/>
              </w:rPr>
            </w:pPr>
            <w:r>
              <w:rPr>
                <w:rFonts w:cs="Times New Roman"/>
                <w:sz w:val="21"/>
                <w:szCs w:val="21"/>
              </w:rPr>
              <w:t>0.77</w:t>
            </w:r>
          </w:p>
        </w:tc>
      </w:tr>
      <w:tr w14:paraId="5E539D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5" w:type="dxa"/>
            <w:tcBorders>
              <w:top w:val="nil"/>
              <w:left w:val="nil"/>
              <w:bottom w:val="single" w:color="auto" w:sz="12" w:space="0"/>
              <w:right w:val="nil"/>
            </w:tcBorders>
            <w:vAlign w:val="center"/>
          </w:tcPr>
          <w:p w14:paraId="43AA9E1E">
            <w:pPr>
              <w:pStyle w:val="16"/>
              <w:spacing w:before="31" w:after="31"/>
              <w:ind w:firstLine="0" w:firstLineChars="0"/>
              <w:jc w:val="center"/>
              <w:rPr>
                <w:rFonts w:cs="Times New Roman"/>
                <w:sz w:val="21"/>
                <w:szCs w:val="21"/>
              </w:rPr>
            </w:pPr>
            <w:r>
              <w:rPr>
                <w:rFonts w:cs="Times New Roman"/>
                <w:sz w:val="21"/>
                <w:szCs w:val="21"/>
              </w:rPr>
              <w:t>ASTM</w:t>
            </w:r>
          </w:p>
          <w:p w14:paraId="0380C2DD">
            <w:pPr>
              <w:pStyle w:val="16"/>
              <w:spacing w:before="31" w:after="31"/>
              <w:ind w:firstLine="0" w:firstLineChars="0"/>
              <w:jc w:val="center"/>
              <w:rPr>
                <w:rFonts w:cs="Times New Roman"/>
                <w:sz w:val="21"/>
                <w:szCs w:val="21"/>
              </w:rPr>
            </w:pPr>
            <w:r>
              <w:rPr>
                <w:rFonts w:cs="Times New Roman"/>
                <w:sz w:val="21"/>
                <w:szCs w:val="21"/>
              </w:rPr>
              <w:t>SA213//213M</w:t>
            </w:r>
          </w:p>
        </w:tc>
        <w:tc>
          <w:tcPr>
            <w:tcW w:w="1119" w:type="dxa"/>
            <w:tcBorders>
              <w:top w:val="nil"/>
              <w:left w:val="nil"/>
              <w:bottom w:val="single" w:color="auto" w:sz="12" w:space="0"/>
              <w:right w:val="nil"/>
            </w:tcBorders>
            <w:vAlign w:val="center"/>
          </w:tcPr>
          <w:p w14:paraId="7DC04337">
            <w:pPr>
              <w:pStyle w:val="16"/>
              <w:spacing w:before="31" w:after="31"/>
              <w:ind w:firstLine="0" w:firstLineChars="0"/>
              <w:jc w:val="center"/>
              <w:rPr>
                <w:rFonts w:cs="Times New Roman"/>
                <w:sz w:val="21"/>
                <w:szCs w:val="21"/>
              </w:rPr>
            </w:pPr>
            <w:r>
              <w:rPr>
                <w:rFonts w:cs="Times New Roman"/>
                <w:sz w:val="21"/>
                <w:szCs w:val="21"/>
              </w:rPr>
              <w:t>0.04~0.10</w:t>
            </w:r>
          </w:p>
        </w:tc>
        <w:tc>
          <w:tcPr>
            <w:tcW w:w="924" w:type="dxa"/>
            <w:tcBorders>
              <w:top w:val="nil"/>
              <w:left w:val="nil"/>
              <w:bottom w:val="single" w:color="auto" w:sz="12" w:space="0"/>
              <w:right w:val="nil"/>
            </w:tcBorders>
            <w:vAlign w:val="center"/>
          </w:tcPr>
          <w:p w14:paraId="53DF9841">
            <w:pPr>
              <w:pStyle w:val="16"/>
              <w:spacing w:before="31" w:after="31"/>
              <w:ind w:firstLine="0" w:firstLineChars="0"/>
              <w:jc w:val="center"/>
              <w:rPr>
                <w:rFonts w:cs="Times New Roman"/>
                <w:sz w:val="21"/>
                <w:szCs w:val="21"/>
              </w:rPr>
            </w:pPr>
            <w:r>
              <w:rPr>
                <w:rFonts w:cs="Times New Roman"/>
                <w:sz w:val="21"/>
                <w:szCs w:val="21"/>
              </w:rPr>
              <w:t>≤1.0</w:t>
            </w:r>
          </w:p>
        </w:tc>
        <w:tc>
          <w:tcPr>
            <w:tcW w:w="911" w:type="dxa"/>
            <w:tcBorders>
              <w:top w:val="nil"/>
              <w:left w:val="nil"/>
              <w:bottom w:val="single" w:color="auto" w:sz="12" w:space="0"/>
              <w:right w:val="nil"/>
            </w:tcBorders>
            <w:vAlign w:val="center"/>
          </w:tcPr>
          <w:p w14:paraId="43E0D872">
            <w:pPr>
              <w:pStyle w:val="16"/>
              <w:spacing w:before="31" w:after="31"/>
              <w:ind w:firstLine="0" w:firstLineChars="0"/>
              <w:jc w:val="center"/>
              <w:rPr>
                <w:rFonts w:cs="Times New Roman"/>
                <w:sz w:val="21"/>
                <w:szCs w:val="21"/>
              </w:rPr>
            </w:pPr>
            <w:r>
              <w:rPr>
                <w:rFonts w:cs="Times New Roman"/>
                <w:sz w:val="21"/>
                <w:szCs w:val="21"/>
              </w:rPr>
              <w:t>≤0.030</w:t>
            </w:r>
          </w:p>
        </w:tc>
        <w:tc>
          <w:tcPr>
            <w:tcW w:w="841" w:type="dxa"/>
            <w:tcBorders>
              <w:top w:val="nil"/>
              <w:left w:val="nil"/>
              <w:bottom w:val="single" w:color="auto" w:sz="12" w:space="0"/>
              <w:right w:val="nil"/>
            </w:tcBorders>
            <w:vAlign w:val="center"/>
          </w:tcPr>
          <w:p w14:paraId="23DC574C">
            <w:pPr>
              <w:pStyle w:val="16"/>
              <w:spacing w:before="31" w:after="31"/>
              <w:ind w:firstLine="0" w:firstLineChars="0"/>
              <w:jc w:val="center"/>
              <w:rPr>
                <w:rFonts w:cs="Times New Roman"/>
                <w:sz w:val="21"/>
                <w:szCs w:val="21"/>
              </w:rPr>
            </w:pPr>
            <w:r>
              <w:rPr>
                <w:rFonts w:cs="Times New Roman"/>
                <w:sz w:val="21"/>
                <w:szCs w:val="21"/>
              </w:rPr>
              <w:t>≤0.045</w:t>
            </w:r>
          </w:p>
        </w:tc>
        <w:tc>
          <w:tcPr>
            <w:tcW w:w="1065" w:type="dxa"/>
            <w:tcBorders>
              <w:top w:val="nil"/>
              <w:left w:val="nil"/>
              <w:bottom w:val="single" w:color="auto" w:sz="12" w:space="0"/>
              <w:right w:val="nil"/>
            </w:tcBorders>
            <w:vAlign w:val="center"/>
          </w:tcPr>
          <w:p w14:paraId="570DB5D5">
            <w:pPr>
              <w:pStyle w:val="16"/>
              <w:spacing w:before="31" w:after="31"/>
              <w:ind w:firstLine="0" w:firstLineChars="0"/>
              <w:jc w:val="center"/>
              <w:rPr>
                <w:rFonts w:cs="Times New Roman"/>
                <w:sz w:val="21"/>
                <w:szCs w:val="21"/>
              </w:rPr>
            </w:pPr>
            <w:r>
              <w:rPr>
                <w:rFonts w:cs="Times New Roman"/>
                <w:sz w:val="21"/>
                <w:szCs w:val="21"/>
              </w:rPr>
              <w:t>17.0~19.0</w:t>
            </w:r>
          </w:p>
        </w:tc>
        <w:tc>
          <w:tcPr>
            <w:tcW w:w="960" w:type="dxa"/>
            <w:tcBorders>
              <w:top w:val="nil"/>
              <w:left w:val="nil"/>
              <w:bottom w:val="single" w:color="auto" w:sz="12" w:space="0"/>
              <w:right w:val="nil"/>
            </w:tcBorders>
            <w:vAlign w:val="center"/>
          </w:tcPr>
          <w:p w14:paraId="44058133">
            <w:pPr>
              <w:pStyle w:val="16"/>
              <w:spacing w:before="31" w:after="31"/>
              <w:ind w:firstLine="0" w:firstLineChars="0"/>
              <w:jc w:val="center"/>
              <w:rPr>
                <w:rFonts w:cs="Times New Roman"/>
                <w:sz w:val="21"/>
                <w:szCs w:val="21"/>
              </w:rPr>
            </w:pPr>
            <w:r>
              <w:rPr>
                <w:rFonts w:cs="Times New Roman"/>
                <w:sz w:val="21"/>
                <w:szCs w:val="21"/>
              </w:rPr>
              <w:t>9.0~13.0</w:t>
            </w:r>
          </w:p>
        </w:tc>
        <w:tc>
          <w:tcPr>
            <w:tcW w:w="1157" w:type="dxa"/>
            <w:tcBorders>
              <w:top w:val="nil"/>
              <w:left w:val="nil"/>
              <w:bottom w:val="single" w:color="auto" w:sz="12" w:space="0"/>
              <w:right w:val="nil"/>
            </w:tcBorders>
          </w:tcPr>
          <w:p w14:paraId="223A4CAF">
            <w:pPr>
              <w:pStyle w:val="16"/>
              <w:spacing w:before="31" w:after="31"/>
              <w:ind w:firstLine="0" w:firstLineChars="0"/>
              <w:jc w:val="center"/>
              <w:rPr>
                <w:rFonts w:cs="Times New Roman"/>
                <w:sz w:val="21"/>
                <w:szCs w:val="21"/>
              </w:rPr>
            </w:pPr>
            <w:r>
              <w:rPr>
                <w:rFonts w:cs="Times New Roman"/>
                <w:sz w:val="21"/>
                <w:szCs w:val="21"/>
              </w:rPr>
              <w:t>Nb+Ta</w:t>
            </w:r>
            <w:r>
              <w:rPr>
                <w:rFonts w:cs="Times New Roman"/>
                <w:kern w:val="0"/>
                <w:sz w:val="21"/>
                <w:szCs w:val="21"/>
              </w:rPr>
              <w:t>≥</w:t>
            </w:r>
            <w:r>
              <w:rPr>
                <w:rFonts w:cs="Times New Roman"/>
                <w:sz w:val="21"/>
                <w:szCs w:val="21"/>
              </w:rPr>
              <w:t>8</w:t>
            </w:r>
          </w:p>
          <w:p w14:paraId="319C902B">
            <w:pPr>
              <w:pStyle w:val="16"/>
              <w:spacing w:before="31" w:after="31"/>
              <w:ind w:firstLine="0" w:firstLineChars="0"/>
              <w:jc w:val="center"/>
              <w:rPr>
                <w:rFonts w:cs="Times New Roman"/>
                <w:sz w:val="21"/>
                <w:szCs w:val="21"/>
              </w:rPr>
            </w:pPr>
            <w:r>
              <w:rPr>
                <w:rFonts w:cs="Times New Roman"/>
                <w:kern w:val="0"/>
                <w:szCs w:val="36"/>
              </w:rPr>
              <w:t>×</w:t>
            </w:r>
            <w:r>
              <w:rPr>
                <w:rFonts w:cs="Times New Roman"/>
                <w:sz w:val="21"/>
                <w:szCs w:val="21"/>
              </w:rPr>
              <w:t>C~1.10</w:t>
            </w:r>
          </w:p>
        </w:tc>
      </w:tr>
    </w:tbl>
    <w:p w14:paraId="713B468D">
      <w:pPr>
        <w:pStyle w:val="16"/>
        <w:spacing w:before="31" w:after="31"/>
        <w:ind w:firstLine="480"/>
        <w:rPr>
          <w:rFonts w:hint="eastAsia"/>
          <w:szCs w:val="24"/>
        </w:rPr>
      </w:pPr>
      <w:r>
        <w:rPr>
          <w:szCs w:val="24"/>
        </w:rPr>
        <w:t>The microstructure of the failed pipe material is shown in Figure 5-2.1. The microstructure mainly consists of austenite and a small amount of ferrite, and the grain boundaries are decorated with carbide precipitation.</w:t>
      </w:r>
    </w:p>
    <w:p w14:paraId="66FB0FE2">
      <w:pPr>
        <w:pStyle w:val="16"/>
        <w:spacing w:before="31" w:after="31"/>
        <w:ind w:firstLine="0" w:firstLineChars="0"/>
        <w:rPr>
          <w:szCs w:val="24"/>
        </w:rPr>
      </w:pPr>
      <w:r>
        <w:rPr>
          <w:szCs w:val="24"/>
        </w:rPr>
        <w:t>(5) Component Failure Morphology</w:t>
      </w:r>
    </w:p>
    <w:p w14:paraId="489D4397">
      <w:pPr>
        <w:pStyle w:val="16"/>
        <w:spacing w:before="31" w:after="31"/>
        <w:ind w:firstLine="480"/>
        <w:rPr>
          <w:szCs w:val="24"/>
        </w:rPr>
      </w:pPr>
      <w:r>
        <w:rPr>
          <w:szCs w:val="24"/>
        </w:rPr>
        <w:t>The failed pipe is a high-temperature superheater bend pipe with an outer diameter of 44.5mm and a wall thickness of 7.8mm. The pipe exhibits severe coking on the outer surface, as shown in Figure 5-2.2.</w:t>
      </w:r>
    </w:p>
    <w:p w14:paraId="11B53628">
      <w:pPr>
        <w:pStyle w:val="16"/>
        <w:spacing w:before="31" w:after="31"/>
        <w:ind w:firstLine="482"/>
        <w:jc w:val="center"/>
        <w:rPr>
          <w:b/>
          <w:bCs/>
          <w:szCs w:val="24"/>
        </w:rPr>
      </w:pPr>
      <w:r>
        <w:rPr>
          <w:b/>
          <w:bCs/>
          <w:szCs w:val="24"/>
        </w:rPr>
        <w:t>Figure 5-2.1 Microstructure of Failed Pipe Material at 200× Magnification</w:t>
      </w:r>
    </w:p>
    <w:p w14:paraId="593C4720">
      <w:pPr>
        <w:pStyle w:val="16"/>
        <w:spacing w:before="31" w:after="31"/>
        <w:ind w:firstLine="482"/>
        <w:jc w:val="center"/>
        <w:rPr>
          <w:b/>
          <w:bCs/>
          <w:szCs w:val="24"/>
        </w:rPr>
      </w:pPr>
      <w:r>
        <w:rPr>
          <w:b/>
          <w:bCs/>
          <w:szCs w:val="24"/>
        </w:rPr>
        <w:t>Figure 5-2.2 Outer Surface of Failed Pipe</w:t>
      </w:r>
    </w:p>
    <w:p w14:paraId="78816D04">
      <w:pPr>
        <w:pStyle w:val="16"/>
        <w:spacing w:before="31" w:after="31"/>
        <w:ind w:firstLine="480"/>
        <w:rPr>
          <w:szCs w:val="24"/>
        </w:rPr>
      </w:pPr>
      <w:r>
        <w:rPr>
          <w:szCs w:val="24"/>
        </w:rPr>
        <w:t>The failed pipe experienced multiple leakage failures. The leakage occurred at the inner side of the bend, with circumferential cracks originating from the inner wall. The crack length ranged from several millimeters to several centimeters. At some locations, the cracks coalesced, forming longer cracks.</w:t>
      </w:r>
    </w:p>
    <w:p w14:paraId="6E9FAE56">
      <w:pPr>
        <w:pStyle w:val="16"/>
        <w:spacing w:before="31" w:after="31"/>
        <w:ind w:firstLine="480"/>
        <w:rPr>
          <w:szCs w:val="24"/>
        </w:rPr>
      </w:pPr>
      <w:r>
        <w:rPr>
          <w:szCs w:val="24"/>
        </w:rPr>
        <w:t>After the failed pipe was cut open, the inner surface morphology was observed. The inner surface exhibited a complex pattern of circumferential cracks, and some cracks penetrated the entire wall thickness. In some areas, the inner surface was covered with a layer of coking, as shown in Figure 5-2.3.</w:t>
      </w:r>
    </w:p>
    <w:p w14:paraId="57BA4E06">
      <w:pPr>
        <w:pStyle w:val="16"/>
        <w:spacing w:before="31" w:after="31"/>
        <w:ind w:firstLine="482"/>
        <w:jc w:val="center"/>
        <w:rPr>
          <w:b/>
          <w:bCs/>
          <w:szCs w:val="24"/>
        </w:rPr>
      </w:pPr>
      <w:r>
        <w:rPr>
          <w:b/>
          <w:bCs/>
          <w:szCs w:val="24"/>
        </w:rPr>
        <w:t>Figure 5-2.3 Inner Surface Morphology of Failed Pipe</w:t>
      </w:r>
    </w:p>
    <w:p w14:paraId="006F599A">
      <w:pPr>
        <w:pStyle w:val="16"/>
        <w:spacing w:before="31" w:after="31"/>
        <w:ind w:firstLine="482"/>
        <w:jc w:val="center"/>
        <w:rPr>
          <w:b/>
          <w:bCs/>
          <w:szCs w:val="24"/>
        </w:rPr>
      </w:pPr>
      <w:r>
        <w:rPr>
          <w:b/>
          <w:bCs/>
          <w:szCs w:val="24"/>
        </w:rPr>
        <w:t>Figure 5-2.4: Microstructure at the Crack Tip</w:t>
      </w:r>
    </w:p>
    <w:p w14:paraId="156EB652">
      <w:pPr>
        <w:pStyle w:val="16"/>
        <w:spacing w:before="31" w:after="31"/>
        <w:ind w:firstLine="480"/>
        <w:rPr>
          <w:szCs w:val="24"/>
        </w:rPr>
      </w:pPr>
      <w:r>
        <w:rPr>
          <w:szCs w:val="24"/>
        </w:rPr>
        <w:t>The cross-sectional morphology of the cracked elbow is shown in Figures 5-2.5 and 5-2.6. From Figure 5-2.5, it can be observed that there are obvious small spherical particles on the crack surface, and the fracture morphology appears as a blocky pattern resembling rock candy, indicating a clear intergranular brittle fracture characteristic. Elemental analysis (EDS) of the small spherical particles reveals that the main components are oxygen and sulfur, with sulfur content ranging from 0.8% to 1.5%. It can be seen that the intergranular adherents on the fracture surface may be composed of oxides or sulfates, among other substances.</w:t>
      </w:r>
    </w:p>
    <w:p w14:paraId="2D9D4308">
      <w:pPr>
        <w:pStyle w:val="16"/>
        <w:spacing w:before="31" w:after="31"/>
        <w:ind w:firstLine="482"/>
        <w:jc w:val="center"/>
        <w:rPr>
          <w:b/>
          <w:bCs/>
          <w:szCs w:val="24"/>
        </w:rPr>
      </w:pPr>
      <w:r>
        <w:rPr>
          <w:b/>
          <w:bCs/>
          <w:szCs w:val="24"/>
        </w:rPr>
        <w:t>Figure 5-2.5: SEM Morphology of the Crack Cross-Section</w:t>
      </w:r>
    </w:p>
    <w:p w14:paraId="5B767244">
      <w:pPr>
        <w:pStyle w:val="16"/>
        <w:spacing w:before="31" w:after="31"/>
        <w:ind w:firstLine="482"/>
        <w:jc w:val="center"/>
        <w:rPr>
          <w:b/>
          <w:bCs/>
          <w:szCs w:val="24"/>
        </w:rPr>
      </w:pPr>
      <w:r>
        <w:rPr>
          <w:b/>
          <w:bCs/>
          <w:szCs w:val="24"/>
        </w:rPr>
        <w:t>Figure 5-2.6: SEM Morphology of the Crack Tip</w:t>
      </w:r>
    </w:p>
    <w:p w14:paraId="2150314B">
      <w:pPr>
        <w:pStyle w:val="16"/>
        <w:spacing w:before="31" w:after="31"/>
        <w:ind w:firstLine="480"/>
        <w:rPr>
          <w:szCs w:val="24"/>
        </w:rPr>
      </w:pPr>
      <w:r>
        <w:rPr>
          <w:szCs w:val="24"/>
        </w:rPr>
        <w:t>(6) Failure Cause Analysis</w:t>
      </w:r>
    </w:p>
    <w:p w14:paraId="1C7FE06B">
      <w:pPr>
        <w:pStyle w:val="16"/>
        <w:spacing w:before="31" w:after="31"/>
        <w:ind w:firstLine="480"/>
        <w:rPr>
          <w:szCs w:val="24"/>
        </w:rPr>
      </w:pPr>
      <w:r>
        <w:rPr>
          <w:szCs w:val="24"/>
        </w:rPr>
        <w:t>The failure of the high-temperature superheater bend pipe was mainly caused by high-temperature corrosion and circumferential crack initiation and propagation.</w:t>
      </w:r>
    </w:p>
    <w:p w14:paraId="20929B82">
      <w:pPr>
        <w:pStyle w:val="16"/>
        <w:spacing w:before="31" w:after="31"/>
        <w:ind w:firstLine="480"/>
        <w:rPr>
          <w:szCs w:val="24"/>
        </w:rPr>
      </w:pPr>
      <w:r>
        <w:rPr>
          <w:szCs w:val="24"/>
        </w:rPr>
        <w:t>(a) High-temperature corrosion: The high-temperature corrosion of the failed pipe was mainly manifested as severe coking on the outer surface and the presence of a coking layer on the inner surface. The coking on the outer surface resulted in increased wall thickness, narrowing the flow passage and reducing heat transfer efficiency. The coking layer on the inner surface further intensified the corrosion process. The carbon deposits in the coking layer absorbed sulfur compounds, forming corrosive substances such as hydrogen sulfide. These corrosive substances caused local corrosion of the pipe material, resulting in reduced wall thickness and circumferential cracks.</w:t>
      </w:r>
    </w:p>
    <w:p w14:paraId="32792594">
      <w:pPr>
        <w:pStyle w:val="16"/>
        <w:spacing w:before="31" w:after="31"/>
        <w:ind w:firstLine="480"/>
        <w:rPr>
          <w:szCs w:val="24"/>
        </w:rPr>
      </w:pPr>
      <w:r>
        <w:rPr>
          <w:szCs w:val="24"/>
        </w:rPr>
        <w:t>(b) Circumferential crack initiation and propagation: Circumferential cracks initiated from the inner wall of the bend, which was the location with the highest stress concentration. The circumferential cracks propagated along the grain boundaries, and some cracks penetrated the entire wall thickness. The crack morphology indicated that the cracks were mainly intergranular and exhibited characteristics of high-temperature corrosion cracking.</w:t>
      </w:r>
    </w:p>
    <w:p w14:paraId="6CA376F4">
      <w:pPr>
        <w:pStyle w:val="16"/>
        <w:spacing w:before="31" w:after="31"/>
        <w:ind w:firstLine="480"/>
        <w:rPr>
          <w:szCs w:val="24"/>
        </w:rPr>
      </w:pPr>
    </w:p>
    <w:p w14:paraId="561766D3">
      <w:pPr>
        <w:pStyle w:val="16"/>
        <w:spacing w:before="31" w:after="31"/>
        <w:ind w:firstLine="480"/>
        <w:rPr>
          <w:szCs w:val="24"/>
        </w:rPr>
      </w:pPr>
      <w:r>
        <w:rPr>
          <w:szCs w:val="24"/>
        </w:rPr>
        <w:t>The failed pipe material, TP347H, is an austenitic stainless steel with high chromium (Cr) and nickel (Ni) content, which provides good corrosion resistance. However, the presence of a coking layer on the inner surface, combined with the complex operating conditions of the variable pressure operation mode, led to a significant increase in the material's susceptibility to high-temperature corrosion.</w:t>
      </w:r>
    </w:p>
    <w:p w14:paraId="33D41FAB">
      <w:pPr>
        <w:pStyle w:val="16"/>
        <w:spacing w:before="31" w:after="31"/>
        <w:ind w:firstLine="0" w:firstLineChars="0"/>
        <w:rPr>
          <w:szCs w:val="24"/>
        </w:rPr>
      </w:pPr>
      <w:r>
        <w:rPr>
          <w:szCs w:val="24"/>
        </w:rPr>
        <w:t>(7) Impact and Harm Caused</w:t>
      </w:r>
    </w:p>
    <w:p w14:paraId="6BCFA0DC">
      <w:pPr>
        <w:pStyle w:val="16"/>
        <w:spacing w:before="31" w:after="31"/>
        <w:ind w:firstLine="420" w:firstLineChars="0"/>
        <w:rPr>
          <w:szCs w:val="24"/>
        </w:rPr>
      </w:pPr>
      <w:r>
        <w:rPr>
          <w:szCs w:val="24"/>
        </w:rPr>
        <w:t>Null</w:t>
      </w:r>
    </w:p>
    <w:p w14:paraId="0EC9CA2C">
      <w:pPr>
        <w:pStyle w:val="16"/>
        <w:spacing w:before="31" w:after="31"/>
        <w:ind w:firstLine="0" w:firstLineChars="0"/>
        <w:rPr>
          <w:szCs w:val="24"/>
        </w:rPr>
      </w:pPr>
      <w:r>
        <w:rPr>
          <w:szCs w:val="24"/>
        </w:rPr>
        <w:t>(7) Conclusion and Improvement Measures</w:t>
      </w:r>
    </w:p>
    <w:p w14:paraId="6E5DA01F">
      <w:pPr>
        <w:pStyle w:val="16"/>
        <w:spacing w:before="31" w:after="31"/>
        <w:ind w:firstLine="480"/>
        <w:rPr>
          <w:szCs w:val="24"/>
        </w:rPr>
      </w:pPr>
      <w:r>
        <w:rPr>
          <w:szCs w:val="24"/>
        </w:rPr>
        <w:t>(a) The failure of the high-temperature superheater bend pipe was mainly caused by high-temperature corrosion and circumferential crack initiation and propagation.</w:t>
      </w:r>
    </w:p>
    <w:p w14:paraId="32863BFC">
      <w:pPr>
        <w:pStyle w:val="16"/>
        <w:spacing w:before="31" w:after="31"/>
        <w:ind w:firstLine="480"/>
        <w:rPr>
          <w:szCs w:val="24"/>
        </w:rPr>
      </w:pPr>
      <w:r>
        <w:rPr>
          <w:szCs w:val="24"/>
        </w:rPr>
        <w:t>(b) To prevent high-temperature corrosion, measures should be taken to control the coking on the outer surface and inner surface of the pipe. Regular cleaning and maintenance should be implemented to remove carbon deposits and prevent the formation of a coking layer.</w:t>
      </w:r>
    </w:p>
    <w:p w14:paraId="4983A65A">
      <w:pPr>
        <w:pStyle w:val="16"/>
        <w:spacing w:before="31" w:after="31"/>
        <w:ind w:firstLine="480"/>
        <w:rPr>
          <w:szCs w:val="24"/>
        </w:rPr>
      </w:pPr>
      <w:r>
        <w:rPr>
          <w:szCs w:val="24"/>
        </w:rPr>
        <w:t>(c) Strengthening the inspection and monitoring of the high-temperature superheater bend pipe is essential. Non-destructive testing methods such as ultrasonic testing and radiographic testing can be employed to detect internal and external defects, ensuring the safe and reliable operation of the pipe.</w:t>
      </w:r>
    </w:p>
    <w:p w14:paraId="21C93D47">
      <w:pPr>
        <w:pStyle w:val="16"/>
        <w:spacing w:before="31" w:after="31"/>
        <w:ind w:firstLine="480"/>
        <w:rPr>
          <w:szCs w:val="24"/>
        </w:rPr>
      </w:pPr>
      <w:r>
        <w:rPr>
          <w:szCs w:val="24"/>
        </w:rPr>
        <w:t>(d) If necessary, consider selecting materials with higher corrosion resistance for high-temperature components or applying protective coatings to enhance corrosion resistance.</w:t>
      </w:r>
    </w:p>
    <w:p w14:paraId="08BEA3A0">
      <w:pPr>
        <w:pStyle w:val="16"/>
        <w:spacing w:before="31" w:after="31"/>
        <w:ind w:firstLine="480"/>
        <w:rPr>
          <w:szCs w:val="24"/>
        </w:rPr>
      </w:pPr>
      <w:r>
        <w:rPr>
          <w:szCs w:val="24"/>
        </w:rPr>
        <w:t>5.2.3 Case 5-3: Failure of Welded Joints in High-Temperature and High-Pressure Pipes of Power Plant Boilers</w:t>
      </w:r>
    </w:p>
    <w:p w14:paraId="1497EAAC">
      <w:pPr>
        <w:pStyle w:val="16"/>
        <w:spacing w:before="31" w:after="31"/>
        <w:ind w:firstLine="480"/>
        <w:rPr>
          <w:szCs w:val="24"/>
        </w:rPr>
      </w:pPr>
      <w:r>
        <w:rPr>
          <w:szCs w:val="24"/>
        </w:rPr>
        <w:t>(1) Case Name</w:t>
      </w:r>
    </w:p>
    <w:p w14:paraId="23128F25">
      <w:pPr>
        <w:pStyle w:val="16"/>
        <w:spacing w:before="31" w:after="31"/>
        <w:ind w:firstLine="480"/>
        <w:rPr>
          <w:szCs w:val="24"/>
        </w:rPr>
      </w:pPr>
      <w:r>
        <w:rPr>
          <w:szCs w:val="24"/>
        </w:rPr>
        <w:t>Failure of Welded Joints in High-Temperature and High-Pressure Pipes of Power Plant Boilers</w:t>
      </w:r>
    </w:p>
    <w:p w14:paraId="1A0A3CEF">
      <w:pPr>
        <w:pStyle w:val="16"/>
        <w:spacing w:before="31" w:after="31"/>
        <w:ind w:firstLine="480"/>
        <w:rPr>
          <w:szCs w:val="24"/>
        </w:rPr>
      </w:pPr>
      <w:r>
        <w:rPr>
          <w:szCs w:val="24"/>
        </w:rPr>
        <w:t>(2) Failure Process Description</w:t>
      </w:r>
    </w:p>
    <w:p w14:paraId="15D06309">
      <w:pPr>
        <w:pStyle w:val="16"/>
        <w:spacing w:before="31" w:after="31"/>
        <w:ind w:firstLine="480"/>
        <w:rPr>
          <w:szCs w:val="24"/>
        </w:rPr>
      </w:pPr>
      <w:r>
        <w:rPr>
          <w:szCs w:val="24"/>
        </w:rPr>
        <w:t>In a thermal power plant, the high-temperature and high-pressure pipes of a boiler experienced failure in the welded joints. The failure occurred during operation, leading to a shutdown of the boiler for emergency repairs.</w:t>
      </w:r>
    </w:p>
    <w:p w14:paraId="6F88C19F">
      <w:pPr>
        <w:pStyle w:val="16"/>
        <w:spacing w:before="31" w:after="31"/>
        <w:ind w:firstLine="480"/>
        <w:jc w:val="center"/>
        <w:rPr>
          <w:rFonts w:hint="eastAsia"/>
          <w:szCs w:val="24"/>
        </w:rPr>
      </w:pPr>
      <w:r>
        <w:rPr>
          <w:szCs w:val="24"/>
        </w:rPr>
        <w:t>Figure 5-3.1: Schematic Diagram of Butt Weld Defect Locations</w:t>
      </w:r>
    </w:p>
    <w:p w14:paraId="5CE2DAFF">
      <w:pPr>
        <w:pStyle w:val="16"/>
        <w:spacing w:before="31" w:after="31"/>
        <w:ind w:firstLine="480"/>
        <w:rPr>
          <w:szCs w:val="24"/>
        </w:rPr>
      </w:pPr>
      <w:r>
        <w:rPr>
          <w:szCs w:val="24"/>
        </w:rPr>
        <w:t>(3) Service Environment</w:t>
      </w:r>
    </w:p>
    <w:p w14:paraId="05F847E0">
      <w:pPr>
        <w:pStyle w:val="16"/>
        <w:spacing w:before="31" w:after="31"/>
        <w:ind w:firstLine="480"/>
        <w:rPr>
          <w:szCs w:val="24"/>
        </w:rPr>
      </w:pPr>
      <w:r>
        <w:rPr>
          <w:szCs w:val="24"/>
        </w:rPr>
        <w:t>The high-temperature and high-pressure pipes are part of the water and steam circulation system in a power plant boiler. The operating conditions include a high-pressure and high-temperature environment with steam parameters reaching 13.7 MPa and 540°C.</w:t>
      </w:r>
    </w:p>
    <w:p w14:paraId="4DA898CA">
      <w:pPr>
        <w:pStyle w:val="16"/>
        <w:spacing w:before="31" w:after="31"/>
        <w:ind w:firstLine="480"/>
        <w:rPr>
          <w:szCs w:val="24"/>
        </w:rPr>
      </w:pPr>
      <w:r>
        <w:rPr>
          <w:szCs w:val="24"/>
        </w:rPr>
        <w:t>(4) Failed Component and Material</w:t>
      </w:r>
    </w:p>
    <w:p w14:paraId="57FA6695">
      <w:pPr>
        <w:pStyle w:val="16"/>
        <w:spacing w:before="31" w:after="31"/>
        <w:ind w:firstLine="480"/>
        <w:rPr>
          <w:szCs w:val="24"/>
        </w:rPr>
      </w:pPr>
      <w:r>
        <w:rPr>
          <w:szCs w:val="24"/>
        </w:rPr>
        <w:t>The failed component is a welded joint in the high-temperature and high-pressure pipes. The material is P91 (ASME SA335-P91), a ferritic-martensitic steel suitable for high-temperature service.</w:t>
      </w:r>
    </w:p>
    <w:p w14:paraId="0143D762">
      <w:pPr>
        <w:pStyle w:val="16"/>
        <w:spacing w:before="31" w:after="31"/>
        <w:ind w:firstLine="482"/>
        <w:jc w:val="center"/>
        <w:rPr>
          <w:b/>
          <w:bCs/>
          <w:szCs w:val="24"/>
        </w:rPr>
      </w:pPr>
      <w:r>
        <w:rPr>
          <w:b/>
          <w:bCs/>
          <w:szCs w:val="24"/>
        </w:rPr>
        <w:t>Figure 5-3.2: Microstructure of the Jointed Pipe Base Metal (Position C in Figure 5-3.1)</w:t>
      </w:r>
    </w:p>
    <w:p w14:paraId="08D36174">
      <w:pPr>
        <w:pStyle w:val="16"/>
        <w:spacing w:before="31" w:after="31"/>
        <w:ind w:firstLine="482"/>
        <w:jc w:val="center"/>
        <w:rPr>
          <w:b/>
          <w:bCs/>
          <w:szCs w:val="24"/>
        </w:rPr>
      </w:pPr>
      <w:r>
        <w:rPr>
          <w:b/>
          <w:bCs/>
          <w:szCs w:val="24"/>
        </w:rPr>
        <w:t>Figure 5-3.3: Microstructure of the Left Tee Base Metal (Position A in Figure 5-3.1)</w:t>
      </w:r>
    </w:p>
    <w:p w14:paraId="715A9703">
      <w:pPr>
        <w:pStyle w:val="16"/>
        <w:spacing w:before="31" w:after="31"/>
        <w:ind w:firstLine="480"/>
        <w:rPr>
          <w:szCs w:val="24"/>
        </w:rPr>
      </w:pPr>
      <w:r>
        <w:rPr>
          <w:szCs w:val="24"/>
        </w:rPr>
        <w:t>(5) Component Failure Morphology</w:t>
      </w:r>
    </w:p>
    <w:p w14:paraId="3B6031F8">
      <w:pPr>
        <w:pStyle w:val="16"/>
        <w:spacing w:before="31" w:after="31"/>
        <w:ind w:firstLine="480"/>
        <w:rPr>
          <w:szCs w:val="24"/>
        </w:rPr>
      </w:pPr>
      <w:r>
        <w:rPr>
          <w:szCs w:val="24"/>
        </w:rPr>
        <w:t>Figure 5-3.4 depicts one of the three transverse cracks discovered in the weld B in Figure 5-3.1. The crack is intermittent with a relatively large opening, and the end is relatively blunt. Upon dissection, it was found that this transverse crack is 62mm long with a depth of 58mm, resembling a blade vertically inserted into the weld. Cracks found during the reexamination of welds B and F are shown in Figure 5-3.5. The results of the metallographic reexamination of the weld are presented in Figures 5-3.6 to 5-3.7. The weld structure consists of tempered bainite and a small amount of ferrite, and the structure is generally normal. Except for the crack area, there is no quenching and overburning in other areas. The crack propagates along the grain boundaries, and no oxides are found inside the crack.</w:t>
      </w:r>
    </w:p>
    <w:p w14:paraId="57A2584F">
      <w:pPr>
        <w:pStyle w:val="16"/>
        <w:spacing w:before="31" w:after="31"/>
        <w:ind w:firstLine="482"/>
        <w:jc w:val="center"/>
        <w:rPr>
          <w:b/>
          <w:bCs/>
          <w:szCs w:val="24"/>
        </w:rPr>
      </w:pPr>
      <w:r>
        <w:rPr>
          <w:b/>
          <w:bCs/>
          <w:szCs w:val="24"/>
        </w:rPr>
        <w:t>Figure 5-3.4: Transverse Crack on Weld B</w:t>
      </w:r>
    </w:p>
    <w:p w14:paraId="709F912C">
      <w:pPr>
        <w:pStyle w:val="16"/>
        <w:spacing w:before="31" w:after="31"/>
        <w:ind w:firstLine="482"/>
        <w:jc w:val="center"/>
        <w:rPr>
          <w:b/>
          <w:bCs/>
          <w:szCs w:val="24"/>
        </w:rPr>
      </w:pPr>
      <w:r>
        <w:rPr>
          <w:b/>
          <w:bCs/>
          <w:szCs w:val="24"/>
        </w:rPr>
        <w:t>Figure 5-3.5: Dense Transverse Cracks on the Surface of Weld F</w:t>
      </w:r>
    </w:p>
    <w:p w14:paraId="7D8A6E22">
      <w:pPr>
        <w:pStyle w:val="16"/>
        <w:spacing w:before="31" w:after="31"/>
        <w:ind w:firstLine="482"/>
        <w:rPr>
          <w:b/>
          <w:bCs/>
          <w:szCs w:val="24"/>
        </w:rPr>
      </w:pPr>
      <w:r>
        <w:rPr>
          <w:b/>
          <w:bCs/>
          <w:szCs w:val="24"/>
        </w:rPr>
        <w:t>(a) Crack morphology              (b) Crack end</w:t>
      </w:r>
    </w:p>
    <w:p w14:paraId="03C7098C">
      <w:pPr>
        <w:pStyle w:val="16"/>
        <w:spacing w:before="31" w:after="31"/>
        <w:ind w:left="840" w:firstLine="0" w:firstLineChars="0"/>
        <w:rPr>
          <w:rFonts w:hint="eastAsia"/>
          <w:b/>
          <w:bCs/>
          <w:szCs w:val="24"/>
        </w:rPr>
      </w:pPr>
    </w:p>
    <w:p w14:paraId="31592DE0">
      <w:pPr>
        <w:pStyle w:val="16"/>
        <w:spacing w:before="31" w:after="31"/>
        <w:ind w:left="480" w:firstLine="0" w:firstLineChars="0"/>
        <w:jc w:val="center"/>
        <w:rPr>
          <w:b/>
          <w:bCs/>
          <w:szCs w:val="24"/>
        </w:rPr>
      </w:pPr>
    </w:p>
    <w:p w14:paraId="3F6F29C8">
      <w:pPr>
        <w:pStyle w:val="16"/>
        <w:spacing w:before="31" w:after="31"/>
        <w:ind w:firstLine="482"/>
        <w:jc w:val="center"/>
        <w:rPr>
          <w:b/>
          <w:bCs/>
          <w:szCs w:val="24"/>
        </w:rPr>
      </w:pPr>
      <w:r>
        <w:rPr>
          <w:b/>
          <w:bCs/>
          <w:szCs w:val="24"/>
        </w:rPr>
        <w:t>Figure 5-3.6: Weld structure (Position B in Figure 5-3.1)</w:t>
      </w:r>
    </w:p>
    <w:p w14:paraId="746AC290">
      <w:pPr>
        <w:pStyle w:val="16"/>
        <w:spacing w:before="31" w:after="31"/>
        <w:ind w:firstLine="482"/>
        <w:jc w:val="center"/>
        <w:rPr>
          <w:b/>
          <w:bCs/>
          <w:szCs w:val="24"/>
        </w:rPr>
      </w:pPr>
      <w:r>
        <w:rPr>
          <w:b/>
          <w:bCs/>
          <w:szCs w:val="24"/>
        </w:rPr>
        <w:t>Figure 5-3.7: Microscopic morphology of the weld on the left tee (Position B in Figure 5-3.1)</w:t>
      </w:r>
    </w:p>
    <w:p w14:paraId="6B1C0681">
      <w:pPr>
        <w:pStyle w:val="16"/>
        <w:spacing w:before="31" w:after="31"/>
        <w:ind w:firstLine="482"/>
        <w:rPr>
          <w:b/>
          <w:bCs/>
          <w:szCs w:val="24"/>
        </w:rPr>
      </w:pPr>
    </w:p>
    <w:p w14:paraId="4867D44E">
      <w:pPr>
        <w:pStyle w:val="16"/>
        <w:spacing w:before="31" w:after="31"/>
        <w:ind w:firstLine="0" w:firstLineChars="0"/>
        <w:rPr>
          <w:szCs w:val="24"/>
        </w:rPr>
      </w:pPr>
      <w:r>
        <w:rPr>
          <w:szCs w:val="24"/>
        </w:rPr>
        <w:t>(6) Analysis of Failure Causes</w:t>
      </w:r>
    </w:p>
    <w:p w14:paraId="52489E0F">
      <w:pPr>
        <w:pStyle w:val="16"/>
        <w:spacing w:before="31" w:after="31"/>
        <w:ind w:firstLine="480"/>
        <w:rPr>
          <w:szCs w:val="24"/>
        </w:rPr>
      </w:pPr>
      <w:r>
        <w:rPr>
          <w:szCs w:val="24"/>
        </w:rPr>
        <w:t>Spectral analysis indicates that welds B and F contain Ti, which is different from the standard composition. In heat-resistant pearlitic steel, Mo enhances thermal strength by strengthening the α solid solution, while Ti is a strong carbide-forming element distributed along grain boundaries, significantly affecting the cohesive strength of grain boundaries. The presence of solid solution in the grains inevitably increases internal lattice distortion, thus promoting concentrated plastic deformation along grain boundaries. This leads to a reduction in the sustained plasticity and an increase in creep brittleness of the weld. Under prolonged exposure to high temperature and stress, the likelihood of cracks perpendicular to the direction of maximum principal stress in the weld significantly increases. Considering the pipeline orientation, flow direction of the internal medium, and the structure of the pipe system, the transverse cracks in Figure 5-3.2 are perpendicular to the direction of maximum principal stress in the pipeline system. Therefore, it can be concluded that the presence of Ti in welds B and F is the main cause of the crack defects observed after the operation of the welds.</w:t>
      </w:r>
    </w:p>
    <w:p w14:paraId="48A61807">
      <w:pPr>
        <w:pStyle w:val="16"/>
        <w:spacing w:before="31" w:after="31"/>
        <w:ind w:firstLine="0" w:firstLineChars="0"/>
        <w:rPr>
          <w:szCs w:val="24"/>
        </w:rPr>
      </w:pPr>
      <w:r>
        <w:rPr>
          <w:szCs w:val="24"/>
        </w:rPr>
        <w:t>(7) Impact and Hazards</w:t>
      </w:r>
    </w:p>
    <w:p w14:paraId="26F49578">
      <w:pPr>
        <w:pStyle w:val="16"/>
        <w:spacing w:before="31" w:after="31"/>
        <w:ind w:firstLine="480"/>
        <w:rPr>
          <w:szCs w:val="24"/>
        </w:rPr>
      </w:pPr>
      <w:r>
        <w:rPr>
          <w:szCs w:val="24"/>
        </w:rPr>
        <w:t>The thickness of the pipeline is 90mm, with a theoretical wall thickness of 66.1mm. The maximum depth of the crack is 58mm, resulting in a very small effective wall thickness. If not detected and addressed promptly, accidents can occur during the operation of the unit.</w:t>
      </w:r>
    </w:p>
    <w:p w14:paraId="1016D6AB">
      <w:pPr>
        <w:pStyle w:val="16"/>
        <w:spacing w:before="31" w:after="31"/>
        <w:ind w:firstLine="480"/>
        <w:rPr>
          <w:szCs w:val="24"/>
        </w:rPr>
      </w:pPr>
    </w:p>
    <w:p w14:paraId="573608D4">
      <w:pPr>
        <w:pStyle w:val="16"/>
        <w:spacing w:before="31" w:after="31"/>
        <w:ind w:firstLine="0" w:firstLineChars="0"/>
        <w:rPr>
          <w:szCs w:val="24"/>
        </w:rPr>
      </w:pPr>
      <w:r>
        <w:rPr>
          <w:szCs w:val="24"/>
        </w:rPr>
        <w:t>(8) Conclusions and Improvement Measures</w:t>
      </w:r>
    </w:p>
    <w:p w14:paraId="4EFD9B62">
      <w:pPr>
        <w:pStyle w:val="16"/>
        <w:spacing w:before="31" w:after="31"/>
        <w:ind w:firstLine="480"/>
        <w:rPr>
          <w:szCs w:val="24"/>
        </w:rPr>
      </w:pPr>
      <w:r>
        <w:rPr>
          <w:szCs w:val="24"/>
        </w:rPr>
        <w:t>(a) During maintenance, defects in the welds should be thoroughly removed using a circumferential groove-cutting machine. Strict adherence to qualified welding process assessments is necessary to ensure that Ti is not present in the welds of R317, resulting in qualified welding joints. Care should be taken in the selection of welding processes to guarantee welding quality. Post-repair inspections did not reveal any defects.</w:t>
      </w:r>
    </w:p>
    <w:p w14:paraId="733573DD">
      <w:pPr>
        <w:pStyle w:val="16"/>
        <w:spacing w:before="31" w:after="31"/>
        <w:ind w:firstLine="480"/>
        <w:rPr>
          <w:szCs w:val="24"/>
        </w:rPr>
      </w:pPr>
      <w:r>
        <w:rPr>
          <w:szCs w:val="24"/>
        </w:rPr>
        <w:t>(b) The introduction of Ti into welding materials changes the microstructure of the welds, reducing their sustained plasticity and increasing creep brittleness. Cracks perpendicular to the direction of maximum principal stress in the welds form under prolonged exposure to high temperature and stress.</w:t>
      </w:r>
    </w:p>
    <w:p w14:paraId="041A891A">
      <w:pPr>
        <w:pStyle w:val="16"/>
        <w:spacing w:before="31" w:after="31"/>
        <w:ind w:firstLine="480"/>
        <w:rPr>
          <w:szCs w:val="24"/>
        </w:rPr>
      </w:pPr>
      <w:r>
        <w:rPr>
          <w:szCs w:val="24"/>
        </w:rPr>
        <w:t>(c) During ultrasonic testing of welded joints in high-temperature and pressure pipelines, it is essential to avoid neglecting parallel scanning on both sides of the weld using ultrasonic probes positioned parallel to the centerline of the weld (or at an angle of 10° to 20°) to prevent overlooking transverse crack defects.</w:t>
      </w:r>
    </w:p>
    <w:p w14:paraId="1C04ADFB">
      <w:pPr>
        <w:pStyle w:val="16"/>
        <w:spacing w:before="31" w:after="31"/>
        <w:ind w:firstLine="0" w:firstLineChars="0"/>
        <w:rPr>
          <w:b/>
          <w:bCs/>
          <w:szCs w:val="24"/>
        </w:rPr>
      </w:pPr>
      <w:r>
        <w:rPr>
          <w:b/>
          <w:bCs/>
          <w:szCs w:val="24"/>
        </w:rPr>
        <w:t>5.2.4 Case 5-4: Subcritical 300MW Unit Boiler Water Wall Tube Rupture</w:t>
      </w:r>
    </w:p>
    <w:p w14:paraId="7A9341A2">
      <w:pPr>
        <w:pStyle w:val="16"/>
        <w:spacing w:before="31" w:after="31"/>
        <w:ind w:firstLine="0" w:firstLineChars="0"/>
        <w:rPr>
          <w:szCs w:val="24"/>
        </w:rPr>
      </w:pPr>
      <w:r>
        <w:rPr>
          <w:szCs w:val="24"/>
        </w:rPr>
        <w:t>(1) Case Name</w:t>
      </w:r>
    </w:p>
    <w:p w14:paraId="7E49E0AE">
      <w:pPr>
        <w:pStyle w:val="16"/>
        <w:spacing w:before="31" w:after="31"/>
        <w:ind w:firstLine="480"/>
        <w:rPr>
          <w:szCs w:val="24"/>
        </w:rPr>
      </w:pPr>
      <w:r>
        <w:rPr>
          <w:szCs w:val="24"/>
        </w:rPr>
        <w:t>Subcritical 300MW Unit Boiler Water Wall Tube Rupture [6]</w:t>
      </w:r>
    </w:p>
    <w:p w14:paraId="733D64B9">
      <w:pPr>
        <w:pStyle w:val="16"/>
        <w:spacing w:before="31" w:after="31"/>
        <w:ind w:firstLine="0" w:firstLineChars="0"/>
        <w:rPr>
          <w:szCs w:val="24"/>
        </w:rPr>
      </w:pPr>
      <w:r>
        <w:rPr>
          <w:szCs w:val="24"/>
        </w:rPr>
        <w:t>(2) Description of Failure Process</w:t>
      </w:r>
    </w:p>
    <w:p w14:paraId="154E149B">
      <w:pPr>
        <w:pStyle w:val="16"/>
        <w:spacing w:before="31" w:after="31"/>
        <w:ind w:firstLine="480"/>
        <w:rPr>
          <w:szCs w:val="24"/>
        </w:rPr>
      </w:pPr>
      <w:r>
        <w:rPr>
          <w:szCs w:val="24"/>
        </w:rPr>
        <w:t>The SG-1025/17.4—M 847 of the subcritical 300MW unit experienced two instances of water wall tube rupture in 2006. The first rupture occurred in the 51st water wall tube from left to right on the boiler front wall, approximately 18.0m above the fire surface. The second rupture occurred in the 54th water wall tube from left to right on the boiler front wall, approximately 18.5m above the fire surface. From the commissioning of the unit in 2001 until 2006, a total of 52 water wall tube ruptures occurred, significantly impacting the safe and economic operation of the unit.</w:t>
      </w:r>
    </w:p>
    <w:p w14:paraId="6F793A79">
      <w:pPr>
        <w:pStyle w:val="16"/>
        <w:spacing w:before="31" w:after="31"/>
        <w:ind w:firstLine="0" w:firstLineChars="0"/>
        <w:rPr>
          <w:szCs w:val="24"/>
        </w:rPr>
      </w:pPr>
      <w:r>
        <w:rPr>
          <w:szCs w:val="24"/>
        </w:rPr>
        <w:t>(3) Service Environment</w:t>
      </w:r>
    </w:p>
    <w:p w14:paraId="18C52EB1">
      <w:pPr>
        <w:pStyle w:val="16"/>
        <w:spacing w:before="31" w:after="31"/>
        <w:ind w:firstLine="480"/>
        <w:rPr>
          <w:szCs w:val="24"/>
        </w:rPr>
      </w:pPr>
      <w:r>
        <w:rPr>
          <w:szCs w:val="24"/>
        </w:rPr>
        <w:t>The boiler's rated feedwater temperature is 277°C, the rated superheated steam outlet temperature is 540°C, and the outlet pressure is 17.31MPa.</w:t>
      </w:r>
    </w:p>
    <w:p w14:paraId="5F9D0428">
      <w:pPr>
        <w:pStyle w:val="16"/>
        <w:spacing w:before="31" w:after="31"/>
        <w:ind w:firstLine="0" w:firstLineChars="0"/>
        <w:rPr>
          <w:szCs w:val="24"/>
        </w:rPr>
      </w:pPr>
      <w:r>
        <w:rPr>
          <w:szCs w:val="24"/>
        </w:rPr>
        <w:t>(4) Failed Component and Material</w:t>
      </w:r>
    </w:p>
    <w:p w14:paraId="25B553CA">
      <w:pPr>
        <w:pStyle w:val="16"/>
        <w:spacing w:before="31" w:after="31"/>
        <w:ind w:firstLine="480"/>
        <w:rPr>
          <w:szCs w:val="24"/>
        </w:rPr>
      </w:pPr>
      <w:r>
        <w:rPr>
          <w:szCs w:val="24"/>
        </w:rPr>
        <w:t>The internal threaded tube of the water wall has specifications of d60mm×8mm, and the material is 20G. The chemical composition analysis and tensile properties of tube #1 are shown in Table 5-5 and Table 5-6. Rel, Rm, and A represent yield strength, tensile strength, and elongation, respectively. It can be observed that the composition and strength of tube #1 meet the standard requirements, but the elongation is slightly lower, indicating a decrease in plasticity.</w:t>
      </w:r>
    </w:p>
    <w:p w14:paraId="385C3D62">
      <w:pPr>
        <w:pStyle w:val="16"/>
        <w:spacing w:before="31" w:after="31"/>
        <w:ind w:firstLine="480"/>
        <w:rPr>
          <w:szCs w:val="24"/>
        </w:rPr>
      </w:pPr>
    </w:p>
    <w:p w14:paraId="45AB99A4">
      <w:pPr>
        <w:pStyle w:val="16"/>
        <w:spacing w:before="31" w:after="31"/>
        <w:ind w:firstLineChars="83"/>
        <w:jc w:val="center"/>
        <w:rPr>
          <w:b/>
          <w:bCs/>
          <w:szCs w:val="24"/>
        </w:rPr>
      </w:pPr>
      <w:r>
        <w:rPr>
          <w:b/>
          <w:bCs/>
          <w:szCs w:val="24"/>
        </w:rPr>
        <w:t>Table 5-5 Chemical Composition Analysis of Tube #1 (Wt%)</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3"/>
        <w:gridCol w:w="1180"/>
        <w:gridCol w:w="1180"/>
        <w:gridCol w:w="1180"/>
        <w:gridCol w:w="1019"/>
        <w:gridCol w:w="992"/>
      </w:tblGrid>
      <w:tr w14:paraId="128CE4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3" w:type="dxa"/>
            <w:tcBorders>
              <w:top w:val="single" w:color="auto" w:sz="12" w:space="0"/>
              <w:left w:val="nil"/>
              <w:bottom w:val="single" w:color="auto" w:sz="12" w:space="0"/>
              <w:right w:val="nil"/>
            </w:tcBorders>
            <w:vAlign w:val="center"/>
          </w:tcPr>
          <w:p w14:paraId="46FCE030">
            <w:pPr>
              <w:pStyle w:val="16"/>
              <w:spacing w:before="31" w:after="31"/>
              <w:ind w:firstLine="0" w:firstLineChars="0"/>
              <w:jc w:val="center"/>
              <w:rPr>
                <w:rFonts w:cs="Times New Roman"/>
                <w:sz w:val="21"/>
                <w:szCs w:val="21"/>
              </w:rPr>
            </w:pPr>
            <w:r>
              <w:rPr>
                <w:szCs w:val="24"/>
              </w:rPr>
              <w:t>Item</w:t>
            </w:r>
          </w:p>
        </w:tc>
        <w:tc>
          <w:tcPr>
            <w:tcW w:w="1180" w:type="dxa"/>
            <w:tcBorders>
              <w:top w:val="single" w:color="auto" w:sz="12" w:space="0"/>
              <w:left w:val="nil"/>
              <w:bottom w:val="single" w:color="auto" w:sz="12" w:space="0"/>
              <w:right w:val="nil"/>
            </w:tcBorders>
            <w:vAlign w:val="center"/>
          </w:tcPr>
          <w:p w14:paraId="6E31759D">
            <w:pPr>
              <w:pStyle w:val="16"/>
              <w:spacing w:before="31" w:after="31"/>
              <w:ind w:firstLine="0" w:firstLineChars="0"/>
              <w:jc w:val="center"/>
              <w:rPr>
                <w:rFonts w:cs="Times New Roman"/>
                <w:sz w:val="21"/>
                <w:szCs w:val="21"/>
              </w:rPr>
            </w:pPr>
            <w:r>
              <w:rPr>
                <w:rFonts w:cs="Times New Roman"/>
                <w:sz w:val="21"/>
                <w:szCs w:val="21"/>
              </w:rPr>
              <w:t>C</w:t>
            </w:r>
          </w:p>
        </w:tc>
        <w:tc>
          <w:tcPr>
            <w:tcW w:w="1180" w:type="dxa"/>
            <w:tcBorders>
              <w:top w:val="single" w:color="auto" w:sz="12" w:space="0"/>
              <w:left w:val="nil"/>
              <w:bottom w:val="single" w:color="auto" w:sz="12" w:space="0"/>
              <w:right w:val="nil"/>
            </w:tcBorders>
            <w:vAlign w:val="center"/>
          </w:tcPr>
          <w:p w14:paraId="7A7A029D">
            <w:pPr>
              <w:pStyle w:val="16"/>
              <w:spacing w:before="31" w:after="31"/>
              <w:ind w:firstLine="0" w:firstLineChars="0"/>
              <w:jc w:val="center"/>
              <w:rPr>
                <w:rFonts w:cs="Times New Roman"/>
                <w:sz w:val="21"/>
                <w:szCs w:val="21"/>
              </w:rPr>
            </w:pPr>
            <w:r>
              <w:rPr>
                <w:rFonts w:cs="Times New Roman"/>
                <w:sz w:val="21"/>
                <w:szCs w:val="21"/>
              </w:rPr>
              <w:t>Si</w:t>
            </w:r>
          </w:p>
        </w:tc>
        <w:tc>
          <w:tcPr>
            <w:tcW w:w="1180" w:type="dxa"/>
            <w:tcBorders>
              <w:top w:val="single" w:color="auto" w:sz="12" w:space="0"/>
              <w:left w:val="nil"/>
              <w:bottom w:val="single" w:color="auto" w:sz="12" w:space="0"/>
              <w:right w:val="nil"/>
            </w:tcBorders>
            <w:vAlign w:val="center"/>
          </w:tcPr>
          <w:p w14:paraId="35C34788">
            <w:pPr>
              <w:pStyle w:val="16"/>
              <w:spacing w:before="31" w:after="31"/>
              <w:ind w:firstLine="0" w:firstLineChars="0"/>
              <w:jc w:val="center"/>
              <w:rPr>
                <w:rFonts w:cs="Times New Roman"/>
                <w:sz w:val="21"/>
                <w:szCs w:val="21"/>
              </w:rPr>
            </w:pPr>
            <w:r>
              <w:rPr>
                <w:rFonts w:cs="Times New Roman"/>
                <w:sz w:val="21"/>
                <w:szCs w:val="21"/>
              </w:rPr>
              <w:t>Mn</w:t>
            </w:r>
          </w:p>
        </w:tc>
        <w:tc>
          <w:tcPr>
            <w:tcW w:w="1019" w:type="dxa"/>
            <w:tcBorders>
              <w:top w:val="single" w:color="auto" w:sz="12" w:space="0"/>
              <w:left w:val="nil"/>
              <w:bottom w:val="single" w:color="auto" w:sz="12" w:space="0"/>
              <w:right w:val="nil"/>
            </w:tcBorders>
            <w:vAlign w:val="center"/>
          </w:tcPr>
          <w:p w14:paraId="1F9C080C">
            <w:pPr>
              <w:pStyle w:val="16"/>
              <w:spacing w:before="31" w:after="31"/>
              <w:ind w:firstLine="0" w:firstLineChars="0"/>
              <w:jc w:val="center"/>
              <w:rPr>
                <w:rFonts w:cs="Times New Roman"/>
                <w:sz w:val="21"/>
                <w:szCs w:val="21"/>
              </w:rPr>
            </w:pPr>
            <w:r>
              <w:rPr>
                <w:rFonts w:cs="Times New Roman"/>
                <w:sz w:val="21"/>
                <w:szCs w:val="21"/>
              </w:rPr>
              <w:t>S</w:t>
            </w:r>
          </w:p>
        </w:tc>
        <w:tc>
          <w:tcPr>
            <w:tcW w:w="992" w:type="dxa"/>
            <w:tcBorders>
              <w:top w:val="single" w:color="auto" w:sz="12" w:space="0"/>
              <w:left w:val="nil"/>
              <w:bottom w:val="single" w:color="auto" w:sz="12" w:space="0"/>
              <w:right w:val="nil"/>
            </w:tcBorders>
            <w:vAlign w:val="center"/>
          </w:tcPr>
          <w:p w14:paraId="3FED6D74">
            <w:pPr>
              <w:pStyle w:val="16"/>
              <w:spacing w:before="31" w:after="31"/>
              <w:ind w:firstLine="0" w:firstLineChars="0"/>
              <w:jc w:val="center"/>
              <w:rPr>
                <w:rFonts w:cs="Times New Roman"/>
                <w:sz w:val="21"/>
                <w:szCs w:val="21"/>
              </w:rPr>
            </w:pPr>
            <w:r>
              <w:rPr>
                <w:rFonts w:cs="Times New Roman"/>
                <w:sz w:val="21"/>
                <w:szCs w:val="21"/>
              </w:rPr>
              <w:t>P</w:t>
            </w:r>
          </w:p>
        </w:tc>
      </w:tr>
      <w:tr w14:paraId="1892F4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3" w:type="dxa"/>
            <w:tcBorders>
              <w:top w:val="single" w:color="auto" w:sz="12" w:space="0"/>
              <w:left w:val="nil"/>
              <w:bottom w:val="nil"/>
              <w:right w:val="nil"/>
            </w:tcBorders>
            <w:vAlign w:val="center"/>
          </w:tcPr>
          <w:p w14:paraId="422F17B2">
            <w:pPr>
              <w:pStyle w:val="16"/>
              <w:spacing w:before="31" w:after="31"/>
              <w:ind w:firstLine="0" w:firstLineChars="0"/>
              <w:jc w:val="center"/>
              <w:rPr>
                <w:rFonts w:cs="Times New Roman"/>
                <w:sz w:val="21"/>
                <w:szCs w:val="21"/>
              </w:rPr>
            </w:pPr>
            <w:r>
              <w:rPr>
                <w:szCs w:val="24"/>
              </w:rPr>
              <w:t>Tube #1</w:t>
            </w:r>
          </w:p>
        </w:tc>
        <w:tc>
          <w:tcPr>
            <w:tcW w:w="1180" w:type="dxa"/>
            <w:tcBorders>
              <w:top w:val="single" w:color="auto" w:sz="12" w:space="0"/>
              <w:left w:val="nil"/>
              <w:bottom w:val="nil"/>
              <w:right w:val="nil"/>
            </w:tcBorders>
            <w:vAlign w:val="center"/>
          </w:tcPr>
          <w:p w14:paraId="23ACF1FD">
            <w:pPr>
              <w:pStyle w:val="16"/>
              <w:spacing w:before="31" w:after="31"/>
              <w:ind w:firstLine="0" w:firstLineChars="0"/>
              <w:jc w:val="center"/>
              <w:rPr>
                <w:rFonts w:cs="Times New Roman"/>
                <w:sz w:val="21"/>
                <w:szCs w:val="21"/>
              </w:rPr>
            </w:pPr>
            <w:r>
              <w:rPr>
                <w:rFonts w:cs="Times New Roman"/>
                <w:sz w:val="21"/>
                <w:szCs w:val="21"/>
              </w:rPr>
              <w:t>0.18</w:t>
            </w:r>
          </w:p>
        </w:tc>
        <w:tc>
          <w:tcPr>
            <w:tcW w:w="1180" w:type="dxa"/>
            <w:tcBorders>
              <w:top w:val="single" w:color="auto" w:sz="12" w:space="0"/>
              <w:left w:val="nil"/>
              <w:bottom w:val="nil"/>
              <w:right w:val="nil"/>
            </w:tcBorders>
            <w:vAlign w:val="center"/>
          </w:tcPr>
          <w:p w14:paraId="3CCC4715">
            <w:pPr>
              <w:pStyle w:val="16"/>
              <w:spacing w:before="31" w:after="31"/>
              <w:ind w:firstLine="0" w:firstLineChars="0"/>
              <w:jc w:val="center"/>
              <w:rPr>
                <w:rFonts w:cs="Times New Roman"/>
                <w:sz w:val="21"/>
                <w:szCs w:val="21"/>
              </w:rPr>
            </w:pPr>
            <w:r>
              <w:rPr>
                <w:rFonts w:cs="Times New Roman"/>
                <w:sz w:val="21"/>
                <w:szCs w:val="21"/>
              </w:rPr>
              <w:t>0.29</w:t>
            </w:r>
          </w:p>
        </w:tc>
        <w:tc>
          <w:tcPr>
            <w:tcW w:w="1180" w:type="dxa"/>
            <w:tcBorders>
              <w:top w:val="single" w:color="auto" w:sz="12" w:space="0"/>
              <w:left w:val="nil"/>
              <w:bottom w:val="nil"/>
              <w:right w:val="nil"/>
            </w:tcBorders>
            <w:vAlign w:val="center"/>
          </w:tcPr>
          <w:p w14:paraId="03CFD81C">
            <w:pPr>
              <w:pStyle w:val="16"/>
              <w:spacing w:before="31" w:after="31"/>
              <w:ind w:firstLine="0" w:firstLineChars="0"/>
              <w:jc w:val="center"/>
              <w:rPr>
                <w:rFonts w:cs="Times New Roman"/>
                <w:sz w:val="21"/>
                <w:szCs w:val="21"/>
              </w:rPr>
            </w:pPr>
            <w:r>
              <w:rPr>
                <w:rFonts w:cs="Times New Roman"/>
                <w:sz w:val="21"/>
                <w:szCs w:val="21"/>
              </w:rPr>
              <w:t>0.68</w:t>
            </w:r>
          </w:p>
        </w:tc>
        <w:tc>
          <w:tcPr>
            <w:tcW w:w="1019" w:type="dxa"/>
            <w:tcBorders>
              <w:top w:val="single" w:color="auto" w:sz="12" w:space="0"/>
              <w:left w:val="nil"/>
              <w:bottom w:val="nil"/>
              <w:right w:val="nil"/>
            </w:tcBorders>
            <w:vAlign w:val="center"/>
          </w:tcPr>
          <w:p w14:paraId="57A257BA">
            <w:pPr>
              <w:pStyle w:val="16"/>
              <w:spacing w:before="31" w:after="31"/>
              <w:ind w:firstLine="0" w:firstLineChars="0"/>
              <w:jc w:val="center"/>
              <w:rPr>
                <w:rFonts w:cs="Times New Roman"/>
                <w:sz w:val="21"/>
                <w:szCs w:val="21"/>
              </w:rPr>
            </w:pPr>
            <w:r>
              <w:rPr>
                <w:rFonts w:cs="Times New Roman"/>
                <w:sz w:val="21"/>
                <w:szCs w:val="21"/>
              </w:rPr>
              <w:t>0.017</w:t>
            </w:r>
          </w:p>
        </w:tc>
        <w:tc>
          <w:tcPr>
            <w:tcW w:w="992" w:type="dxa"/>
            <w:tcBorders>
              <w:top w:val="single" w:color="auto" w:sz="12" w:space="0"/>
              <w:left w:val="nil"/>
              <w:bottom w:val="nil"/>
              <w:right w:val="nil"/>
            </w:tcBorders>
            <w:vAlign w:val="center"/>
          </w:tcPr>
          <w:p w14:paraId="0A0C6532">
            <w:pPr>
              <w:pStyle w:val="16"/>
              <w:spacing w:before="31" w:after="31"/>
              <w:ind w:firstLine="0" w:firstLineChars="0"/>
              <w:jc w:val="center"/>
              <w:rPr>
                <w:rFonts w:cs="Times New Roman"/>
                <w:sz w:val="21"/>
                <w:szCs w:val="21"/>
              </w:rPr>
            </w:pPr>
            <w:r>
              <w:rPr>
                <w:rFonts w:cs="Times New Roman"/>
                <w:sz w:val="21"/>
                <w:szCs w:val="21"/>
              </w:rPr>
              <w:t>0.014</w:t>
            </w:r>
          </w:p>
        </w:tc>
      </w:tr>
      <w:tr w14:paraId="07CE85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3" w:type="dxa"/>
            <w:tcBorders>
              <w:top w:val="nil"/>
              <w:left w:val="nil"/>
              <w:bottom w:val="single" w:color="auto" w:sz="12" w:space="0"/>
              <w:right w:val="nil"/>
            </w:tcBorders>
            <w:vAlign w:val="center"/>
          </w:tcPr>
          <w:p w14:paraId="58C7FFD3">
            <w:pPr>
              <w:pStyle w:val="16"/>
              <w:spacing w:before="31" w:after="31"/>
              <w:ind w:firstLine="0" w:firstLineChars="0"/>
              <w:jc w:val="center"/>
              <w:rPr>
                <w:rFonts w:cs="Times New Roman"/>
                <w:sz w:val="21"/>
                <w:szCs w:val="21"/>
              </w:rPr>
            </w:pPr>
            <w:r>
              <w:rPr>
                <w:rFonts w:cs="Times New Roman"/>
                <w:sz w:val="21"/>
                <w:szCs w:val="21"/>
              </w:rPr>
              <w:t>GB5310-1995 20G</w:t>
            </w:r>
          </w:p>
        </w:tc>
        <w:tc>
          <w:tcPr>
            <w:tcW w:w="1180" w:type="dxa"/>
            <w:tcBorders>
              <w:top w:val="nil"/>
              <w:left w:val="nil"/>
              <w:bottom w:val="single" w:color="auto" w:sz="12" w:space="0"/>
              <w:right w:val="nil"/>
            </w:tcBorders>
            <w:vAlign w:val="center"/>
          </w:tcPr>
          <w:p w14:paraId="0BAE1713">
            <w:pPr>
              <w:pStyle w:val="16"/>
              <w:spacing w:before="31" w:after="31"/>
              <w:ind w:firstLine="0" w:firstLineChars="0"/>
              <w:jc w:val="center"/>
              <w:rPr>
                <w:rFonts w:cs="Times New Roman"/>
                <w:sz w:val="21"/>
                <w:szCs w:val="21"/>
              </w:rPr>
            </w:pPr>
            <w:r>
              <w:rPr>
                <w:rFonts w:cs="Times New Roman"/>
                <w:sz w:val="21"/>
                <w:szCs w:val="21"/>
              </w:rPr>
              <w:t>0.17~0.24</w:t>
            </w:r>
          </w:p>
        </w:tc>
        <w:tc>
          <w:tcPr>
            <w:tcW w:w="1180" w:type="dxa"/>
            <w:tcBorders>
              <w:top w:val="nil"/>
              <w:left w:val="nil"/>
              <w:bottom w:val="single" w:color="auto" w:sz="12" w:space="0"/>
              <w:right w:val="nil"/>
            </w:tcBorders>
            <w:vAlign w:val="center"/>
          </w:tcPr>
          <w:p w14:paraId="30B7EA14">
            <w:pPr>
              <w:pStyle w:val="16"/>
              <w:spacing w:before="31" w:after="31"/>
              <w:ind w:firstLine="0" w:firstLineChars="0"/>
              <w:jc w:val="center"/>
              <w:rPr>
                <w:rFonts w:cs="Times New Roman"/>
                <w:sz w:val="21"/>
                <w:szCs w:val="21"/>
              </w:rPr>
            </w:pPr>
            <w:r>
              <w:rPr>
                <w:rFonts w:cs="Times New Roman"/>
                <w:sz w:val="21"/>
                <w:szCs w:val="21"/>
              </w:rPr>
              <w:t>0.17~0.37</w:t>
            </w:r>
          </w:p>
        </w:tc>
        <w:tc>
          <w:tcPr>
            <w:tcW w:w="1180" w:type="dxa"/>
            <w:tcBorders>
              <w:top w:val="nil"/>
              <w:left w:val="nil"/>
              <w:bottom w:val="single" w:color="auto" w:sz="12" w:space="0"/>
              <w:right w:val="nil"/>
            </w:tcBorders>
            <w:vAlign w:val="center"/>
          </w:tcPr>
          <w:p w14:paraId="1A9BC142">
            <w:pPr>
              <w:pStyle w:val="16"/>
              <w:spacing w:before="31" w:after="31"/>
              <w:ind w:firstLine="0" w:firstLineChars="0"/>
              <w:jc w:val="center"/>
              <w:rPr>
                <w:rFonts w:cs="Times New Roman"/>
                <w:sz w:val="21"/>
                <w:szCs w:val="21"/>
              </w:rPr>
            </w:pPr>
            <w:r>
              <w:rPr>
                <w:rFonts w:cs="Times New Roman"/>
                <w:sz w:val="21"/>
                <w:szCs w:val="21"/>
              </w:rPr>
              <w:t>0.35~0.85</w:t>
            </w:r>
          </w:p>
        </w:tc>
        <w:tc>
          <w:tcPr>
            <w:tcW w:w="1019" w:type="dxa"/>
            <w:tcBorders>
              <w:top w:val="nil"/>
              <w:left w:val="nil"/>
              <w:bottom w:val="single" w:color="auto" w:sz="12" w:space="0"/>
              <w:right w:val="nil"/>
            </w:tcBorders>
            <w:vAlign w:val="center"/>
          </w:tcPr>
          <w:p w14:paraId="6451B919">
            <w:pPr>
              <w:pStyle w:val="16"/>
              <w:spacing w:before="31" w:after="31"/>
              <w:ind w:firstLine="0" w:firstLineChars="0"/>
              <w:jc w:val="center"/>
              <w:rPr>
                <w:rFonts w:cs="Times New Roman"/>
                <w:sz w:val="21"/>
                <w:szCs w:val="21"/>
              </w:rPr>
            </w:pPr>
            <w:r>
              <w:rPr>
                <w:rFonts w:cs="Times New Roman"/>
                <w:sz w:val="21"/>
                <w:szCs w:val="21"/>
              </w:rPr>
              <w:t>≤0.030</w:t>
            </w:r>
          </w:p>
        </w:tc>
        <w:tc>
          <w:tcPr>
            <w:tcW w:w="992" w:type="dxa"/>
            <w:tcBorders>
              <w:top w:val="nil"/>
              <w:left w:val="nil"/>
              <w:bottom w:val="single" w:color="auto" w:sz="12" w:space="0"/>
              <w:right w:val="nil"/>
            </w:tcBorders>
            <w:vAlign w:val="center"/>
          </w:tcPr>
          <w:p w14:paraId="2E36CFCC">
            <w:pPr>
              <w:pStyle w:val="16"/>
              <w:spacing w:before="31" w:after="31"/>
              <w:ind w:firstLine="0" w:firstLineChars="0"/>
              <w:jc w:val="center"/>
              <w:rPr>
                <w:rFonts w:cs="Times New Roman"/>
                <w:sz w:val="21"/>
                <w:szCs w:val="21"/>
              </w:rPr>
            </w:pPr>
            <w:r>
              <w:rPr>
                <w:rFonts w:cs="Times New Roman"/>
                <w:sz w:val="21"/>
                <w:szCs w:val="21"/>
              </w:rPr>
              <w:t>≤0.030</w:t>
            </w:r>
          </w:p>
        </w:tc>
      </w:tr>
    </w:tbl>
    <w:p w14:paraId="1CA5F902">
      <w:pPr>
        <w:pStyle w:val="16"/>
        <w:spacing w:before="31" w:after="31"/>
        <w:ind w:firstLineChars="83"/>
        <w:jc w:val="center"/>
        <w:rPr>
          <w:b/>
          <w:bCs/>
          <w:szCs w:val="24"/>
        </w:rPr>
      </w:pPr>
    </w:p>
    <w:p w14:paraId="51F0A196">
      <w:pPr>
        <w:pStyle w:val="16"/>
        <w:spacing w:before="31" w:after="31"/>
        <w:ind w:firstLine="480"/>
        <w:rPr>
          <w:szCs w:val="24"/>
        </w:rPr>
      </w:pPr>
    </w:p>
    <w:p w14:paraId="1773D229">
      <w:pPr>
        <w:pStyle w:val="16"/>
        <w:spacing w:before="31" w:after="31"/>
        <w:ind w:firstLine="482"/>
        <w:jc w:val="center"/>
        <w:rPr>
          <w:b/>
          <w:bCs/>
          <w:szCs w:val="24"/>
        </w:rPr>
      </w:pPr>
      <w:r>
        <w:rPr>
          <w:b/>
          <w:bCs/>
          <w:szCs w:val="24"/>
        </w:rPr>
        <w:t xml:space="preserve">Table 5-6 Tensile Properties of Tube </w:t>
      </w:r>
    </w:p>
    <w:p w14:paraId="15101A82">
      <w:pPr>
        <w:autoSpaceDE w:val="0"/>
        <w:autoSpaceDN w:val="0"/>
        <w:adjustRightInd w:val="0"/>
        <w:spacing w:before="468" w:beforeLines="150" w:after="156" w:afterLines="50" w:line="360" w:lineRule="auto"/>
        <w:jc w:val="center"/>
        <w:rPr>
          <w:rFonts w:eastAsia="黑体" w:cs="宋体"/>
          <w:b/>
          <w:szCs w:val="20"/>
        </w:rPr>
      </w:pPr>
      <w:r>
        <w:rPr>
          <w:rFonts w:hint="eastAsia" w:eastAsia="黑体" w:cs="宋体"/>
          <w:b/>
          <w:szCs w:val="20"/>
        </w:rPr>
        <w:t>表</w:t>
      </w:r>
      <w:r>
        <w:rPr>
          <w:rFonts w:eastAsia="黑体" w:cs="宋体"/>
          <w:b/>
          <w:szCs w:val="20"/>
        </w:rPr>
        <w:t>5-6 1</w:t>
      </w:r>
      <w:r>
        <w:rPr>
          <w:rFonts w:hint="eastAsia" w:eastAsia="黑体" w:cs="宋体"/>
          <w:b/>
          <w:szCs w:val="20"/>
        </w:rPr>
        <w:t>号管拉伸性能</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3"/>
        <w:gridCol w:w="1180"/>
        <w:gridCol w:w="1426"/>
        <w:gridCol w:w="1180"/>
        <w:gridCol w:w="1019"/>
        <w:gridCol w:w="992"/>
      </w:tblGrid>
      <w:tr w14:paraId="34D9D8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3" w:type="dxa"/>
            <w:tcBorders>
              <w:top w:val="single" w:color="auto" w:sz="12" w:space="0"/>
              <w:left w:val="nil"/>
              <w:bottom w:val="single" w:color="auto" w:sz="12" w:space="0"/>
              <w:right w:val="nil"/>
            </w:tcBorders>
            <w:vAlign w:val="center"/>
          </w:tcPr>
          <w:p w14:paraId="25D5BA68">
            <w:pPr>
              <w:pStyle w:val="16"/>
              <w:spacing w:before="31" w:after="31"/>
              <w:ind w:firstLine="0" w:firstLineChars="0"/>
              <w:jc w:val="center"/>
              <w:rPr>
                <w:rFonts w:cs="Times New Roman"/>
                <w:sz w:val="21"/>
                <w:szCs w:val="21"/>
              </w:rPr>
            </w:pPr>
            <w:r>
              <w:rPr>
                <w:szCs w:val="24"/>
              </w:rPr>
              <w:t xml:space="preserve">Item </w:t>
            </w:r>
          </w:p>
        </w:tc>
        <w:tc>
          <w:tcPr>
            <w:tcW w:w="1180" w:type="dxa"/>
            <w:tcBorders>
              <w:top w:val="single" w:color="auto" w:sz="12" w:space="0"/>
              <w:left w:val="nil"/>
              <w:bottom w:val="single" w:color="auto" w:sz="12" w:space="0"/>
              <w:right w:val="nil"/>
            </w:tcBorders>
            <w:vAlign w:val="center"/>
          </w:tcPr>
          <w:p w14:paraId="135CDEB5">
            <w:pPr>
              <w:pStyle w:val="16"/>
              <w:spacing w:before="31" w:after="31"/>
              <w:ind w:firstLine="0" w:firstLineChars="0"/>
              <w:jc w:val="center"/>
              <w:rPr>
                <w:rFonts w:cs="Times New Roman"/>
                <w:sz w:val="21"/>
                <w:szCs w:val="21"/>
              </w:rPr>
            </w:pPr>
            <w:r>
              <w:rPr>
                <w:szCs w:val="24"/>
              </w:rPr>
              <w:t>Location</w:t>
            </w:r>
          </w:p>
        </w:tc>
        <w:tc>
          <w:tcPr>
            <w:tcW w:w="1180" w:type="dxa"/>
            <w:tcBorders>
              <w:top w:val="single" w:color="auto" w:sz="12" w:space="0"/>
              <w:left w:val="nil"/>
              <w:bottom w:val="single" w:color="auto" w:sz="12" w:space="0"/>
              <w:right w:val="nil"/>
            </w:tcBorders>
            <w:vAlign w:val="center"/>
          </w:tcPr>
          <w:p w14:paraId="6CD87EB2">
            <w:pPr>
              <w:pStyle w:val="16"/>
              <w:spacing w:before="31" w:after="31"/>
              <w:ind w:firstLine="0" w:firstLineChars="0"/>
              <w:jc w:val="center"/>
              <w:rPr>
                <w:rFonts w:cs="Times New Roman"/>
                <w:sz w:val="21"/>
                <w:szCs w:val="21"/>
              </w:rPr>
            </w:pPr>
            <w:r>
              <w:rPr>
                <w:szCs w:val="24"/>
              </w:rPr>
              <w:t>Test Temperature</w:t>
            </w:r>
          </w:p>
        </w:tc>
        <w:tc>
          <w:tcPr>
            <w:tcW w:w="1180" w:type="dxa"/>
            <w:tcBorders>
              <w:top w:val="single" w:color="auto" w:sz="12" w:space="0"/>
              <w:left w:val="nil"/>
              <w:bottom w:val="single" w:color="auto" w:sz="12" w:space="0"/>
              <w:right w:val="nil"/>
            </w:tcBorders>
            <w:vAlign w:val="center"/>
          </w:tcPr>
          <w:p w14:paraId="488174AA">
            <w:pPr>
              <w:pStyle w:val="16"/>
              <w:spacing w:before="31" w:after="31"/>
              <w:ind w:firstLine="0" w:firstLineChars="0"/>
              <w:jc w:val="center"/>
              <w:rPr>
                <w:rFonts w:cs="Times New Roman"/>
                <w:sz w:val="21"/>
                <w:szCs w:val="21"/>
              </w:rPr>
            </w:pPr>
            <w:r>
              <w:t>R</w:t>
            </w:r>
            <w:r>
              <w:rPr>
                <w:vertAlign w:val="subscript"/>
              </w:rPr>
              <w:t>el</w:t>
            </w:r>
            <w:r>
              <w:t>/Mpa</w:t>
            </w:r>
          </w:p>
        </w:tc>
        <w:tc>
          <w:tcPr>
            <w:tcW w:w="1019" w:type="dxa"/>
            <w:tcBorders>
              <w:top w:val="single" w:color="auto" w:sz="12" w:space="0"/>
              <w:left w:val="nil"/>
              <w:bottom w:val="single" w:color="auto" w:sz="12" w:space="0"/>
              <w:right w:val="nil"/>
            </w:tcBorders>
            <w:vAlign w:val="center"/>
          </w:tcPr>
          <w:p w14:paraId="29657D4B">
            <w:pPr>
              <w:pStyle w:val="16"/>
              <w:spacing w:before="31" w:after="31"/>
              <w:ind w:firstLine="0" w:firstLineChars="0"/>
              <w:jc w:val="center"/>
              <w:rPr>
                <w:rFonts w:cs="Times New Roman"/>
                <w:sz w:val="21"/>
                <w:szCs w:val="21"/>
              </w:rPr>
            </w:pPr>
            <w:r>
              <w:t>R</w:t>
            </w:r>
            <w:r>
              <w:rPr>
                <w:vertAlign w:val="subscript"/>
              </w:rPr>
              <w:t>m</w:t>
            </w:r>
            <w:r>
              <w:t>/Mpa</w:t>
            </w:r>
          </w:p>
        </w:tc>
        <w:tc>
          <w:tcPr>
            <w:tcW w:w="992" w:type="dxa"/>
            <w:tcBorders>
              <w:top w:val="single" w:color="auto" w:sz="12" w:space="0"/>
              <w:left w:val="nil"/>
              <w:bottom w:val="single" w:color="auto" w:sz="12" w:space="0"/>
              <w:right w:val="nil"/>
            </w:tcBorders>
            <w:vAlign w:val="center"/>
          </w:tcPr>
          <w:p w14:paraId="3584706D">
            <w:pPr>
              <w:pStyle w:val="16"/>
              <w:spacing w:before="31" w:after="31"/>
              <w:ind w:firstLine="0" w:firstLineChars="0"/>
              <w:jc w:val="center"/>
              <w:rPr>
                <w:rFonts w:cs="Times New Roman"/>
                <w:sz w:val="21"/>
                <w:szCs w:val="21"/>
              </w:rPr>
            </w:pPr>
            <w:r>
              <w:t>A/%</w:t>
            </w:r>
          </w:p>
        </w:tc>
      </w:tr>
      <w:tr w14:paraId="304046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3" w:type="dxa"/>
            <w:vMerge w:val="restart"/>
            <w:tcBorders>
              <w:top w:val="single" w:color="auto" w:sz="12" w:space="0"/>
              <w:left w:val="nil"/>
              <w:bottom w:val="nil"/>
              <w:right w:val="nil"/>
            </w:tcBorders>
            <w:vAlign w:val="center"/>
          </w:tcPr>
          <w:p w14:paraId="245AE900">
            <w:pPr>
              <w:pStyle w:val="16"/>
              <w:spacing w:before="31" w:after="31"/>
              <w:ind w:firstLine="0" w:firstLineChars="0"/>
              <w:jc w:val="center"/>
              <w:rPr>
                <w:rFonts w:cs="Times New Roman"/>
                <w:sz w:val="21"/>
                <w:szCs w:val="21"/>
              </w:rPr>
            </w:pPr>
            <w:r>
              <w:rPr>
                <w:szCs w:val="24"/>
              </w:rPr>
              <w:t>Tube #1</w:t>
            </w:r>
          </w:p>
        </w:tc>
        <w:tc>
          <w:tcPr>
            <w:tcW w:w="1180" w:type="dxa"/>
            <w:tcBorders>
              <w:top w:val="single" w:color="auto" w:sz="12" w:space="0"/>
              <w:left w:val="nil"/>
              <w:bottom w:val="nil"/>
              <w:right w:val="nil"/>
            </w:tcBorders>
            <w:vAlign w:val="center"/>
          </w:tcPr>
          <w:p w14:paraId="4EA971A7">
            <w:pPr>
              <w:pStyle w:val="16"/>
              <w:spacing w:before="31" w:after="31"/>
              <w:ind w:firstLine="0" w:firstLineChars="0"/>
              <w:jc w:val="center"/>
              <w:rPr>
                <w:rFonts w:cs="Times New Roman"/>
                <w:sz w:val="21"/>
                <w:szCs w:val="21"/>
              </w:rPr>
            </w:pPr>
            <w:r>
              <w:rPr>
                <w:szCs w:val="24"/>
              </w:rPr>
              <w:t>Facing the fire</w:t>
            </w:r>
          </w:p>
        </w:tc>
        <w:tc>
          <w:tcPr>
            <w:tcW w:w="1180" w:type="dxa"/>
            <w:tcBorders>
              <w:top w:val="single" w:color="auto" w:sz="12" w:space="0"/>
              <w:left w:val="nil"/>
              <w:bottom w:val="nil"/>
              <w:right w:val="nil"/>
            </w:tcBorders>
            <w:vAlign w:val="center"/>
          </w:tcPr>
          <w:p w14:paraId="5579E68A">
            <w:pPr>
              <w:pStyle w:val="16"/>
              <w:spacing w:before="31" w:after="31"/>
              <w:ind w:firstLine="0" w:firstLineChars="0"/>
              <w:jc w:val="center"/>
              <w:rPr>
                <w:rFonts w:cs="Times New Roman"/>
                <w:sz w:val="21"/>
                <w:szCs w:val="21"/>
              </w:rPr>
            </w:pPr>
            <w:r>
              <w:rPr>
                <w:rFonts w:hint="eastAsia"/>
                <w:szCs w:val="24"/>
              </w:rPr>
              <w:t>Room temperature</w:t>
            </w:r>
          </w:p>
        </w:tc>
        <w:tc>
          <w:tcPr>
            <w:tcW w:w="1180" w:type="dxa"/>
            <w:tcBorders>
              <w:top w:val="single" w:color="auto" w:sz="12" w:space="0"/>
              <w:left w:val="nil"/>
              <w:bottom w:val="nil"/>
              <w:right w:val="nil"/>
            </w:tcBorders>
            <w:vAlign w:val="center"/>
          </w:tcPr>
          <w:p w14:paraId="408E11ED">
            <w:pPr>
              <w:pStyle w:val="16"/>
              <w:spacing w:before="31" w:after="31"/>
              <w:ind w:firstLine="0" w:firstLineChars="0"/>
              <w:jc w:val="center"/>
              <w:rPr>
                <w:rFonts w:cs="Times New Roman"/>
                <w:sz w:val="21"/>
                <w:szCs w:val="21"/>
              </w:rPr>
            </w:pPr>
            <w:r>
              <w:rPr>
                <w:rFonts w:cs="Times New Roman"/>
                <w:sz w:val="21"/>
                <w:szCs w:val="21"/>
              </w:rPr>
              <w:t>315</w:t>
            </w:r>
          </w:p>
        </w:tc>
        <w:tc>
          <w:tcPr>
            <w:tcW w:w="1019" w:type="dxa"/>
            <w:tcBorders>
              <w:top w:val="single" w:color="auto" w:sz="12" w:space="0"/>
              <w:left w:val="nil"/>
              <w:bottom w:val="nil"/>
              <w:right w:val="nil"/>
            </w:tcBorders>
            <w:vAlign w:val="center"/>
          </w:tcPr>
          <w:p w14:paraId="25528A1D">
            <w:pPr>
              <w:pStyle w:val="16"/>
              <w:spacing w:before="31" w:after="31"/>
              <w:ind w:firstLine="0" w:firstLineChars="0"/>
              <w:jc w:val="center"/>
              <w:rPr>
                <w:rFonts w:cs="Times New Roman"/>
                <w:sz w:val="21"/>
                <w:szCs w:val="21"/>
              </w:rPr>
            </w:pPr>
            <w:r>
              <w:rPr>
                <w:rFonts w:cs="Times New Roman"/>
                <w:sz w:val="21"/>
                <w:szCs w:val="21"/>
              </w:rPr>
              <w:t>465</w:t>
            </w:r>
          </w:p>
        </w:tc>
        <w:tc>
          <w:tcPr>
            <w:tcW w:w="992" w:type="dxa"/>
            <w:tcBorders>
              <w:top w:val="single" w:color="auto" w:sz="12" w:space="0"/>
              <w:left w:val="nil"/>
              <w:bottom w:val="nil"/>
              <w:right w:val="nil"/>
            </w:tcBorders>
            <w:vAlign w:val="center"/>
          </w:tcPr>
          <w:p w14:paraId="6A894C48">
            <w:pPr>
              <w:pStyle w:val="16"/>
              <w:spacing w:before="31" w:after="31"/>
              <w:ind w:firstLine="0" w:firstLineChars="0"/>
              <w:jc w:val="center"/>
              <w:rPr>
                <w:rFonts w:cs="Times New Roman"/>
                <w:sz w:val="21"/>
                <w:szCs w:val="21"/>
              </w:rPr>
            </w:pPr>
            <w:r>
              <w:rPr>
                <w:rFonts w:cs="Times New Roman"/>
                <w:sz w:val="21"/>
                <w:szCs w:val="21"/>
              </w:rPr>
              <w:t>20.5</w:t>
            </w:r>
          </w:p>
        </w:tc>
      </w:tr>
      <w:tr w14:paraId="7BC8E2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op w:val="single" w:color="auto" w:sz="12" w:space="0"/>
              <w:left w:val="nil"/>
              <w:bottom w:val="nil"/>
              <w:right w:val="nil"/>
            </w:tcBorders>
            <w:vAlign w:val="center"/>
          </w:tcPr>
          <w:p w14:paraId="2CDE000F">
            <w:pPr>
              <w:widowControl/>
              <w:jc w:val="left"/>
              <w:rPr>
                <w:szCs w:val="21"/>
              </w:rPr>
            </w:pPr>
          </w:p>
        </w:tc>
        <w:tc>
          <w:tcPr>
            <w:tcW w:w="1180" w:type="dxa"/>
            <w:tcBorders>
              <w:top w:val="nil"/>
              <w:left w:val="nil"/>
              <w:bottom w:val="nil"/>
              <w:right w:val="nil"/>
            </w:tcBorders>
            <w:vAlign w:val="center"/>
          </w:tcPr>
          <w:p w14:paraId="5BB50B93">
            <w:pPr>
              <w:pStyle w:val="16"/>
              <w:spacing w:before="31" w:after="31"/>
              <w:ind w:firstLine="0" w:firstLineChars="0"/>
              <w:jc w:val="center"/>
              <w:rPr>
                <w:rFonts w:cs="Times New Roman"/>
                <w:sz w:val="21"/>
                <w:szCs w:val="21"/>
              </w:rPr>
            </w:pPr>
            <w:r>
              <w:rPr>
                <w:szCs w:val="24"/>
              </w:rPr>
              <w:t>Back facing the fire</w:t>
            </w:r>
          </w:p>
        </w:tc>
        <w:tc>
          <w:tcPr>
            <w:tcW w:w="1180" w:type="dxa"/>
            <w:tcBorders>
              <w:top w:val="nil"/>
              <w:left w:val="nil"/>
              <w:bottom w:val="nil"/>
              <w:right w:val="nil"/>
            </w:tcBorders>
            <w:vAlign w:val="center"/>
          </w:tcPr>
          <w:p w14:paraId="4B89F539">
            <w:pPr>
              <w:jc w:val="center"/>
            </w:pPr>
            <w:r>
              <w:rPr>
                <w:rFonts w:hint="eastAsia"/>
              </w:rPr>
              <w:t>Room temperature</w:t>
            </w:r>
          </w:p>
        </w:tc>
        <w:tc>
          <w:tcPr>
            <w:tcW w:w="1180" w:type="dxa"/>
            <w:tcBorders>
              <w:top w:val="nil"/>
              <w:left w:val="nil"/>
              <w:bottom w:val="nil"/>
              <w:right w:val="nil"/>
            </w:tcBorders>
            <w:vAlign w:val="center"/>
          </w:tcPr>
          <w:p w14:paraId="069157FD">
            <w:pPr>
              <w:pStyle w:val="16"/>
              <w:spacing w:before="31" w:after="31"/>
              <w:ind w:firstLine="0" w:firstLineChars="0"/>
              <w:jc w:val="center"/>
              <w:rPr>
                <w:rFonts w:cs="Times New Roman"/>
                <w:sz w:val="21"/>
                <w:szCs w:val="21"/>
              </w:rPr>
            </w:pPr>
            <w:r>
              <w:rPr>
                <w:rFonts w:cs="Times New Roman"/>
                <w:sz w:val="21"/>
                <w:szCs w:val="21"/>
              </w:rPr>
              <w:t>320</w:t>
            </w:r>
          </w:p>
        </w:tc>
        <w:tc>
          <w:tcPr>
            <w:tcW w:w="1019" w:type="dxa"/>
            <w:tcBorders>
              <w:top w:val="nil"/>
              <w:left w:val="nil"/>
              <w:bottom w:val="nil"/>
              <w:right w:val="nil"/>
            </w:tcBorders>
            <w:vAlign w:val="center"/>
          </w:tcPr>
          <w:p w14:paraId="10E934F1">
            <w:pPr>
              <w:pStyle w:val="16"/>
              <w:spacing w:before="31" w:after="31"/>
              <w:ind w:firstLine="0" w:firstLineChars="0"/>
              <w:jc w:val="center"/>
              <w:rPr>
                <w:rFonts w:cs="Times New Roman"/>
                <w:sz w:val="21"/>
                <w:szCs w:val="21"/>
              </w:rPr>
            </w:pPr>
            <w:r>
              <w:rPr>
                <w:rFonts w:cs="Times New Roman"/>
                <w:sz w:val="21"/>
                <w:szCs w:val="21"/>
              </w:rPr>
              <w:t>480</w:t>
            </w:r>
          </w:p>
        </w:tc>
        <w:tc>
          <w:tcPr>
            <w:tcW w:w="992" w:type="dxa"/>
            <w:tcBorders>
              <w:top w:val="nil"/>
              <w:left w:val="nil"/>
              <w:bottom w:val="nil"/>
              <w:right w:val="nil"/>
            </w:tcBorders>
            <w:vAlign w:val="center"/>
          </w:tcPr>
          <w:p w14:paraId="5DA0C596">
            <w:pPr>
              <w:pStyle w:val="16"/>
              <w:spacing w:before="31" w:after="31"/>
              <w:ind w:firstLine="0" w:firstLineChars="0"/>
              <w:jc w:val="center"/>
              <w:rPr>
                <w:rFonts w:cs="Times New Roman"/>
                <w:sz w:val="21"/>
                <w:szCs w:val="21"/>
              </w:rPr>
            </w:pPr>
            <w:r>
              <w:rPr>
                <w:rFonts w:cs="Times New Roman"/>
                <w:sz w:val="21"/>
                <w:szCs w:val="21"/>
              </w:rPr>
              <w:t>19.5</w:t>
            </w:r>
          </w:p>
        </w:tc>
      </w:tr>
      <w:tr w14:paraId="4A486C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3" w:type="dxa"/>
            <w:tcBorders>
              <w:top w:val="nil"/>
              <w:left w:val="nil"/>
              <w:bottom w:val="single" w:color="auto" w:sz="12" w:space="0"/>
              <w:right w:val="nil"/>
            </w:tcBorders>
            <w:vAlign w:val="center"/>
          </w:tcPr>
          <w:p w14:paraId="64AB4434">
            <w:pPr>
              <w:pStyle w:val="16"/>
              <w:spacing w:before="31" w:after="31"/>
              <w:ind w:firstLine="0" w:firstLineChars="0"/>
              <w:jc w:val="center"/>
              <w:rPr>
                <w:rFonts w:cs="Times New Roman"/>
                <w:sz w:val="21"/>
                <w:szCs w:val="21"/>
              </w:rPr>
            </w:pPr>
            <w:r>
              <w:rPr>
                <w:rFonts w:cs="Times New Roman"/>
                <w:sz w:val="21"/>
                <w:szCs w:val="21"/>
              </w:rPr>
              <w:t>GB5310-1995 20G</w:t>
            </w:r>
          </w:p>
        </w:tc>
        <w:tc>
          <w:tcPr>
            <w:tcW w:w="1180" w:type="dxa"/>
            <w:tcBorders>
              <w:top w:val="nil"/>
              <w:left w:val="nil"/>
              <w:bottom w:val="single" w:color="auto" w:sz="12" w:space="0"/>
              <w:right w:val="nil"/>
            </w:tcBorders>
            <w:vAlign w:val="center"/>
          </w:tcPr>
          <w:p w14:paraId="196479B3">
            <w:pPr>
              <w:pStyle w:val="16"/>
              <w:spacing w:before="31" w:after="31"/>
              <w:ind w:firstLine="0" w:firstLineChars="0"/>
              <w:jc w:val="center"/>
              <w:rPr>
                <w:rFonts w:cs="Times New Roman"/>
                <w:sz w:val="21"/>
                <w:szCs w:val="21"/>
              </w:rPr>
            </w:pPr>
            <w:r>
              <w:rPr>
                <w:rFonts w:hint="eastAsia"/>
                <w:szCs w:val="24"/>
              </w:rPr>
              <w:t>Axial</w:t>
            </w:r>
          </w:p>
        </w:tc>
        <w:tc>
          <w:tcPr>
            <w:tcW w:w="1180" w:type="dxa"/>
            <w:tcBorders>
              <w:top w:val="nil"/>
              <w:left w:val="nil"/>
              <w:bottom w:val="single" w:color="auto" w:sz="12" w:space="0"/>
              <w:right w:val="nil"/>
            </w:tcBorders>
            <w:vAlign w:val="center"/>
          </w:tcPr>
          <w:p w14:paraId="3E9D96B4">
            <w:pPr>
              <w:jc w:val="center"/>
            </w:pPr>
            <w:r>
              <w:rPr>
                <w:rFonts w:hint="eastAsia"/>
              </w:rPr>
              <w:t>Room temperature</w:t>
            </w:r>
          </w:p>
        </w:tc>
        <w:tc>
          <w:tcPr>
            <w:tcW w:w="1180" w:type="dxa"/>
            <w:tcBorders>
              <w:top w:val="nil"/>
              <w:left w:val="nil"/>
              <w:bottom w:val="single" w:color="auto" w:sz="12" w:space="0"/>
              <w:right w:val="nil"/>
            </w:tcBorders>
            <w:vAlign w:val="center"/>
          </w:tcPr>
          <w:p w14:paraId="3EAB4697">
            <w:pPr>
              <w:pStyle w:val="16"/>
              <w:spacing w:before="31" w:after="31"/>
              <w:ind w:firstLine="0" w:firstLineChars="0"/>
              <w:jc w:val="center"/>
              <w:rPr>
                <w:rFonts w:cs="Times New Roman"/>
                <w:sz w:val="21"/>
                <w:szCs w:val="21"/>
              </w:rPr>
            </w:pPr>
            <w:r>
              <w:rPr>
                <w:rFonts w:hint="eastAsia" w:ascii="宋体" w:hAnsi="宋体" w:cs="Times New Roman"/>
                <w:sz w:val="21"/>
                <w:szCs w:val="21"/>
              </w:rPr>
              <w:t>≥</w:t>
            </w:r>
            <w:r>
              <w:rPr>
                <w:rFonts w:cs="Times New Roman"/>
                <w:sz w:val="21"/>
                <w:szCs w:val="21"/>
              </w:rPr>
              <w:t>245</w:t>
            </w:r>
          </w:p>
        </w:tc>
        <w:tc>
          <w:tcPr>
            <w:tcW w:w="1019" w:type="dxa"/>
            <w:tcBorders>
              <w:top w:val="nil"/>
              <w:left w:val="nil"/>
              <w:bottom w:val="single" w:color="auto" w:sz="12" w:space="0"/>
              <w:right w:val="nil"/>
            </w:tcBorders>
            <w:vAlign w:val="center"/>
          </w:tcPr>
          <w:p w14:paraId="4BBFE878">
            <w:pPr>
              <w:pStyle w:val="16"/>
              <w:spacing w:before="31" w:after="31"/>
              <w:ind w:firstLine="0" w:firstLineChars="0"/>
              <w:jc w:val="center"/>
              <w:rPr>
                <w:rFonts w:cs="Times New Roman"/>
                <w:sz w:val="21"/>
                <w:szCs w:val="21"/>
              </w:rPr>
            </w:pPr>
            <w:r>
              <w:rPr>
                <w:rFonts w:cs="Times New Roman"/>
                <w:sz w:val="21"/>
                <w:szCs w:val="21"/>
              </w:rPr>
              <w:t>410-550</w:t>
            </w:r>
          </w:p>
        </w:tc>
        <w:tc>
          <w:tcPr>
            <w:tcW w:w="992" w:type="dxa"/>
            <w:tcBorders>
              <w:top w:val="nil"/>
              <w:left w:val="nil"/>
              <w:bottom w:val="single" w:color="auto" w:sz="12" w:space="0"/>
              <w:right w:val="nil"/>
            </w:tcBorders>
            <w:vAlign w:val="center"/>
          </w:tcPr>
          <w:p w14:paraId="1C4626BA">
            <w:pPr>
              <w:pStyle w:val="16"/>
              <w:spacing w:before="31" w:after="31"/>
              <w:ind w:firstLine="0" w:firstLineChars="0"/>
              <w:jc w:val="center"/>
              <w:rPr>
                <w:rFonts w:cs="Times New Roman"/>
                <w:sz w:val="21"/>
                <w:szCs w:val="21"/>
              </w:rPr>
            </w:pPr>
            <w:r>
              <w:rPr>
                <w:rFonts w:hint="eastAsia" w:ascii="宋体" w:hAnsi="宋体" w:cs="Times New Roman"/>
                <w:sz w:val="21"/>
                <w:szCs w:val="21"/>
              </w:rPr>
              <w:t>≥</w:t>
            </w:r>
            <w:r>
              <w:rPr>
                <w:rFonts w:cs="Times New Roman"/>
                <w:sz w:val="21"/>
                <w:szCs w:val="21"/>
              </w:rPr>
              <w:t>25</w:t>
            </w:r>
          </w:p>
        </w:tc>
      </w:tr>
    </w:tbl>
    <w:p w14:paraId="61C5B62F">
      <w:pPr>
        <w:pStyle w:val="16"/>
        <w:spacing w:before="31" w:after="31"/>
        <w:ind w:firstLine="0" w:firstLineChars="0"/>
        <w:rPr>
          <w:szCs w:val="24"/>
        </w:rPr>
      </w:pPr>
      <w:r>
        <w:rPr>
          <w:szCs w:val="24"/>
        </w:rPr>
        <w:t>(5) Failed Component Morphology</w:t>
      </w:r>
    </w:p>
    <w:p w14:paraId="78EB0CF3">
      <w:pPr>
        <w:pStyle w:val="16"/>
        <w:spacing w:before="31" w:after="31"/>
        <w:ind w:firstLine="480"/>
        <w:rPr>
          <w:szCs w:val="24"/>
        </w:rPr>
      </w:pPr>
      <w:r>
        <w:rPr>
          <w:szCs w:val="24"/>
        </w:rPr>
        <w:t>The macroscopic morphology of rupture points #1 and #2 is shown in Figure 5-4.1. Both rupture points exhibit similar features, characterized by longitudinal rupture, a narrow opening, approximately 5mm at the widest point, blunt edges with no apparent thinning, and a serrated appearance, indicating brittle fracture. The length of rupture at point #1 is approximately 570mm, and at point #2, it is approximately 210mm. The thinnest wall thickness at the rupture point is 7.24mm for tube #1 and 7.30mm for tube #2, with corresponding back-facing wall thicknesses of 8.26mm and 8.28mm, respectively.</w:t>
      </w:r>
    </w:p>
    <w:p w14:paraId="3EF205F3">
      <w:pPr>
        <w:pStyle w:val="16"/>
        <w:spacing w:before="31" w:after="31"/>
        <w:ind w:firstLine="480"/>
        <w:jc w:val="center"/>
        <w:rPr>
          <w:szCs w:val="24"/>
        </w:rPr>
      </w:pPr>
      <w:r>
        <w:rPr>
          <w:szCs w:val="24"/>
        </w:rPr>
        <w:t>(a) Rupture morphology of tube #1</w:t>
      </w:r>
    </w:p>
    <w:p w14:paraId="20D1710E">
      <w:pPr>
        <w:pStyle w:val="16"/>
        <w:spacing w:before="31" w:after="31"/>
        <w:ind w:firstLine="480"/>
        <w:jc w:val="center"/>
        <w:rPr>
          <w:szCs w:val="24"/>
        </w:rPr>
      </w:pPr>
      <w:r>
        <w:rPr>
          <w:szCs w:val="24"/>
        </w:rPr>
        <w:t>Rupture morphology of tube #2</w:t>
      </w:r>
    </w:p>
    <w:p w14:paraId="1DEAEEFE">
      <w:pPr>
        <w:pStyle w:val="16"/>
        <w:spacing w:before="31" w:after="31"/>
        <w:ind w:firstLine="482"/>
        <w:jc w:val="center"/>
        <w:rPr>
          <w:b/>
          <w:bCs/>
          <w:szCs w:val="24"/>
        </w:rPr>
      </w:pPr>
      <w:r>
        <w:rPr>
          <w:b/>
          <w:bCs/>
          <w:szCs w:val="24"/>
        </w:rPr>
        <w:t>Figure 5-4.1 Macroscopic morphology of rupture points</w:t>
      </w:r>
    </w:p>
    <w:p w14:paraId="58DF55FF">
      <w:pPr>
        <w:pStyle w:val="16"/>
        <w:spacing w:before="31" w:after="31"/>
        <w:ind w:firstLine="480"/>
        <w:rPr>
          <w:szCs w:val="24"/>
        </w:rPr>
      </w:pPr>
      <w:r>
        <w:rPr>
          <w:szCs w:val="24"/>
        </w:rPr>
        <w:t>A dense black scale layer is observed on the inner wall facing the fire side of both tubes, as shown in Figure 5-4.2. After cleaning, pronounced signs of concentrated corrosion are found on the inner wall, as shown in Figure 5-4.3.</w:t>
      </w:r>
    </w:p>
    <w:p w14:paraId="26AD9568">
      <w:pPr>
        <w:pStyle w:val="16"/>
        <w:spacing w:before="31" w:after="31"/>
        <w:ind w:firstLine="482"/>
        <w:jc w:val="center"/>
        <w:rPr>
          <w:b/>
          <w:bCs/>
          <w:szCs w:val="24"/>
        </w:rPr>
      </w:pPr>
      <w:r>
        <w:rPr>
          <w:b/>
          <w:bCs/>
          <w:szCs w:val="24"/>
        </w:rPr>
        <w:t>Figure 5-4.2 Original morphology of tube inner wall</w:t>
      </w:r>
    </w:p>
    <w:p w14:paraId="59ABDE8F">
      <w:pPr>
        <w:pStyle w:val="16"/>
        <w:spacing w:before="31" w:after="31"/>
        <w:ind w:firstLine="482"/>
        <w:jc w:val="center"/>
        <w:rPr>
          <w:b/>
          <w:bCs/>
          <w:szCs w:val="24"/>
        </w:rPr>
      </w:pPr>
      <w:r>
        <w:rPr>
          <w:b/>
          <w:bCs/>
          <w:szCs w:val="24"/>
        </w:rPr>
        <w:t>Figure 5-4.3 Morphology after cleaning of tube inner wall</w:t>
      </w:r>
    </w:p>
    <w:p w14:paraId="3185F37C">
      <w:pPr>
        <w:pStyle w:val="16"/>
        <w:spacing w:before="31" w:after="31"/>
        <w:ind w:firstLine="480"/>
        <w:rPr>
          <w:szCs w:val="24"/>
        </w:rPr>
      </w:pPr>
      <w:r>
        <w:rPr>
          <w:szCs w:val="24"/>
        </w:rPr>
        <w:t>The rupture crack morphology and metallographic structure are shown in Figure 5-4.4 and Figure 5-4.5. Both rupture points exhibit small cracks in the same direction as the main crack, along with numerous microcracks, as seen in Figure 5-4.4. The tip and middle sections of the rupture at points #1 and #2 show abundant intragranular microcracks, and significant decarburization layers are present near the inner wall. The thickest decarburization layer is 5mm, and tube #3 exhibits ferrite + pearlite structure with no visible microcracks, as shown in Figure 5-4.5. Corrosion pits are found on the inner wall facing the fire, as shown in Figure 5-4.6.</w:t>
      </w:r>
    </w:p>
    <w:p w14:paraId="3127D22B">
      <w:pPr>
        <w:pStyle w:val="16"/>
        <w:spacing w:before="31" w:after="31"/>
        <w:ind w:firstLine="480"/>
        <w:rPr>
          <w:szCs w:val="24"/>
        </w:rPr>
      </w:pPr>
      <w:r>
        <w:rPr>
          <w:szCs w:val="24"/>
        </w:rPr>
        <w:t>(a) Tip crack morphology of rupture #1 (15X) (b) Middle section crack morphology of rupture #1 (15X)</w:t>
      </w:r>
    </w:p>
    <w:p w14:paraId="775A8686">
      <w:pPr>
        <w:pStyle w:val="16"/>
        <w:spacing w:before="31" w:after="31"/>
        <w:ind w:firstLine="480"/>
        <w:rPr>
          <w:szCs w:val="24"/>
        </w:rPr>
      </w:pPr>
      <w:r>
        <w:rPr>
          <w:szCs w:val="24"/>
        </w:rPr>
        <w:t>(c) Tip crack morphology of rupture #2 (15X) (d) Middle section crack morphology of rupture #2 (15X)</w:t>
      </w:r>
    </w:p>
    <w:p w14:paraId="66E7B7CA">
      <w:pPr>
        <w:pStyle w:val="16"/>
        <w:spacing w:before="31" w:after="31"/>
        <w:ind w:firstLine="482"/>
        <w:jc w:val="center"/>
        <w:rPr>
          <w:b/>
          <w:bCs/>
          <w:szCs w:val="24"/>
        </w:rPr>
      </w:pPr>
      <w:r>
        <w:rPr>
          <w:b/>
          <w:bCs/>
          <w:szCs w:val="24"/>
        </w:rPr>
        <w:t>Figure 5-4.4 Rupture crack morphology</w:t>
      </w:r>
    </w:p>
    <w:p w14:paraId="4C99125F">
      <w:pPr>
        <w:pStyle w:val="16"/>
        <w:spacing w:before="31" w:after="31"/>
        <w:ind w:firstLine="480"/>
        <w:jc w:val="center"/>
        <w:rPr>
          <w:szCs w:val="24"/>
        </w:rPr>
      </w:pPr>
      <w:r>
        <w:rPr>
          <w:szCs w:val="24"/>
        </w:rPr>
        <w:t>(a) Decarburization layer and microcracks on inner wall of rupture #1 (200X)</w:t>
      </w:r>
    </w:p>
    <w:p w14:paraId="0E8324CD">
      <w:pPr>
        <w:pStyle w:val="16"/>
        <w:spacing w:before="31" w:after="31"/>
        <w:ind w:firstLine="480"/>
        <w:jc w:val="both"/>
        <w:rPr>
          <w:szCs w:val="24"/>
        </w:rPr>
      </w:pPr>
      <w:r>
        <w:rPr>
          <w:szCs w:val="24"/>
        </w:rPr>
        <w:t>(b) Decarburization layer and microcracks on inner wall of rupture #2 (200X)</w:t>
      </w:r>
    </w:p>
    <w:p w14:paraId="7E9DDC5C">
      <w:pPr>
        <w:pStyle w:val="16"/>
        <w:spacing w:before="31" w:after="31"/>
        <w:ind w:firstLine="480"/>
        <w:jc w:val="center"/>
        <w:rPr>
          <w:szCs w:val="24"/>
        </w:rPr>
      </w:pPr>
      <w:r>
        <w:rPr>
          <w:szCs w:val="24"/>
        </w:rPr>
        <w:t>(c) Non-decarburized layer and microcracks on inner wall of rupture #2 (200X) (d) Metallographic structure of tube #3 (400X)</w:t>
      </w:r>
    </w:p>
    <w:p w14:paraId="091BAF7C">
      <w:pPr>
        <w:pStyle w:val="16"/>
        <w:spacing w:before="31" w:after="31"/>
        <w:ind w:firstLine="482"/>
        <w:jc w:val="center"/>
        <w:rPr>
          <w:b/>
          <w:bCs/>
          <w:szCs w:val="24"/>
        </w:rPr>
      </w:pPr>
      <w:r>
        <w:rPr>
          <w:b/>
          <w:bCs/>
          <w:szCs w:val="24"/>
        </w:rPr>
        <w:t>Figure 5-4.5 Metallographic structure and microcracks after corrosion</w:t>
      </w:r>
    </w:p>
    <w:p w14:paraId="41823C56">
      <w:pPr>
        <w:pStyle w:val="16"/>
        <w:spacing w:before="31" w:after="31"/>
        <w:ind w:firstLine="482"/>
        <w:jc w:val="center"/>
        <w:rPr>
          <w:b/>
          <w:bCs/>
          <w:szCs w:val="24"/>
        </w:rPr>
      </w:pPr>
      <w:r>
        <w:rPr>
          <w:b/>
          <w:bCs/>
          <w:szCs w:val="24"/>
        </w:rPr>
        <w:t>Figure 5-4.6 Corrosion pit morphology on inner wall facing the fire (200X)</w:t>
      </w:r>
    </w:p>
    <w:p w14:paraId="3C5180FD">
      <w:pPr>
        <w:pStyle w:val="16"/>
        <w:spacing w:before="31" w:after="31"/>
        <w:ind w:firstLine="0" w:firstLineChars="0"/>
        <w:rPr>
          <w:szCs w:val="24"/>
        </w:rPr>
      </w:pPr>
      <w:r>
        <w:rPr>
          <w:szCs w:val="24"/>
        </w:rPr>
        <w:t>(6) Failure Analysis</w:t>
      </w:r>
    </w:p>
    <w:p w14:paraId="1DCE4A45">
      <w:pPr>
        <w:pStyle w:val="16"/>
        <w:spacing w:before="31" w:after="31"/>
        <w:ind w:firstLine="480"/>
        <w:rPr>
          <w:szCs w:val="24"/>
        </w:rPr>
      </w:pPr>
      <w:r>
        <w:rPr>
          <w:rFonts w:hint="eastAsia"/>
          <w:szCs w:val="24"/>
        </w:rPr>
        <w:t>The ruptures of tubes #1 and #2 exhibit typical characteristics of hydrogen damage. The mechanism of hydrogen damage is associated with metal corrosion. The process involves the reaction Fe + 2H+ → Fe2+ + H2, where the generated hydrogen atoms diffuse into the metal interior, reacting with carbonates in the metal microstructure to produce methane (Fe3C + 2H2 → 3Fe + CH4). This process forms a decarburization layer, leading to a decrease in the strength of the metal matrix. Large methane molecules accumulate</w:t>
      </w:r>
      <w:r>
        <w:rPr>
          <w:szCs w:val="24"/>
        </w:rPr>
        <w:t xml:space="preserve"> at grain boundaries, generating significant internal stresses and causing intergranular cracking.</w:t>
      </w:r>
    </w:p>
    <w:p w14:paraId="4AFA7B1C">
      <w:pPr>
        <w:pStyle w:val="16"/>
        <w:spacing w:before="31" w:after="31"/>
        <w:ind w:firstLine="480"/>
        <w:rPr>
          <w:szCs w:val="24"/>
        </w:rPr>
      </w:pPr>
      <w:r>
        <w:rPr>
          <w:szCs w:val="24"/>
        </w:rPr>
        <w:t>The water wall tubes of the boiler have accumulated significant scale, exceeding the chemical cleaning requirements specified in DL/T794-2001. Moreover, the scale deposition is much higher on the fire side than on the back side, leading to local overheating and sub-scale corrosion, providing conditions for the occurrence of hydrogen damage.</w:t>
      </w:r>
    </w:p>
    <w:p w14:paraId="32D0F36F">
      <w:pPr>
        <w:pStyle w:val="16"/>
        <w:spacing w:before="31" w:after="31"/>
        <w:ind w:firstLine="480"/>
        <w:rPr>
          <w:szCs w:val="24"/>
        </w:rPr>
      </w:pPr>
      <w:r>
        <w:rPr>
          <w:szCs w:val="24"/>
        </w:rPr>
        <w:t>Energy spectrum analysis reveals the presence of corrosive ions, such as Cl-, in the boiler water. At high temperatures, Cl- can locally concentrate under the scale and disrupt the protective film on the inner wall of the water wall tube, accelerating sub-scale corrosion. The corrosion products on the inner wall facing the fire and the scale layer thicken. The hydrogen produced during metal corrosion cannot diffuse outward due to the presence of thick corrosion products and scale layers. Instead, it diffuses inward into the metal, promoting the formation and development</w:t>
      </w:r>
      <w:r>
        <w:rPr>
          <w:rFonts w:hint="eastAsia"/>
          <w:szCs w:val="24"/>
        </w:rPr>
        <w:t xml:space="preserve"> </w:t>
      </w:r>
      <w:r>
        <w:rPr>
          <w:szCs w:val="24"/>
        </w:rPr>
        <w:t>of hydrogen damage.</w:t>
      </w:r>
    </w:p>
    <w:p w14:paraId="4B3F7896">
      <w:pPr>
        <w:pStyle w:val="16"/>
        <w:spacing w:before="31" w:after="31"/>
        <w:ind w:firstLine="480"/>
        <w:rPr>
          <w:szCs w:val="24"/>
        </w:rPr>
      </w:pPr>
      <w:r>
        <w:rPr>
          <w:szCs w:val="24"/>
        </w:rPr>
        <w:t>The circumferential stress on the water wall tube is greater than the longitudinal stress, especially on the inner wall, and hydrogen damage occurs on the inner wall facing the fire. The reduced strength of the metal matrix due to hydrogen damage makes it susceptible to longitudinal cracking on the inner wall facing the fire. The observed serrated rupture points are attributed to the crack propagating along the minimum cross-section as it reaches the internal threads.</w:t>
      </w:r>
    </w:p>
    <w:p w14:paraId="07467AFB">
      <w:pPr>
        <w:pStyle w:val="16"/>
        <w:spacing w:before="31" w:after="31"/>
        <w:ind w:firstLine="0" w:firstLineChars="0"/>
        <w:rPr>
          <w:szCs w:val="24"/>
        </w:rPr>
      </w:pPr>
      <w:r>
        <w:rPr>
          <w:szCs w:val="24"/>
        </w:rPr>
        <w:t>(7) Impact and Harm Caused</w:t>
      </w:r>
    </w:p>
    <w:p w14:paraId="35E899D2">
      <w:pPr>
        <w:pStyle w:val="16"/>
        <w:spacing w:before="31" w:after="31"/>
        <w:ind w:firstLine="420" w:firstLineChars="0"/>
        <w:rPr>
          <w:szCs w:val="24"/>
        </w:rPr>
      </w:pPr>
      <w:r>
        <w:rPr>
          <w:szCs w:val="24"/>
        </w:rPr>
        <w:t>Null</w:t>
      </w:r>
    </w:p>
    <w:p w14:paraId="2CFF941F">
      <w:pPr>
        <w:pStyle w:val="16"/>
        <w:spacing w:before="31" w:after="31"/>
        <w:ind w:firstLine="0" w:firstLineChars="0"/>
        <w:rPr>
          <w:szCs w:val="24"/>
        </w:rPr>
      </w:pPr>
      <w:r>
        <w:rPr>
          <w:szCs w:val="24"/>
        </w:rPr>
        <w:t>(8) Conclusion and Improvement Measures</w:t>
      </w:r>
    </w:p>
    <w:p w14:paraId="63E240B3">
      <w:pPr>
        <w:pStyle w:val="16"/>
        <w:spacing w:before="31" w:after="31"/>
        <w:ind w:firstLine="480"/>
        <w:rPr>
          <w:szCs w:val="24"/>
        </w:rPr>
      </w:pPr>
      <w:r>
        <w:rPr>
          <w:szCs w:val="24"/>
        </w:rPr>
        <w:t>The rupture of the water wall tube is attributed to hydrogen damage. To address hydrogen damage in water wall tubes, Xi'an Thermal Power Research Institute Co., Ltd. has developed a microcrack detection device. This equipment can rapidly and accurately determine the extent of damage, guide tube replacement plans, shorten replacement time, and yield significant economic benefits. The device has been widely applied in many power plants in China.</w:t>
      </w:r>
    </w:p>
    <w:p w14:paraId="179E31CA">
      <w:pPr>
        <w:pStyle w:val="16"/>
        <w:spacing w:before="31" w:after="31"/>
        <w:ind w:firstLine="0" w:firstLineChars="0"/>
        <w:rPr>
          <w:b/>
          <w:bCs/>
          <w:szCs w:val="24"/>
        </w:rPr>
      </w:pPr>
      <w:r>
        <w:rPr>
          <w:b/>
          <w:bCs/>
          <w:szCs w:val="24"/>
        </w:rPr>
        <w:t>5.2.5 Case 5-5: N80 Oil Well Injection Pipe Corrosion Failure Analysis</w:t>
      </w:r>
    </w:p>
    <w:p w14:paraId="2AE8D4B2">
      <w:pPr>
        <w:pStyle w:val="16"/>
        <w:spacing w:before="31" w:after="31"/>
        <w:ind w:firstLine="0" w:firstLineChars="0"/>
        <w:rPr>
          <w:szCs w:val="24"/>
        </w:rPr>
      </w:pPr>
      <w:r>
        <w:rPr>
          <w:szCs w:val="24"/>
        </w:rPr>
        <w:t>(1) Case Name</w:t>
      </w:r>
    </w:p>
    <w:p w14:paraId="413480FD">
      <w:pPr>
        <w:pStyle w:val="16"/>
        <w:spacing w:before="31" w:after="31"/>
        <w:ind w:firstLine="480"/>
        <w:rPr>
          <w:szCs w:val="24"/>
        </w:rPr>
      </w:pPr>
      <w:r>
        <w:rPr>
          <w:szCs w:val="24"/>
        </w:rPr>
        <w:t>N80 Oil Well Main Water Injection Pipe Corrosion Failure Analysis [7]</w:t>
      </w:r>
    </w:p>
    <w:p w14:paraId="164538F6">
      <w:pPr>
        <w:pStyle w:val="16"/>
        <w:spacing w:before="31" w:after="31"/>
        <w:ind w:firstLine="0" w:firstLineChars="0"/>
        <w:rPr>
          <w:szCs w:val="24"/>
        </w:rPr>
      </w:pPr>
      <w:r>
        <w:rPr>
          <w:szCs w:val="24"/>
        </w:rPr>
        <w:t>(2) Description of Failure Process</w:t>
      </w:r>
    </w:p>
    <w:p w14:paraId="78A7010B">
      <w:pPr>
        <w:pStyle w:val="16"/>
        <w:spacing w:before="31" w:after="31"/>
        <w:ind w:firstLine="480"/>
        <w:rPr>
          <w:szCs w:val="24"/>
        </w:rPr>
      </w:pPr>
      <w:r>
        <w:rPr>
          <w:szCs w:val="24"/>
        </w:rPr>
        <w:t>Many oil wells in a certain oilfield development block have entered the late stage of production. To enhance reservoir energy and increase oil recovery efficiency, most wells have opted for water injection. In an effort to improve the corrosion resistance of injection pipes, N80 nitrided injection pipes (internally nitrided) were used. However, the external surface of the injection pipe perforated within less than eight months of service, significantly deviating from the design life, marking an early failure.</w:t>
      </w:r>
    </w:p>
    <w:p w14:paraId="39DFEE5E">
      <w:pPr>
        <w:pStyle w:val="16"/>
        <w:spacing w:before="31" w:after="31"/>
        <w:ind w:firstLine="0" w:firstLineChars="0"/>
        <w:rPr>
          <w:szCs w:val="24"/>
        </w:rPr>
      </w:pPr>
      <w:r>
        <w:rPr>
          <w:szCs w:val="24"/>
        </w:rPr>
        <w:t>(3) Service Environment</w:t>
      </w:r>
    </w:p>
    <w:p w14:paraId="5EC8713A">
      <w:pPr>
        <w:pStyle w:val="16"/>
        <w:spacing w:before="31" w:after="31"/>
        <w:ind w:firstLine="480"/>
        <w:rPr>
          <w:szCs w:val="24"/>
        </w:rPr>
      </w:pPr>
      <w:r>
        <w:rPr>
          <w:szCs w:val="24"/>
        </w:rPr>
        <w:t>At 20°C, the water quality analysis results of the injected sewage are shown in Table 5-7. The injected sewage has high mineralization, high chloride ion content, and high mechanical impurity and bacteria content. It may also contain residual components of various oilfield chemicals, making the sewage composition complex.</w:t>
      </w:r>
    </w:p>
    <w:p w14:paraId="4AAC992F">
      <w:pPr>
        <w:pStyle w:val="16"/>
        <w:spacing w:before="31" w:after="31"/>
        <w:ind w:firstLine="480"/>
        <w:rPr>
          <w:szCs w:val="24"/>
        </w:rPr>
      </w:pPr>
    </w:p>
    <w:p w14:paraId="02493C20">
      <w:pPr>
        <w:pStyle w:val="16"/>
        <w:spacing w:before="31" w:after="31"/>
        <w:ind w:firstLine="482"/>
        <w:jc w:val="center"/>
        <w:rPr>
          <w:rFonts w:hint="eastAsia"/>
          <w:b/>
          <w:bCs/>
          <w:szCs w:val="24"/>
        </w:rPr>
      </w:pPr>
      <w:r>
        <w:rPr>
          <w:b/>
          <w:bCs/>
          <w:szCs w:val="24"/>
        </w:rPr>
        <w:t>Table 5-7 Analysis of Injected Sewage Water Quality (mg/L)</w:t>
      </w:r>
    </w:p>
    <w:tbl>
      <w:tblPr>
        <w:tblStyle w:val="9"/>
        <w:tblW w:w="833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9"/>
        <w:gridCol w:w="1256"/>
        <w:gridCol w:w="971"/>
        <w:gridCol w:w="1176"/>
        <w:gridCol w:w="860"/>
        <w:gridCol w:w="785"/>
        <w:gridCol w:w="752"/>
        <w:gridCol w:w="901"/>
      </w:tblGrid>
      <w:tr w14:paraId="2BF3D5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3" w:type="dxa"/>
            <w:tcBorders>
              <w:top w:val="single" w:color="auto" w:sz="12" w:space="0"/>
              <w:left w:val="nil"/>
              <w:bottom w:val="single" w:color="auto" w:sz="12" w:space="0"/>
              <w:right w:val="nil"/>
            </w:tcBorders>
            <w:vAlign w:val="center"/>
          </w:tcPr>
          <w:p w14:paraId="4E9442B5">
            <w:pPr>
              <w:pStyle w:val="16"/>
              <w:spacing w:before="31" w:after="31"/>
              <w:ind w:firstLine="0" w:firstLineChars="0"/>
              <w:jc w:val="center"/>
              <w:rPr>
                <w:rFonts w:cs="Times New Roman"/>
                <w:sz w:val="21"/>
                <w:szCs w:val="21"/>
              </w:rPr>
            </w:pPr>
            <w:r>
              <w:rPr>
                <w:szCs w:val="24"/>
              </w:rPr>
              <w:t>Mineralization</w:t>
            </w:r>
          </w:p>
        </w:tc>
        <w:tc>
          <w:tcPr>
            <w:tcW w:w="1144" w:type="dxa"/>
            <w:tcBorders>
              <w:top w:val="single" w:color="auto" w:sz="12" w:space="0"/>
              <w:left w:val="nil"/>
              <w:bottom w:val="single" w:color="auto" w:sz="12" w:space="0"/>
              <w:right w:val="nil"/>
            </w:tcBorders>
            <w:vAlign w:val="center"/>
          </w:tcPr>
          <w:p w14:paraId="28D0049B">
            <w:pPr>
              <w:pStyle w:val="16"/>
              <w:spacing w:before="31" w:after="31"/>
              <w:ind w:firstLine="0" w:firstLineChars="0"/>
              <w:jc w:val="center"/>
              <w:rPr>
                <w:rFonts w:cs="Times New Roman"/>
                <w:sz w:val="21"/>
                <w:szCs w:val="21"/>
              </w:rPr>
            </w:pPr>
            <w:r>
              <w:rPr>
                <w:szCs w:val="24"/>
              </w:rPr>
              <w:t>Suspended Solids</w:t>
            </w:r>
          </w:p>
        </w:tc>
        <w:tc>
          <w:tcPr>
            <w:tcW w:w="1144" w:type="dxa"/>
            <w:tcBorders>
              <w:top w:val="single" w:color="auto" w:sz="12" w:space="0"/>
              <w:left w:val="nil"/>
              <w:bottom w:val="single" w:color="auto" w:sz="12" w:space="0"/>
              <w:right w:val="nil"/>
            </w:tcBorders>
            <w:vAlign w:val="center"/>
          </w:tcPr>
          <w:p w14:paraId="4F4D7989">
            <w:pPr>
              <w:pStyle w:val="16"/>
              <w:spacing w:before="31" w:after="31"/>
              <w:ind w:firstLine="0" w:firstLineChars="0"/>
              <w:jc w:val="center"/>
              <w:rPr>
                <w:rFonts w:cs="Times New Roman"/>
                <w:sz w:val="21"/>
                <w:szCs w:val="21"/>
              </w:rPr>
            </w:pPr>
            <w:r>
              <w:rPr>
                <w:szCs w:val="24"/>
              </w:rPr>
              <w:t>Total Iron</w:t>
            </w:r>
          </w:p>
        </w:tc>
        <w:tc>
          <w:tcPr>
            <w:tcW w:w="1004" w:type="dxa"/>
            <w:tcBorders>
              <w:top w:val="single" w:color="auto" w:sz="12" w:space="0"/>
              <w:left w:val="nil"/>
              <w:bottom w:val="single" w:color="auto" w:sz="12" w:space="0"/>
              <w:right w:val="nil"/>
            </w:tcBorders>
            <w:vAlign w:val="center"/>
          </w:tcPr>
          <w:p w14:paraId="6A3C64B1">
            <w:pPr>
              <w:pStyle w:val="16"/>
              <w:spacing w:before="31" w:after="31"/>
              <w:ind w:firstLine="0" w:firstLineChars="0"/>
              <w:jc w:val="center"/>
              <w:rPr>
                <w:rFonts w:cs="Times New Roman"/>
                <w:sz w:val="21"/>
                <w:szCs w:val="21"/>
              </w:rPr>
            </w:pPr>
            <w:r>
              <w:rPr>
                <w:szCs w:val="24"/>
              </w:rPr>
              <w:t>Dissolved Oxygen</w:t>
            </w:r>
          </w:p>
        </w:tc>
        <w:tc>
          <w:tcPr>
            <w:tcW w:w="1005" w:type="dxa"/>
            <w:tcBorders>
              <w:top w:val="single" w:color="auto" w:sz="12" w:space="0"/>
              <w:left w:val="nil"/>
              <w:bottom w:val="single" w:color="auto" w:sz="12" w:space="0"/>
              <w:right w:val="nil"/>
            </w:tcBorders>
            <w:vAlign w:val="center"/>
          </w:tcPr>
          <w:p w14:paraId="29EFD808">
            <w:pPr>
              <w:pStyle w:val="16"/>
              <w:spacing w:before="31" w:after="31"/>
              <w:ind w:firstLine="0" w:firstLineChars="0"/>
              <w:jc w:val="center"/>
              <w:rPr>
                <w:rFonts w:cs="Times New Roman"/>
                <w:sz w:val="21"/>
                <w:szCs w:val="21"/>
              </w:rPr>
            </w:pPr>
            <w:r>
              <w:rPr>
                <w:rFonts w:cs="Times New Roman"/>
                <w:sz w:val="21"/>
                <w:szCs w:val="21"/>
              </w:rPr>
              <w:t>Cl</w:t>
            </w:r>
            <w:r>
              <w:rPr>
                <w:rFonts w:cs="Times New Roman"/>
                <w:sz w:val="21"/>
                <w:szCs w:val="21"/>
                <w:vertAlign w:val="superscript"/>
              </w:rPr>
              <w:t>-</w:t>
            </w:r>
          </w:p>
        </w:tc>
        <w:tc>
          <w:tcPr>
            <w:tcW w:w="921" w:type="dxa"/>
            <w:tcBorders>
              <w:top w:val="single" w:color="auto" w:sz="12" w:space="0"/>
              <w:left w:val="nil"/>
              <w:bottom w:val="single" w:color="auto" w:sz="12" w:space="0"/>
              <w:right w:val="nil"/>
            </w:tcBorders>
            <w:vAlign w:val="center"/>
          </w:tcPr>
          <w:p w14:paraId="713F7CCD">
            <w:pPr>
              <w:pStyle w:val="16"/>
              <w:spacing w:before="31" w:after="31"/>
              <w:ind w:firstLine="0" w:firstLineChars="0"/>
              <w:jc w:val="center"/>
              <w:rPr>
                <w:rFonts w:cs="Times New Roman"/>
                <w:sz w:val="21"/>
                <w:szCs w:val="21"/>
              </w:rPr>
            </w:pPr>
            <w:r>
              <w:rPr>
                <w:rFonts w:cs="Times New Roman"/>
                <w:sz w:val="21"/>
                <w:szCs w:val="21"/>
              </w:rPr>
              <w:t>CO</w:t>
            </w:r>
            <w:r>
              <w:rPr>
                <w:rFonts w:cs="Times New Roman"/>
                <w:sz w:val="21"/>
                <w:szCs w:val="21"/>
                <w:vertAlign w:val="subscript"/>
              </w:rPr>
              <w:t>2</w:t>
            </w:r>
          </w:p>
        </w:tc>
        <w:tc>
          <w:tcPr>
            <w:tcW w:w="896" w:type="dxa"/>
            <w:tcBorders>
              <w:top w:val="single" w:color="auto" w:sz="12" w:space="0"/>
              <w:left w:val="nil"/>
              <w:bottom w:val="single" w:color="auto" w:sz="12" w:space="0"/>
              <w:right w:val="nil"/>
            </w:tcBorders>
          </w:tcPr>
          <w:p w14:paraId="2BA3B2C5">
            <w:pPr>
              <w:pStyle w:val="16"/>
              <w:spacing w:before="31" w:after="31"/>
              <w:ind w:firstLine="0" w:firstLineChars="0"/>
              <w:jc w:val="center"/>
              <w:rPr>
                <w:rFonts w:cs="Times New Roman"/>
                <w:sz w:val="21"/>
                <w:szCs w:val="21"/>
              </w:rPr>
            </w:pPr>
            <w:r>
              <w:rPr>
                <w:rFonts w:cs="Times New Roman"/>
                <w:sz w:val="21"/>
                <w:szCs w:val="21"/>
              </w:rPr>
              <w:t>TG 1/L</w:t>
            </w:r>
          </w:p>
        </w:tc>
        <w:tc>
          <w:tcPr>
            <w:tcW w:w="1073" w:type="dxa"/>
            <w:tcBorders>
              <w:top w:val="single" w:color="auto" w:sz="12" w:space="0"/>
              <w:left w:val="nil"/>
              <w:bottom w:val="single" w:color="auto" w:sz="12" w:space="0"/>
              <w:right w:val="nil"/>
            </w:tcBorders>
          </w:tcPr>
          <w:p w14:paraId="420DF16E">
            <w:pPr>
              <w:pStyle w:val="16"/>
              <w:spacing w:before="31" w:after="31"/>
              <w:ind w:firstLine="0" w:firstLineChars="0"/>
              <w:jc w:val="center"/>
              <w:rPr>
                <w:rFonts w:cs="Times New Roman"/>
                <w:sz w:val="21"/>
                <w:szCs w:val="21"/>
              </w:rPr>
            </w:pPr>
            <w:r>
              <w:rPr>
                <w:rFonts w:cs="Times New Roman"/>
                <w:sz w:val="21"/>
                <w:szCs w:val="21"/>
              </w:rPr>
              <w:t>SRB 1/L</w:t>
            </w:r>
          </w:p>
        </w:tc>
      </w:tr>
      <w:tr w14:paraId="34E39C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3" w:type="dxa"/>
            <w:tcBorders>
              <w:top w:val="single" w:color="auto" w:sz="12" w:space="0"/>
              <w:left w:val="nil"/>
              <w:bottom w:val="single" w:color="auto" w:sz="12" w:space="0"/>
              <w:right w:val="nil"/>
            </w:tcBorders>
            <w:vAlign w:val="center"/>
          </w:tcPr>
          <w:p w14:paraId="445F5A85">
            <w:pPr>
              <w:pStyle w:val="16"/>
              <w:spacing w:before="31" w:after="31"/>
              <w:ind w:firstLine="0" w:firstLineChars="0"/>
              <w:jc w:val="center"/>
              <w:rPr>
                <w:rFonts w:cs="Times New Roman"/>
                <w:sz w:val="21"/>
                <w:szCs w:val="21"/>
              </w:rPr>
            </w:pPr>
            <w:r>
              <w:rPr>
                <w:rFonts w:cs="Times New Roman"/>
                <w:sz w:val="21"/>
                <w:szCs w:val="21"/>
              </w:rPr>
              <w:t>34291</w:t>
            </w:r>
          </w:p>
        </w:tc>
        <w:tc>
          <w:tcPr>
            <w:tcW w:w="1144" w:type="dxa"/>
            <w:tcBorders>
              <w:top w:val="single" w:color="auto" w:sz="12" w:space="0"/>
              <w:left w:val="nil"/>
              <w:bottom w:val="single" w:color="auto" w:sz="12" w:space="0"/>
              <w:right w:val="nil"/>
            </w:tcBorders>
            <w:vAlign w:val="center"/>
          </w:tcPr>
          <w:p w14:paraId="192069C0">
            <w:pPr>
              <w:pStyle w:val="16"/>
              <w:spacing w:before="31" w:after="31"/>
              <w:ind w:firstLine="0" w:firstLineChars="0"/>
              <w:jc w:val="center"/>
              <w:rPr>
                <w:rFonts w:cs="Times New Roman"/>
                <w:sz w:val="21"/>
                <w:szCs w:val="21"/>
              </w:rPr>
            </w:pPr>
            <w:r>
              <w:rPr>
                <w:rFonts w:cs="Times New Roman"/>
                <w:sz w:val="21"/>
                <w:szCs w:val="21"/>
              </w:rPr>
              <w:t>190.1</w:t>
            </w:r>
          </w:p>
        </w:tc>
        <w:tc>
          <w:tcPr>
            <w:tcW w:w="1144" w:type="dxa"/>
            <w:tcBorders>
              <w:top w:val="single" w:color="auto" w:sz="12" w:space="0"/>
              <w:left w:val="nil"/>
              <w:bottom w:val="single" w:color="auto" w:sz="12" w:space="0"/>
              <w:right w:val="nil"/>
            </w:tcBorders>
            <w:vAlign w:val="center"/>
          </w:tcPr>
          <w:p w14:paraId="0B859E87">
            <w:pPr>
              <w:pStyle w:val="16"/>
              <w:spacing w:before="31" w:after="31"/>
              <w:ind w:firstLine="0" w:firstLineChars="0"/>
              <w:jc w:val="center"/>
              <w:rPr>
                <w:rFonts w:cs="Times New Roman"/>
                <w:sz w:val="21"/>
                <w:szCs w:val="21"/>
              </w:rPr>
            </w:pPr>
            <w:r>
              <w:rPr>
                <w:rFonts w:cs="Times New Roman"/>
                <w:sz w:val="21"/>
                <w:szCs w:val="21"/>
              </w:rPr>
              <w:t>3.5</w:t>
            </w:r>
          </w:p>
        </w:tc>
        <w:tc>
          <w:tcPr>
            <w:tcW w:w="1004" w:type="dxa"/>
            <w:tcBorders>
              <w:top w:val="single" w:color="auto" w:sz="12" w:space="0"/>
              <w:left w:val="nil"/>
              <w:bottom w:val="single" w:color="auto" w:sz="12" w:space="0"/>
              <w:right w:val="nil"/>
            </w:tcBorders>
            <w:vAlign w:val="center"/>
          </w:tcPr>
          <w:p w14:paraId="201F683A">
            <w:pPr>
              <w:pStyle w:val="16"/>
              <w:spacing w:before="31" w:after="31"/>
              <w:ind w:firstLine="0" w:firstLineChars="0"/>
              <w:jc w:val="center"/>
              <w:rPr>
                <w:rFonts w:cs="Times New Roman"/>
                <w:sz w:val="21"/>
                <w:szCs w:val="21"/>
              </w:rPr>
            </w:pPr>
            <w:r>
              <w:rPr>
                <w:rFonts w:cs="Times New Roman"/>
                <w:sz w:val="21"/>
                <w:szCs w:val="21"/>
              </w:rPr>
              <w:t>0.3</w:t>
            </w:r>
          </w:p>
        </w:tc>
        <w:tc>
          <w:tcPr>
            <w:tcW w:w="1005" w:type="dxa"/>
            <w:tcBorders>
              <w:top w:val="single" w:color="auto" w:sz="12" w:space="0"/>
              <w:left w:val="nil"/>
              <w:bottom w:val="single" w:color="auto" w:sz="12" w:space="0"/>
              <w:right w:val="nil"/>
            </w:tcBorders>
            <w:vAlign w:val="center"/>
          </w:tcPr>
          <w:p w14:paraId="6FEE41F9">
            <w:pPr>
              <w:pStyle w:val="16"/>
              <w:spacing w:before="31" w:after="31"/>
              <w:ind w:firstLine="0" w:firstLineChars="0"/>
              <w:jc w:val="center"/>
              <w:rPr>
                <w:rFonts w:cs="Times New Roman"/>
                <w:sz w:val="21"/>
                <w:szCs w:val="21"/>
              </w:rPr>
            </w:pPr>
            <w:r>
              <w:rPr>
                <w:rFonts w:cs="Times New Roman"/>
                <w:sz w:val="21"/>
                <w:szCs w:val="21"/>
              </w:rPr>
              <w:t>4785</w:t>
            </w:r>
          </w:p>
        </w:tc>
        <w:tc>
          <w:tcPr>
            <w:tcW w:w="921" w:type="dxa"/>
            <w:tcBorders>
              <w:top w:val="single" w:color="auto" w:sz="12" w:space="0"/>
              <w:left w:val="nil"/>
              <w:bottom w:val="single" w:color="auto" w:sz="12" w:space="0"/>
              <w:right w:val="nil"/>
            </w:tcBorders>
            <w:vAlign w:val="center"/>
          </w:tcPr>
          <w:p w14:paraId="2265E38C">
            <w:pPr>
              <w:pStyle w:val="16"/>
              <w:spacing w:before="31" w:after="31"/>
              <w:ind w:firstLine="0" w:firstLineChars="0"/>
              <w:jc w:val="center"/>
              <w:rPr>
                <w:rFonts w:cs="Times New Roman"/>
                <w:sz w:val="21"/>
                <w:szCs w:val="21"/>
              </w:rPr>
            </w:pPr>
            <w:r>
              <w:rPr>
                <w:rFonts w:cs="Times New Roman"/>
                <w:sz w:val="21"/>
                <w:szCs w:val="21"/>
              </w:rPr>
              <w:t>51</w:t>
            </w:r>
          </w:p>
        </w:tc>
        <w:tc>
          <w:tcPr>
            <w:tcW w:w="896" w:type="dxa"/>
            <w:tcBorders>
              <w:top w:val="single" w:color="auto" w:sz="12" w:space="0"/>
              <w:left w:val="nil"/>
              <w:bottom w:val="single" w:color="auto" w:sz="12" w:space="0"/>
              <w:right w:val="nil"/>
            </w:tcBorders>
          </w:tcPr>
          <w:p w14:paraId="39D72F87">
            <w:pPr>
              <w:pStyle w:val="16"/>
              <w:spacing w:before="31" w:after="31"/>
              <w:ind w:firstLine="0" w:firstLineChars="0"/>
              <w:jc w:val="center"/>
              <w:rPr>
                <w:rFonts w:cs="Times New Roman"/>
                <w:sz w:val="21"/>
                <w:szCs w:val="21"/>
              </w:rPr>
            </w:pPr>
            <w:r>
              <w:rPr>
                <w:rFonts w:cs="Times New Roman"/>
                <w:sz w:val="21"/>
                <w:szCs w:val="21"/>
              </w:rPr>
              <w:t>120</w:t>
            </w:r>
          </w:p>
        </w:tc>
        <w:tc>
          <w:tcPr>
            <w:tcW w:w="1073" w:type="dxa"/>
            <w:tcBorders>
              <w:top w:val="single" w:color="auto" w:sz="12" w:space="0"/>
              <w:left w:val="nil"/>
              <w:bottom w:val="single" w:color="auto" w:sz="12" w:space="0"/>
              <w:right w:val="nil"/>
            </w:tcBorders>
          </w:tcPr>
          <w:p w14:paraId="0F471454">
            <w:pPr>
              <w:pStyle w:val="16"/>
              <w:spacing w:before="31" w:after="31"/>
              <w:ind w:firstLine="0" w:firstLineChars="0"/>
              <w:jc w:val="center"/>
              <w:rPr>
                <w:rFonts w:cs="Times New Roman"/>
                <w:sz w:val="21"/>
                <w:szCs w:val="21"/>
              </w:rPr>
            </w:pPr>
            <w:r>
              <w:rPr>
                <w:rFonts w:cs="Times New Roman"/>
                <w:sz w:val="21"/>
                <w:szCs w:val="21"/>
              </w:rPr>
              <w:t>1200</w:t>
            </w:r>
          </w:p>
        </w:tc>
      </w:tr>
    </w:tbl>
    <w:p w14:paraId="7688F09F">
      <w:pPr>
        <w:pStyle w:val="16"/>
        <w:spacing w:before="31" w:after="31"/>
        <w:ind w:firstLine="0" w:firstLineChars="0"/>
        <w:rPr>
          <w:szCs w:val="24"/>
        </w:rPr>
      </w:pPr>
      <w:r>
        <w:rPr>
          <w:szCs w:val="24"/>
        </w:rPr>
        <w:t>(4) Failed Component and Material</w:t>
      </w:r>
    </w:p>
    <w:p w14:paraId="7E84065C">
      <w:pPr>
        <w:pStyle w:val="16"/>
        <w:spacing w:before="31" w:after="31"/>
        <w:ind w:firstLine="480"/>
        <w:rPr>
          <w:szCs w:val="24"/>
        </w:rPr>
      </w:pPr>
      <w:r>
        <w:rPr>
          <w:szCs w:val="24"/>
        </w:rPr>
        <w:t>The failed component material is N80 steel, and the chemical composition is shown in Table 5-8.</w:t>
      </w:r>
    </w:p>
    <w:p w14:paraId="29F4E857">
      <w:pPr>
        <w:pStyle w:val="16"/>
        <w:spacing w:before="31" w:after="31"/>
        <w:ind w:firstLine="199" w:firstLineChars="83"/>
        <w:rPr>
          <w:rFonts w:hint="eastAsia"/>
          <w:szCs w:val="24"/>
        </w:rPr>
      </w:pPr>
    </w:p>
    <w:p w14:paraId="33822141">
      <w:pPr>
        <w:pStyle w:val="16"/>
        <w:spacing w:before="31" w:after="31"/>
        <w:ind w:firstLine="482"/>
        <w:jc w:val="center"/>
        <w:rPr>
          <w:b/>
          <w:bCs/>
          <w:szCs w:val="24"/>
        </w:rPr>
      </w:pPr>
      <w:r>
        <w:rPr>
          <w:b/>
          <w:bCs/>
          <w:szCs w:val="24"/>
        </w:rPr>
        <w:t>Table 5-8 N80 Injection Pipe Chemical Composition (%)</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6"/>
        <w:gridCol w:w="1186"/>
        <w:gridCol w:w="1186"/>
        <w:gridCol w:w="1029"/>
        <w:gridCol w:w="1029"/>
        <w:gridCol w:w="947"/>
      </w:tblGrid>
      <w:tr w14:paraId="71C14F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6" w:type="dxa"/>
            <w:tcBorders>
              <w:top w:val="single" w:color="auto" w:sz="12" w:space="0"/>
              <w:left w:val="nil"/>
              <w:bottom w:val="single" w:color="auto" w:sz="12" w:space="0"/>
              <w:right w:val="nil"/>
            </w:tcBorders>
            <w:vAlign w:val="center"/>
          </w:tcPr>
          <w:p w14:paraId="0770D4BC">
            <w:pPr>
              <w:pStyle w:val="16"/>
              <w:spacing w:before="31" w:after="31"/>
              <w:ind w:firstLine="0" w:firstLineChars="0"/>
              <w:jc w:val="center"/>
              <w:rPr>
                <w:rFonts w:cs="Times New Roman"/>
                <w:sz w:val="21"/>
                <w:szCs w:val="21"/>
              </w:rPr>
            </w:pPr>
            <w:r>
              <w:rPr>
                <w:rFonts w:cs="Times New Roman"/>
                <w:sz w:val="21"/>
                <w:szCs w:val="21"/>
              </w:rPr>
              <w:t>C</w:t>
            </w:r>
          </w:p>
        </w:tc>
        <w:tc>
          <w:tcPr>
            <w:tcW w:w="1186" w:type="dxa"/>
            <w:tcBorders>
              <w:top w:val="single" w:color="auto" w:sz="12" w:space="0"/>
              <w:left w:val="nil"/>
              <w:bottom w:val="single" w:color="auto" w:sz="12" w:space="0"/>
              <w:right w:val="nil"/>
            </w:tcBorders>
            <w:vAlign w:val="center"/>
          </w:tcPr>
          <w:p w14:paraId="0E9DE739">
            <w:pPr>
              <w:pStyle w:val="16"/>
              <w:spacing w:before="31" w:after="31"/>
              <w:ind w:firstLine="0" w:firstLineChars="0"/>
              <w:jc w:val="center"/>
              <w:rPr>
                <w:rFonts w:cs="Times New Roman"/>
                <w:sz w:val="21"/>
                <w:szCs w:val="21"/>
              </w:rPr>
            </w:pPr>
            <w:r>
              <w:rPr>
                <w:rFonts w:cs="Times New Roman"/>
                <w:sz w:val="21"/>
                <w:szCs w:val="21"/>
              </w:rPr>
              <w:t>Si</w:t>
            </w:r>
          </w:p>
        </w:tc>
        <w:tc>
          <w:tcPr>
            <w:tcW w:w="1186" w:type="dxa"/>
            <w:tcBorders>
              <w:top w:val="single" w:color="auto" w:sz="12" w:space="0"/>
              <w:left w:val="nil"/>
              <w:bottom w:val="single" w:color="auto" w:sz="12" w:space="0"/>
              <w:right w:val="nil"/>
            </w:tcBorders>
            <w:vAlign w:val="center"/>
          </w:tcPr>
          <w:p w14:paraId="5ABC2EA7">
            <w:pPr>
              <w:pStyle w:val="16"/>
              <w:spacing w:before="31" w:after="31"/>
              <w:ind w:firstLine="0" w:firstLineChars="0"/>
              <w:jc w:val="center"/>
              <w:rPr>
                <w:rFonts w:cs="Times New Roman"/>
                <w:sz w:val="21"/>
                <w:szCs w:val="21"/>
              </w:rPr>
            </w:pPr>
            <w:r>
              <w:rPr>
                <w:rFonts w:cs="Times New Roman"/>
                <w:sz w:val="21"/>
                <w:szCs w:val="21"/>
              </w:rPr>
              <w:t>Mn</w:t>
            </w:r>
          </w:p>
        </w:tc>
        <w:tc>
          <w:tcPr>
            <w:tcW w:w="1029" w:type="dxa"/>
            <w:tcBorders>
              <w:top w:val="single" w:color="auto" w:sz="12" w:space="0"/>
              <w:left w:val="nil"/>
              <w:bottom w:val="single" w:color="auto" w:sz="12" w:space="0"/>
              <w:right w:val="nil"/>
            </w:tcBorders>
            <w:vAlign w:val="center"/>
          </w:tcPr>
          <w:p w14:paraId="0056984F">
            <w:pPr>
              <w:pStyle w:val="16"/>
              <w:spacing w:before="31" w:after="31"/>
              <w:ind w:firstLine="0" w:firstLineChars="0"/>
              <w:jc w:val="center"/>
              <w:rPr>
                <w:rFonts w:cs="Times New Roman"/>
                <w:sz w:val="21"/>
                <w:szCs w:val="21"/>
              </w:rPr>
            </w:pPr>
            <w:r>
              <w:rPr>
                <w:rFonts w:cs="Times New Roman"/>
                <w:sz w:val="21"/>
                <w:szCs w:val="21"/>
              </w:rPr>
              <w:t xml:space="preserve">S </w:t>
            </w:r>
          </w:p>
        </w:tc>
        <w:tc>
          <w:tcPr>
            <w:tcW w:w="1029" w:type="dxa"/>
            <w:tcBorders>
              <w:top w:val="single" w:color="auto" w:sz="12" w:space="0"/>
              <w:left w:val="nil"/>
              <w:bottom w:val="single" w:color="auto" w:sz="12" w:space="0"/>
              <w:right w:val="nil"/>
            </w:tcBorders>
            <w:vAlign w:val="center"/>
          </w:tcPr>
          <w:p w14:paraId="151DC7CC">
            <w:pPr>
              <w:pStyle w:val="16"/>
              <w:spacing w:before="31" w:after="31"/>
              <w:ind w:firstLine="0" w:firstLineChars="0"/>
              <w:jc w:val="center"/>
              <w:rPr>
                <w:rFonts w:cs="Times New Roman"/>
                <w:sz w:val="21"/>
                <w:szCs w:val="21"/>
              </w:rPr>
            </w:pPr>
            <w:r>
              <w:rPr>
                <w:rFonts w:cs="Times New Roman"/>
                <w:sz w:val="21"/>
                <w:szCs w:val="21"/>
              </w:rPr>
              <w:t>P</w:t>
            </w:r>
          </w:p>
        </w:tc>
        <w:tc>
          <w:tcPr>
            <w:tcW w:w="947" w:type="dxa"/>
            <w:tcBorders>
              <w:top w:val="single" w:color="auto" w:sz="12" w:space="0"/>
              <w:left w:val="nil"/>
              <w:bottom w:val="single" w:color="auto" w:sz="12" w:space="0"/>
              <w:right w:val="nil"/>
            </w:tcBorders>
            <w:vAlign w:val="center"/>
          </w:tcPr>
          <w:p w14:paraId="3286A053">
            <w:pPr>
              <w:pStyle w:val="16"/>
              <w:spacing w:before="31" w:after="31"/>
              <w:ind w:firstLine="0" w:firstLineChars="0"/>
              <w:jc w:val="center"/>
              <w:rPr>
                <w:rFonts w:cs="Times New Roman"/>
                <w:sz w:val="21"/>
                <w:szCs w:val="21"/>
              </w:rPr>
            </w:pPr>
            <w:r>
              <w:rPr>
                <w:rFonts w:cs="Times New Roman"/>
                <w:sz w:val="21"/>
                <w:szCs w:val="21"/>
              </w:rPr>
              <w:t>V</w:t>
            </w:r>
          </w:p>
        </w:tc>
      </w:tr>
      <w:tr w14:paraId="27605A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6" w:type="dxa"/>
            <w:tcBorders>
              <w:top w:val="single" w:color="auto" w:sz="12" w:space="0"/>
              <w:left w:val="nil"/>
              <w:bottom w:val="single" w:color="auto" w:sz="12" w:space="0"/>
              <w:right w:val="nil"/>
            </w:tcBorders>
            <w:vAlign w:val="center"/>
          </w:tcPr>
          <w:p w14:paraId="200EDCE9">
            <w:pPr>
              <w:pStyle w:val="16"/>
              <w:spacing w:before="31" w:after="31"/>
              <w:ind w:firstLine="0" w:firstLineChars="0"/>
              <w:jc w:val="center"/>
              <w:rPr>
                <w:rFonts w:cs="Times New Roman"/>
                <w:sz w:val="21"/>
                <w:szCs w:val="21"/>
              </w:rPr>
            </w:pPr>
            <w:r>
              <w:rPr>
                <w:rFonts w:cs="Times New Roman"/>
                <w:sz w:val="21"/>
                <w:szCs w:val="21"/>
              </w:rPr>
              <w:t>0.37</w:t>
            </w:r>
          </w:p>
        </w:tc>
        <w:tc>
          <w:tcPr>
            <w:tcW w:w="1186" w:type="dxa"/>
            <w:tcBorders>
              <w:top w:val="single" w:color="auto" w:sz="12" w:space="0"/>
              <w:left w:val="nil"/>
              <w:bottom w:val="single" w:color="auto" w:sz="12" w:space="0"/>
              <w:right w:val="nil"/>
            </w:tcBorders>
            <w:vAlign w:val="center"/>
          </w:tcPr>
          <w:p w14:paraId="753D919C">
            <w:pPr>
              <w:pStyle w:val="16"/>
              <w:spacing w:before="31" w:after="31"/>
              <w:ind w:firstLine="0" w:firstLineChars="0"/>
              <w:jc w:val="center"/>
              <w:rPr>
                <w:rFonts w:cs="Times New Roman"/>
                <w:sz w:val="21"/>
                <w:szCs w:val="21"/>
              </w:rPr>
            </w:pPr>
            <w:r>
              <w:rPr>
                <w:rFonts w:cs="Times New Roman"/>
                <w:sz w:val="21"/>
                <w:szCs w:val="21"/>
              </w:rPr>
              <w:t>0.48</w:t>
            </w:r>
          </w:p>
        </w:tc>
        <w:tc>
          <w:tcPr>
            <w:tcW w:w="1186" w:type="dxa"/>
            <w:tcBorders>
              <w:top w:val="single" w:color="auto" w:sz="12" w:space="0"/>
              <w:left w:val="nil"/>
              <w:bottom w:val="single" w:color="auto" w:sz="12" w:space="0"/>
              <w:right w:val="nil"/>
            </w:tcBorders>
            <w:vAlign w:val="center"/>
          </w:tcPr>
          <w:p w14:paraId="56080C00">
            <w:pPr>
              <w:pStyle w:val="16"/>
              <w:spacing w:before="31" w:after="31"/>
              <w:ind w:firstLine="0" w:firstLineChars="0"/>
              <w:jc w:val="center"/>
              <w:rPr>
                <w:rFonts w:cs="Times New Roman"/>
                <w:sz w:val="21"/>
                <w:szCs w:val="21"/>
              </w:rPr>
            </w:pPr>
            <w:r>
              <w:rPr>
                <w:rFonts w:cs="Times New Roman"/>
                <w:sz w:val="21"/>
                <w:szCs w:val="21"/>
              </w:rPr>
              <w:t>1.51</w:t>
            </w:r>
          </w:p>
        </w:tc>
        <w:tc>
          <w:tcPr>
            <w:tcW w:w="1029" w:type="dxa"/>
            <w:tcBorders>
              <w:top w:val="single" w:color="auto" w:sz="12" w:space="0"/>
              <w:left w:val="nil"/>
              <w:bottom w:val="single" w:color="auto" w:sz="12" w:space="0"/>
              <w:right w:val="nil"/>
            </w:tcBorders>
            <w:vAlign w:val="center"/>
          </w:tcPr>
          <w:p w14:paraId="0DC13F6F">
            <w:pPr>
              <w:pStyle w:val="16"/>
              <w:spacing w:before="31" w:after="31"/>
              <w:ind w:firstLine="0" w:firstLineChars="0"/>
              <w:jc w:val="center"/>
              <w:rPr>
                <w:rFonts w:cs="Times New Roman"/>
                <w:sz w:val="21"/>
                <w:szCs w:val="21"/>
              </w:rPr>
            </w:pPr>
            <w:r>
              <w:rPr>
                <w:rFonts w:cs="Times New Roman"/>
                <w:sz w:val="21"/>
                <w:szCs w:val="21"/>
              </w:rPr>
              <w:t>0.011</w:t>
            </w:r>
          </w:p>
        </w:tc>
        <w:tc>
          <w:tcPr>
            <w:tcW w:w="1029" w:type="dxa"/>
            <w:tcBorders>
              <w:top w:val="single" w:color="auto" w:sz="12" w:space="0"/>
              <w:left w:val="nil"/>
              <w:bottom w:val="single" w:color="auto" w:sz="12" w:space="0"/>
              <w:right w:val="nil"/>
            </w:tcBorders>
            <w:vAlign w:val="center"/>
          </w:tcPr>
          <w:p w14:paraId="49AB3A39">
            <w:pPr>
              <w:pStyle w:val="16"/>
              <w:spacing w:before="31" w:after="31"/>
              <w:ind w:firstLine="0" w:firstLineChars="0"/>
              <w:jc w:val="center"/>
              <w:rPr>
                <w:rFonts w:cs="Times New Roman"/>
                <w:sz w:val="21"/>
                <w:szCs w:val="21"/>
              </w:rPr>
            </w:pPr>
            <w:r>
              <w:rPr>
                <w:rFonts w:cs="Times New Roman"/>
                <w:sz w:val="21"/>
                <w:szCs w:val="21"/>
              </w:rPr>
              <w:t>0.004</w:t>
            </w:r>
          </w:p>
        </w:tc>
        <w:tc>
          <w:tcPr>
            <w:tcW w:w="947" w:type="dxa"/>
            <w:tcBorders>
              <w:top w:val="single" w:color="auto" w:sz="12" w:space="0"/>
              <w:left w:val="nil"/>
              <w:bottom w:val="single" w:color="auto" w:sz="12" w:space="0"/>
              <w:right w:val="nil"/>
            </w:tcBorders>
            <w:vAlign w:val="center"/>
          </w:tcPr>
          <w:p w14:paraId="48E57FB0">
            <w:pPr>
              <w:pStyle w:val="16"/>
              <w:spacing w:before="31" w:after="31"/>
              <w:ind w:firstLine="0" w:firstLineChars="0"/>
              <w:jc w:val="center"/>
              <w:rPr>
                <w:rFonts w:cs="Times New Roman"/>
                <w:sz w:val="21"/>
                <w:szCs w:val="21"/>
              </w:rPr>
            </w:pPr>
            <w:r>
              <w:rPr>
                <w:rFonts w:cs="Times New Roman"/>
                <w:sz w:val="21"/>
                <w:szCs w:val="21"/>
              </w:rPr>
              <w:t>0.11</w:t>
            </w:r>
          </w:p>
        </w:tc>
      </w:tr>
    </w:tbl>
    <w:p w14:paraId="27EE5A58">
      <w:pPr>
        <w:pStyle w:val="16"/>
        <w:spacing w:before="31" w:after="31"/>
        <w:ind w:firstLine="0" w:firstLineChars="0"/>
        <w:rPr>
          <w:szCs w:val="24"/>
        </w:rPr>
      </w:pPr>
      <w:r>
        <w:rPr>
          <w:szCs w:val="24"/>
        </w:rPr>
        <w:t>(5) Component Failure Morphology</w:t>
      </w:r>
    </w:p>
    <w:p w14:paraId="7E0CB13D">
      <w:pPr>
        <w:pStyle w:val="16"/>
        <w:spacing w:before="31" w:after="31"/>
        <w:ind w:firstLine="480"/>
        <w:rPr>
          <w:szCs w:val="24"/>
        </w:rPr>
      </w:pPr>
      <w:r>
        <w:rPr>
          <w:szCs w:val="24"/>
        </w:rPr>
        <w:t>The wall perforation of the pipe is parallel to the axial direction and has a regular distribution with distances ranging from tens of centimeters to several meters. Figure 5-5.1a shows that the wall thickness around the hole gradually decreases from the inside to the outside, indicating that the perforation is gradually corroded from the inside to the outside. The holes have a horseshoe shape with sharp edges, indicating continuous erosion during the corrosion process. Other parts of the pipe wall exhibit localized corrosion in the form of plateaus and petal-like patterns, as shown in Figure 5-5.1b. After removing the outer layer of corrosion products, deep and shallow corrosion pits are found in the axial corrosion zone of the inner wall, forming bands of varying sizes. The central corrosion in the bands is particularly severe, forming grooves locally.</w:t>
      </w:r>
    </w:p>
    <w:p w14:paraId="222482E5">
      <w:pPr>
        <w:pStyle w:val="16"/>
        <w:spacing w:before="31" w:after="31"/>
        <w:ind w:firstLine="480"/>
        <w:jc w:val="center"/>
        <w:rPr>
          <w:szCs w:val="24"/>
        </w:rPr>
      </w:pPr>
      <w:r>
        <w:rPr>
          <w:szCs w:val="24"/>
        </w:rPr>
        <w:t>(a) Inner wall macroscopic corrosion morphology</w:t>
      </w:r>
    </w:p>
    <w:p w14:paraId="3959B68F">
      <w:pPr>
        <w:pStyle w:val="16"/>
        <w:spacing w:before="31" w:after="31"/>
        <w:ind w:firstLine="480"/>
        <w:jc w:val="center"/>
        <w:rPr>
          <w:szCs w:val="24"/>
        </w:rPr>
      </w:pPr>
      <w:r>
        <w:rPr>
          <w:szCs w:val="24"/>
        </w:rPr>
        <w:t>(b) Other corrosion morphology on the pipe wall</w:t>
      </w:r>
    </w:p>
    <w:p w14:paraId="41BD4E1C">
      <w:pPr>
        <w:pStyle w:val="16"/>
        <w:spacing w:before="31" w:after="31"/>
        <w:ind w:firstLine="482"/>
        <w:rPr>
          <w:b/>
          <w:bCs/>
          <w:szCs w:val="24"/>
        </w:rPr>
      </w:pPr>
      <w:r>
        <w:rPr>
          <w:b/>
          <w:bCs/>
          <w:szCs w:val="24"/>
        </w:rPr>
        <w:t>Figure 5-5.1 Macroscopic corrosion morphology of the inner wall</w:t>
      </w:r>
    </w:p>
    <w:p w14:paraId="0C7AE508">
      <w:pPr>
        <w:pStyle w:val="16"/>
        <w:spacing w:before="31" w:after="31"/>
        <w:ind w:firstLine="480"/>
        <w:rPr>
          <w:szCs w:val="24"/>
        </w:rPr>
      </w:pPr>
      <w:r>
        <w:rPr>
          <w:szCs w:val="24"/>
        </w:rPr>
        <w:t>Figure 5-5.2a indicates that pitting relies on inclusions to develop longitudinally, forming a regular chain-like development path. A corrosion film is formed between the corrosion product and the base material, with a serrated interface.</w:t>
      </w:r>
    </w:p>
    <w:p w14:paraId="5F9ED602">
      <w:pPr>
        <w:pStyle w:val="16"/>
        <w:spacing w:before="31" w:after="31"/>
        <w:ind w:firstLine="480"/>
        <w:rPr>
          <w:szCs w:val="24"/>
        </w:rPr>
      </w:pPr>
      <w:r>
        <w:rPr>
          <w:szCs w:val="24"/>
        </w:rPr>
        <w:t>Figure 5-5.2b shows that near the perforation, non-metallic inclusions are present near the inner wall surface, with some areas containing inclusions of grade three or higher. However, the number of inclusions in the central part of the wall thickness decreases. On the entire corroded surface, inclusions gather within a range of 0.5 to 1 mm near the material boundary, and the closer to the inner surface of the injection pipe, the more severe the banded structure (Figure 5-5.3a). The structure in the middle of the wall thickness is normal tempered martensite (Figure 5-5.3b).</w:t>
      </w:r>
    </w:p>
    <w:p w14:paraId="665AE829">
      <w:pPr>
        <w:pStyle w:val="16"/>
        <w:spacing w:before="31" w:after="31"/>
        <w:ind w:firstLine="482"/>
        <w:jc w:val="center"/>
        <w:rPr>
          <w:b/>
          <w:bCs/>
          <w:szCs w:val="24"/>
        </w:rPr>
      </w:pPr>
      <w:r>
        <w:rPr>
          <w:b/>
          <w:bCs/>
          <w:szCs w:val="24"/>
        </w:rPr>
        <w:t>(a) Near inner wall banded structure (100X)</w:t>
      </w:r>
    </w:p>
    <w:p w14:paraId="5A9B7038">
      <w:pPr>
        <w:pStyle w:val="16"/>
        <w:spacing w:before="31" w:after="31"/>
        <w:ind w:firstLine="482"/>
        <w:jc w:val="center"/>
        <w:rPr>
          <w:b/>
          <w:bCs/>
          <w:szCs w:val="24"/>
        </w:rPr>
      </w:pPr>
      <w:r>
        <w:rPr>
          <w:b/>
          <w:bCs/>
          <w:szCs w:val="24"/>
        </w:rPr>
        <w:t>(b) Central tempered martensite structure (400X)</w:t>
      </w:r>
    </w:p>
    <w:p w14:paraId="182CFBF9">
      <w:pPr>
        <w:pStyle w:val="16"/>
        <w:spacing w:before="31" w:after="31"/>
        <w:ind w:firstLine="482"/>
        <w:jc w:val="center"/>
        <w:rPr>
          <w:b/>
          <w:bCs/>
          <w:szCs w:val="24"/>
        </w:rPr>
      </w:pPr>
      <w:r>
        <w:rPr>
          <w:b/>
          <w:bCs/>
          <w:szCs w:val="24"/>
        </w:rPr>
        <w:t>Figure 5-5.3 Internal morphology</w:t>
      </w:r>
    </w:p>
    <w:p w14:paraId="5FA15EA8">
      <w:pPr>
        <w:pStyle w:val="16"/>
        <w:spacing w:before="31" w:after="31"/>
        <w:ind w:firstLine="482"/>
        <w:jc w:val="center"/>
        <w:rPr>
          <w:b/>
          <w:bCs/>
          <w:szCs w:val="24"/>
        </w:rPr>
      </w:pPr>
      <w:r>
        <w:rPr>
          <w:b/>
          <w:bCs/>
          <w:szCs w:val="24"/>
        </w:rPr>
        <w:t>(a) Inner wall (200X)</w:t>
      </w:r>
    </w:p>
    <w:p w14:paraId="79D277F6">
      <w:pPr>
        <w:pStyle w:val="16"/>
        <w:spacing w:before="31" w:after="31"/>
        <w:ind w:firstLine="482"/>
        <w:jc w:val="center"/>
        <w:rPr>
          <w:b/>
          <w:bCs/>
          <w:szCs w:val="24"/>
        </w:rPr>
      </w:pPr>
      <w:r>
        <w:rPr>
          <w:b/>
          <w:bCs/>
          <w:szCs w:val="24"/>
        </w:rPr>
        <w:t>(b) Inclusions (50X)</w:t>
      </w:r>
    </w:p>
    <w:p w14:paraId="1A51114E">
      <w:pPr>
        <w:pStyle w:val="16"/>
        <w:spacing w:before="31" w:after="31"/>
        <w:ind w:firstLine="482"/>
        <w:jc w:val="center"/>
        <w:rPr>
          <w:b/>
          <w:bCs/>
          <w:szCs w:val="24"/>
        </w:rPr>
      </w:pPr>
      <w:r>
        <w:rPr>
          <w:b/>
          <w:bCs/>
          <w:szCs w:val="24"/>
        </w:rPr>
        <w:t>Figure 5-5.4 Discontinuous nitrided layer on the cross-section of the pipe wall (400X)</w:t>
      </w:r>
    </w:p>
    <w:p w14:paraId="33119768">
      <w:pPr>
        <w:pStyle w:val="16"/>
        <w:spacing w:before="31" w:after="31"/>
        <w:ind w:firstLine="480"/>
        <w:rPr>
          <w:szCs w:val="24"/>
        </w:rPr>
      </w:pPr>
    </w:p>
    <w:p w14:paraId="44EA41DB">
      <w:pPr>
        <w:pStyle w:val="16"/>
        <w:spacing w:before="31" w:after="31"/>
        <w:ind w:firstLine="0" w:firstLineChars="0"/>
        <w:rPr>
          <w:szCs w:val="24"/>
        </w:rPr>
      </w:pPr>
      <w:r>
        <w:rPr>
          <w:szCs w:val="24"/>
        </w:rPr>
        <w:t>(6) Failure Analysis</w:t>
      </w:r>
    </w:p>
    <w:p w14:paraId="69ED3690">
      <w:pPr>
        <w:pStyle w:val="16"/>
        <w:spacing w:before="31" w:after="31"/>
        <w:ind w:firstLine="480"/>
        <w:rPr>
          <w:szCs w:val="24"/>
        </w:rPr>
      </w:pPr>
      <w:r>
        <w:rPr>
          <w:szCs w:val="24"/>
        </w:rPr>
        <w:t>The outermost layer of corrosion products is an adherent surface attachment, presenting a muddy pattern that is easily detached with slight force. Through X-ray diffraction analysis, the products are identified as Fe3O4 (magnetite) and FeOOH (goethite).</w:t>
      </w:r>
    </w:p>
    <w:p w14:paraId="715122B6">
      <w:pPr>
        <w:pStyle w:val="16"/>
        <w:spacing w:before="31" w:after="31"/>
        <w:ind w:firstLine="480"/>
        <w:rPr>
          <w:szCs w:val="24"/>
        </w:rPr>
      </w:pPr>
      <w:r>
        <w:rPr>
          <w:szCs w:val="24"/>
        </w:rPr>
        <w:t>The corrosion forms in the failed water injection pipe are mainly localized pitting and crevice corrosion, exhibiting a macroscopic appearance of terraces and petal-like structures. The water quality inside the water injection pipe is weakly alkaline and contains a significant amount of chloride ions, free oxygen, and carbon dioxide. Initially, metal surfaces form pitting corrosion pits due to galvanic corrosion, and the corrosion products generate an interface film. As corrosion progresses and the medium flows, local thinning or rupture of the interface film occurs, exacerbating sub-film corrosion. During the process of film destruction and repair, the corrosion rate fluctuates, resulting in corrosion products resembling terraces and petals. Filiform crevice corrosion is mainly composed of an active head and a tail containing corrosion products, with the head predominantly composed of ferrous ions and the tail concentrating trivalent iron ions.</w:t>
      </w:r>
    </w:p>
    <w:p w14:paraId="309B9393">
      <w:pPr>
        <w:pStyle w:val="16"/>
        <w:spacing w:before="31" w:after="31"/>
        <w:ind w:firstLine="480"/>
        <w:rPr>
          <w:szCs w:val="24"/>
        </w:rPr>
      </w:pPr>
      <w:r>
        <w:rPr>
          <w:szCs w:val="24"/>
        </w:rPr>
        <w:t>Non-metallic inclusions on the inner wall of the pipe, especially sulfide inclusions, easily form microcells with the matrix steel. MnS inclusions are good conductors of electricity and can polarize to the potential of steel passivation. Thermodynamically, sulfide inclusions at the potential of steel passivation tend to dissolve. After the dissolution of sulfide inclusions, a pure metal surface is exposed. When an acidic solution forms in the microarea near the sulfide inclusions, corrosion occurs on the exposed metal surface, resulting in corrosion pits. Due to the differences in the electrochemical properties between inclusions and the surrounding metal, as well as the localized stress concentration formed by inclusions, they often become the preferred paths for corrosion development, even directly expanding to the surroundings relying on the inclusions.</w:t>
      </w:r>
    </w:p>
    <w:p w14:paraId="53968992">
      <w:pPr>
        <w:pStyle w:val="16"/>
        <w:spacing w:before="31" w:after="31"/>
        <w:ind w:firstLine="480"/>
        <w:rPr>
          <w:szCs w:val="24"/>
        </w:rPr>
      </w:pPr>
      <w:r>
        <w:rPr>
          <w:szCs w:val="24"/>
        </w:rPr>
        <w:t>There is also a banded structure present from the surface to approximately 1.5mm on the inner wall. The formation of banded structure is generally believed to be due to the segregation of solute elements (such as Mn) during the solidification of steel. The compositionally segregated region is stretched and extended during the rolling process, forming a banded distribution. During cooling after rolling, the local phase transformation temperature Ar3 of the low manganese region is relatively high, initially forming ferrite and causing further enrichment of carbon and manganese in the segregated region, ultimately forming a banded structure of ferrite/pearlite. In a corrosive environment, the electrode potential of ferrite is more negative than that of pearlite. The rapid corrosion of ferrite on the steel surface and the appearance of gaps lead to the formation of strongly self-catalytic corrosion couples or blocked cells between different regions, triggering and exacerbating localized corrosion. The banded structure makes the base material more sensitive to corrosion in a CO2-containing medium, easily inducing and intensifying localized corrosion.</w:t>
      </w:r>
    </w:p>
    <w:p w14:paraId="19EF8A37">
      <w:pPr>
        <w:pStyle w:val="16"/>
        <w:spacing w:before="31" w:after="31"/>
        <w:ind w:firstLine="480"/>
        <w:rPr>
          <w:szCs w:val="24"/>
        </w:rPr>
      </w:pPr>
      <w:r>
        <w:rPr>
          <w:szCs w:val="24"/>
        </w:rPr>
        <w:t>Although the metallographic structure in the middle of the pipe wall is a normal tempered martensite structure, the inclusions enriched on the inner surface of the water injection pipe and the rough surface state make it easy to cause a too thin or even missing nitrided layer during the nitriding process of the water injection pipe, leading to leakage points. Under the action of free oxygen, oxygen absorption corrosion reactions occur, and the corrosion products Fe3O4 and FeOOH are loose and porous substances. Their adhesion to the matrix is weak and cannot provide protection. Oxygen corrosion can continue unabated, leading to early perforation of the water injection pipe.</w:t>
      </w:r>
    </w:p>
    <w:p w14:paraId="31A90825">
      <w:pPr>
        <w:pStyle w:val="16"/>
        <w:spacing w:before="31" w:after="31"/>
        <w:ind w:firstLine="0" w:firstLineChars="0"/>
        <w:rPr>
          <w:szCs w:val="24"/>
        </w:rPr>
      </w:pPr>
      <w:r>
        <w:rPr>
          <w:szCs w:val="24"/>
        </w:rPr>
        <w:t>(7) Impact and Harm Caused</w:t>
      </w:r>
    </w:p>
    <w:p w14:paraId="76CD4B7D">
      <w:pPr>
        <w:pStyle w:val="16"/>
        <w:spacing w:before="31" w:after="31"/>
        <w:ind w:firstLine="420" w:firstLineChars="0"/>
        <w:rPr>
          <w:rFonts w:hint="eastAsia"/>
          <w:szCs w:val="24"/>
        </w:rPr>
      </w:pPr>
      <w:r>
        <w:rPr>
          <w:szCs w:val="24"/>
        </w:rPr>
        <w:t>Null</w:t>
      </w:r>
    </w:p>
    <w:p w14:paraId="3A63D671">
      <w:pPr>
        <w:pStyle w:val="16"/>
        <w:spacing w:before="31" w:after="31"/>
        <w:ind w:firstLine="0" w:firstLineChars="0"/>
        <w:rPr>
          <w:szCs w:val="24"/>
        </w:rPr>
      </w:pPr>
      <w:r>
        <w:rPr>
          <w:szCs w:val="24"/>
        </w:rPr>
        <w:t>(8) Conclusions and Improvement Measures</w:t>
      </w:r>
    </w:p>
    <w:p w14:paraId="232689AA">
      <w:pPr>
        <w:pStyle w:val="16"/>
        <w:spacing w:before="31" w:after="31"/>
        <w:ind w:firstLine="480"/>
        <w:rPr>
          <w:szCs w:val="24"/>
        </w:rPr>
      </w:pPr>
      <w:r>
        <w:rPr>
          <w:szCs w:val="24"/>
        </w:rPr>
        <w:t>(a) The failure of the water injection pipe is due to oxygen corrosion perforation. The main reasons are the presence of severe non-metallic inclusions and banded structure in the near inner wall material of the water injection pipe. The rough inner surface weakens the continuity of the nitrided layer on the inner wall of the water injection pipe, reducing its protective effect.</w:t>
      </w:r>
    </w:p>
    <w:p w14:paraId="21B6880D">
      <w:pPr>
        <w:pStyle w:val="16"/>
        <w:spacing w:before="31" w:after="31"/>
        <w:ind w:firstLine="480"/>
        <w:rPr>
          <w:szCs w:val="24"/>
        </w:rPr>
      </w:pPr>
      <w:r>
        <w:rPr>
          <w:szCs w:val="24"/>
        </w:rPr>
        <w:t>(b) The high mineralization of the water quality inside the water injection pipe, containing a large amount of Cl-, free oxygen, and carbon dioxide, jointly promotes the initiation and development of localized corrosion on the inner wall of the water injection pipe. These factors are external causes of the corrosion perforation of the water injection pipe.</w:t>
      </w:r>
    </w:p>
    <w:p w14:paraId="5C193B68">
      <w:pPr>
        <w:pStyle w:val="16"/>
        <w:spacing w:before="31" w:after="31"/>
        <w:ind w:firstLine="480"/>
        <w:rPr>
          <w:szCs w:val="24"/>
        </w:rPr>
      </w:pPr>
    </w:p>
    <w:p w14:paraId="4F08FC4B">
      <w:pPr>
        <w:pStyle w:val="16"/>
        <w:spacing w:before="31" w:after="31"/>
        <w:ind w:firstLine="0" w:firstLineChars="0"/>
        <w:rPr>
          <w:b/>
          <w:bCs/>
          <w:szCs w:val="24"/>
        </w:rPr>
      </w:pPr>
      <w:r>
        <w:rPr>
          <w:b/>
          <w:bCs/>
          <w:szCs w:val="24"/>
        </w:rPr>
        <w:t>5.2.6 Case 5-6 Analysis of Cracking Failure in Oil Drilling Bit</w:t>
      </w:r>
    </w:p>
    <w:p w14:paraId="26C39839">
      <w:pPr>
        <w:pStyle w:val="16"/>
        <w:spacing w:before="31" w:after="31"/>
        <w:ind w:firstLine="0" w:firstLineChars="0"/>
        <w:rPr>
          <w:szCs w:val="24"/>
        </w:rPr>
      </w:pPr>
      <w:r>
        <w:rPr>
          <w:szCs w:val="24"/>
        </w:rPr>
        <w:t>(1) Case Name</w:t>
      </w:r>
    </w:p>
    <w:p w14:paraId="38B3876B">
      <w:pPr>
        <w:pStyle w:val="16"/>
        <w:spacing w:before="31" w:after="31"/>
        <w:ind w:firstLine="480"/>
        <w:rPr>
          <w:szCs w:val="24"/>
        </w:rPr>
      </w:pPr>
      <w:r>
        <w:rPr>
          <w:szCs w:val="24"/>
        </w:rPr>
        <w:t>Analysis of Cracking Failure in Oil Drilling Bit [8]</w:t>
      </w:r>
    </w:p>
    <w:p w14:paraId="04512DA2">
      <w:pPr>
        <w:pStyle w:val="16"/>
        <w:spacing w:before="31" w:after="31"/>
        <w:ind w:firstLine="0" w:firstLineChars="0"/>
        <w:rPr>
          <w:szCs w:val="24"/>
        </w:rPr>
      </w:pPr>
      <w:r>
        <w:rPr>
          <w:szCs w:val="24"/>
        </w:rPr>
        <w:t>(2) Description of Failure Process</w:t>
      </w:r>
    </w:p>
    <w:p w14:paraId="7196B74E">
      <w:pPr>
        <w:pStyle w:val="16"/>
        <w:spacing w:before="31" w:after="31"/>
        <w:ind w:firstLine="480"/>
        <w:rPr>
          <w:szCs w:val="24"/>
        </w:rPr>
      </w:pPr>
      <w:r>
        <w:rPr>
          <w:szCs w:val="24"/>
        </w:rPr>
        <w:t>A petroleum drilling bit with a diameter of Φ159 mm experienced cracking during use</w:t>
      </w:r>
    </w:p>
    <w:p w14:paraId="0558F787">
      <w:pPr>
        <w:pStyle w:val="16"/>
        <w:spacing w:before="31" w:after="31"/>
        <w:ind w:firstLine="0" w:firstLineChars="0"/>
        <w:rPr>
          <w:szCs w:val="24"/>
        </w:rPr>
      </w:pPr>
      <w:r>
        <w:rPr>
          <w:szCs w:val="24"/>
        </w:rPr>
        <w:t>(3) Service Environment:</w:t>
      </w:r>
    </w:p>
    <w:p w14:paraId="411CBB21">
      <w:pPr>
        <w:pStyle w:val="16"/>
        <w:spacing w:before="31" w:after="31"/>
        <w:ind w:firstLine="420" w:firstLineChars="0"/>
        <w:rPr>
          <w:szCs w:val="24"/>
        </w:rPr>
      </w:pPr>
      <w:r>
        <w:rPr>
          <w:szCs w:val="24"/>
        </w:rPr>
        <w:t>Null</w:t>
      </w:r>
    </w:p>
    <w:p w14:paraId="751CFEFF">
      <w:pPr>
        <w:pStyle w:val="16"/>
        <w:spacing w:before="31" w:after="31"/>
        <w:ind w:firstLine="0" w:firstLineChars="0"/>
        <w:rPr>
          <w:szCs w:val="24"/>
        </w:rPr>
      </w:pPr>
      <w:r>
        <w:rPr>
          <w:szCs w:val="24"/>
        </w:rPr>
        <w:t>(4) Failed Component and Material</w:t>
      </w:r>
    </w:p>
    <w:p w14:paraId="746F665C">
      <w:pPr>
        <w:pStyle w:val="16"/>
        <w:spacing w:before="31" w:after="31"/>
        <w:ind w:firstLine="480"/>
        <w:rPr>
          <w:szCs w:val="24"/>
        </w:rPr>
      </w:pPr>
      <w:r>
        <w:rPr>
          <w:szCs w:val="24"/>
        </w:rPr>
        <w:t>Chemical composition analysis of the failed drilling bit is presented in Table 5-9, and the mechanical properties test results are shown in Table 5-10. Both results indicate compliance with the requirements of GB/T222-1984 and GB/T228-2002 for composition and mechanical performance, respectively.</w:t>
      </w:r>
    </w:p>
    <w:p w14:paraId="70B6BCA6">
      <w:pPr>
        <w:pStyle w:val="16"/>
        <w:spacing w:before="31" w:after="31"/>
        <w:ind w:firstLine="480"/>
        <w:rPr>
          <w:szCs w:val="24"/>
        </w:rPr>
      </w:pPr>
    </w:p>
    <w:p w14:paraId="2D70156E">
      <w:pPr>
        <w:pStyle w:val="16"/>
        <w:spacing w:before="31" w:after="31"/>
        <w:ind w:firstLine="482"/>
        <w:jc w:val="center"/>
        <w:rPr>
          <w:b/>
          <w:bCs/>
          <w:szCs w:val="24"/>
        </w:rPr>
      </w:pPr>
      <w:r>
        <w:rPr>
          <w:b/>
          <w:bCs/>
          <w:szCs w:val="24"/>
        </w:rPr>
        <w:t>Table 5-9 Chemical Composition of the Failed Drilling Bit</w:t>
      </w:r>
    </w:p>
    <w:tbl>
      <w:tblPr>
        <w:tblStyle w:val="9"/>
        <w:tblW w:w="847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02"/>
        <w:gridCol w:w="1109"/>
        <w:gridCol w:w="1065"/>
        <w:gridCol w:w="892"/>
        <w:gridCol w:w="834"/>
        <w:gridCol w:w="1065"/>
        <w:gridCol w:w="1065"/>
        <w:gridCol w:w="1140"/>
      </w:tblGrid>
      <w:tr w14:paraId="364A5B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2" w:type="dxa"/>
            <w:tcBorders>
              <w:top w:val="single" w:color="auto" w:sz="12" w:space="0"/>
              <w:left w:val="nil"/>
              <w:bottom w:val="single" w:color="auto" w:sz="12" w:space="0"/>
              <w:right w:val="nil"/>
            </w:tcBorders>
            <w:vAlign w:val="center"/>
          </w:tcPr>
          <w:p w14:paraId="02B3579E">
            <w:pPr>
              <w:pStyle w:val="16"/>
              <w:spacing w:before="31" w:after="31"/>
              <w:ind w:firstLine="0" w:firstLineChars="0"/>
              <w:jc w:val="center"/>
              <w:rPr>
                <w:rFonts w:cs="Times New Roman"/>
                <w:sz w:val="21"/>
                <w:szCs w:val="21"/>
              </w:rPr>
            </w:pPr>
            <w:r>
              <w:rPr>
                <w:szCs w:val="24"/>
              </w:rPr>
              <w:t>Elemen</w:t>
            </w:r>
          </w:p>
        </w:tc>
        <w:tc>
          <w:tcPr>
            <w:tcW w:w="1109" w:type="dxa"/>
            <w:tcBorders>
              <w:top w:val="single" w:color="auto" w:sz="12" w:space="0"/>
              <w:left w:val="nil"/>
              <w:bottom w:val="single" w:color="auto" w:sz="12" w:space="0"/>
              <w:right w:val="nil"/>
            </w:tcBorders>
            <w:vAlign w:val="center"/>
          </w:tcPr>
          <w:p w14:paraId="35350671">
            <w:pPr>
              <w:pStyle w:val="16"/>
              <w:spacing w:before="31" w:after="31"/>
              <w:ind w:firstLine="0" w:firstLineChars="0"/>
              <w:jc w:val="center"/>
              <w:rPr>
                <w:rFonts w:cs="Times New Roman"/>
                <w:sz w:val="21"/>
                <w:szCs w:val="21"/>
              </w:rPr>
            </w:pPr>
            <w:r>
              <w:rPr>
                <w:rFonts w:cs="Times New Roman"/>
                <w:sz w:val="21"/>
                <w:szCs w:val="21"/>
              </w:rPr>
              <w:t>C</w:t>
            </w:r>
          </w:p>
        </w:tc>
        <w:tc>
          <w:tcPr>
            <w:tcW w:w="1065" w:type="dxa"/>
            <w:tcBorders>
              <w:top w:val="single" w:color="auto" w:sz="12" w:space="0"/>
              <w:left w:val="nil"/>
              <w:bottom w:val="single" w:color="auto" w:sz="12" w:space="0"/>
              <w:right w:val="nil"/>
            </w:tcBorders>
            <w:vAlign w:val="center"/>
          </w:tcPr>
          <w:p w14:paraId="4E44EB4F">
            <w:pPr>
              <w:pStyle w:val="16"/>
              <w:spacing w:before="31" w:after="31"/>
              <w:ind w:firstLine="0" w:firstLineChars="0"/>
              <w:jc w:val="center"/>
              <w:rPr>
                <w:rFonts w:cs="Times New Roman"/>
                <w:sz w:val="21"/>
                <w:szCs w:val="21"/>
              </w:rPr>
            </w:pPr>
            <w:r>
              <w:rPr>
                <w:rFonts w:cs="Times New Roman"/>
                <w:sz w:val="21"/>
                <w:szCs w:val="21"/>
              </w:rPr>
              <w:t>Mn</w:t>
            </w:r>
          </w:p>
        </w:tc>
        <w:tc>
          <w:tcPr>
            <w:tcW w:w="892" w:type="dxa"/>
            <w:tcBorders>
              <w:top w:val="single" w:color="auto" w:sz="12" w:space="0"/>
              <w:left w:val="nil"/>
              <w:bottom w:val="single" w:color="auto" w:sz="12" w:space="0"/>
              <w:right w:val="nil"/>
            </w:tcBorders>
            <w:vAlign w:val="center"/>
          </w:tcPr>
          <w:p w14:paraId="4504277A">
            <w:pPr>
              <w:pStyle w:val="16"/>
              <w:spacing w:before="31" w:after="31"/>
              <w:ind w:firstLine="0" w:firstLineChars="0"/>
              <w:jc w:val="center"/>
              <w:rPr>
                <w:rFonts w:cs="Times New Roman"/>
                <w:sz w:val="21"/>
                <w:szCs w:val="21"/>
              </w:rPr>
            </w:pPr>
            <w:r>
              <w:rPr>
                <w:rFonts w:cs="Times New Roman"/>
                <w:sz w:val="21"/>
                <w:szCs w:val="21"/>
              </w:rPr>
              <w:t>S</w:t>
            </w:r>
          </w:p>
        </w:tc>
        <w:tc>
          <w:tcPr>
            <w:tcW w:w="834" w:type="dxa"/>
            <w:tcBorders>
              <w:top w:val="single" w:color="auto" w:sz="12" w:space="0"/>
              <w:left w:val="nil"/>
              <w:bottom w:val="single" w:color="auto" w:sz="12" w:space="0"/>
              <w:right w:val="nil"/>
            </w:tcBorders>
            <w:vAlign w:val="center"/>
          </w:tcPr>
          <w:p w14:paraId="4B6B5986">
            <w:pPr>
              <w:pStyle w:val="16"/>
              <w:spacing w:before="31" w:after="31"/>
              <w:ind w:firstLine="0" w:firstLineChars="0"/>
              <w:jc w:val="center"/>
              <w:rPr>
                <w:rFonts w:cs="Times New Roman"/>
                <w:sz w:val="21"/>
                <w:szCs w:val="21"/>
              </w:rPr>
            </w:pPr>
            <w:r>
              <w:rPr>
                <w:rFonts w:cs="Times New Roman"/>
                <w:sz w:val="21"/>
                <w:szCs w:val="21"/>
              </w:rPr>
              <w:t>P</w:t>
            </w:r>
          </w:p>
        </w:tc>
        <w:tc>
          <w:tcPr>
            <w:tcW w:w="1065" w:type="dxa"/>
            <w:tcBorders>
              <w:top w:val="single" w:color="auto" w:sz="12" w:space="0"/>
              <w:left w:val="nil"/>
              <w:bottom w:val="single" w:color="auto" w:sz="12" w:space="0"/>
              <w:right w:val="nil"/>
            </w:tcBorders>
            <w:vAlign w:val="center"/>
          </w:tcPr>
          <w:p w14:paraId="70563A3A">
            <w:pPr>
              <w:pStyle w:val="16"/>
              <w:spacing w:before="31" w:after="31"/>
              <w:ind w:firstLine="0" w:firstLineChars="0"/>
              <w:jc w:val="center"/>
              <w:rPr>
                <w:rFonts w:cs="Times New Roman"/>
                <w:sz w:val="21"/>
                <w:szCs w:val="21"/>
              </w:rPr>
            </w:pPr>
            <w:r>
              <w:rPr>
                <w:rFonts w:cs="Times New Roman"/>
                <w:sz w:val="21"/>
                <w:szCs w:val="21"/>
              </w:rPr>
              <w:t>SI</w:t>
            </w:r>
          </w:p>
        </w:tc>
        <w:tc>
          <w:tcPr>
            <w:tcW w:w="1065" w:type="dxa"/>
            <w:tcBorders>
              <w:top w:val="single" w:color="auto" w:sz="12" w:space="0"/>
              <w:left w:val="nil"/>
              <w:bottom w:val="single" w:color="auto" w:sz="12" w:space="0"/>
              <w:right w:val="nil"/>
            </w:tcBorders>
            <w:vAlign w:val="center"/>
          </w:tcPr>
          <w:p w14:paraId="3704A707">
            <w:pPr>
              <w:pStyle w:val="16"/>
              <w:spacing w:before="31" w:after="31"/>
              <w:ind w:firstLine="0" w:firstLineChars="0"/>
              <w:jc w:val="center"/>
              <w:rPr>
                <w:rFonts w:cs="Times New Roman"/>
                <w:sz w:val="21"/>
                <w:szCs w:val="21"/>
              </w:rPr>
            </w:pPr>
            <w:r>
              <w:rPr>
                <w:rFonts w:cs="Times New Roman"/>
                <w:sz w:val="21"/>
                <w:szCs w:val="21"/>
              </w:rPr>
              <w:t>Cr</w:t>
            </w:r>
          </w:p>
        </w:tc>
        <w:tc>
          <w:tcPr>
            <w:tcW w:w="1140" w:type="dxa"/>
            <w:tcBorders>
              <w:top w:val="single" w:color="auto" w:sz="12" w:space="0"/>
              <w:left w:val="nil"/>
              <w:bottom w:val="single" w:color="auto" w:sz="12" w:space="0"/>
              <w:right w:val="nil"/>
            </w:tcBorders>
          </w:tcPr>
          <w:p w14:paraId="48887702">
            <w:pPr>
              <w:pStyle w:val="16"/>
              <w:spacing w:before="31" w:after="31"/>
              <w:ind w:firstLine="0" w:firstLineChars="0"/>
              <w:jc w:val="center"/>
              <w:rPr>
                <w:rFonts w:cs="Times New Roman"/>
                <w:sz w:val="21"/>
                <w:szCs w:val="21"/>
              </w:rPr>
            </w:pPr>
            <w:r>
              <w:rPr>
                <w:rFonts w:cs="Times New Roman"/>
                <w:sz w:val="21"/>
                <w:szCs w:val="21"/>
              </w:rPr>
              <w:t>Mo</w:t>
            </w:r>
          </w:p>
        </w:tc>
      </w:tr>
      <w:tr w14:paraId="3B88E0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2" w:type="dxa"/>
            <w:tcBorders>
              <w:top w:val="single" w:color="auto" w:sz="12" w:space="0"/>
              <w:left w:val="nil"/>
              <w:bottom w:val="nil"/>
              <w:right w:val="nil"/>
            </w:tcBorders>
            <w:vAlign w:val="center"/>
          </w:tcPr>
          <w:p w14:paraId="5DB0734E">
            <w:pPr>
              <w:pStyle w:val="16"/>
              <w:spacing w:before="31" w:after="31"/>
              <w:ind w:firstLine="0" w:firstLineChars="0"/>
              <w:jc w:val="center"/>
              <w:rPr>
                <w:rFonts w:cs="Times New Roman"/>
                <w:sz w:val="21"/>
                <w:szCs w:val="21"/>
              </w:rPr>
            </w:pPr>
            <w:r>
              <w:rPr>
                <w:szCs w:val="24"/>
              </w:rPr>
              <w:t>Measured Value |</w:t>
            </w:r>
          </w:p>
        </w:tc>
        <w:tc>
          <w:tcPr>
            <w:tcW w:w="1109" w:type="dxa"/>
            <w:tcBorders>
              <w:top w:val="single" w:color="auto" w:sz="12" w:space="0"/>
              <w:left w:val="nil"/>
              <w:bottom w:val="nil"/>
              <w:right w:val="nil"/>
            </w:tcBorders>
            <w:vAlign w:val="center"/>
          </w:tcPr>
          <w:p w14:paraId="55445B24">
            <w:pPr>
              <w:pStyle w:val="16"/>
              <w:spacing w:before="31" w:after="31"/>
              <w:ind w:firstLine="0" w:firstLineChars="0"/>
              <w:jc w:val="center"/>
              <w:rPr>
                <w:rFonts w:cs="Times New Roman"/>
                <w:sz w:val="21"/>
                <w:szCs w:val="21"/>
              </w:rPr>
            </w:pPr>
            <w:r>
              <w:rPr>
                <w:rFonts w:cs="Times New Roman"/>
                <w:sz w:val="21"/>
                <w:szCs w:val="21"/>
              </w:rPr>
              <w:t>0.45</w:t>
            </w:r>
          </w:p>
        </w:tc>
        <w:tc>
          <w:tcPr>
            <w:tcW w:w="1065" w:type="dxa"/>
            <w:tcBorders>
              <w:top w:val="single" w:color="auto" w:sz="12" w:space="0"/>
              <w:left w:val="nil"/>
              <w:bottom w:val="nil"/>
              <w:right w:val="nil"/>
            </w:tcBorders>
            <w:vAlign w:val="center"/>
          </w:tcPr>
          <w:p w14:paraId="3A694BD2">
            <w:pPr>
              <w:pStyle w:val="16"/>
              <w:spacing w:before="31" w:after="31"/>
              <w:ind w:firstLine="0" w:firstLineChars="0"/>
              <w:jc w:val="center"/>
              <w:rPr>
                <w:rFonts w:cs="Times New Roman"/>
                <w:sz w:val="21"/>
                <w:szCs w:val="21"/>
              </w:rPr>
            </w:pPr>
            <w:r>
              <w:rPr>
                <w:rFonts w:cs="Times New Roman"/>
                <w:sz w:val="21"/>
                <w:szCs w:val="21"/>
              </w:rPr>
              <w:t>1.11</w:t>
            </w:r>
          </w:p>
        </w:tc>
        <w:tc>
          <w:tcPr>
            <w:tcW w:w="892" w:type="dxa"/>
            <w:tcBorders>
              <w:top w:val="single" w:color="auto" w:sz="12" w:space="0"/>
              <w:left w:val="nil"/>
              <w:bottom w:val="nil"/>
              <w:right w:val="nil"/>
            </w:tcBorders>
            <w:vAlign w:val="center"/>
          </w:tcPr>
          <w:p w14:paraId="748E85A9">
            <w:pPr>
              <w:pStyle w:val="16"/>
              <w:spacing w:before="31" w:after="31"/>
              <w:ind w:firstLine="0" w:firstLineChars="0"/>
              <w:jc w:val="center"/>
              <w:rPr>
                <w:rFonts w:cs="Times New Roman"/>
                <w:sz w:val="21"/>
                <w:szCs w:val="21"/>
              </w:rPr>
            </w:pPr>
            <w:r>
              <w:rPr>
                <w:rFonts w:cs="Times New Roman"/>
                <w:sz w:val="21"/>
                <w:szCs w:val="21"/>
              </w:rPr>
              <w:t>0.002</w:t>
            </w:r>
          </w:p>
        </w:tc>
        <w:tc>
          <w:tcPr>
            <w:tcW w:w="834" w:type="dxa"/>
            <w:tcBorders>
              <w:top w:val="single" w:color="auto" w:sz="12" w:space="0"/>
              <w:left w:val="nil"/>
              <w:bottom w:val="nil"/>
              <w:right w:val="nil"/>
            </w:tcBorders>
            <w:vAlign w:val="center"/>
          </w:tcPr>
          <w:p w14:paraId="1AAAA473">
            <w:pPr>
              <w:pStyle w:val="16"/>
              <w:spacing w:before="31" w:after="31"/>
              <w:ind w:firstLine="0" w:firstLineChars="0"/>
              <w:jc w:val="center"/>
              <w:rPr>
                <w:rFonts w:cs="Times New Roman"/>
                <w:sz w:val="21"/>
                <w:szCs w:val="21"/>
              </w:rPr>
            </w:pPr>
            <w:r>
              <w:rPr>
                <w:rFonts w:cs="Times New Roman"/>
                <w:sz w:val="21"/>
                <w:szCs w:val="21"/>
              </w:rPr>
              <w:t>0.010</w:t>
            </w:r>
          </w:p>
        </w:tc>
        <w:tc>
          <w:tcPr>
            <w:tcW w:w="1065" w:type="dxa"/>
            <w:tcBorders>
              <w:top w:val="single" w:color="auto" w:sz="12" w:space="0"/>
              <w:left w:val="nil"/>
              <w:bottom w:val="nil"/>
              <w:right w:val="nil"/>
            </w:tcBorders>
            <w:vAlign w:val="center"/>
          </w:tcPr>
          <w:p w14:paraId="1F739397">
            <w:pPr>
              <w:pStyle w:val="16"/>
              <w:spacing w:before="31" w:after="31"/>
              <w:ind w:firstLine="0" w:firstLineChars="0"/>
              <w:jc w:val="center"/>
              <w:rPr>
                <w:rFonts w:cs="Times New Roman"/>
                <w:sz w:val="21"/>
                <w:szCs w:val="21"/>
              </w:rPr>
            </w:pPr>
            <w:r>
              <w:rPr>
                <w:rFonts w:cs="Times New Roman"/>
                <w:sz w:val="21"/>
                <w:szCs w:val="21"/>
              </w:rPr>
              <w:t>0.22</w:t>
            </w:r>
          </w:p>
        </w:tc>
        <w:tc>
          <w:tcPr>
            <w:tcW w:w="1065" w:type="dxa"/>
            <w:tcBorders>
              <w:top w:val="single" w:color="auto" w:sz="12" w:space="0"/>
              <w:left w:val="nil"/>
              <w:bottom w:val="nil"/>
              <w:right w:val="nil"/>
            </w:tcBorders>
            <w:vAlign w:val="center"/>
          </w:tcPr>
          <w:p w14:paraId="2FF1CA18">
            <w:pPr>
              <w:pStyle w:val="16"/>
              <w:spacing w:before="31" w:after="31"/>
              <w:ind w:firstLine="0" w:firstLineChars="0"/>
              <w:jc w:val="center"/>
              <w:rPr>
                <w:rFonts w:cs="Times New Roman"/>
                <w:sz w:val="21"/>
                <w:szCs w:val="21"/>
              </w:rPr>
            </w:pPr>
            <w:r>
              <w:rPr>
                <w:rFonts w:cs="Times New Roman"/>
                <w:sz w:val="21"/>
                <w:szCs w:val="21"/>
              </w:rPr>
              <w:t>1.13</w:t>
            </w:r>
          </w:p>
        </w:tc>
        <w:tc>
          <w:tcPr>
            <w:tcW w:w="1140" w:type="dxa"/>
            <w:tcBorders>
              <w:top w:val="single" w:color="auto" w:sz="12" w:space="0"/>
              <w:left w:val="nil"/>
              <w:bottom w:val="nil"/>
              <w:right w:val="nil"/>
            </w:tcBorders>
          </w:tcPr>
          <w:p w14:paraId="69E2C412">
            <w:pPr>
              <w:pStyle w:val="16"/>
              <w:spacing w:before="31" w:after="31"/>
              <w:ind w:firstLine="0" w:firstLineChars="0"/>
              <w:jc w:val="center"/>
              <w:rPr>
                <w:rFonts w:cs="Times New Roman"/>
                <w:sz w:val="21"/>
                <w:szCs w:val="21"/>
              </w:rPr>
            </w:pPr>
            <w:r>
              <w:rPr>
                <w:rFonts w:cs="Times New Roman"/>
                <w:sz w:val="21"/>
                <w:szCs w:val="21"/>
              </w:rPr>
              <w:t>0.17</w:t>
            </w:r>
          </w:p>
        </w:tc>
      </w:tr>
      <w:tr w14:paraId="5837B9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2" w:type="dxa"/>
            <w:tcBorders>
              <w:top w:val="nil"/>
              <w:left w:val="nil"/>
              <w:bottom w:val="single" w:color="auto" w:sz="12" w:space="0"/>
              <w:right w:val="nil"/>
            </w:tcBorders>
            <w:vAlign w:val="center"/>
          </w:tcPr>
          <w:p w14:paraId="0D090435">
            <w:pPr>
              <w:pStyle w:val="16"/>
              <w:spacing w:before="31" w:after="31"/>
              <w:ind w:firstLine="0" w:firstLineChars="0"/>
              <w:jc w:val="center"/>
              <w:rPr>
                <w:rFonts w:cs="Times New Roman"/>
                <w:sz w:val="21"/>
                <w:szCs w:val="21"/>
              </w:rPr>
            </w:pPr>
            <w:r>
              <w:rPr>
                <w:rFonts w:hint="eastAsia"/>
                <w:szCs w:val="24"/>
              </w:rPr>
              <w:t>Standard Value</w:t>
            </w:r>
          </w:p>
        </w:tc>
        <w:tc>
          <w:tcPr>
            <w:tcW w:w="1109" w:type="dxa"/>
            <w:tcBorders>
              <w:top w:val="nil"/>
              <w:left w:val="nil"/>
              <w:bottom w:val="single" w:color="auto" w:sz="12" w:space="0"/>
              <w:right w:val="nil"/>
            </w:tcBorders>
            <w:vAlign w:val="center"/>
          </w:tcPr>
          <w:p w14:paraId="2DF32DC9">
            <w:pPr>
              <w:pStyle w:val="16"/>
              <w:spacing w:before="31" w:after="31"/>
              <w:ind w:firstLine="0" w:firstLineChars="0"/>
              <w:jc w:val="center"/>
              <w:rPr>
                <w:rFonts w:cs="Times New Roman"/>
                <w:sz w:val="21"/>
                <w:szCs w:val="21"/>
              </w:rPr>
            </w:pPr>
            <w:r>
              <w:rPr>
                <w:rFonts w:cs="Times New Roman"/>
                <w:sz w:val="21"/>
                <w:szCs w:val="21"/>
              </w:rPr>
              <w:t>0.42~0.48</w:t>
            </w:r>
          </w:p>
        </w:tc>
        <w:tc>
          <w:tcPr>
            <w:tcW w:w="1065" w:type="dxa"/>
            <w:tcBorders>
              <w:top w:val="nil"/>
              <w:left w:val="nil"/>
              <w:bottom w:val="single" w:color="auto" w:sz="12" w:space="0"/>
              <w:right w:val="nil"/>
            </w:tcBorders>
            <w:vAlign w:val="center"/>
          </w:tcPr>
          <w:p w14:paraId="65304B43">
            <w:pPr>
              <w:pStyle w:val="16"/>
              <w:spacing w:before="31" w:after="31"/>
              <w:ind w:firstLine="0" w:firstLineChars="0"/>
              <w:jc w:val="center"/>
              <w:rPr>
                <w:rFonts w:cs="Times New Roman"/>
                <w:sz w:val="21"/>
                <w:szCs w:val="21"/>
              </w:rPr>
            </w:pPr>
            <w:r>
              <w:rPr>
                <w:rFonts w:cs="Times New Roman"/>
                <w:sz w:val="21"/>
                <w:szCs w:val="21"/>
              </w:rPr>
              <w:t>0.75~1.20</w:t>
            </w:r>
          </w:p>
        </w:tc>
        <w:tc>
          <w:tcPr>
            <w:tcW w:w="892" w:type="dxa"/>
            <w:tcBorders>
              <w:top w:val="nil"/>
              <w:left w:val="nil"/>
              <w:bottom w:val="single" w:color="auto" w:sz="12" w:space="0"/>
              <w:right w:val="nil"/>
            </w:tcBorders>
            <w:vAlign w:val="center"/>
          </w:tcPr>
          <w:p w14:paraId="08C441FA">
            <w:pPr>
              <w:pStyle w:val="16"/>
              <w:spacing w:before="31" w:after="31"/>
              <w:ind w:firstLine="0" w:firstLineChars="0"/>
              <w:jc w:val="center"/>
              <w:rPr>
                <w:rFonts w:cs="Times New Roman"/>
                <w:sz w:val="21"/>
                <w:szCs w:val="21"/>
              </w:rPr>
            </w:pPr>
            <w:r>
              <w:rPr>
                <w:rFonts w:cs="Times New Roman"/>
                <w:sz w:val="21"/>
                <w:szCs w:val="21"/>
              </w:rPr>
              <w:t>≤0.030</w:t>
            </w:r>
          </w:p>
        </w:tc>
        <w:tc>
          <w:tcPr>
            <w:tcW w:w="834" w:type="dxa"/>
            <w:tcBorders>
              <w:top w:val="nil"/>
              <w:left w:val="nil"/>
              <w:bottom w:val="single" w:color="auto" w:sz="12" w:space="0"/>
              <w:right w:val="nil"/>
            </w:tcBorders>
            <w:vAlign w:val="center"/>
          </w:tcPr>
          <w:p w14:paraId="6C23D83A">
            <w:pPr>
              <w:pStyle w:val="16"/>
              <w:spacing w:before="31" w:after="31"/>
              <w:ind w:firstLine="0" w:firstLineChars="0"/>
              <w:jc w:val="center"/>
              <w:rPr>
                <w:rFonts w:cs="Times New Roman"/>
                <w:sz w:val="21"/>
                <w:szCs w:val="21"/>
              </w:rPr>
            </w:pPr>
            <w:r>
              <w:rPr>
                <w:rFonts w:cs="Times New Roman"/>
                <w:sz w:val="21"/>
                <w:szCs w:val="21"/>
              </w:rPr>
              <w:t>≤0.030</w:t>
            </w:r>
          </w:p>
        </w:tc>
        <w:tc>
          <w:tcPr>
            <w:tcW w:w="1065" w:type="dxa"/>
            <w:tcBorders>
              <w:top w:val="nil"/>
              <w:left w:val="nil"/>
              <w:bottom w:val="single" w:color="auto" w:sz="12" w:space="0"/>
              <w:right w:val="nil"/>
            </w:tcBorders>
            <w:vAlign w:val="center"/>
          </w:tcPr>
          <w:p w14:paraId="362B230E">
            <w:pPr>
              <w:pStyle w:val="16"/>
              <w:spacing w:before="31" w:after="31"/>
              <w:ind w:firstLine="0" w:firstLineChars="0"/>
              <w:jc w:val="center"/>
              <w:rPr>
                <w:rFonts w:cs="Times New Roman"/>
                <w:sz w:val="21"/>
                <w:szCs w:val="21"/>
              </w:rPr>
            </w:pPr>
            <w:r>
              <w:rPr>
                <w:rFonts w:cs="Times New Roman"/>
                <w:sz w:val="21"/>
                <w:szCs w:val="21"/>
              </w:rPr>
              <w:t>0.15~0.30</w:t>
            </w:r>
          </w:p>
        </w:tc>
        <w:tc>
          <w:tcPr>
            <w:tcW w:w="1065" w:type="dxa"/>
            <w:tcBorders>
              <w:top w:val="nil"/>
              <w:left w:val="nil"/>
              <w:bottom w:val="single" w:color="auto" w:sz="12" w:space="0"/>
              <w:right w:val="nil"/>
            </w:tcBorders>
            <w:vAlign w:val="center"/>
          </w:tcPr>
          <w:p w14:paraId="2FEC9ED6">
            <w:pPr>
              <w:pStyle w:val="16"/>
              <w:spacing w:before="31" w:after="31"/>
              <w:ind w:firstLine="0" w:firstLineChars="0"/>
              <w:jc w:val="center"/>
              <w:rPr>
                <w:rFonts w:cs="Times New Roman"/>
                <w:sz w:val="21"/>
                <w:szCs w:val="21"/>
              </w:rPr>
            </w:pPr>
            <w:r>
              <w:rPr>
                <w:rFonts w:cs="Times New Roman"/>
                <w:sz w:val="21"/>
                <w:szCs w:val="21"/>
              </w:rPr>
              <w:t>0.75~1.20</w:t>
            </w:r>
          </w:p>
        </w:tc>
        <w:tc>
          <w:tcPr>
            <w:tcW w:w="1140" w:type="dxa"/>
            <w:tcBorders>
              <w:top w:val="nil"/>
              <w:left w:val="nil"/>
              <w:bottom w:val="single" w:color="auto" w:sz="12" w:space="0"/>
              <w:right w:val="nil"/>
            </w:tcBorders>
          </w:tcPr>
          <w:p w14:paraId="23964DE9">
            <w:pPr>
              <w:pStyle w:val="16"/>
              <w:spacing w:before="31" w:after="31"/>
              <w:ind w:firstLine="0" w:firstLineChars="0"/>
              <w:jc w:val="center"/>
              <w:rPr>
                <w:rFonts w:cs="Times New Roman"/>
                <w:sz w:val="21"/>
                <w:szCs w:val="21"/>
              </w:rPr>
            </w:pPr>
            <w:r>
              <w:rPr>
                <w:rFonts w:cs="Times New Roman"/>
                <w:sz w:val="21"/>
                <w:szCs w:val="21"/>
              </w:rPr>
              <w:t>0.15~0.25</w:t>
            </w:r>
          </w:p>
        </w:tc>
      </w:tr>
    </w:tbl>
    <w:p w14:paraId="2AEA1447">
      <w:pPr>
        <w:pStyle w:val="16"/>
        <w:spacing w:before="31" w:after="31"/>
        <w:ind w:firstLine="480"/>
        <w:rPr>
          <w:szCs w:val="24"/>
        </w:rPr>
      </w:pPr>
    </w:p>
    <w:p w14:paraId="7118A60E">
      <w:pPr>
        <w:pStyle w:val="16"/>
        <w:spacing w:before="31" w:after="31"/>
        <w:ind w:firstLine="482"/>
        <w:jc w:val="center"/>
        <w:rPr>
          <w:b/>
          <w:bCs/>
          <w:szCs w:val="24"/>
        </w:rPr>
      </w:pPr>
      <w:r>
        <w:rPr>
          <w:b/>
          <w:bCs/>
          <w:szCs w:val="24"/>
        </w:rPr>
        <w:t>Table 5-10 Mechanical Properties Test Results of the Failed Drilling Bit</w:t>
      </w:r>
    </w:p>
    <w:p w14:paraId="390B330A">
      <w:pPr>
        <w:autoSpaceDE w:val="0"/>
        <w:autoSpaceDN w:val="0"/>
        <w:adjustRightInd w:val="0"/>
        <w:spacing w:before="468" w:beforeLines="150" w:after="156" w:afterLines="50" w:line="312" w:lineRule="auto"/>
        <w:jc w:val="center"/>
        <w:rPr>
          <w:rFonts w:eastAsia="黑体" w:cs="宋体"/>
          <w:b/>
          <w:szCs w:val="20"/>
        </w:rPr>
      </w:pPr>
      <w:r>
        <w:rPr>
          <w:rFonts w:hint="eastAsia" w:eastAsia="黑体" w:cs="宋体"/>
          <w:b/>
          <w:szCs w:val="20"/>
        </w:rPr>
        <w:t>表</w:t>
      </w:r>
      <w:r>
        <w:rPr>
          <w:rFonts w:eastAsia="黑体" w:cs="宋体"/>
          <w:b/>
          <w:szCs w:val="20"/>
        </w:rPr>
        <w:t xml:space="preserve">5-10 </w:t>
      </w:r>
      <w:r>
        <w:rPr>
          <w:rFonts w:hint="eastAsia" w:eastAsia="黑体" w:cs="宋体"/>
          <w:b/>
          <w:szCs w:val="20"/>
        </w:rPr>
        <w:t>钻铤失效部位试样的力学性能测试结果</w:t>
      </w:r>
    </w:p>
    <w:tbl>
      <w:tblPr>
        <w:tblStyle w:val="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0"/>
        <w:gridCol w:w="1630"/>
        <w:gridCol w:w="1631"/>
        <w:gridCol w:w="1631"/>
        <w:gridCol w:w="1631"/>
      </w:tblGrid>
      <w:tr w14:paraId="611528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30" w:type="dxa"/>
            <w:tcBorders>
              <w:top w:val="single" w:color="auto" w:sz="12" w:space="0"/>
              <w:left w:val="nil"/>
              <w:bottom w:val="single" w:color="auto" w:sz="12" w:space="0"/>
              <w:right w:val="nil"/>
            </w:tcBorders>
            <w:vAlign w:val="center"/>
          </w:tcPr>
          <w:p w14:paraId="7DB1D349">
            <w:pPr>
              <w:autoSpaceDE w:val="0"/>
              <w:autoSpaceDN w:val="0"/>
              <w:adjustRightInd w:val="0"/>
              <w:spacing w:line="360" w:lineRule="auto"/>
              <w:jc w:val="center"/>
              <w:rPr>
                <w:rFonts w:cs="宋体"/>
                <w:kern w:val="0"/>
                <w:szCs w:val="21"/>
              </w:rPr>
            </w:pPr>
            <w:r>
              <w:t>Sample Number</w:t>
            </w:r>
          </w:p>
        </w:tc>
        <w:tc>
          <w:tcPr>
            <w:tcW w:w="1630" w:type="dxa"/>
            <w:tcBorders>
              <w:top w:val="single" w:color="auto" w:sz="12" w:space="0"/>
              <w:left w:val="nil"/>
              <w:bottom w:val="single" w:color="auto" w:sz="12" w:space="0"/>
              <w:right w:val="nil"/>
            </w:tcBorders>
            <w:vAlign w:val="center"/>
          </w:tcPr>
          <w:p w14:paraId="6387CC7E">
            <w:pPr>
              <w:autoSpaceDE w:val="0"/>
              <w:autoSpaceDN w:val="0"/>
              <w:adjustRightInd w:val="0"/>
              <w:spacing w:line="360" w:lineRule="auto"/>
              <w:jc w:val="center"/>
              <w:rPr>
                <w:rFonts w:cs="宋体"/>
                <w:kern w:val="0"/>
                <w:szCs w:val="21"/>
              </w:rPr>
            </w:pPr>
            <w:r>
              <w:t>Yield Strength Rct/Mpa</w:t>
            </w:r>
          </w:p>
        </w:tc>
        <w:tc>
          <w:tcPr>
            <w:tcW w:w="1631" w:type="dxa"/>
            <w:tcBorders>
              <w:top w:val="single" w:color="auto" w:sz="12" w:space="0"/>
              <w:left w:val="nil"/>
              <w:bottom w:val="single" w:color="auto" w:sz="12" w:space="0"/>
              <w:right w:val="nil"/>
            </w:tcBorders>
            <w:vAlign w:val="center"/>
          </w:tcPr>
          <w:p w14:paraId="6BBCDE94">
            <w:pPr>
              <w:autoSpaceDE w:val="0"/>
              <w:autoSpaceDN w:val="0"/>
              <w:adjustRightInd w:val="0"/>
              <w:spacing w:line="360" w:lineRule="auto"/>
              <w:jc w:val="center"/>
              <w:rPr>
                <w:rFonts w:cs="宋体"/>
                <w:kern w:val="0"/>
                <w:szCs w:val="21"/>
              </w:rPr>
            </w:pPr>
            <w:r>
              <w:t>Tensile Strength Rm/Mpa</w:t>
            </w:r>
          </w:p>
        </w:tc>
        <w:tc>
          <w:tcPr>
            <w:tcW w:w="1631" w:type="dxa"/>
            <w:tcBorders>
              <w:top w:val="single" w:color="auto" w:sz="12" w:space="0"/>
              <w:left w:val="nil"/>
              <w:bottom w:val="single" w:color="auto" w:sz="12" w:space="0"/>
              <w:right w:val="nil"/>
            </w:tcBorders>
            <w:vAlign w:val="center"/>
          </w:tcPr>
          <w:p w14:paraId="5700380D">
            <w:pPr>
              <w:autoSpaceDE w:val="0"/>
              <w:autoSpaceDN w:val="0"/>
              <w:adjustRightInd w:val="0"/>
              <w:spacing w:line="360" w:lineRule="auto"/>
              <w:jc w:val="center"/>
              <w:rPr>
                <w:rFonts w:cs="宋体"/>
                <w:kern w:val="0"/>
                <w:szCs w:val="21"/>
              </w:rPr>
            </w:pPr>
            <w:r>
              <w:t>Elongation A/%</w:t>
            </w:r>
          </w:p>
        </w:tc>
        <w:tc>
          <w:tcPr>
            <w:tcW w:w="1631" w:type="dxa"/>
            <w:tcBorders>
              <w:top w:val="single" w:color="auto" w:sz="12" w:space="0"/>
              <w:left w:val="nil"/>
              <w:bottom w:val="single" w:color="auto" w:sz="12" w:space="0"/>
              <w:right w:val="nil"/>
            </w:tcBorders>
            <w:vAlign w:val="center"/>
          </w:tcPr>
          <w:p w14:paraId="3E731C65">
            <w:pPr>
              <w:autoSpaceDE w:val="0"/>
              <w:autoSpaceDN w:val="0"/>
              <w:adjustRightInd w:val="0"/>
              <w:spacing w:line="360" w:lineRule="auto"/>
              <w:jc w:val="center"/>
              <w:rPr>
                <w:rFonts w:cs="宋体"/>
                <w:kern w:val="0"/>
                <w:szCs w:val="21"/>
              </w:rPr>
            </w:pPr>
            <w:r>
              <w:t>Contraction Z/%</w:t>
            </w:r>
          </w:p>
        </w:tc>
      </w:tr>
      <w:tr w14:paraId="408DB0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30" w:type="dxa"/>
            <w:tcBorders>
              <w:top w:val="single" w:color="auto" w:sz="12" w:space="0"/>
              <w:left w:val="nil"/>
              <w:bottom w:val="nil"/>
              <w:right w:val="nil"/>
            </w:tcBorders>
          </w:tcPr>
          <w:p w14:paraId="03AF7BDC">
            <w:pPr>
              <w:autoSpaceDE w:val="0"/>
              <w:autoSpaceDN w:val="0"/>
              <w:adjustRightInd w:val="0"/>
              <w:spacing w:line="360" w:lineRule="auto"/>
              <w:jc w:val="center"/>
              <w:rPr>
                <w:rFonts w:cs="宋体"/>
                <w:kern w:val="0"/>
                <w:szCs w:val="21"/>
              </w:rPr>
            </w:pPr>
            <w:r>
              <w:rPr>
                <w:rFonts w:cs="宋体"/>
                <w:kern w:val="0"/>
                <w:szCs w:val="21"/>
              </w:rPr>
              <w:t>1</w:t>
            </w:r>
          </w:p>
        </w:tc>
        <w:tc>
          <w:tcPr>
            <w:tcW w:w="1630" w:type="dxa"/>
            <w:tcBorders>
              <w:top w:val="single" w:color="auto" w:sz="12" w:space="0"/>
              <w:left w:val="nil"/>
              <w:bottom w:val="nil"/>
              <w:right w:val="nil"/>
            </w:tcBorders>
          </w:tcPr>
          <w:p w14:paraId="7E2F4C4F">
            <w:pPr>
              <w:autoSpaceDE w:val="0"/>
              <w:autoSpaceDN w:val="0"/>
              <w:adjustRightInd w:val="0"/>
              <w:spacing w:line="360" w:lineRule="auto"/>
              <w:jc w:val="center"/>
              <w:rPr>
                <w:rFonts w:cs="宋体"/>
                <w:kern w:val="0"/>
                <w:szCs w:val="21"/>
              </w:rPr>
            </w:pPr>
            <w:r>
              <w:rPr>
                <w:rFonts w:cs="宋体"/>
                <w:kern w:val="0"/>
                <w:szCs w:val="21"/>
              </w:rPr>
              <w:t>925</w:t>
            </w:r>
          </w:p>
        </w:tc>
        <w:tc>
          <w:tcPr>
            <w:tcW w:w="1631" w:type="dxa"/>
            <w:tcBorders>
              <w:top w:val="single" w:color="auto" w:sz="12" w:space="0"/>
              <w:left w:val="nil"/>
              <w:bottom w:val="nil"/>
              <w:right w:val="nil"/>
            </w:tcBorders>
          </w:tcPr>
          <w:p w14:paraId="778F6509">
            <w:pPr>
              <w:autoSpaceDE w:val="0"/>
              <w:autoSpaceDN w:val="0"/>
              <w:adjustRightInd w:val="0"/>
              <w:spacing w:line="360" w:lineRule="auto"/>
              <w:jc w:val="center"/>
              <w:rPr>
                <w:rFonts w:cs="宋体"/>
                <w:kern w:val="0"/>
                <w:szCs w:val="21"/>
              </w:rPr>
            </w:pPr>
            <w:r>
              <w:rPr>
                <w:rFonts w:cs="宋体"/>
                <w:kern w:val="0"/>
                <w:szCs w:val="21"/>
              </w:rPr>
              <w:t>1040</w:t>
            </w:r>
          </w:p>
        </w:tc>
        <w:tc>
          <w:tcPr>
            <w:tcW w:w="1631" w:type="dxa"/>
            <w:tcBorders>
              <w:top w:val="single" w:color="auto" w:sz="12" w:space="0"/>
              <w:left w:val="nil"/>
              <w:bottom w:val="nil"/>
              <w:right w:val="nil"/>
            </w:tcBorders>
          </w:tcPr>
          <w:p w14:paraId="532411AA">
            <w:pPr>
              <w:autoSpaceDE w:val="0"/>
              <w:autoSpaceDN w:val="0"/>
              <w:adjustRightInd w:val="0"/>
              <w:spacing w:line="360" w:lineRule="auto"/>
              <w:jc w:val="center"/>
              <w:rPr>
                <w:rFonts w:cs="宋体"/>
                <w:kern w:val="0"/>
                <w:szCs w:val="21"/>
              </w:rPr>
            </w:pPr>
            <w:r>
              <w:rPr>
                <w:rFonts w:cs="宋体"/>
                <w:kern w:val="0"/>
                <w:szCs w:val="21"/>
              </w:rPr>
              <w:t>16.5</w:t>
            </w:r>
          </w:p>
        </w:tc>
        <w:tc>
          <w:tcPr>
            <w:tcW w:w="1631" w:type="dxa"/>
            <w:tcBorders>
              <w:top w:val="single" w:color="auto" w:sz="12" w:space="0"/>
              <w:left w:val="nil"/>
              <w:bottom w:val="nil"/>
              <w:right w:val="nil"/>
            </w:tcBorders>
          </w:tcPr>
          <w:p w14:paraId="29C6894A">
            <w:pPr>
              <w:autoSpaceDE w:val="0"/>
              <w:autoSpaceDN w:val="0"/>
              <w:adjustRightInd w:val="0"/>
              <w:spacing w:line="360" w:lineRule="auto"/>
              <w:jc w:val="center"/>
              <w:rPr>
                <w:rFonts w:cs="宋体"/>
                <w:kern w:val="0"/>
                <w:szCs w:val="21"/>
              </w:rPr>
            </w:pPr>
            <w:r>
              <w:rPr>
                <w:rFonts w:cs="宋体"/>
                <w:kern w:val="0"/>
                <w:szCs w:val="21"/>
              </w:rPr>
              <w:t>57.0</w:t>
            </w:r>
          </w:p>
        </w:tc>
      </w:tr>
      <w:tr w14:paraId="59824C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30" w:type="dxa"/>
            <w:tcBorders>
              <w:top w:val="nil"/>
              <w:left w:val="nil"/>
              <w:bottom w:val="nil"/>
              <w:right w:val="nil"/>
            </w:tcBorders>
          </w:tcPr>
          <w:p w14:paraId="16AF7553">
            <w:pPr>
              <w:autoSpaceDE w:val="0"/>
              <w:autoSpaceDN w:val="0"/>
              <w:adjustRightInd w:val="0"/>
              <w:spacing w:line="360" w:lineRule="auto"/>
              <w:jc w:val="center"/>
              <w:rPr>
                <w:rFonts w:cs="宋体"/>
                <w:kern w:val="0"/>
                <w:szCs w:val="21"/>
              </w:rPr>
            </w:pPr>
            <w:r>
              <w:rPr>
                <w:rFonts w:cs="宋体"/>
                <w:kern w:val="0"/>
                <w:szCs w:val="21"/>
              </w:rPr>
              <w:t>2</w:t>
            </w:r>
          </w:p>
        </w:tc>
        <w:tc>
          <w:tcPr>
            <w:tcW w:w="1630" w:type="dxa"/>
            <w:tcBorders>
              <w:top w:val="nil"/>
              <w:left w:val="nil"/>
              <w:bottom w:val="nil"/>
              <w:right w:val="nil"/>
            </w:tcBorders>
          </w:tcPr>
          <w:p w14:paraId="64349E1C">
            <w:pPr>
              <w:autoSpaceDE w:val="0"/>
              <w:autoSpaceDN w:val="0"/>
              <w:adjustRightInd w:val="0"/>
              <w:spacing w:line="360" w:lineRule="auto"/>
              <w:jc w:val="center"/>
              <w:rPr>
                <w:rFonts w:cs="宋体"/>
                <w:kern w:val="0"/>
                <w:szCs w:val="21"/>
              </w:rPr>
            </w:pPr>
            <w:r>
              <w:rPr>
                <w:rFonts w:cs="宋体"/>
                <w:kern w:val="0"/>
                <w:szCs w:val="21"/>
              </w:rPr>
              <w:t>925</w:t>
            </w:r>
          </w:p>
        </w:tc>
        <w:tc>
          <w:tcPr>
            <w:tcW w:w="1631" w:type="dxa"/>
            <w:tcBorders>
              <w:top w:val="nil"/>
              <w:left w:val="nil"/>
              <w:bottom w:val="nil"/>
              <w:right w:val="nil"/>
            </w:tcBorders>
          </w:tcPr>
          <w:p w14:paraId="51A27169">
            <w:pPr>
              <w:autoSpaceDE w:val="0"/>
              <w:autoSpaceDN w:val="0"/>
              <w:adjustRightInd w:val="0"/>
              <w:spacing w:line="360" w:lineRule="auto"/>
              <w:jc w:val="center"/>
              <w:rPr>
                <w:rFonts w:cs="宋体"/>
                <w:kern w:val="0"/>
                <w:szCs w:val="21"/>
              </w:rPr>
            </w:pPr>
            <w:r>
              <w:rPr>
                <w:rFonts w:cs="宋体"/>
                <w:kern w:val="0"/>
                <w:szCs w:val="21"/>
              </w:rPr>
              <w:t>1040</w:t>
            </w:r>
          </w:p>
        </w:tc>
        <w:tc>
          <w:tcPr>
            <w:tcW w:w="1631" w:type="dxa"/>
            <w:tcBorders>
              <w:top w:val="nil"/>
              <w:left w:val="nil"/>
              <w:bottom w:val="nil"/>
              <w:right w:val="nil"/>
            </w:tcBorders>
          </w:tcPr>
          <w:p w14:paraId="5FE5AFCB">
            <w:pPr>
              <w:autoSpaceDE w:val="0"/>
              <w:autoSpaceDN w:val="0"/>
              <w:adjustRightInd w:val="0"/>
              <w:spacing w:line="360" w:lineRule="auto"/>
              <w:jc w:val="center"/>
              <w:rPr>
                <w:rFonts w:cs="宋体"/>
                <w:kern w:val="0"/>
                <w:szCs w:val="21"/>
              </w:rPr>
            </w:pPr>
            <w:r>
              <w:rPr>
                <w:rFonts w:cs="宋体"/>
                <w:kern w:val="0"/>
                <w:szCs w:val="21"/>
              </w:rPr>
              <w:t>16.0</w:t>
            </w:r>
          </w:p>
        </w:tc>
        <w:tc>
          <w:tcPr>
            <w:tcW w:w="1631" w:type="dxa"/>
            <w:tcBorders>
              <w:top w:val="nil"/>
              <w:left w:val="nil"/>
              <w:bottom w:val="nil"/>
              <w:right w:val="nil"/>
            </w:tcBorders>
          </w:tcPr>
          <w:p w14:paraId="0995F91C">
            <w:pPr>
              <w:autoSpaceDE w:val="0"/>
              <w:autoSpaceDN w:val="0"/>
              <w:adjustRightInd w:val="0"/>
              <w:spacing w:line="360" w:lineRule="auto"/>
              <w:jc w:val="center"/>
              <w:rPr>
                <w:rFonts w:cs="宋体"/>
                <w:kern w:val="0"/>
                <w:szCs w:val="21"/>
              </w:rPr>
            </w:pPr>
            <w:r>
              <w:rPr>
                <w:rFonts w:cs="宋体"/>
                <w:kern w:val="0"/>
                <w:szCs w:val="21"/>
              </w:rPr>
              <w:t>57.0</w:t>
            </w:r>
          </w:p>
        </w:tc>
      </w:tr>
      <w:tr w14:paraId="793D04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30" w:type="dxa"/>
            <w:tcBorders>
              <w:top w:val="nil"/>
              <w:left w:val="nil"/>
              <w:bottom w:val="single" w:color="auto" w:sz="12" w:space="0"/>
              <w:right w:val="nil"/>
            </w:tcBorders>
          </w:tcPr>
          <w:p w14:paraId="76ABDD31">
            <w:pPr>
              <w:autoSpaceDE w:val="0"/>
              <w:autoSpaceDN w:val="0"/>
              <w:adjustRightInd w:val="0"/>
              <w:spacing w:line="360" w:lineRule="auto"/>
              <w:jc w:val="center"/>
              <w:rPr>
                <w:rFonts w:cs="宋体"/>
                <w:kern w:val="0"/>
                <w:szCs w:val="21"/>
              </w:rPr>
            </w:pPr>
            <w:r>
              <w:rPr>
                <w:rFonts w:cs="宋体"/>
                <w:kern w:val="0"/>
                <w:szCs w:val="21"/>
              </w:rPr>
              <w:t>3</w:t>
            </w:r>
          </w:p>
        </w:tc>
        <w:tc>
          <w:tcPr>
            <w:tcW w:w="1630" w:type="dxa"/>
            <w:tcBorders>
              <w:top w:val="nil"/>
              <w:left w:val="nil"/>
              <w:bottom w:val="single" w:color="auto" w:sz="12" w:space="0"/>
              <w:right w:val="nil"/>
            </w:tcBorders>
          </w:tcPr>
          <w:p w14:paraId="3A519E88">
            <w:pPr>
              <w:autoSpaceDE w:val="0"/>
              <w:autoSpaceDN w:val="0"/>
              <w:adjustRightInd w:val="0"/>
              <w:spacing w:line="360" w:lineRule="auto"/>
              <w:jc w:val="center"/>
              <w:rPr>
                <w:rFonts w:cs="宋体"/>
                <w:kern w:val="0"/>
                <w:szCs w:val="21"/>
              </w:rPr>
            </w:pPr>
            <w:r>
              <w:rPr>
                <w:rFonts w:cs="宋体"/>
                <w:kern w:val="0"/>
                <w:szCs w:val="21"/>
              </w:rPr>
              <w:t>930</w:t>
            </w:r>
          </w:p>
        </w:tc>
        <w:tc>
          <w:tcPr>
            <w:tcW w:w="1631" w:type="dxa"/>
            <w:tcBorders>
              <w:top w:val="nil"/>
              <w:left w:val="nil"/>
              <w:bottom w:val="single" w:color="auto" w:sz="12" w:space="0"/>
              <w:right w:val="nil"/>
            </w:tcBorders>
          </w:tcPr>
          <w:p w14:paraId="683B9973">
            <w:pPr>
              <w:autoSpaceDE w:val="0"/>
              <w:autoSpaceDN w:val="0"/>
              <w:adjustRightInd w:val="0"/>
              <w:spacing w:line="360" w:lineRule="auto"/>
              <w:jc w:val="center"/>
              <w:rPr>
                <w:rFonts w:cs="宋体"/>
                <w:kern w:val="0"/>
                <w:szCs w:val="21"/>
              </w:rPr>
            </w:pPr>
            <w:r>
              <w:rPr>
                <w:rFonts w:cs="宋体"/>
                <w:kern w:val="0"/>
                <w:szCs w:val="21"/>
              </w:rPr>
              <w:t>1040</w:t>
            </w:r>
          </w:p>
        </w:tc>
        <w:tc>
          <w:tcPr>
            <w:tcW w:w="1631" w:type="dxa"/>
            <w:tcBorders>
              <w:top w:val="nil"/>
              <w:left w:val="nil"/>
              <w:bottom w:val="single" w:color="auto" w:sz="12" w:space="0"/>
              <w:right w:val="nil"/>
            </w:tcBorders>
          </w:tcPr>
          <w:p w14:paraId="517ACD02">
            <w:pPr>
              <w:autoSpaceDE w:val="0"/>
              <w:autoSpaceDN w:val="0"/>
              <w:adjustRightInd w:val="0"/>
              <w:spacing w:line="360" w:lineRule="auto"/>
              <w:jc w:val="center"/>
              <w:rPr>
                <w:rFonts w:cs="宋体"/>
                <w:kern w:val="0"/>
                <w:szCs w:val="21"/>
              </w:rPr>
            </w:pPr>
            <w:r>
              <w:rPr>
                <w:rFonts w:cs="宋体"/>
                <w:kern w:val="0"/>
                <w:szCs w:val="21"/>
              </w:rPr>
              <w:t>16.0</w:t>
            </w:r>
          </w:p>
        </w:tc>
        <w:tc>
          <w:tcPr>
            <w:tcW w:w="1631" w:type="dxa"/>
            <w:tcBorders>
              <w:top w:val="nil"/>
              <w:left w:val="nil"/>
              <w:bottom w:val="single" w:color="auto" w:sz="12" w:space="0"/>
              <w:right w:val="nil"/>
            </w:tcBorders>
          </w:tcPr>
          <w:p w14:paraId="6F17A5B5">
            <w:pPr>
              <w:autoSpaceDE w:val="0"/>
              <w:autoSpaceDN w:val="0"/>
              <w:adjustRightInd w:val="0"/>
              <w:spacing w:line="360" w:lineRule="auto"/>
              <w:jc w:val="center"/>
              <w:rPr>
                <w:rFonts w:cs="宋体"/>
                <w:kern w:val="0"/>
                <w:szCs w:val="21"/>
              </w:rPr>
            </w:pPr>
            <w:r>
              <w:rPr>
                <w:rFonts w:cs="宋体"/>
                <w:kern w:val="0"/>
                <w:szCs w:val="21"/>
              </w:rPr>
              <w:t>57.0</w:t>
            </w:r>
          </w:p>
        </w:tc>
      </w:tr>
    </w:tbl>
    <w:p w14:paraId="51F145E3">
      <w:pPr>
        <w:pStyle w:val="16"/>
        <w:spacing w:before="31" w:after="31"/>
        <w:ind w:firstLine="480"/>
        <w:rPr>
          <w:szCs w:val="24"/>
        </w:rPr>
      </w:pPr>
      <w:r>
        <w:rPr>
          <w:szCs w:val="24"/>
        </w:rPr>
        <w:t>The metallographic structure of the failed drilling bit is shown in Figure 5-6.1, characterized by tempered martensite with a small amount of ferrite. The evaluation of non-metallic inclusions is A0.5/B0.5/C0.5/D0.5/DS0.5, and the grain size is 6.5 levels.</w:t>
      </w:r>
    </w:p>
    <w:p w14:paraId="20CF4155">
      <w:pPr>
        <w:pStyle w:val="16"/>
        <w:spacing w:before="31" w:after="31"/>
        <w:ind w:firstLine="480"/>
        <w:rPr>
          <w:szCs w:val="24"/>
        </w:rPr>
      </w:pPr>
    </w:p>
    <w:p w14:paraId="2327583D">
      <w:pPr>
        <w:pStyle w:val="16"/>
        <w:spacing w:before="31" w:after="31"/>
        <w:ind w:firstLine="0" w:firstLineChars="0"/>
        <w:rPr>
          <w:szCs w:val="24"/>
        </w:rPr>
      </w:pPr>
      <w:r>
        <w:rPr>
          <w:szCs w:val="24"/>
        </w:rPr>
        <w:t>(5) Component Failure Morphology</w:t>
      </w:r>
    </w:p>
    <w:p w14:paraId="2A611C6B">
      <w:pPr>
        <w:pStyle w:val="16"/>
        <w:spacing w:before="31" w:after="31"/>
        <w:ind w:firstLine="480"/>
        <w:rPr>
          <w:szCs w:val="24"/>
        </w:rPr>
      </w:pPr>
      <w:r>
        <w:rPr>
          <w:szCs w:val="24"/>
        </w:rPr>
        <w:t>Clear surface cracks are visible on the outer surface of the drill rod, located 129mm away from the end face of the internal threaded joint, with a circumferential length of 146mm. The drill rod was cut open near the location of the cracks, revealing that the cracks are precisely located at the last 1-2 threads' root positions of the internal threaded joint, and there are multiple crack sources. On the longitudinal section, a distinct line where crack propagation stopped is visible (indicated by arrows). Although the fracture surface is heavily corroded, radial patterns from the inside to the outside can still be vaguely seen. The outer side of the fracture is flat, representing an instantaneous fracture zone due to external forces, as shown in Figure 5-6.2. The microscopic morphology of the fracture surface observed under a scanning electron microscope is depicted in Figure 5-6.3. The fracture originates from the root of the internal threads, displaying signs of initiation and propagation, as well as fatigue striations and secondary cracks.</w:t>
      </w:r>
    </w:p>
    <w:p w14:paraId="7E1FEE92">
      <w:pPr>
        <w:pStyle w:val="16"/>
        <w:numPr>
          <w:ilvl w:val="0"/>
          <w:numId w:val="7"/>
        </w:numPr>
        <w:spacing w:before="31" w:after="31"/>
        <w:ind w:firstLineChars="0"/>
        <w:jc w:val="center"/>
        <w:rPr>
          <w:b/>
          <w:bCs/>
          <w:szCs w:val="24"/>
        </w:rPr>
      </w:pPr>
      <w:r>
        <w:rPr>
          <w:b/>
          <w:bCs/>
          <w:szCs w:val="24"/>
        </w:rPr>
        <w:t>Cracks at the Last 1-2 Thread Root Positions</w:t>
      </w:r>
    </w:p>
    <w:p w14:paraId="6503B040">
      <w:pPr>
        <w:pStyle w:val="16"/>
        <w:numPr>
          <w:ilvl w:val="0"/>
          <w:numId w:val="7"/>
        </w:numPr>
        <w:spacing w:before="31" w:after="31"/>
        <w:ind w:firstLineChars="0"/>
        <w:jc w:val="center"/>
        <w:rPr>
          <w:b/>
          <w:bCs/>
          <w:szCs w:val="24"/>
        </w:rPr>
      </w:pPr>
      <w:r>
        <w:rPr>
          <w:b/>
          <w:bCs/>
          <w:szCs w:val="24"/>
        </w:rPr>
        <w:t>Macroscopic Morphology of the Drill Rod Fracture</w:t>
      </w:r>
    </w:p>
    <w:p w14:paraId="1B4BF23C">
      <w:pPr>
        <w:pStyle w:val="16"/>
        <w:spacing w:before="31" w:after="31"/>
        <w:ind w:left="480" w:firstLine="0" w:firstLineChars="0"/>
        <w:jc w:val="center"/>
        <w:rPr>
          <w:b/>
          <w:bCs/>
          <w:szCs w:val="24"/>
        </w:rPr>
      </w:pPr>
      <w:r>
        <w:rPr>
          <w:b/>
          <w:bCs/>
          <w:szCs w:val="24"/>
        </w:rPr>
        <w:t>Figure 5-6.2: Cross-sectional View of the Fracture</w:t>
      </w:r>
    </w:p>
    <w:p w14:paraId="2AD6711E">
      <w:pPr>
        <w:pStyle w:val="16"/>
        <w:spacing w:before="31" w:after="31"/>
        <w:ind w:left="480" w:firstLine="0" w:firstLineChars="0"/>
        <w:jc w:val="center"/>
        <w:rPr>
          <w:b/>
          <w:bCs/>
          <w:szCs w:val="24"/>
        </w:rPr>
      </w:pPr>
      <w:r>
        <w:rPr>
          <w:b/>
          <w:bCs/>
          <w:szCs w:val="24"/>
        </w:rPr>
        <w:t>Figure 5-6.3: Fracture Morphology Observed Under Scanning Electron Microscope</w:t>
      </w:r>
    </w:p>
    <w:p w14:paraId="5C14C580">
      <w:pPr>
        <w:pStyle w:val="16"/>
        <w:spacing w:before="31" w:after="31"/>
        <w:ind w:firstLine="0" w:firstLineChars="0"/>
        <w:jc w:val="left"/>
        <w:rPr>
          <w:b/>
          <w:bCs/>
          <w:szCs w:val="24"/>
        </w:rPr>
      </w:pPr>
      <w:r>
        <w:rPr>
          <w:szCs w:val="24"/>
        </w:rPr>
        <w:t>(6) Failure Analysis</w:t>
      </w:r>
    </w:p>
    <w:p w14:paraId="23E9A541">
      <w:pPr>
        <w:pStyle w:val="16"/>
        <w:spacing w:before="31" w:after="31"/>
        <w:ind w:firstLine="480"/>
        <w:jc w:val="left"/>
        <w:rPr>
          <w:rFonts w:hint="eastAsia"/>
          <w:szCs w:val="24"/>
        </w:rPr>
      </w:pPr>
      <w:r>
        <w:rPr>
          <w:rFonts w:hint="eastAsia"/>
          <w:szCs w:val="24"/>
        </w:rPr>
        <w:t>SEM observation revealed a large area of unclear fracture surfaces without distinct fatigue features. This may be attributed to: ① interference of fatigue cracks formed by multiple fatigue sources; ② corrosion and abrasion effects on the fracture during the drill's operation involving water and mud injection; ③ complex loading conditions on the drill, including torsion and tension, making fatigue features less obvious during crack propagation.</w:t>
      </w:r>
    </w:p>
    <w:p w14:paraId="1717F1CD">
      <w:pPr>
        <w:pStyle w:val="16"/>
        <w:spacing w:before="31" w:after="31"/>
        <w:ind w:firstLine="480"/>
        <w:jc w:val="left"/>
        <w:rPr>
          <w:szCs w:val="24"/>
        </w:rPr>
      </w:pPr>
      <w:r>
        <w:rPr>
          <w:szCs w:val="24"/>
        </w:rPr>
        <w:t>The chemical composition, mechanical properties, non-metallic inclusions, and grain size of the drill rod all meet relevant technical requirements.</w:t>
      </w:r>
    </w:p>
    <w:p w14:paraId="0B024366">
      <w:pPr>
        <w:pStyle w:val="16"/>
        <w:spacing w:before="31" w:after="31"/>
        <w:ind w:firstLine="480"/>
        <w:jc w:val="left"/>
        <w:rPr>
          <w:szCs w:val="24"/>
        </w:rPr>
      </w:pPr>
      <w:r>
        <w:rPr>
          <w:szCs w:val="24"/>
        </w:rPr>
        <w:t>The early fatigue damage of the drill rod is related to its structural shape and stress state. Due to the higher rigidity of the drill body compared to the joint, stress concentrates at the joint during service, especially at the root of the external threaded joint and the bottom of the internal threaded joint. The stresses are large in these areas where the internal and external threads engage and may have axial clearances, leading to reduced cross-sectional areas and making crack initiation highly likely at the root of the internal thread. Under alternating torsional stress, cracks extend and form at adjacent roots of the internal threads. The expansion of cracks and the formation of new crack sources occur simultaneously, resulting in the length of cracks on the thread's inner side being greater than on the outer side.</w:t>
      </w:r>
    </w:p>
    <w:p w14:paraId="6A500A4C">
      <w:pPr>
        <w:pStyle w:val="16"/>
        <w:spacing w:before="31" w:after="31"/>
        <w:ind w:firstLine="480"/>
        <w:jc w:val="left"/>
        <w:rPr>
          <w:szCs w:val="24"/>
        </w:rPr>
      </w:pPr>
      <w:r>
        <w:rPr>
          <w:szCs w:val="24"/>
        </w:rPr>
        <w:t>In summary, the failure of the drill rod is classified as fatigue failure, with cracks forming at the last 1-2 threads of the internal thread disappearance. This area experiences higher stress per unit area, representing a critical section of the drill rod.</w:t>
      </w:r>
    </w:p>
    <w:p w14:paraId="174755FF">
      <w:pPr>
        <w:pStyle w:val="16"/>
        <w:spacing w:before="31" w:after="31"/>
        <w:ind w:firstLine="480"/>
        <w:jc w:val="left"/>
        <w:rPr>
          <w:szCs w:val="24"/>
        </w:rPr>
      </w:pPr>
      <w:r>
        <w:rPr>
          <w:szCs w:val="24"/>
        </w:rPr>
        <w:t>From the observed failure cases, all 12 failed drill rods fractured at the last 1-2 threads of the internal threaded section. The reasons for the fracture of the internal and external threads of the drill rod can be summarized as follows:</w:t>
      </w:r>
    </w:p>
    <w:p w14:paraId="26BADBC0">
      <w:pPr>
        <w:pStyle w:val="16"/>
        <w:spacing w:before="31" w:after="31"/>
        <w:ind w:firstLine="480"/>
        <w:jc w:val="left"/>
        <w:rPr>
          <w:szCs w:val="24"/>
        </w:rPr>
      </w:pPr>
      <w:r>
        <w:rPr>
          <w:szCs w:val="24"/>
        </w:rPr>
        <w:t>(a) Geological factors: The hard and complex geological conditions make the drill prone to sticking and bouncing during drilling, leading to localized overloading and increasing the probability of fatigue failure.</w:t>
      </w:r>
    </w:p>
    <w:p w14:paraId="698D0C7F">
      <w:pPr>
        <w:pStyle w:val="16"/>
        <w:spacing w:before="31" w:after="31"/>
        <w:ind w:firstLine="480"/>
        <w:jc w:val="left"/>
        <w:rPr>
          <w:szCs w:val="24"/>
        </w:rPr>
      </w:pPr>
      <w:r>
        <w:rPr>
          <w:szCs w:val="24"/>
        </w:rPr>
        <w:t>(b) Thread structural features: The small transitional radius at the root of the drill rod thread causes stress concentration, reducing the fatigue strength of the joint. Additionally, when the threads are in a connected state, the force on the thread is concentrated mainly at the 1-2 threads at the shoulder side, with almost no load-bearing beyond the 8th thread. This is the reason why thread failures occur at the last engaged part of the thread.</w:t>
      </w:r>
    </w:p>
    <w:p w14:paraId="6325435E">
      <w:pPr>
        <w:pStyle w:val="16"/>
        <w:spacing w:before="31" w:after="31"/>
        <w:ind w:firstLine="480"/>
        <w:jc w:val="left"/>
        <w:rPr>
          <w:szCs w:val="24"/>
        </w:rPr>
      </w:pPr>
      <w:r>
        <w:rPr>
          <w:szCs w:val="24"/>
        </w:rPr>
        <w:t>(c) Bending stress: The wall thickness of the threaded part of the drill rod is smaller than that of the drill body, making the threaded connection part the weak link. Under drilling pressure, the drill rod bends first in the threaded part, especially at the 1-2 teeth of the shoulder-side thread, making it prone to crack initiation.</w:t>
      </w:r>
    </w:p>
    <w:p w14:paraId="2796682F">
      <w:pPr>
        <w:pStyle w:val="16"/>
        <w:spacing w:before="31" w:after="31"/>
        <w:ind w:firstLine="480"/>
        <w:jc w:val="left"/>
        <w:rPr>
          <w:szCs w:val="24"/>
        </w:rPr>
      </w:pPr>
      <w:r>
        <w:rPr>
          <w:szCs w:val="24"/>
        </w:rPr>
        <w:t>(d) Working condition of the drilling tool: The drill column works with both rotation and revolution, and the bending state of the drill rod also undergoes periodic changes. The threaded connection part of the drill rod is subjected to alternating "tensile-compressive" bending stress, leading to fatigue fracture failure at the thread.</w:t>
      </w:r>
    </w:p>
    <w:p w14:paraId="5027904A">
      <w:pPr>
        <w:pStyle w:val="16"/>
        <w:spacing w:before="31" w:after="31"/>
        <w:ind w:firstLine="480"/>
        <w:jc w:val="left"/>
        <w:rPr>
          <w:szCs w:val="24"/>
        </w:rPr>
      </w:pPr>
      <w:r>
        <w:rPr>
          <w:szCs w:val="24"/>
        </w:rPr>
        <w:t>(e) Influence of wellbore enlargement: When the drilling tool is subjected to bending, the wellbore confines the tool. With a smaller wellbore diameter, the bending of the drill tool is limited. However, with a larger wellbore diameter, the bending amplitude of the drill tool increases, especially in the relatively weak threaded connection part, leading to higher and more complex bending stresses.</w:t>
      </w:r>
    </w:p>
    <w:p w14:paraId="19A8CDF5">
      <w:pPr>
        <w:pStyle w:val="16"/>
        <w:spacing w:before="31" w:after="31"/>
        <w:ind w:firstLine="0" w:firstLineChars="0"/>
        <w:rPr>
          <w:szCs w:val="24"/>
        </w:rPr>
      </w:pPr>
      <w:r>
        <w:rPr>
          <w:szCs w:val="24"/>
        </w:rPr>
        <w:t>(7) Impact and Harm Caused</w:t>
      </w:r>
    </w:p>
    <w:p w14:paraId="7BF1ECEB">
      <w:pPr>
        <w:pStyle w:val="16"/>
        <w:spacing w:before="31" w:after="31"/>
        <w:ind w:firstLine="420" w:firstLineChars="0"/>
        <w:rPr>
          <w:szCs w:val="24"/>
        </w:rPr>
      </w:pPr>
      <w:r>
        <w:rPr>
          <w:szCs w:val="24"/>
        </w:rPr>
        <w:t>Null</w:t>
      </w:r>
    </w:p>
    <w:p w14:paraId="1728105F">
      <w:pPr>
        <w:pStyle w:val="16"/>
        <w:spacing w:before="31" w:after="31"/>
        <w:ind w:firstLine="0" w:firstLineChars="0"/>
        <w:jc w:val="left"/>
        <w:rPr>
          <w:szCs w:val="24"/>
        </w:rPr>
      </w:pPr>
      <w:r>
        <w:rPr>
          <w:szCs w:val="24"/>
        </w:rPr>
        <w:t>(8) Conclusion and Improvement Measures</w:t>
      </w:r>
    </w:p>
    <w:p w14:paraId="7708BEB6">
      <w:pPr>
        <w:pStyle w:val="16"/>
        <w:spacing w:before="31" w:after="31"/>
        <w:ind w:firstLine="480"/>
        <w:jc w:val="left"/>
        <w:rPr>
          <w:szCs w:val="24"/>
        </w:rPr>
      </w:pPr>
      <w:r>
        <w:rPr>
          <w:szCs w:val="24"/>
        </w:rPr>
        <w:t>The failed drill rod's chemical composition, mechanical properties, non-metallic inclusion grade, and grain size all meet relevant technical requirements. The failure of the drill rod is attributed to fatigue fracture, with fatigue cracks forming at the last 1-2 threads where the internal thread disappears.</w:t>
      </w:r>
    </w:p>
    <w:p w14:paraId="1D870B74">
      <w:pPr>
        <w:pStyle w:val="16"/>
        <w:spacing w:before="31" w:after="31"/>
        <w:ind w:firstLine="480"/>
        <w:jc w:val="left"/>
        <w:rPr>
          <w:szCs w:val="24"/>
        </w:rPr>
      </w:pPr>
      <w:r>
        <w:rPr>
          <w:szCs w:val="24"/>
        </w:rPr>
        <w:t>To prevent drill failure, considerations should be made in the following aspects:</w:t>
      </w:r>
    </w:p>
    <w:p w14:paraId="60CF2FF7">
      <w:pPr>
        <w:pStyle w:val="16"/>
        <w:spacing w:before="31" w:after="31"/>
        <w:ind w:firstLine="480"/>
        <w:jc w:val="left"/>
        <w:rPr>
          <w:szCs w:val="24"/>
        </w:rPr>
      </w:pPr>
      <w:r>
        <w:rPr>
          <w:szCs w:val="24"/>
        </w:rPr>
        <w:t>(a) Improve the structure of the drill tool based on geological conditions.</w:t>
      </w:r>
    </w:p>
    <w:p w14:paraId="076FF3DF">
      <w:pPr>
        <w:pStyle w:val="16"/>
        <w:spacing w:before="31" w:after="31"/>
        <w:ind w:firstLine="480"/>
        <w:jc w:val="left"/>
        <w:rPr>
          <w:szCs w:val="24"/>
        </w:rPr>
      </w:pPr>
      <w:r>
        <w:rPr>
          <w:szCs w:val="24"/>
        </w:rPr>
        <w:t>(b) Introduce stress dispersion grooves to improve stress distribution on threads.</w:t>
      </w:r>
    </w:p>
    <w:p w14:paraId="6CEB5D05">
      <w:pPr>
        <w:pStyle w:val="16"/>
        <w:spacing w:before="31" w:after="31"/>
        <w:ind w:firstLine="480"/>
        <w:jc w:val="left"/>
        <w:rPr>
          <w:szCs w:val="24"/>
        </w:rPr>
      </w:pPr>
      <w:r>
        <w:rPr>
          <w:szCs w:val="24"/>
        </w:rPr>
        <w:t>(c) Surface treatment of threads to enhance their strength.</w:t>
      </w:r>
    </w:p>
    <w:p w14:paraId="1C5C6CB3">
      <w:pPr>
        <w:pStyle w:val="16"/>
        <w:spacing w:before="31" w:after="31"/>
        <w:ind w:firstLine="480"/>
        <w:jc w:val="left"/>
        <w:rPr>
          <w:szCs w:val="24"/>
        </w:rPr>
      </w:pPr>
      <w:r>
        <w:rPr>
          <w:szCs w:val="24"/>
        </w:rPr>
        <w:t>(d) Strengthen the management of drill tool usage.</w:t>
      </w:r>
    </w:p>
    <w:p w14:paraId="0A91C02A">
      <w:pPr>
        <w:pStyle w:val="16"/>
        <w:spacing w:before="31" w:after="31"/>
        <w:ind w:firstLine="480"/>
        <w:jc w:val="left"/>
        <w:rPr>
          <w:szCs w:val="24"/>
        </w:rPr>
      </w:pPr>
      <w:r>
        <w:rPr>
          <w:szCs w:val="24"/>
        </w:rPr>
        <w:t>(e) Enhance ultrasonic testing to promptly detect failure issues.</w:t>
      </w:r>
    </w:p>
    <w:p w14:paraId="78BC63A2">
      <w:pPr>
        <w:pStyle w:val="16"/>
        <w:spacing w:before="31" w:after="31"/>
        <w:ind w:firstLine="0" w:firstLineChars="0"/>
        <w:jc w:val="left"/>
        <w:rPr>
          <w:b/>
          <w:bCs/>
          <w:szCs w:val="24"/>
        </w:rPr>
      </w:pPr>
      <w:r>
        <w:rPr>
          <w:b/>
          <w:bCs/>
          <w:szCs w:val="24"/>
        </w:rPr>
        <w:t>5.2.7 Case 5-7: Failure of High-Strength Anchor Rod</w:t>
      </w:r>
    </w:p>
    <w:p w14:paraId="3E526EC4">
      <w:pPr>
        <w:pStyle w:val="16"/>
        <w:spacing w:before="31" w:after="31"/>
        <w:ind w:firstLine="0" w:firstLineChars="0"/>
        <w:jc w:val="left"/>
        <w:rPr>
          <w:szCs w:val="24"/>
        </w:rPr>
      </w:pPr>
      <w:r>
        <w:rPr>
          <w:szCs w:val="24"/>
        </w:rPr>
        <w:t>(1) Case Name</w:t>
      </w:r>
    </w:p>
    <w:p w14:paraId="7B701A0F">
      <w:pPr>
        <w:pStyle w:val="16"/>
        <w:spacing w:before="31" w:after="31"/>
        <w:ind w:firstLine="480"/>
        <w:jc w:val="left"/>
        <w:rPr>
          <w:szCs w:val="24"/>
        </w:rPr>
      </w:pPr>
      <w:r>
        <w:rPr>
          <w:szCs w:val="24"/>
        </w:rPr>
        <w:t>Failure of High-Strength Anchor Rod [9]</w:t>
      </w:r>
    </w:p>
    <w:p w14:paraId="46D5CA46">
      <w:pPr>
        <w:pStyle w:val="16"/>
        <w:spacing w:before="31" w:after="31"/>
        <w:ind w:firstLine="0" w:firstLineChars="0"/>
        <w:jc w:val="left"/>
        <w:rPr>
          <w:szCs w:val="24"/>
        </w:rPr>
      </w:pPr>
      <w:r>
        <w:rPr>
          <w:szCs w:val="24"/>
        </w:rPr>
        <w:t>(2) Failure Process Description</w:t>
      </w:r>
    </w:p>
    <w:p w14:paraId="12BDC5C9">
      <w:pPr>
        <w:pStyle w:val="16"/>
        <w:spacing w:before="31" w:after="31"/>
        <w:ind w:firstLine="480"/>
        <w:jc w:val="left"/>
        <w:rPr>
          <w:szCs w:val="24"/>
        </w:rPr>
      </w:pPr>
      <w:r>
        <w:rPr>
          <w:szCs w:val="24"/>
        </w:rPr>
        <w:t>Zhaogu Mine is a newly constructed mine of Jiaozuo Coal Industry Group Company, with a design production capacity of 2.4 million t/a. It mainly exploits the II1 coal seam, which is a stable and thick coal seam with a dip angle of 2°-6°. The pseudo-roof consists mainly of sandy mudstone and mudstone, with a thickness of 0.3-0.5m, sporadically distributed, and generally caved with mining progress. The immediate roof is composed of fine and coarse-grained sandstone (largely coarse sandstone), with a thickness of 8-12m. The floor is mostly sandy mudstone and fine sandstone, with a burial depth of 410-860m for the II1 coal seam. The development drift is located in the middle of the main coal seam, advancing along the roof of the coal seam, and the roadway belongs to a high-stress soft rock roadway. After two months of using anchor cable support, the roadway exhibited varying degrees of phenomena, including roof sinking, sidewall convergence, and floor heaving. Severe occurrences were observed, especially near the intersection of the watered roof and the crosscut connecting the roadway to the development drift. There were significant roof sinking and floor heaving. Additionally, damage to the support system (anchor rods, anchor cables, metal mesh, and steel beams) was observed. The deformation of the east track drift is illustrated in Figure 5-7.1.</w:t>
      </w:r>
    </w:p>
    <w:p w14:paraId="21FD08CB">
      <w:pPr>
        <w:pStyle w:val="16"/>
        <w:spacing w:before="31" w:after="31"/>
        <w:ind w:firstLine="482"/>
        <w:jc w:val="center"/>
        <w:rPr>
          <w:b/>
          <w:bCs/>
          <w:szCs w:val="24"/>
        </w:rPr>
      </w:pPr>
      <w:r>
        <w:rPr>
          <w:b/>
          <w:bCs/>
          <w:szCs w:val="24"/>
        </w:rPr>
        <w:t>Figure 5-7.1: Section of roadway where anchor rod support failed</w:t>
      </w:r>
    </w:p>
    <w:p w14:paraId="3BB5A0C1">
      <w:pPr>
        <w:pStyle w:val="16"/>
        <w:spacing w:before="31" w:after="31"/>
        <w:ind w:firstLine="0" w:firstLineChars="0"/>
        <w:jc w:val="left"/>
        <w:rPr>
          <w:rFonts w:hint="eastAsia"/>
          <w:szCs w:val="24"/>
        </w:rPr>
      </w:pPr>
      <w:r>
        <w:rPr>
          <w:szCs w:val="24"/>
        </w:rPr>
        <w:t>(3) Service Environment</w:t>
      </w:r>
    </w:p>
    <w:p w14:paraId="41E4EC19">
      <w:pPr>
        <w:pStyle w:val="16"/>
        <w:spacing w:before="31" w:after="31"/>
        <w:ind w:firstLine="480"/>
        <w:jc w:val="left"/>
        <w:rPr>
          <w:szCs w:val="24"/>
        </w:rPr>
      </w:pPr>
      <w:r>
        <w:rPr>
          <w:szCs w:val="24"/>
        </w:rPr>
        <w:t>On-site observations indicated significant overall movement of the roadway surrounding rock towards the drift. After two months of excavation in the east track belt of the main roadway, the maximum deformation of the roadway reduced from 3.8m in the initial stage of construction to 2.8m. The sidewalls contracted from an initial 4.8m to 4.0m, exhibiting strong four-sided convergence, indicating high ground stress. Some sidewall angle anchor rods fractured, and numerous rods in the upper part showed signs of thread disengagement from the steel tray. In some sections, the joint support of anchor rods and anchor cables failed due to inconsistent deformation, leading to ineffective support. Particularly, in segments with severe water inflow in the roof, the surrounding rock underwent rapid expansion and deformation, resulting in significant contraction of the roadway section and even local roof collapse. The top 1m of coal was mined along the roof of the east track drift, and the deformation in this drift was more severe than the other two drifts excavated along the roof. The most severe deformation occurred in a section extending about 50m from the intersection of the first working face's belt and the east track drift. In this area, there were occurrences of mesh bags, anchor cables pulling out, anchor rods breaking at the threads, and anchor rods pulling through iron trays.</w:t>
      </w:r>
    </w:p>
    <w:p w14:paraId="37EC287D">
      <w:pPr>
        <w:pStyle w:val="16"/>
        <w:spacing w:before="31" w:after="31"/>
        <w:ind w:firstLine="0" w:firstLineChars="0"/>
        <w:jc w:val="left"/>
        <w:rPr>
          <w:szCs w:val="24"/>
        </w:rPr>
      </w:pPr>
      <w:r>
        <w:rPr>
          <w:szCs w:val="24"/>
        </w:rPr>
        <w:t>(4) Failed Components and Materials</w:t>
      </w:r>
    </w:p>
    <w:p w14:paraId="3CBE3329">
      <w:pPr>
        <w:pStyle w:val="16"/>
        <w:spacing w:before="31" w:after="31"/>
        <w:ind w:firstLine="480"/>
        <w:jc w:val="left"/>
        <w:rPr>
          <w:szCs w:val="24"/>
        </w:rPr>
      </w:pPr>
      <w:r>
        <w:rPr>
          <w:szCs w:val="24"/>
        </w:rPr>
        <w:t>The initial support for the roadway utilized anchor cable support, with high-strength left-handed thread steel anchor rods (strength 500 MPa) for the roof and sidewalls. The material was 20MnSi, with a specification of 20mm × 2400mm and a spacing of 900mm. It was paired with arch-shaped trays and high-strength nuts as complementary products. The lengthened resin anchoring method was used, with a drilling diameter of 28mm and anchored with two M2360 resin anchoring agents.</w:t>
      </w:r>
    </w:p>
    <w:p w14:paraId="6BF92401">
      <w:pPr>
        <w:pStyle w:val="16"/>
        <w:spacing w:before="31" w:after="31"/>
        <w:ind w:firstLine="480"/>
        <w:jc w:val="left"/>
        <w:rPr>
          <w:szCs w:val="24"/>
        </w:rPr>
      </w:pPr>
      <w:r>
        <w:rPr>
          <w:szCs w:val="24"/>
        </w:rPr>
        <w:t>From three randomly selected anchor rods tested on-site, the conditions after the rod body broke are shown in Figure 5-7.2, and the conditions after the rod body with a threaded joint broke are shown in Figure 5-7.3. The yield strength of the rod body is &gt;525MPa, tensile strength &gt;735MPa, and elongation &gt;25%. In the strength tests of three rods with nuts and threaded rod bodies, two rods broke first at the threaded joint. In one of them, the nut exhibited the first crack and distorted, losing its load-bearing capacity, indicating insufficient strength of the nut.</w:t>
      </w:r>
    </w:p>
    <w:p w14:paraId="4FE72E80">
      <w:pPr>
        <w:pStyle w:val="16"/>
        <w:spacing w:before="31" w:after="31"/>
        <w:ind w:firstLine="482"/>
        <w:jc w:val="center"/>
        <w:rPr>
          <w:b/>
          <w:bCs/>
          <w:szCs w:val="24"/>
        </w:rPr>
      </w:pPr>
      <w:r>
        <w:rPr>
          <w:b/>
          <w:bCs/>
          <w:szCs w:val="24"/>
        </w:rPr>
        <w:t>Figure 5-7.2: Condition after anchor rod body breakage</w:t>
      </w:r>
    </w:p>
    <w:p w14:paraId="758ABD10">
      <w:pPr>
        <w:pStyle w:val="16"/>
        <w:spacing w:before="31" w:after="31"/>
        <w:ind w:firstLine="482"/>
        <w:jc w:val="center"/>
        <w:rPr>
          <w:b/>
          <w:bCs/>
          <w:szCs w:val="24"/>
        </w:rPr>
      </w:pPr>
      <w:r>
        <w:rPr>
          <w:b/>
          <w:bCs/>
          <w:szCs w:val="24"/>
        </w:rPr>
        <w:t>Figure 5-7.3: Condition after threaded joint anchor rod body breakage</w:t>
      </w:r>
    </w:p>
    <w:p w14:paraId="72C263E3">
      <w:pPr>
        <w:pStyle w:val="16"/>
        <w:spacing w:before="31" w:after="31"/>
        <w:ind w:firstLine="199" w:firstLineChars="83"/>
        <w:jc w:val="left"/>
        <w:rPr>
          <w:szCs w:val="24"/>
        </w:rPr>
      </w:pPr>
      <w:r>
        <w:rPr>
          <w:szCs w:val="24"/>
        </w:rPr>
        <w:t xml:space="preserve">(5) </w:t>
      </w:r>
      <w:r>
        <w:rPr>
          <w:kern w:val="0"/>
          <w:szCs w:val="24"/>
        </w:rPr>
        <w:t>Failed Component Morphology:</w:t>
      </w:r>
    </w:p>
    <w:p w14:paraId="6FF147CB">
      <w:pPr>
        <w:pStyle w:val="16"/>
        <w:spacing w:before="31" w:after="31"/>
        <w:ind w:firstLine="480"/>
        <w:jc w:val="left"/>
        <w:rPr>
          <w:szCs w:val="24"/>
        </w:rPr>
      </w:pPr>
      <w:r>
        <w:rPr>
          <w:szCs w:val="24"/>
        </w:rPr>
        <w:t>From the macroscopic appearance of the damaged rod body in Figure 5-7.4, it can be seen that the anchor rod failed by being pulled apart. This condition was prevalent in the anchor rod failure instances in the development drift of Zhaogu Mine.</w:t>
      </w:r>
    </w:p>
    <w:p w14:paraId="6AF6F71F">
      <w:pPr>
        <w:pStyle w:val="16"/>
        <w:spacing w:before="31" w:after="31"/>
        <w:ind w:firstLine="482"/>
        <w:jc w:val="center"/>
        <w:rPr>
          <w:b/>
          <w:bCs/>
          <w:szCs w:val="24"/>
        </w:rPr>
      </w:pPr>
      <w:r>
        <w:rPr>
          <w:b/>
          <w:bCs/>
          <w:szCs w:val="24"/>
        </w:rPr>
        <w:t>Figure 5-7.4: Damaged anchor rod body</w:t>
      </w:r>
    </w:p>
    <w:p w14:paraId="27992EF1">
      <w:pPr>
        <w:pStyle w:val="16"/>
        <w:spacing w:before="31" w:after="31"/>
        <w:ind w:firstLine="0" w:firstLineChars="0"/>
        <w:jc w:val="left"/>
        <w:rPr>
          <w:szCs w:val="24"/>
        </w:rPr>
      </w:pPr>
      <w:r>
        <w:rPr>
          <w:szCs w:val="24"/>
        </w:rPr>
        <w:t>(6) Failure Cause Analysis</w:t>
      </w:r>
    </w:p>
    <w:p w14:paraId="403DCD56">
      <w:pPr>
        <w:pStyle w:val="16"/>
        <w:spacing w:before="31" w:after="31"/>
        <w:ind w:firstLine="480"/>
        <w:jc w:val="left"/>
        <w:rPr>
          <w:szCs w:val="24"/>
        </w:rPr>
      </w:pPr>
      <w:r>
        <w:rPr>
          <w:szCs w:val="24"/>
        </w:rPr>
        <w:t>The threaded steel anchor rod is a bonded anchor rod, and its anchoring end is mainly bonded to the borehole using resin adhesive, while the fastening end applies pre-tension with a tray nut. The principle is to restrain the deformation and loosening of th</w:t>
      </w:r>
      <w:r>
        <w:rPr>
          <w:rFonts w:hint="eastAsia"/>
          <w:szCs w:val="24"/>
        </w:rPr>
        <w:t>e surrounding rock by tensioning the rod body through the anchoring end at the bottom of the borehole and the fastening part at the other end. The main factors affecting the anchoring force performance of threaded steel resin anchor rods are: ① the bonding strength between the resin anchoring agent and the rod body; ② the bonding strength between the resin anchoring agent and the surrounding rock; ③ the strength of the rod body itself. Among them, the bonding strength between the resin anchoring agent and t</w:t>
      </w:r>
      <w:r>
        <w:rPr>
          <w:szCs w:val="24"/>
        </w:rPr>
        <w:t>he rod body and surrounding rock is an important factor affecting anchoring force. Mismatched quality of the anchoring agent, anchor rod diameter, anchor hole, and resin cartridge diameter, as well as the influence of construction and geological environment, may reduce anchoring force. In the case where the anchoring agent's anchoring strength is sufficient, the main factor affecting the anchoring effect is the strength of the anchor rod and its supporting materials.</w:t>
      </w:r>
    </w:p>
    <w:p w14:paraId="4AC9649E">
      <w:pPr>
        <w:pStyle w:val="16"/>
        <w:spacing w:before="31" w:after="31"/>
        <w:ind w:firstLine="480"/>
        <w:jc w:val="left"/>
        <w:rPr>
          <w:szCs w:val="24"/>
        </w:rPr>
      </w:pPr>
      <w:r>
        <w:rPr>
          <w:szCs w:val="24"/>
        </w:rPr>
        <w:t>From the on-site and test observations, the main reason for the breakage or thread pullout of the high-strength threaded steel anchor rod was the excessive force applied to the rod body, exceeding its ultimate tensile strength. Alternatively, the rod body might have been subjected to excessive shear force, resulting in shear failure. Of course, it cannot be ruled out that the material and processing technology of the rod body did not meet the requirements, causing stress concentration and subsequent failure at the threaded joint. Additionally, anchor rod failure is related to the insufficient strength of supporting materials such as trays, metal mesh, and steel straps. Some human factors, such as poor installation quality and non-compliance with regulations, can also lead to a decrease in anchoring force and subsequent failure. In particular, if the installation angle of the anchor rod is too large, the tail threaded portion will not only be subjected to significant tensile forces but also to strong shear forces, causing the anchor rod to fail in shear before it can fully exert its supporting function.</w:t>
      </w:r>
    </w:p>
    <w:p w14:paraId="0444223E">
      <w:pPr>
        <w:pStyle w:val="16"/>
        <w:spacing w:before="31" w:after="31"/>
        <w:ind w:firstLine="0" w:firstLineChars="0"/>
        <w:rPr>
          <w:szCs w:val="24"/>
        </w:rPr>
      </w:pPr>
      <w:r>
        <w:rPr>
          <w:szCs w:val="24"/>
        </w:rPr>
        <w:t>(7) Impact and Harm Caused</w:t>
      </w:r>
    </w:p>
    <w:p w14:paraId="792A6A64">
      <w:pPr>
        <w:pStyle w:val="16"/>
        <w:spacing w:before="31" w:after="31"/>
        <w:ind w:firstLine="420" w:firstLineChars="0"/>
        <w:rPr>
          <w:rFonts w:hint="eastAsia"/>
          <w:szCs w:val="24"/>
        </w:rPr>
      </w:pPr>
      <w:r>
        <w:rPr>
          <w:szCs w:val="24"/>
        </w:rPr>
        <w:t>Null</w:t>
      </w:r>
    </w:p>
    <w:p w14:paraId="495A6F71">
      <w:pPr>
        <w:pStyle w:val="16"/>
        <w:spacing w:before="31" w:after="31"/>
        <w:ind w:firstLine="0" w:firstLineChars="0"/>
        <w:jc w:val="left"/>
        <w:rPr>
          <w:rFonts w:hint="eastAsia"/>
          <w:szCs w:val="24"/>
        </w:rPr>
      </w:pPr>
      <w:r>
        <w:rPr>
          <w:szCs w:val="24"/>
        </w:rPr>
        <w:t>(8) Conclusion and Improvement Measures</w:t>
      </w:r>
    </w:p>
    <w:p w14:paraId="2D722961">
      <w:pPr>
        <w:pStyle w:val="16"/>
        <w:spacing w:before="31" w:after="31"/>
        <w:ind w:firstLine="480"/>
        <w:jc w:val="left"/>
        <w:rPr>
          <w:szCs w:val="24"/>
        </w:rPr>
      </w:pPr>
      <w:r>
        <w:rPr>
          <w:szCs w:val="24"/>
        </w:rPr>
        <w:t>The main reason for the failure of anchor rods in the development drift of Zhaogu Mine is not due to insufficient bonding strength of the anchoring agent, but rather the inadequate strength of the anchor rod body. Measures that can be taken include:</w:t>
      </w:r>
    </w:p>
    <w:p w14:paraId="0FA23B36">
      <w:pPr>
        <w:pStyle w:val="16"/>
        <w:spacing w:before="31" w:after="31"/>
        <w:ind w:firstLine="480"/>
        <w:jc w:val="left"/>
        <w:rPr>
          <w:szCs w:val="24"/>
        </w:rPr>
      </w:pPr>
      <w:r>
        <w:rPr>
          <w:szCs w:val="24"/>
        </w:rPr>
        <w:t>(a) Increase the anchor rod diameter. By increasing the anchor rod diameter from the original 20mm to 22mm, the anchoring force can be increased by more than 10%. Additionally, attention should be paid to the proper matching of the anchor rod and borehole diameters; a 22mm anchor rod should be used with a 28-30mm borehole.</w:t>
      </w:r>
    </w:p>
    <w:p w14:paraId="5DC64B8D">
      <w:pPr>
        <w:pStyle w:val="16"/>
        <w:spacing w:before="31" w:after="31"/>
        <w:ind w:firstLine="480"/>
        <w:jc w:val="left"/>
        <w:rPr>
          <w:szCs w:val="24"/>
        </w:rPr>
      </w:pPr>
    </w:p>
    <w:p w14:paraId="1B4D3E43">
      <w:pPr>
        <w:pStyle w:val="16"/>
        <w:spacing w:before="31" w:after="31"/>
        <w:ind w:firstLine="480"/>
        <w:jc w:val="left"/>
        <w:rPr>
          <w:szCs w:val="24"/>
        </w:rPr>
      </w:pPr>
      <w:r>
        <w:rPr>
          <w:szCs w:val="24"/>
        </w:rPr>
        <w:t>(b) Increase the anchoring length. Lengthening or fully-lengthening the resin anchor rod not only improves the safety and reliability of the anchor rod but also, by constraining the surrounding rock as a whole, increases the stiffness of the anchor rod support system, significantly reducing the deformation of the roof. Studies have shown that under the same conditions, the deformation of the surrounding rock when fully-lengthened anchoring is only 1/10 to 1/2 of that when the anchoring is only at the end. Since the axial force in the middle of the fully-lengthened anchor rod is the largest and the ends are the smallest, it is beneficial to maintain the integrity of the soft and broken roof. If the pressure wind system pressure and stirring torque are too low during full-length anchoring, difficulties may be encountered. In this case, the upper limit value can be selected within the technical allowable range.</w:t>
      </w:r>
    </w:p>
    <w:p w14:paraId="0AAC1D51">
      <w:pPr>
        <w:pStyle w:val="16"/>
        <w:spacing w:before="31" w:after="31"/>
        <w:ind w:firstLine="480"/>
        <w:jc w:val="left"/>
        <w:rPr>
          <w:szCs w:val="24"/>
        </w:rPr>
      </w:pPr>
      <w:r>
        <w:rPr>
          <w:szCs w:val="24"/>
        </w:rPr>
        <w:t>(c) High-strength anchor rod support materials should be matched with scientific anchor rod support principles, dynamic support design methods, and coordinated forms of anchor rod support, as well as engineering monitoring technology.</w:t>
      </w:r>
    </w:p>
    <w:p w14:paraId="39EF224C">
      <w:pPr>
        <w:pStyle w:val="16"/>
        <w:spacing w:before="31" w:after="31"/>
        <w:ind w:firstLine="480"/>
        <w:jc w:val="left"/>
        <w:rPr>
          <w:szCs w:val="24"/>
        </w:rPr>
      </w:pPr>
      <w:r>
        <w:rPr>
          <w:szCs w:val="24"/>
        </w:rPr>
        <w:t>(d) Considering the failure characteristics of anchor rod support materials, targeted control and monitoring of construction quality should be strengthened during underground construction. Real-time monitoring should be carried out during the service life of the roadway to ensure the safety of support. Regular inspections should be conducted by specialized</w:t>
      </w:r>
    </w:p>
    <w:p w14:paraId="6FB10CA8">
      <w:pPr>
        <w:pStyle w:val="16"/>
        <w:spacing w:before="31" w:after="31"/>
        <w:ind w:firstLine="480"/>
        <w:jc w:val="left"/>
        <w:rPr>
          <w:szCs w:val="24"/>
        </w:rPr>
      </w:pPr>
      <w:r>
        <w:rPr>
          <w:szCs w:val="24"/>
        </w:rPr>
        <w:t xml:space="preserve">personnel for anchor rod support roadways, and anchor rods that have failed in the roof and coal sides should be reinstalled in a timely manner, and loose nuts should </w:t>
      </w:r>
    </w:p>
    <w:p w14:paraId="7EE25025">
      <w:pPr>
        <w:pStyle w:val="16"/>
        <w:spacing w:before="31" w:after="31"/>
        <w:ind w:firstLine="480"/>
        <w:jc w:val="left"/>
        <w:rPr>
          <w:szCs w:val="24"/>
        </w:rPr>
      </w:pPr>
      <w:r>
        <w:rPr>
          <w:szCs w:val="24"/>
        </w:rPr>
        <w:t>To address the issue of anchor rod failure in the development drift of Zhaogu Mine, the following measures have been taken:</w:t>
      </w:r>
    </w:p>
    <w:p w14:paraId="1381BA81">
      <w:pPr>
        <w:pStyle w:val="16"/>
        <w:spacing w:before="31" w:after="31"/>
        <w:ind w:firstLine="480"/>
        <w:jc w:val="left"/>
        <w:rPr>
          <w:szCs w:val="24"/>
        </w:rPr>
      </w:pPr>
      <w:r>
        <w:rPr>
          <w:szCs w:val="24"/>
        </w:rPr>
        <w:t>(a) Change the roof anchor rod to a 22mm high-strength anchor rod, and only lengthen and anchor in sections where the roadway deformation is severe.</w:t>
      </w:r>
    </w:p>
    <w:p w14:paraId="64C35E13">
      <w:pPr>
        <w:pStyle w:val="16"/>
        <w:spacing w:before="31" w:after="31"/>
        <w:ind w:firstLine="480"/>
        <w:jc w:val="left"/>
        <w:rPr>
          <w:szCs w:val="24"/>
        </w:rPr>
      </w:pPr>
      <w:r>
        <w:rPr>
          <w:szCs w:val="24"/>
        </w:rPr>
        <w:t>(b) Install the roof anchor cable immediately after the anchor rod is installed. To ensure the coordinated deformation of the anchor rod and anchor cable, the anchor cable is installed with wooden blocks of the same size as the tray during installation.</w:t>
      </w:r>
    </w:p>
    <w:p w14:paraId="1A63B411">
      <w:pPr>
        <w:pStyle w:val="16"/>
        <w:spacing w:before="31" w:after="31"/>
        <w:ind w:firstLine="480"/>
        <w:jc w:val="left"/>
        <w:rPr>
          <w:szCs w:val="24"/>
        </w:rPr>
      </w:pPr>
      <w:r>
        <w:rPr>
          <w:szCs w:val="24"/>
        </w:rPr>
        <w:t>(c) Fully leverage the high-strength anchor rod support and the joint support of anchor rods, and utilize engineering monitoring technology to perform dynamic support design, adjusting support parameters based on roadway support conditions. On-site observations have shown that, after redesigning support parameters, most sections of the roadway exhibited roof sinking of less than 200mm and sidewall deformation of less than 500mm after two months. Although floor heaving still occurred, the rate slowed down. In sections with concentrated stress, roadway deformation significantly improved, and there were no instances of anchor rod breakage.</w:t>
      </w:r>
    </w:p>
    <w:p w14:paraId="0DEB7FD6">
      <w:pPr>
        <w:pStyle w:val="16"/>
        <w:spacing w:before="31" w:after="31"/>
        <w:ind w:firstLine="0" w:firstLineChars="0"/>
        <w:jc w:val="left"/>
        <w:rPr>
          <w:b/>
          <w:bCs/>
          <w:szCs w:val="24"/>
        </w:rPr>
      </w:pPr>
      <w:r>
        <w:rPr>
          <w:b/>
          <w:bCs/>
          <w:szCs w:val="24"/>
        </w:rPr>
        <w:t>5.2.8 Case 5-8: Failure of Oil Casing</w:t>
      </w:r>
    </w:p>
    <w:p w14:paraId="1E93FA0E">
      <w:pPr>
        <w:pStyle w:val="16"/>
        <w:spacing w:before="31" w:after="31"/>
        <w:ind w:firstLine="0" w:firstLineChars="0"/>
        <w:jc w:val="left"/>
        <w:rPr>
          <w:szCs w:val="24"/>
        </w:rPr>
      </w:pPr>
      <w:r>
        <w:rPr>
          <w:szCs w:val="24"/>
        </w:rPr>
        <w:t>(1) Case Name</w:t>
      </w:r>
    </w:p>
    <w:p w14:paraId="2DEC9F3D">
      <w:pPr>
        <w:pStyle w:val="16"/>
        <w:spacing w:before="31" w:after="31"/>
        <w:ind w:firstLine="480"/>
        <w:jc w:val="left"/>
        <w:rPr>
          <w:szCs w:val="24"/>
        </w:rPr>
      </w:pPr>
      <w:r>
        <w:rPr>
          <w:szCs w:val="24"/>
        </w:rPr>
        <w:t>Failure of Oil Casing [10]</w:t>
      </w:r>
    </w:p>
    <w:p w14:paraId="69A5AAD1">
      <w:pPr>
        <w:pStyle w:val="16"/>
        <w:spacing w:before="31" w:after="31"/>
        <w:ind w:firstLine="0" w:firstLineChars="0"/>
        <w:jc w:val="left"/>
        <w:rPr>
          <w:szCs w:val="24"/>
        </w:rPr>
      </w:pPr>
      <w:r>
        <w:rPr>
          <w:szCs w:val="24"/>
        </w:rPr>
        <w:t>(2) Description of Failure Process</w:t>
      </w:r>
    </w:p>
    <w:p w14:paraId="139714F5">
      <w:pPr>
        <w:pStyle w:val="16"/>
        <w:spacing w:before="31" w:after="31"/>
        <w:ind w:firstLine="480"/>
        <w:jc w:val="left"/>
        <w:rPr>
          <w:szCs w:val="24"/>
        </w:rPr>
      </w:pPr>
      <w:r>
        <w:rPr>
          <w:szCs w:val="24"/>
        </w:rPr>
        <w:t>In July 2006, hydraulic fracturing was carried out on a certain oil well in the Huabei Oilfield. During the injection of the fracturing pre-flushing fluid, the wellhead device, along with the oil casing, surged about 20 cm when the casing pressure reached 30.12 MPa. After stopping the pump, the pressure dropped, and the wellhead device returned to its original position. Subsequent isolation seal verification, magnetic positioning logging, and analysis indicated that the casing fractured 257 meters from the wellhead. After pulling out 23 sections of casing, approximately 70 cm of fractured casing was extracted.</w:t>
      </w:r>
    </w:p>
    <w:p w14:paraId="7CB2EF58">
      <w:pPr>
        <w:pStyle w:val="16"/>
        <w:spacing w:before="31" w:after="31"/>
        <w:ind w:firstLine="0" w:firstLineChars="0"/>
        <w:rPr>
          <w:szCs w:val="24"/>
        </w:rPr>
      </w:pPr>
      <w:r>
        <w:rPr>
          <w:szCs w:val="24"/>
        </w:rPr>
        <w:t>(3) Service Environment:</w:t>
      </w:r>
    </w:p>
    <w:p w14:paraId="77950F4E">
      <w:pPr>
        <w:pStyle w:val="16"/>
        <w:spacing w:before="31" w:after="31"/>
        <w:ind w:firstLine="420" w:firstLineChars="0"/>
        <w:rPr>
          <w:szCs w:val="24"/>
        </w:rPr>
      </w:pPr>
      <w:r>
        <w:rPr>
          <w:szCs w:val="24"/>
        </w:rPr>
        <w:t>Null</w:t>
      </w:r>
    </w:p>
    <w:p w14:paraId="260BA63D">
      <w:pPr>
        <w:pStyle w:val="16"/>
        <w:spacing w:before="31" w:after="31"/>
        <w:ind w:firstLine="0" w:firstLineChars="0"/>
        <w:jc w:val="left"/>
        <w:rPr>
          <w:szCs w:val="24"/>
        </w:rPr>
      </w:pPr>
      <w:r>
        <w:rPr>
          <w:szCs w:val="24"/>
        </w:rPr>
        <w:t>(4) Failed Components and Materials</w:t>
      </w:r>
    </w:p>
    <w:p w14:paraId="27F54495">
      <w:pPr>
        <w:pStyle w:val="16"/>
        <w:spacing w:before="31" w:after="31"/>
        <w:ind w:firstLine="480"/>
        <w:jc w:val="left"/>
        <w:rPr>
          <w:szCs w:val="24"/>
        </w:rPr>
      </w:pPr>
      <w:r>
        <w:rPr>
          <w:szCs w:val="24"/>
        </w:rPr>
        <w:t>Chemical composition analysis was conducted on samples taken near and away from the fracture surface of the failed casing. The results are shown in Table 5-11. Macroscopic analysis revealed uneven distribution of sulfur (S) on the inner and outer sides of the fractured pipe wall in Figure 5-8.1(a). The sulfur content on the inner wall exceeded the requirements of API Spec 5CT, while the sulfur and phosphorus (P) contents on the outer wall were relatively low. Microscopic analysis in Figure 5-8.1(b) also showed uneven distribution of S and P, with higher levels at point i and lower levels at point ii. The composition analysis indicated that while the average S and P content in the pipe material was not high, the uneven distribution led to localized degradation, especially in areas with higher S and P content.</w:t>
      </w:r>
    </w:p>
    <w:p w14:paraId="0754DA7B">
      <w:pPr>
        <w:pStyle w:val="16"/>
        <w:spacing w:before="31" w:after="31"/>
        <w:ind w:firstLine="480"/>
        <w:jc w:val="left"/>
        <w:rPr>
          <w:szCs w:val="24"/>
        </w:rPr>
      </w:pPr>
      <w:r>
        <w:rPr>
          <w:szCs w:val="24"/>
        </w:rPr>
        <w:t>(a) Fracture Surface                  (b) Tensile Sample Fracture Surface</w:t>
      </w:r>
    </w:p>
    <w:p w14:paraId="5D4E45B2">
      <w:pPr>
        <w:pStyle w:val="16"/>
        <w:spacing w:before="31" w:after="31"/>
        <w:ind w:firstLine="482"/>
        <w:jc w:val="center"/>
        <w:rPr>
          <w:b/>
          <w:bCs/>
          <w:szCs w:val="24"/>
        </w:rPr>
      </w:pPr>
      <w:r>
        <w:rPr>
          <w:b/>
          <w:bCs/>
          <w:szCs w:val="24"/>
        </w:rPr>
        <w:t>Figure 5-8.1 Sampling locations for micro-area composition analysis</w:t>
      </w:r>
    </w:p>
    <w:p w14:paraId="1ED4B387">
      <w:pPr>
        <w:pStyle w:val="16"/>
        <w:spacing w:before="31" w:after="31"/>
        <w:ind w:firstLine="482"/>
        <w:jc w:val="center"/>
        <w:rPr>
          <w:b/>
          <w:bCs/>
          <w:szCs w:val="24"/>
        </w:rPr>
      </w:pPr>
      <w:r>
        <w:rPr>
          <w:b/>
          <w:bCs/>
          <w:szCs w:val="24"/>
        </w:rPr>
        <w:t>Table 5-11 EDS analysis results for micro-areas</w:t>
      </w:r>
    </w:p>
    <w:tbl>
      <w:tblPr>
        <w:tblStyle w:val="9"/>
        <w:tblW w:w="0" w:type="auto"/>
        <w:tblInd w:w="108"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60"/>
        <w:gridCol w:w="635"/>
        <w:gridCol w:w="538"/>
        <w:gridCol w:w="660"/>
        <w:gridCol w:w="584"/>
        <w:gridCol w:w="534"/>
        <w:gridCol w:w="797"/>
        <w:gridCol w:w="797"/>
        <w:gridCol w:w="797"/>
        <w:gridCol w:w="797"/>
        <w:gridCol w:w="800"/>
        <w:gridCol w:w="800"/>
      </w:tblGrid>
      <w:tr w14:paraId="34249A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611" w:type="dxa"/>
            <w:gridSpan w:val="6"/>
            <w:tcBorders>
              <w:top w:val="single" w:color="auto" w:sz="12" w:space="0"/>
              <w:left w:val="nil"/>
              <w:bottom w:val="single" w:color="auto" w:sz="12" w:space="0"/>
              <w:right w:val="nil"/>
            </w:tcBorders>
            <w:vAlign w:val="center"/>
          </w:tcPr>
          <w:p w14:paraId="58F768EA">
            <w:pPr>
              <w:spacing w:line="312" w:lineRule="auto"/>
              <w:jc w:val="center"/>
              <w:rPr>
                <w:szCs w:val="21"/>
              </w:rPr>
            </w:pPr>
            <w:r>
              <w:t>Macro Analysis</w:t>
            </w:r>
          </w:p>
        </w:tc>
        <w:tc>
          <w:tcPr>
            <w:tcW w:w="3188" w:type="dxa"/>
            <w:gridSpan w:val="4"/>
            <w:tcBorders>
              <w:top w:val="single" w:color="auto" w:sz="12" w:space="0"/>
              <w:left w:val="nil"/>
              <w:bottom w:val="single" w:color="auto" w:sz="12" w:space="0"/>
              <w:right w:val="nil"/>
            </w:tcBorders>
            <w:vAlign w:val="center"/>
          </w:tcPr>
          <w:p w14:paraId="2680AE94">
            <w:pPr>
              <w:spacing w:line="312" w:lineRule="auto"/>
              <w:jc w:val="center"/>
              <w:rPr>
                <w:szCs w:val="21"/>
              </w:rPr>
            </w:pPr>
            <w:r>
              <w:t>Micro-area Distribution</w:t>
            </w:r>
          </w:p>
        </w:tc>
        <w:tc>
          <w:tcPr>
            <w:tcW w:w="1600" w:type="dxa"/>
            <w:gridSpan w:val="2"/>
            <w:vMerge w:val="restart"/>
            <w:tcBorders>
              <w:top w:val="single" w:color="auto" w:sz="12" w:space="0"/>
              <w:left w:val="nil"/>
              <w:bottom w:val="single" w:color="auto" w:sz="12" w:space="0"/>
              <w:right w:val="nil"/>
            </w:tcBorders>
            <w:vAlign w:val="center"/>
          </w:tcPr>
          <w:p w14:paraId="31B627E0">
            <w:pPr>
              <w:spacing w:line="312" w:lineRule="auto"/>
              <w:jc w:val="center"/>
              <w:rPr>
                <w:szCs w:val="21"/>
              </w:rPr>
            </w:pPr>
            <w:r>
              <w:rPr>
                <w:szCs w:val="21"/>
              </w:rPr>
              <w:t>API Spec 5CT</w:t>
            </w:r>
          </w:p>
        </w:tc>
      </w:tr>
      <w:tr w14:paraId="388336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3" w:type="dxa"/>
            <w:gridSpan w:val="3"/>
            <w:tcBorders>
              <w:top w:val="single" w:color="auto" w:sz="12" w:space="0"/>
              <w:left w:val="nil"/>
              <w:bottom w:val="single" w:color="auto" w:sz="12" w:space="0"/>
              <w:right w:val="nil"/>
            </w:tcBorders>
            <w:vAlign w:val="center"/>
          </w:tcPr>
          <w:p w14:paraId="7B476647">
            <w:pPr>
              <w:spacing w:line="312" w:lineRule="auto"/>
              <w:jc w:val="center"/>
              <w:rPr>
                <w:szCs w:val="21"/>
              </w:rPr>
            </w:pPr>
            <w:r>
              <w:t>Inner Wall</w:t>
            </w:r>
          </w:p>
        </w:tc>
        <w:tc>
          <w:tcPr>
            <w:tcW w:w="1778" w:type="dxa"/>
            <w:gridSpan w:val="3"/>
            <w:tcBorders>
              <w:top w:val="single" w:color="auto" w:sz="12" w:space="0"/>
              <w:left w:val="nil"/>
              <w:bottom w:val="single" w:color="auto" w:sz="12" w:space="0"/>
              <w:right w:val="nil"/>
            </w:tcBorders>
            <w:vAlign w:val="center"/>
          </w:tcPr>
          <w:p w14:paraId="7D2BACD2">
            <w:pPr>
              <w:spacing w:line="312" w:lineRule="auto"/>
              <w:jc w:val="center"/>
              <w:rPr>
                <w:szCs w:val="21"/>
              </w:rPr>
            </w:pPr>
            <w:r>
              <w:t>Outer Wall</w:t>
            </w:r>
          </w:p>
        </w:tc>
        <w:tc>
          <w:tcPr>
            <w:tcW w:w="1594" w:type="dxa"/>
            <w:gridSpan w:val="2"/>
            <w:tcBorders>
              <w:top w:val="single" w:color="auto" w:sz="12" w:space="0"/>
              <w:left w:val="nil"/>
              <w:bottom w:val="single" w:color="auto" w:sz="12" w:space="0"/>
              <w:right w:val="nil"/>
            </w:tcBorders>
            <w:vAlign w:val="center"/>
          </w:tcPr>
          <w:p w14:paraId="0F91FE63">
            <w:pPr>
              <w:spacing w:line="312" w:lineRule="auto"/>
              <w:jc w:val="center"/>
              <w:rPr>
                <w:szCs w:val="21"/>
              </w:rPr>
            </w:pPr>
            <w:r>
              <w:t>Point i</w:t>
            </w:r>
          </w:p>
        </w:tc>
        <w:tc>
          <w:tcPr>
            <w:tcW w:w="1594" w:type="dxa"/>
            <w:gridSpan w:val="2"/>
            <w:tcBorders>
              <w:top w:val="single" w:color="auto" w:sz="12" w:space="0"/>
              <w:left w:val="nil"/>
              <w:bottom w:val="single" w:color="auto" w:sz="12" w:space="0"/>
              <w:right w:val="nil"/>
            </w:tcBorders>
          </w:tcPr>
          <w:p w14:paraId="6ED8C672">
            <w:pPr>
              <w:spacing w:line="312" w:lineRule="auto"/>
              <w:jc w:val="center"/>
              <w:rPr>
                <w:szCs w:val="21"/>
              </w:rPr>
            </w:pPr>
            <w:r>
              <w:t>Point ii</w:t>
            </w:r>
          </w:p>
        </w:tc>
        <w:tc>
          <w:tcPr>
            <w:tcW w:w="0" w:type="auto"/>
            <w:gridSpan w:val="2"/>
            <w:vMerge w:val="continue"/>
            <w:tcBorders>
              <w:top w:val="single" w:color="auto" w:sz="12" w:space="0"/>
              <w:left w:val="nil"/>
              <w:bottom w:val="single" w:color="auto" w:sz="12" w:space="0"/>
              <w:right w:val="nil"/>
            </w:tcBorders>
            <w:vAlign w:val="center"/>
          </w:tcPr>
          <w:p w14:paraId="0D42033F">
            <w:pPr>
              <w:widowControl/>
              <w:jc w:val="left"/>
              <w:rPr>
                <w:szCs w:val="21"/>
              </w:rPr>
            </w:pPr>
          </w:p>
        </w:tc>
      </w:tr>
      <w:tr w14:paraId="27971F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60" w:type="dxa"/>
            <w:tcBorders>
              <w:top w:val="single" w:color="auto" w:sz="12" w:space="0"/>
              <w:left w:val="nil"/>
              <w:bottom w:val="nil"/>
              <w:right w:val="nil"/>
            </w:tcBorders>
            <w:vAlign w:val="center"/>
          </w:tcPr>
          <w:p w14:paraId="1CDCB838">
            <w:pPr>
              <w:spacing w:line="312" w:lineRule="auto"/>
              <w:jc w:val="center"/>
              <w:rPr>
                <w:szCs w:val="21"/>
              </w:rPr>
            </w:pPr>
            <w:r>
              <w:t>Point</w:t>
            </w:r>
          </w:p>
        </w:tc>
        <w:tc>
          <w:tcPr>
            <w:tcW w:w="635" w:type="dxa"/>
            <w:tcBorders>
              <w:top w:val="single" w:color="auto" w:sz="12" w:space="0"/>
              <w:left w:val="nil"/>
              <w:bottom w:val="nil"/>
              <w:right w:val="nil"/>
            </w:tcBorders>
            <w:vAlign w:val="center"/>
          </w:tcPr>
          <w:p w14:paraId="5A940074">
            <w:pPr>
              <w:spacing w:line="312" w:lineRule="auto"/>
              <w:jc w:val="center"/>
              <w:rPr>
                <w:szCs w:val="21"/>
              </w:rPr>
            </w:pPr>
            <w:r>
              <w:rPr>
                <w:szCs w:val="21"/>
              </w:rPr>
              <w:t>S</w:t>
            </w:r>
          </w:p>
        </w:tc>
        <w:tc>
          <w:tcPr>
            <w:tcW w:w="538" w:type="dxa"/>
            <w:tcBorders>
              <w:top w:val="single" w:color="auto" w:sz="12" w:space="0"/>
              <w:left w:val="nil"/>
              <w:bottom w:val="nil"/>
              <w:right w:val="nil"/>
            </w:tcBorders>
            <w:vAlign w:val="center"/>
          </w:tcPr>
          <w:p w14:paraId="7AE2403F">
            <w:pPr>
              <w:spacing w:line="312" w:lineRule="auto"/>
              <w:jc w:val="center"/>
              <w:rPr>
                <w:szCs w:val="21"/>
              </w:rPr>
            </w:pPr>
            <w:r>
              <w:rPr>
                <w:szCs w:val="21"/>
              </w:rPr>
              <w:t>P</w:t>
            </w:r>
          </w:p>
        </w:tc>
        <w:tc>
          <w:tcPr>
            <w:tcW w:w="660" w:type="dxa"/>
            <w:tcBorders>
              <w:top w:val="single" w:color="auto" w:sz="12" w:space="0"/>
              <w:left w:val="nil"/>
              <w:bottom w:val="nil"/>
              <w:right w:val="nil"/>
            </w:tcBorders>
            <w:vAlign w:val="center"/>
          </w:tcPr>
          <w:p w14:paraId="54C7B67C">
            <w:pPr>
              <w:spacing w:line="312" w:lineRule="auto"/>
              <w:jc w:val="center"/>
              <w:rPr>
                <w:szCs w:val="21"/>
              </w:rPr>
            </w:pPr>
            <w:r>
              <w:t>Point</w:t>
            </w:r>
          </w:p>
        </w:tc>
        <w:tc>
          <w:tcPr>
            <w:tcW w:w="584" w:type="dxa"/>
            <w:tcBorders>
              <w:top w:val="single" w:color="auto" w:sz="12" w:space="0"/>
              <w:left w:val="nil"/>
              <w:bottom w:val="nil"/>
              <w:right w:val="nil"/>
            </w:tcBorders>
            <w:vAlign w:val="center"/>
          </w:tcPr>
          <w:p w14:paraId="0CB087CB">
            <w:pPr>
              <w:spacing w:line="312" w:lineRule="auto"/>
              <w:jc w:val="center"/>
              <w:rPr>
                <w:szCs w:val="21"/>
              </w:rPr>
            </w:pPr>
            <w:r>
              <w:rPr>
                <w:szCs w:val="21"/>
              </w:rPr>
              <w:t>S</w:t>
            </w:r>
          </w:p>
        </w:tc>
        <w:tc>
          <w:tcPr>
            <w:tcW w:w="534" w:type="dxa"/>
            <w:tcBorders>
              <w:top w:val="single" w:color="auto" w:sz="12" w:space="0"/>
              <w:left w:val="nil"/>
              <w:bottom w:val="nil"/>
              <w:right w:val="nil"/>
            </w:tcBorders>
            <w:vAlign w:val="center"/>
          </w:tcPr>
          <w:p w14:paraId="6B563AEE">
            <w:pPr>
              <w:spacing w:line="312" w:lineRule="auto"/>
              <w:jc w:val="center"/>
              <w:rPr>
                <w:szCs w:val="21"/>
              </w:rPr>
            </w:pPr>
            <w:r>
              <w:rPr>
                <w:szCs w:val="21"/>
              </w:rPr>
              <w:t>P</w:t>
            </w:r>
          </w:p>
        </w:tc>
        <w:tc>
          <w:tcPr>
            <w:tcW w:w="797" w:type="dxa"/>
            <w:tcBorders>
              <w:top w:val="single" w:color="auto" w:sz="12" w:space="0"/>
              <w:left w:val="nil"/>
              <w:bottom w:val="nil"/>
              <w:right w:val="nil"/>
            </w:tcBorders>
            <w:vAlign w:val="center"/>
          </w:tcPr>
          <w:p w14:paraId="661FA18A">
            <w:pPr>
              <w:spacing w:line="312" w:lineRule="auto"/>
              <w:jc w:val="center"/>
              <w:rPr>
                <w:szCs w:val="21"/>
              </w:rPr>
            </w:pPr>
            <w:r>
              <w:rPr>
                <w:szCs w:val="21"/>
              </w:rPr>
              <w:t>S</w:t>
            </w:r>
          </w:p>
        </w:tc>
        <w:tc>
          <w:tcPr>
            <w:tcW w:w="797" w:type="dxa"/>
            <w:tcBorders>
              <w:top w:val="single" w:color="auto" w:sz="12" w:space="0"/>
              <w:left w:val="nil"/>
              <w:bottom w:val="nil"/>
              <w:right w:val="nil"/>
            </w:tcBorders>
            <w:vAlign w:val="center"/>
          </w:tcPr>
          <w:p w14:paraId="66850652">
            <w:pPr>
              <w:spacing w:line="312" w:lineRule="auto"/>
              <w:jc w:val="center"/>
              <w:rPr>
                <w:szCs w:val="21"/>
              </w:rPr>
            </w:pPr>
            <w:r>
              <w:rPr>
                <w:szCs w:val="21"/>
              </w:rPr>
              <w:t>P</w:t>
            </w:r>
          </w:p>
        </w:tc>
        <w:tc>
          <w:tcPr>
            <w:tcW w:w="797" w:type="dxa"/>
            <w:tcBorders>
              <w:top w:val="single" w:color="auto" w:sz="12" w:space="0"/>
              <w:left w:val="nil"/>
              <w:bottom w:val="nil"/>
              <w:right w:val="nil"/>
            </w:tcBorders>
            <w:vAlign w:val="center"/>
          </w:tcPr>
          <w:p w14:paraId="185053CE">
            <w:pPr>
              <w:spacing w:line="312" w:lineRule="auto"/>
              <w:jc w:val="center"/>
              <w:rPr>
                <w:szCs w:val="21"/>
              </w:rPr>
            </w:pPr>
            <w:r>
              <w:rPr>
                <w:szCs w:val="21"/>
              </w:rPr>
              <w:t>S</w:t>
            </w:r>
          </w:p>
        </w:tc>
        <w:tc>
          <w:tcPr>
            <w:tcW w:w="797" w:type="dxa"/>
            <w:tcBorders>
              <w:top w:val="single" w:color="auto" w:sz="12" w:space="0"/>
              <w:left w:val="nil"/>
              <w:bottom w:val="nil"/>
              <w:right w:val="nil"/>
            </w:tcBorders>
            <w:vAlign w:val="center"/>
          </w:tcPr>
          <w:p w14:paraId="5CABBB69">
            <w:pPr>
              <w:spacing w:line="312" w:lineRule="auto"/>
              <w:jc w:val="center"/>
              <w:rPr>
                <w:szCs w:val="21"/>
              </w:rPr>
            </w:pPr>
            <w:r>
              <w:rPr>
                <w:szCs w:val="21"/>
              </w:rPr>
              <w:t>P</w:t>
            </w:r>
          </w:p>
        </w:tc>
        <w:tc>
          <w:tcPr>
            <w:tcW w:w="800" w:type="dxa"/>
            <w:tcBorders>
              <w:top w:val="single" w:color="auto" w:sz="12" w:space="0"/>
              <w:left w:val="nil"/>
              <w:bottom w:val="nil"/>
              <w:right w:val="nil"/>
            </w:tcBorders>
            <w:vAlign w:val="center"/>
          </w:tcPr>
          <w:p w14:paraId="4341801D">
            <w:pPr>
              <w:spacing w:line="312" w:lineRule="auto"/>
              <w:jc w:val="center"/>
              <w:rPr>
                <w:szCs w:val="21"/>
              </w:rPr>
            </w:pPr>
            <w:r>
              <w:rPr>
                <w:szCs w:val="21"/>
              </w:rPr>
              <w:t>S</w:t>
            </w:r>
          </w:p>
        </w:tc>
        <w:tc>
          <w:tcPr>
            <w:tcW w:w="800" w:type="dxa"/>
            <w:tcBorders>
              <w:top w:val="single" w:color="auto" w:sz="12" w:space="0"/>
              <w:left w:val="nil"/>
              <w:bottom w:val="nil"/>
              <w:right w:val="nil"/>
            </w:tcBorders>
            <w:vAlign w:val="center"/>
          </w:tcPr>
          <w:p w14:paraId="42DCB1A0">
            <w:pPr>
              <w:spacing w:line="312" w:lineRule="auto"/>
              <w:jc w:val="center"/>
              <w:rPr>
                <w:szCs w:val="21"/>
              </w:rPr>
            </w:pPr>
            <w:r>
              <w:rPr>
                <w:szCs w:val="21"/>
              </w:rPr>
              <w:t>P</w:t>
            </w:r>
          </w:p>
        </w:tc>
      </w:tr>
      <w:tr w14:paraId="12DDE9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60" w:type="dxa"/>
            <w:tcBorders>
              <w:top w:val="nil"/>
              <w:left w:val="nil"/>
              <w:bottom w:val="nil"/>
              <w:right w:val="nil"/>
            </w:tcBorders>
            <w:vAlign w:val="center"/>
          </w:tcPr>
          <w:p w14:paraId="6BAD5757">
            <w:pPr>
              <w:spacing w:line="312" w:lineRule="auto"/>
              <w:jc w:val="center"/>
              <w:rPr>
                <w:szCs w:val="21"/>
              </w:rPr>
            </w:pPr>
            <w:r>
              <w:rPr>
                <w:szCs w:val="21"/>
              </w:rPr>
              <w:t>1</w:t>
            </w:r>
          </w:p>
        </w:tc>
        <w:tc>
          <w:tcPr>
            <w:tcW w:w="635" w:type="dxa"/>
            <w:tcBorders>
              <w:top w:val="nil"/>
              <w:left w:val="nil"/>
              <w:bottom w:val="nil"/>
              <w:right w:val="nil"/>
            </w:tcBorders>
            <w:vAlign w:val="center"/>
          </w:tcPr>
          <w:p w14:paraId="73FC9572">
            <w:pPr>
              <w:spacing w:line="312" w:lineRule="auto"/>
              <w:jc w:val="center"/>
              <w:rPr>
                <w:szCs w:val="21"/>
              </w:rPr>
            </w:pPr>
            <w:r>
              <w:rPr>
                <w:szCs w:val="21"/>
              </w:rPr>
              <w:t>0.06</w:t>
            </w:r>
          </w:p>
        </w:tc>
        <w:tc>
          <w:tcPr>
            <w:tcW w:w="538" w:type="dxa"/>
            <w:tcBorders>
              <w:top w:val="nil"/>
              <w:left w:val="nil"/>
              <w:bottom w:val="nil"/>
              <w:right w:val="nil"/>
            </w:tcBorders>
            <w:vAlign w:val="center"/>
          </w:tcPr>
          <w:p w14:paraId="3BFE2589">
            <w:pPr>
              <w:spacing w:line="312" w:lineRule="auto"/>
              <w:jc w:val="center"/>
              <w:rPr>
                <w:szCs w:val="21"/>
              </w:rPr>
            </w:pPr>
            <w:r>
              <w:rPr>
                <w:szCs w:val="21"/>
              </w:rPr>
              <w:t>0</w:t>
            </w:r>
          </w:p>
        </w:tc>
        <w:tc>
          <w:tcPr>
            <w:tcW w:w="660" w:type="dxa"/>
            <w:tcBorders>
              <w:top w:val="nil"/>
              <w:left w:val="nil"/>
              <w:bottom w:val="nil"/>
              <w:right w:val="nil"/>
            </w:tcBorders>
            <w:vAlign w:val="center"/>
          </w:tcPr>
          <w:p w14:paraId="1FF2BAA2">
            <w:pPr>
              <w:spacing w:line="312" w:lineRule="auto"/>
              <w:jc w:val="center"/>
              <w:rPr>
                <w:szCs w:val="21"/>
              </w:rPr>
            </w:pPr>
            <w:r>
              <w:rPr>
                <w:szCs w:val="21"/>
              </w:rPr>
              <w:t>3</w:t>
            </w:r>
          </w:p>
        </w:tc>
        <w:tc>
          <w:tcPr>
            <w:tcW w:w="584" w:type="dxa"/>
            <w:tcBorders>
              <w:top w:val="nil"/>
              <w:left w:val="nil"/>
              <w:bottom w:val="nil"/>
              <w:right w:val="nil"/>
            </w:tcBorders>
            <w:vAlign w:val="center"/>
          </w:tcPr>
          <w:p w14:paraId="3DEEA5BA">
            <w:pPr>
              <w:spacing w:line="312" w:lineRule="auto"/>
              <w:jc w:val="center"/>
              <w:rPr>
                <w:szCs w:val="21"/>
              </w:rPr>
            </w:pPr>
            <w:r>
              <w:rPr>
                <w:szCs w:val="21"/>
              </w:rPr>
              <w:t>0.02</w:t>
            </w:r>
          </w:p>
        </w:tc>
        <w:tc>
          <w:tcPr>
            <w:tcW w:w="534" w:type="dxa"/>
            <w:tcBorders>
              <w:top w:val="nil"/>
              <w:left w:val="nil"/>
              <w:bottom w:val="nil"/>
              <w:right w:val="nil"/>
            </w:tcBorders>
            <w:vAlign w:val="center"/>
          </w:tcPr>
          <w:p w14:paraId="0758B85A">
            <w:pPr>
              <w:spacing w:line="312" w:lineRule="auto"/>
              <w:jc w:val="center"/>
              <w:rPr>
                <w:szCs w:val="21"/>
              </w:rPr>
            </w:pPr>
            <w:r>
              <w:rPr>
                <w:szCs w:val="21"/>
              </w:rPr>
              <w:t>0</w:t>
            </w:r>
          </w:p>
        </w:tc>
        <w:tc>
          <w:tcPr>
            <w:tcW w:w="797" w:type="dxa"/>
            <w:tcBorders>
              <w:top w:val="nil"/>
              <w:left w:val="nil"/>
              <w:bottom w:val="nil"/>
              <w:right w:val="nil"/>
            </w:tcBorders>
            <w:vAlign w:val="center"/>
          </w:tcPr>
          <w:p w14:paraId="71A4F7C2">
            <w:pPr>
              <w:spacing w:line="312" w:lineRule="auto"/>
              <w:jc w:val="center"/>
              <w:rPr>
                <w:szCs w:val="21"/>
              </w:rPr>
            </w:pPr>
            <w:r>
              <w:rPr>
                <w:szCs w:val="21"/>
              </w:rPr>
              <w:t>0.10</w:t>
            </w:r>
          </w:p>
        </w:tc>
        <w:tc>
          <w:tcPr>
            <w:tcW w:w="797" w:type="dxa"/>
            <w:tcBorders>
              <w:top w:val="nil"/>
              <w:left w:val="nil"/>
              <w:bottom w:val="nil"/>
              <w:right w:val="nil"/>
            </w:tcBorders>
            <w:vAlign w:val="center"/>
          </w:tcPr>
          <w:p w14:paraId="60C1CDFA">
            <w:pPr>
              <w:spacing w:line="312" w:lineRule="auto"/>
              <w:jc w:val="center"/>
              <w:rPr>
                <w:szCs w:val="21"/>
              </w:rPr>
            </w:pPr>
            <w:r>
              <w:rPr>
                <w:szCs w:val="21"/>
              </w:rPr>
              <w:t>0.07</w:t>
            </w:r>
          </w:p>
        </w:tc>
        <w:tc>
          <w:tcPr>
            <w:tcW w:w="797" w:type="dxa"/>
            <w:tcBorders>
              <w:top w:val="nil"/>
              <w:left w:val="nil"/>
              <w:bottom w:val="nil"/>
              <w:right w:val="nil"/>
            </w:tcBorders>
            <w:vAlign w:val="center"/>
          </w:tcPr>
          <w:p w14:paraId="0607DD72">
            <w:pPr>
              <w:spacing w:line="312" w:lineRule="auto"/>
              <w:jc w:val="center"/>
              <w:rPr>
                <w:szCs w:val="21"/>
              </w:rPr>
            </w:pPr>
            <w:r>
              <w:rPr>
                <w:szCs w:val="21"/>
              </w:rPr>
              <w:t>0.05</w:t>
            </w:r>
          </w:p>
        </w:tc>
        <w:tc>
          <w:tcPr>
            <w:tcW w:w="797" w:type="dxa"/>
            <w:tcBorders>
              <w:top w:val="nil"/>
              <w:left w:val="nil"/>
              <w:bottom w:val="nil"/>
              <w:right w:val="nil"/>
            </w:tcBorders>
            <w:vAlign w:val="center"/>
          </w:tcPr>
          <w:p w14:paraId="76C707EC">
            <w:pPr>
              <w:spacing w:line="312" w:lineRule="auto"/>
              <w:jc w:val="center"/>
              <w:rPr>
                <w:szCs w:val="21"/>
              </w:rPr>
            </w:pPr>
            <w:r>
              <w:rPr>
                <w:szCs w:val="21"/>
              </w:rPr>
              <w:t>0</w:t>
            </w:r>
          </w:p>
        </w:tc>
        <w:tc>
          <w:tcPr>
            <w:tcW w:w="1600" w:type="dxa"/>
            <w:gridSpan w:val="2"/>
            <w:vMerge w:val="restart"/>
            <w:tcBorders>
              <w:top w:val="nil"/>
              <w:left w:val="nil"/>
              <w:bottom w:val="single" w:color="auto" w:sz="12" w:space="0"/>
              <w:right w:val="nil"/>
            </w:tcBorders>
          </w:tcPr>
          <w:p w14:paraId="4C87DAB3">
            <w:pPr>
              <w:spacing w:line="312" w:lineRule="auto"/>
              <w:jc w:val="center"/>
              <w:rPr>
                <w:szCs w:val="21"/>
              </w:rPr>
            </w:pPr>
            <w:r>
              <w:t>No requirements for uniform distribution of components</w:t>
            </w:r>
          </w:p>
        </w:tc>
      </w:tr>
      <w:tr w14:paraId="3EF16C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60" w:type="dxa"/>
            <w:tcBorders>
              <w:top w:val="nil"/>
              <w:left w:val="nil"/>
              <w:bottom w:val="single" w:color="auto" w:sz="12" w:space="0"/>
              <w:right w:val="nil"/>
            </w:tcBorders>
            <w:vAlign w:val="center"/>
          </w:tcPr>
          <w:p w14:paraId="6653E9F4">
            <w:pPr>
              <w:spacing w:line="312" w:lineRule="auto"/>
              <w:jc w:val="center"/>
              <w:rPr>
                <w:szCs w:val="21"/>
              </w:rPr>
            </w:pPr>
            <w:r>
              <w:rPr>
                <w:szCs w:val="21"/>
              </w:rPr>
              <w:t>2</w:t>
            </w:r>
          </w:p>
        </w:tc>
        <w:tc>
          <w:tcPr>
            <w:tcW w:w="635" w:type="dxa"/>
            <w:tcBorders>
              <w:top w:val="nil"/>
              <w:left w:val="nil"/>
              <w:bottom w:val="single" w:color="auto" w:sz="12" w:space="0"/>
              <w:right w:val="nil"/>
            </w:tcBorders>
            <w:vAlign w:val="center"/>
          </w:tcPr>
          <w:p w14:paraId="3C432BA7">
            <w:pPr>
              <w:spacing w:line="312" w:lineRule="auto"/>
              <w:jc w:val="center"/>
              <w:rPr>
                <w:szCs w:val="21"/>
              </w:rPr>
            </w:pPr>
            <w:r>
              <w:rPr>
                <w:szCs w:val="21"/>
              </w:rPr>
              <w:t>0.11</w:t>
            </w:r>
          </w:p>
        </w:tc>
        <w:tc>
          <w:tcPr>
            <w:tcW w:w="538" w:type="dxa"/>
            <w:tcBorders>
              <w:top w:val="nil"/>
              <w:left w:val="nil"/>
              <w:bottom w:val="single" w:color="auto" w:sz="12" w:space="0"/>
              <w:right w:val="nil"/>
            </w:tcBorders>
            <w:vAlign w:val="center"/>
          </w:tcPr>
          <w:p w14:paraId="77EE82BA">
            <w:pPr>
              <w:spacing w:line="312" w:lineRule="auto"/>
              <w:jc w:val="center"/>
              <w:rPr>
                <w:szCs w:val="21"/>
              </w:rPr>
            </w:pPr>
            <w:r>
              <w:rPr>
                <w:szCs w:val="21"/>
              </w:rPr>
              <w:t>0</w:t>
            </w:r>
          </w:p>
        </w:tc>
        <w:tc>
          <w:tcPr>
            <w:tcW w:w="660" w:type="dxa"/>
            <w:tcBorders>
              <w:top w:val="nil"/>
              <w:left w:val="nil"/>
              <w:bottom w:val="single" w:color="auto" w:sz="12" w:space="0"/>
              <w:right w:val="nil"/>
            </w:tcBorders>
            <w:vAlign w:val="center"/>
          </w:tcPr>
          <w:p w14:paraId="141A0A57">
            <w:pPr>
              <w:spacing w:line="312" w:lineRule="auto"/>
              <w:jc w:val="center"/>
              <w:rPr>
                <w:szCs w:val="21"/>
              </w:rPr>
            </w:pPr>
            <w:r>
              <w:rPr>
                <w:szCs w:val="21"/>
              </w:rPr>
              <w:t>4</w:t>
            </w:r>
          </w:p>
        </w:tc>
        <w:tc>
          <w:tcPr>
            <w:tcW w:w="584" w:type="dxa"/>
            <w:tcBorders>
              <w:top w:val="nil"/>
              <w:left w:val="nil"/>
              <w:bottom w:val="single" w:color="auto" w:sz="12" w:space="0"/>
              <w:right w:val="nil"/>
            </w:tcBorders>
            <w:vAlign w:val="center"/>
          </w:tcPr>
          <w:p w14:paraId="460B6D51">
            <w:pPr>
              <w:spacing w:line="312" w:lineRule="auto"/>
              <w:rPr>
                <w:szCs w:val="21"/>
              </w:rPr>
            </w:pPr>
            <w:r>
              <w:rPr>
                <w:szCs w:val="21"/>
              </w:rPr>
              <w:t>0</w:t>
            </w:r>
          </w:p>
        </w:tc>
        <w:tc>
          <w:tcPr>
            <w:tcW w:w="534" w:type="dxa"/>
            <w:tcBorders>
              <w:top w:val="nil"/>
              <w:left w:val="nil"/>
              <w:bottom w:val="single" w:color="auto" w:sz="12" w:space="0"/>
              <w:right w:val="nil"/>
            </w:tcBorders>
            <w:vAlign w:val="center"/>
          </w:tcPr>
          <w:p w14:paraId="3F6DA1BB">
            <w:pPr>
              <w:spacing w:line="312" w:lineRule="auto"/>
              <w:jc w:val="center"/>
              <w:rPr>
                <w:szCs w:val="21"/>
              </w:rPr>
            </w:pPr>
            <w:r>
              <w:rPr>
                <w:szCs w:val="21"/>
              </w:rPr>
              <w:t>0</w:t>
            </w:r>
          </w:p>
        </w:tc>
        <w:tc>
          <w:tcPr>
            <w:tcW w:w="797" w:type="dxa"/>
            <w:tcBorders>
              <w:top w:val="nil"/>
              <w:left w:val="nil"/>
              <w:bottom w:val="single" w:color="auto" w:sz="12" w:space="0"/>
              <w:right w:val="nil"/>
            </w:tcBorders>
            <w:vAlign w:val="center"/>
          </w:tcPr>
          <w:p w14:paraId="6BE24C96">
            <w:pPr>
              <w:spacing w:line="312" w:lineRule="auto"/>
              <w:jc w:val="center"/>
              <w:rPr>
                <w:szCs w:val="21"/>
              </w:rPr>
            </w:pPr>
          </w:p>
        </w:tc>
        <w:tc>
          <w:tcPr>
            <w:tcW w:w="797" w:type="dxa"/>
            <w:tcBorders>
              <w:top w:val="nil"/>
              <w:left w:val="nil"/>
              <w:bottom w:val="single" w:color="auto" w:sz="12" w:space="0"/>
              <w:right w:val="nil"/>
            </w:tcBorders>
            <w:vAlign w:val="center"/>
          </w:tcPr>
          <w:p w14:paraId="63A10589">
            <w:pPr>
              <w:spacing w:line="312" w:lineRule="auto"/>
              <w:jc w:val="center"/>
              <w:rPr>
                <w:szCs w:val="21"/>
              </w:rPr>
            </w:pPr>
          </w:p>
        </w:tc>
        <w:tc>
          <w:tcPr>
            <w:tcW w:w="797" w:type="dxa"/>
            <w:tcBorders>
              <w:top w:val="nil"/>
              <w:left w:val="nil"/>
              <w:bottom w:val="single" w:color="auto" w:sz="12" w:space="0"/>
              <w:right w:val="nil"/>
            </w:tcBorders>
            <w:vAlign w:val="center"/>
          </w:tcPr>
          <w:p w14:paraId="335E3A1A">
            <w:pPr>
              <w:spacing w:line="312" w:lineRule="auto"/>
              <w:jc w:val="center"/>
              <w:rPr>
                <w:szCs w:val="21"/>
              </w:rPr>
            </w:pPr>
          </w:p>
        </w:tc>
        <w:tc>
          <w:tcPr>
            <w:tcW w:w="797" w:type="dxa"/>
            <w:tcBorders>
              <w:top w:val="nil"/>
              <w:left w:val="nil"/>
              <w:bottom w:val="single" w:color="auto" w:sz="12" w:space="0"/>
              <w:right w:val="nil"/>
            </w:tcBorders>
            <w:vAlign w:val="center"/>
          </w:tcPr>
          <w:p w14:paraId="40E7CF69">
            <w:pPr>
              <w:spacing w:line="312" w:lineRule="auto"/>
              <w:jc w:val="center"/>
              <w:rPr>
                <w:szCs w:val="21"/>
              </w:rPr>
            </w:pPr>
          </w:p>
        </w:tc>
        <w:tc>
          <w:tcPr>
            <w:tcW w:w="0" w:type="auto"/>
            <w:gridSpan w:val="2"/>
            <w:vMerge w:val="continue"/>
            <w:tcBorders>
              <w:top w:val="nil"/>
              <w:left w:val="nil"/>
              <w:bottom w:val="single" w:color="auto" w:sz="12" w:space="0"/>
              <w:right w:val="nil"/>
            </w:tcBorders>
          </w:tcPr>
          <w:p w14:paraId="180CD26D">
            <w:pPr>
              <w:widowControl/>
              <w:jc w:val="left"/>
              <w:rPr>
                <w:szCs w:val="21"/>
              </w:rPr>
            </w:pPr>
          </w:p>
        </w:tc>
      </w:tr>
    </w:tbl>
    <w:p w14:paraId="3C045D9C">
      <w:pPr>
        <w:pStyle w:val="16"/>
        <w:spacing w:before="31" w:after="31"/>
        <w:ind w:firstLine="480"/>
        <w:jc w:val="left"/>
        <w:rPr>
          <w:szCs w:val="24"/>
        </w:rPr>
      </w:pPr>
    </w:p>
    <w:p w14:paraId="0E880B3B">
      <w:pPr>
        <w:pStyle w:val="16"/>
        <w:spacing w:before="31" w:after="31"/>
        <w:ind w:firstLine="480"/>
        <w:jc w:val="left"/>
        <w:rPr>
          <w:szCs w:val="24"/>
        </w:rPr>
      </w:pPr>
      <w:r>
        <w:rPr>
          <w:szCs w:val="24"/>
        </w:rPr>
        <w:t>The metallographic structure of the failed casing material is shown in Figure 5-8.2, consisting of pearlite and a reticular ferrite structure with poor toughness. The grain size was relatively large, and localized coarsening may have contributed to reduced toughness and increased brittleness of the steel.</w:t>
      </w:r>
    </w:p>
    <w:p w14:paraId="3548A078">
      <w:pPr>
        <w:pStyle w:val="16"/>
        <w:spacing w:before="31" w:after="31"/>
        <w:ind w:firstLine="482"/>
        <w:jc w:val="center"/>
        <w:rPr>
          <w:b/>
          <w:bCs/>
          <w:szCs w:val="24"/>
        </w:rPr>
      </w:pPr>
      <w:r>
        <w:rPr>
          <w:b/>
          <w:bCs/>
          <w:szCs w:val="24"/>
        </w:rPr>
        <w:t>Figure 5-8.2 Cross-sectional metallographic structure of the pipe wall</w:t>
      </w:r>
    </w:p>
    <w:p w14:paraId="3E40EA0B">
      <w:pPr>
        <w:pStyle w:val="16"/>
        <w:spacing w:before="31" w:after="31"/>
        <w:ind w:firstLine="480"/>
        <w:jc w:val="left"/>
        <w:rPr>
          <w:szCs w:val="24"/>
        </w:rPr>
      </w:pPr>
      <w:r>
        <w:rPr>
          <w:szCs w:val="24"/>
        </w:rPr>
        <w:t>The mechanical properties of the failed casing material are presented in Table 5-12. While the mandatory mechanical performance indicators met the requirements of API Spec 5CT, the impact toughness of all three samples in the Charpy impact test was below the API Spec 5CT requirements. The low impact toughness indicated that the casing lacked sufficient toughness to resist the impact loads during transportation, hoisting, installation, and use, making it susceptible to cracking and ultimately causing failure during compression.</w:t>
      </w:r>
    </w:p>
    <w:p w14:paraId="5B5F88A7">
      <w:pPr>
        <w:pStyle w:val="16"/>
        <w:spacing w:before="31" w:after="31"/>
        <w:ind w:firstLine="480"/>
        <w:jc w:val="left"/>
        <w:rPr>
          <w:szCs w:val="24"/>
        </w:rPr>
      </w:pPr>
    </w:p>
    <w:p w14:paraId="7B0A54A4">
      <w:pPr>
        <w:pStyle w:val="16"/>
        <w:spacing w:before="31" w:after="31"/>
        <w:ind w:firstLine="480"/>
        <w:jc w:val="left"/>
        <w:rPr>
          <w:szCs w:val="24"/>
        </w:rPr>
      </w:pPr>
      <w:r>
        <w:rPr>
          <w:szCs w:val="24"/>
        </w:rPr>
        <w:t>Table 5-12 Mechanical performance test results</w:t>
      </w:r>
    </w:p>
    <w:tbl>
      <w:tblPr>
        <w:tblStyle w:val="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89"/>
        <w:gridCol w:w="1535"/>
        <w:gridCol w:w="1470"/>
        <w:gridCol w:w="2676"/>
        <w:gridCol w:w="1552"/>
      </w:tblGrid>
      <w:tr w14:paraId="257B7E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59" w:type="dxa"/>
            <w:tcBorders>
              <w:top w:val="single" w:color="auto" w:sz="12" w:space="0"/>
              <w:left w:val="nil"/>
              <w:bottom w:val="single" w:color="auto" w:sz="12" w:space="0"/>
              <w:right w:val="nil"/>
            </w:tcBorders>
            <w:vAlign w:val="center"/>
          </w:tcPr>
          <w:p w14:paraId="5CF8EF2E">
            <w:pPr>
              <w:spacing w:line="360" w:lineRule="auto"/>
              <w:jc w:val="center"/>
              <w:rPr>
                <w:szCs w:val="21"/>
              </w:rPr>
            </w:pPr>
          </w:p>
        </w:tc>
        <w:tc>
          <w:tcPr>
            <w:tcW w:w="1535" w:type="dxa"/>
            <w:tcBorders>
              <w:top w:val="single" w:color="auto" w:sz="12" w:space="0"/>
              <w:left w:val="nil"/>
              <w:bottom w:val="single" w:color="auto" w:sz="12" w:space="0"/>
              <w:right w:val="nil"/>
            </w:tcBorders>
            <w:vAlign w:val="center"/>
          </w:tcPr>
          <w:p w14:paraId="54FCAB19">
            <w:pPr>
              <w:spacing w:line="360" w:lineRule="auto"/>
              <w:jc w:val="center"/>
              <w:rPr>
                <w:szCs w:val="21"/>
              </w:rPr>
            </w:pPr>
            <w:r>
              <w:t>Item</w:t>
            </w:r>
          </w:p>
        </w:tc>
        <w:tc>
          <w:tcPr>
            <w:tcW w:w="1527" w:type="dxa"/>
            <w:tcBorders>
              <w:top w:val="single" w:color="auto" w:sz="12" w:space="0"/>
              <w:left w:val="nil"/>
              <w:bottom w:val="single" w:color="auto" w:sz="12" w:space="0"/>
              <w:right w:val="nil"/>
            </w:tcBorders>
            <w:vAlign w:val="center"/>
          </w:tcPr>
          <w:p w14:paraId="7C3CD3CB">
            <w:pPr>
              <w:spacing w:line="360" w:lineRule="auto"/>
              <w:jc w:val="center"/>
              <w:rPr>
                <w:szCs w:val="21"/>
              </w:rPr>
            </w:pPr>
            <w:r>
              <w:t>Test Results</w:t>
            </w:r>
            <w:r>
              <w:tab/>
            </w:r>
            <w:r>
              <w:t>API Spec 5CT</w:t>
            </w:r>
          </w:p>
        </w:tc>
        <w:tc>
          <w:tcPr>
            <w:tcW w:w="2879" w:type="dxa"/>
            <w:tcBorders>
              <w:top w:val="single" w:color="auto" w:sz="12" w:space="0"/>
              <w:left w:val="nil"/>
              <w:bottom w:val="single" w:color="auto" w:sz="12" w:space="0"/>
              <w:right w:val="nil"/>
            </w:tcBorders>
            <w:vAlign w:val="center"/>
          </w:tcPr>
          <w:p w14:paraId="4495FA4C">
            <w:pPr>
              <w:spacing w:line="360" w:lineRule="auto"/>
              <w:jc w:val="center"/>
              <w:rPr>
                <w:szCs w:val="21"/>
              </w:rPr>
            </w:pPr>
            <w:r>
              <w:rPr>
                <w:szCs w:val="21"/>
              </w:rPr>
              <w:t>API Spec 5CT</w:t>
            </w:r>
          </w:p>
        </w:tc>
        <w:tc>
          <w:tcPr>
            <w:tcW w:w="1553" w:type="dxa"/>
            <w:tcBorders>
              <w:top w:val="single" w:color="auto" w:sz="12" w:space="0"/>
              <w:left w:val="nil"/>
              <w:bottom w:val="single" w:color="auto" w:sz="12" w:space="0"/>
              <w:right w:val="nil"/>
            </w:tcBorders>
            <w:vAlign w:val="center"/>
          </w:tcPr>
          <w:p w14:paraId="48B010A6">
            <w:pPr>
              <w:spacing w:line="360" w:lineRule="auto"/>
              <w:jc w:val="center"/>
              <w:rPr>
                <w:szCs w:val="21"/>
              </w:rPr>
            </w:pPr>
            <w:r>
              <w:t>Remarks</w:t>
            </w:r>
          </w:p>
        </w:tc>
      </w:tr>
      <w:tr w14:paraId="0396E0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59" w:type="dxa"/>
            <w:vMerge w:val="restart"/>
            <w:tcBorders>
              <w:top w:val="single" w:color="auto" w:sz="12" w:space="0"/>
              <w:left w:val="nil"/>
              <w:bottom w:val="nil"/>
              <w:right w:val="nil"/>
            </w:tcBorders>
            <w:vAlign w:val="center"/>
          </w:tcPr>
          <w:p w14:paraId="0DAC336C">
            <w:pPr>
              <w:spacing w:line="360" w:lineRule="auto"/>
              <w:jc w:val="center"/>
              <w:rPr>
                <w:szCs w:val="21"/>
              </w:rPr>
            </w:pPr>
            <w:r>
              <w:t>Tensile Performance</w:t>
            </w:r>
          </w:p>
        </w:tc>
        <w:tc>
          <w:tcPr>
            <w:tcW w:w="1535" w:type="dxa"/>
            <w:tcBorders>
              <w:top w:val="single" w:color="auto" w:sz="12" w:space="0"/>
              <w:left w:val="nil"/>
              <w:bottom w:val="nil"/>
              <w:right w:val="nil"/>
            </w:tcBorders>
            <w:vAlign w:val="center"/>
          </w:tcPr>
          <w:p w14:paraId="223D6418">
            <w:pPr>
              <w:spacing w:line="360" w:lineRule="auto"/>
              <w:jc w:val="center"/>
              <w:rPr>
                <w:szCs w:val="21"/>
              </w:rPr>
            </w:pPr>
            <w:r>
              <w:t>Tensile Performance Test</w:t>
            </w:r>
            <w:r>
              <w:tab/>
            </w:r>
            <w:r>
              <w:t>Elongation/%</w:t>
            </w:r>
          </w:p>
        </w:tc>
        <w:tc>
          <w:tcPr>
            <w:tcW w:w="1527" w:type="dxa"/>
            <w:tcBorders>
              <w:top w:val="single" w:color="auto" w:sz="12" w:space="0"/>
              <w:left w:val="nil"/>
              <w:bottom w:val="nil"/>
              <w:right w:val="nil"/>
            </w:tcBorders>
            <w:vAlign w:val="center"/>
          </w:tcPr>
          <w:p w14:paraId="2D40E4F9">
            <w:pPr>
              <w:spacing w:line="360" w:lineRule="auto"/>
              <w:jc w:val="center"/>
              <w:rPr>
                <w:szCs w:val="21"/>
              </w:rPr>
            </w:pPr>
            <w:r>
              <w:t>5 samples</w:t>
            </w:r>
            <w:r>
              <w:rPr>
                <w:szCs w:val="21"/>
              </w:rPr>
              <w:t xml:space="preserve"> 15.5~16.5</w:t>
            </w:r>
          </w:p>
        </w:tc>
        <w:tc>
          <w:tcPr>
            <w:tcW w:w="2879" w:type="dxa"/>
            <w:tcBorders>
              <w:top w:val="single" w:color="auto" w:sz="12" w:space="0"/>
              <w:left w:val="nil"/>
              <w:bottom w:val="nil"/>
              <w:right w:val="nil"/>
            </w:tcBorders>
            <w:vAlign w:val="center"/>
          </w:tcPr>
          <w:p w14:paraId="2D9CFCF3">
            <w:pPr>
              <w:spacing w:line="360" w:lineRule="auto"/>
              <w:jc w:val="center"/>
              <w:rPr>
                <w:szCs w:val="21"/>
              </w:rPr>
            </w:pPr>
            <w:r>
              <w:rPr>
                <w:kern w:val="0"/>
                <w:szCs w:val="21"/>
              </w:rPr>
              <w:t>≥</w:t>
            </w:r>
            <w:r>
              <w:rPr>
                <w:szCs w:val="21"/>
              </w:rPr>
              <w:t>15</w:t>
            </w:r>
          </w:p>
        </w:tc>
        <w:tc>
          <w:tcPr>
            <w:tcW w:w="1553" w:type="dxa"/>
            <w:vMerge w:val="restart"/>
            <w:tcBorders>
              <w:top w:val="single" w:color="auto" w:sz="12" w:space="0"/>
              <w:left w:val="nil"/>
              <w:bottom w:val="nil"/>
              <w:right w:val="nil"/>
            </w:tcBorders>
            <w:vAlign w:val="center"/>
          </w:tcPr>
          <w:p w14:paraId="7AA0BD9B">
            <w:pPr>
              <w:spacing w:line="360" w:lineRule="auto"/>
              <w:jc w:val="center"/>
              <w:rPr>
                <w:szCs w:val="21"/>
              </w:rPr>
            </w:pPr>
            <w:r>
              <w:rPr>
                <w:rFonts w:hint="eastAsia"/>
              </w:rPr>
              <w:t>Mandatory indicator</w:t>
            </w:r>
          </w:p>
        </w:tc>
      </w:tr>
      <w:tr w14:paraId="32A7FF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top w:val="single" w:color="auto" w:sz="12" w:space="0"/>
              <w:left w:val="nil"/>
              <w:bottom w:val="nil"/>
              <w:right w:val="nil"/>
            </w:tcBorders>
            <w:vAlign w:val="center"/>
          </w:tcPr>
          <w:p w14:paraId="4E2FEF82">
            <w:pPr>
              <w:widowControl/>
              <w:jc w:val="left"/>
              <w:rPr>
                <w:szCs w:val="21"/>
              </w:rPr>
            </w:pPr>
          </w:p>
        </w:tc>
        <w:tc>
          <w:tcPr>
            <w:tcW w:w="1535" w:type="dxa"/>
            <w:tcBorders>
              <w:top w:val="nil"/>
              <w:left w:val="nil"/>
              <w:bottom w:val="nil"/>
              <w:right w:val="nil"/>
            </w:tcBorders>
            <w:vAlign w:val="center"/>
          </w:tcPr>
          <w:p w14:paraId="200439FA">
            <w:pPr>
              <w:spacing w:line="360" w:lineRule="auto"/>
              <w:jc w:val="center"/>
              <w:rPr>
                <w:szCs w:val="21"/>
              </w:rPr>
            </w:pPr>
            <w:r>
              <w:t>Strength/MPa</w:t>
            </w:r>
          </w:p>
        </w:tc>
        <w:tc>
          <w:tcPr>
            <w:tcW w:w="1527" w:type="dxa"/>
            <w:tcBorders>
              <w:top w:val="nil"/>
              <w:left w:val="nil"/>
              <w:bottom w:val="nil"/>
              <w:right w:val="nil"/>
            </w:tcBorders>
            <w:vAlign w:val="center"/>
          </w:tcPr>
          <w:p w14:paraId="38186B17">
            <w:pPr>
              <w:spacing w:line="360" w:lineRule="auto"/>
              <w:jc w:val="center"/>
              <w:rPr>
                <w:szCs w:val="21"/>
              </w:rPr>
            </w:pPr>
            <w:r>
              <w:t>5 samples</w:t>
            </w:r>
            <w:r>
              <w:rPr>
                <w:szCs w:val="21"/>
              </w:rPr>
              <w:t xml:space="preserve"> 865~875</w:t>
            </w:r>
          </w:p>
        </w:tc>
        <w:tc>
          <w:tcPr>
            <w:tcW w:w="2879" w:type="dxa"/>
            <w:tcBorders>
              <w:top w:val="nil"/>
              <w:left w:val="nil"/>
              <w:bottom w:val="nil"/>
              <w:right w:val="nil"/>
            </w:tcBorders>
            <w:vAlign w:val="center"/>
          </w:tcPr>
          <w:p w14:paraId="1BD12C65">
            <w:pPr>
              <w:spacing w:line="360" w:lineRule="auto"/>
              <w:jc w:val="center"/>
              <w:rPr>
                <w:szCs w:val="21"/>
              </w:rPr>
            </w:pPr>
            <w:r>
              <w:rPr>
                <w:kern w:val="0"/>
                <w:szCs w:val="21"/>
              </w:rPr>
              <w:t>≥</w:t>
            </w:r>
            <w:r>
              <w:rPr>
                <w:szCs w:val="21"/>
              </w:rPr>
              <w:t>689</w:t>
            </w:r>
          </w:p>
        </w:tc>
        <w:tc>
          <w:tcPr>
            <w:tcW w:w="0" w:type="auto"/>
            <w:vMerge w:val="continue"/>
            <w:tcBorders>
              <w:top w:val="single" w:color="auto" w:sz="12" w:space="0"/>
              <w:left w:val="nil"/>
              <w:bottom w:val="nil"/>
              <w:right w:val="nil"/>
            </w:tcBorders>
            <w:vAlign w:val="center"/>
          </w:tcPr>
          <w:p w14:paraId="42A0ECC4">
            <w:pPr>
              <w:widowControl/>
              <w:jc w:val="left"/>
              <w:rPr>
                <w:szCs w:val="21"/>
              </w:rPr>
            </w:pPr>
          </w:p>
        </w:tc>
      </w:tr>
      <w:tr w14:paraId="1BE9BB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top w:val="single" w:color="auto" w:sz="12" w:space="0"/>
              <w:left w:val="nil"/>
              <w:bottom w:val="nil"/>
              <w:right w:val="nil"/>
            </w:tcBorders>
            <w:vAlign w:val="center"/>
          </w:tcPr>
          <w:p w14:paraId="71FD26D1">
            <w:pPr>
              <w:widowControl/>
              <w:jc w:val="left"/>
              <w:rPr>
                <w:szCs w:val="21"/>
              </w:rPr>
            </w:pPr>
          </w:p>
        </w:tc>
        <w:tc>
          <w:tcPr>
            <w:tcW w:w="1535" w:type="dxa"/>
            <w:tcBorders>
              <w:top w:val="nil"/>
              <w:left w:val="nil"/>
              <w:bottom w:val="nil"/>
              <w:right w:val="nil"/>
            </w:tcBorders>
            <w:vAlign w:val="center"/>
          </w:tcPr>
          <w:p w14:paraId="17C7266D">
            <w:pPr>
              <w:spacing w:line="360" w:lineRule="auto"/>
              <w:jc w:val="center"/>
              <w:rPr>
                <w:szCs w:val="21"/>
              </w:rPr>
            </w:pPr>
            <w:r>
              <w:t>Strength/MPa</w:t>
            </w:r>
          </w:p>
        </w:tc>
        <w:tc>
          <w:tcPr>
            <w:tcW w:w="1527" w:type="dxa"/>
            <w:tcBorders>
              <w:top w:val="nil"/>
              <w:left w:val="nil"/>
              <w:bottom w:val="nil"/>
              <w:right w:val="nil"/>
            </w:tcBorders>
            <w:vAlign w:val="center"/>
          </w:tcPr>
          <w:p w14:paraId="50A1C278">
            <w:pPr>
              <w:spacing w:line="360" w:lineRule="auto"/>
              <w:jc w:val="center"/>
              <w:rPr>
                <w:szCs w:val="21"/>
              </w:rPr>
            </w:pPr>
            <w:r>
              <w:t>5 samples</w:t>
            </w:r>
            <w:r>
              <w:rPr>
                <w:szCs w:val="21"/>
              </w:rPr>
              <w:t xml:space="preserve"> 610~650</w:t>
            </w:r>
          </w:p>
        </w:tc>
        <w:tc>
          <w:tcPr>
            <w:tcW w:w="2879" w:type="dxa"/>
            <w:tcBorders>
              <w:top w:val="nil"/>
              <w:left w:val="nil"/>
              <w:bottom w:val="nil"/>
              <w:right w:val="nil"/>
            </w:tcBorders>
            <w:vAlign w:val="center"/>
          </w:tcPr>
          <w:p w14:paraId="68AE5F2A">
            <w:pPr>
              <w:spacing w:line="360" w:lineRule="auto"/>
              <w:jc w:val="center"/>
              <w:rPr>
                <w:szCs w:val="21"/>
              </w:rPr>
            </w:pPr>
            <w:r>
              <w:rPr>
                <w:szCs w:val="21"/>
              </w:rPr>
              <w:t>552~758</w:t>
            </w:r>
          </w:p>
        </w:tc>
        <w:tc>
          <w:tcPr>
            <w:tcW w:w="0" w:type="auto"/>
            <w:vMerge w:val="continue"/>
            <w:tcBorders>
              <w:top w:val="single" w:color="auto" w:sz="12" w:space="0"/>
              <w:left w:val="nil"/>
              <w:bottom w:val="nil"/>
              <w:right w:val="nil"/>
            </w:tcBorders>
            <w:vAlign w:val="center"/>
          </w:tcPr>
          <w:p w14:paraId="0485CBD7">
            <w:pPr>
              <w:widowControl/>
              <w:jc w:val="left"/>
              <w:rPr>
                <w:szCs w:val="21"/>
              </w:rPr>
            </w:pPr>
          </w:p>
        </w:tc>
      </w:tr>
      <w:tr w14:paraId="64C832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59" w:type="dxa"/>
            <w:vMerge w:val="restart"/>
            <w:tcBorders>
              <w:top w:val="nil"/>
              <w:left w:val="nil"/>
              <w:bottom w:val="single" w:color="auto" w:sz="12" w:space="0"/>
              <w:right w:val="nil"/>
            </w:tcBorders>
            <w:vAlign w:val="center"/>
          </w:tcPr>
          <w:p w14:paraId="70BA4B59">
            <w:pPr>
              <w:spacing w:line="360" w:lineRule="auto"/>
              <w:jc w:val="center"/>
              <w:rPr>
                <w:szCs w:val="21"/>
              </w:rPr>
            </w:pPr>
          </w:p>
        </w:tc>
        <w:tc>
          <w:tcPr>
            <w:tcW w:w="1535" w:type="dxa"/>
            <w:tcBorders>
              <w:top w:val="nil"/>
              <w:left w:val="nil"/>
              <w:bottom w:val="nil"/>
              <w:right w:val="nil"/>
            </w:tcBorders>
            <w:vAlign w:val="center"/>
          </w:tcPr>
          <w:p w14:paraId="35E97CCF">
            <w:pPr>
              <w:spacing w:line="360" w:lineRule="auto"/>
              <w:jc w:val="center"/>
              <w:rPr>
                <w:szCs w:val="21"/>
              </w:rPr>
            </w:pPr>
            <w:r>
              <w:rPr>
                <w:rFonts w:hint="eastAsia"/>
              </w:rPr>
              <w:t>1/2 size longitudinal Charpy impact energy/J</w:t>
            </w:r>
          </w:p>
        </w:tc>
        <w:tc>
          <w:tcPr>
            <w:tcW w:w="1527" w:type="dxa"/>
            <w:tcBorders>
              <w:top w:val="nil"/>
              <w:left w:val="nil"/>
              <w:bottom w:val="nil"/>
              <w:right w:val="nil"/>
            </w:tcBorders>
            <w:vAlign w:val="center"/>
          </w:tcPr>
          <w:p w14:paraId="5965E531">
            <w:pPr>
              <w:spacing w:line="360" w:lineRule="auto"/>
              <w:jc w:val="center"/>
              <w:rPr>
                <w:szCs w:val="21"/>
              </w:rPr>
            </w:pPr>
            <w:r>
              <w:rPr>
                <w:rFonts w:hint="eastAsia"/>
              </w:rPr>
              <w:t>3 samples were 6, 12, 14</w:t>
            </w:r>
          </w:p>
        </w:tc>
        <w:tc>
          <w:tcPr>
            <w:tcW w:w="2879" w:type="dxa"/>
            <w:tcBorders>
              <w:top w:val="nil"/>
              <w:left w:val="nil"/>
              <w:bottom w:val="nil"/>
              <w:right w:val="nil"/>
            </w:tcBorders>
            <w:vAlign w:val="center"/>
          </w:tcPr>
          <w:p w14:paraId="35167A65">
            <w:pPr>
              <w:spacing w:line="360" w:lineRule="auto"/>
              <w:jc w:val="center"/>
              <w:rPr>
                <w:szCs w:val="21"/>
              </w:rPr>
            </w:pPr>
            <w:r>
              <w:rPr>
                <w:rFonts w:hint="eastAsia"/>
              </w:rPr>
              <w:t>≥15, 1 sample's result below the specified minimum impact absorption energy is allowed in any condition, but not less than 2/3 of the minimum required impact absorption energy</w:t>
            </w:r>
          </w:p>
        </w:tc>
        <w:tc>
          <w:tcPr>
            <w:tcW w:w="1553" w:type="dxa"/>
            <w:vMerge w:val="restart"/>
            <w:tcBorders>
              <w:top w:val="nil"/>
              <w:left w:val="nil"/>
              <w:bottom w:val="single" w:color="auto" w:sz="12" w:space="0"/>
              <w:right w:val="nil"/>
            </w:tcBorders>
            <w:vAlign w:val="center"/>
          </w:tcPr>
          <w:p w14:paraId="3A623641">
            <w:pPr>
              <w:spacing w:line="360" w:lineRule="auto"/>
              <w:jc w:val="center"/>
              <w:rPr>
                <w:szCs w:val="21"/>
              </w:rPr>
            </w:pPr>
            <w:r>
              <w:rPr>
                <w:rFonts w:hint="eastAsia"/>
              </w:rPr>
              <w:t>Non-manda</w:t>
            </w:r>
            <w:r>
              <w:t>tory indicator</w:t>
            </w:r>
          </w:p>
        </w:tc>
      </w:tr>
      <w:tr w14:paraId="0665BB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top w:val="nil"/>
              <w:left w:val="nil"/>
              <w:bottom w:val="single" w:color="auto" w:sz="12" w:space="0"/>
              <w:right w:val="nil"/>
            </w:tcBorders>
            <w:vAlign w:val="center"/>
          </w:tcPr>
          <w:p w14:paraId="6F589914">
            <w:pPr>
              <w:widowControl/>
              <w:jc w:val="left"/>
              <w:rPr>
                <w:szCs w:val="21"/>
              </w:rPr>
            </w:pPr>
          </w:p>
        </w:tc>
        <w:tc>
          <w:tcPr>
            <w:tcW w:w="1535" w:type="dxa"/>
            <w:tcBorders>
              <w:top w:val="nil"/>
              <w:left w:val="nil"/>
              <w:bottom w:val="single" w:color="auto" w:sz="12" w:space="0"/>
              <w:right w:val="nil"/>
            </w:tcBorders>
            <w:vAlign w:val="center"/>
          </w:tcPr>
          <w:p w14:paraId="34F58290">
            <w:pPr>
              <w:spacing w:line="360" w:lineRule="auto"/>
              <w:jc w:val="center"/>
              <w:rPr>
                <w:szCs w:val="21"/>
              </w:rPr>
            </w:pPr>
            <w:r>
              <w:rPr>
                <w:szCs w:val="21"/>
              </w:rPr>
              <w:t>KIC/(m</w:t>
            </w:r>
            <w:r>
              <w:rPr>
                <w:rFonts w:hint="eastAsia"/>
                <w:szCs w:val="21"/>
              </w:rPr>
              <w:t>·</w:t>
            </w:r>
            <w:r>
              <w:rPr>
                <w:szCs w:val="21"/>
              </w:rPr>
              <w:t>Mpa)</w:t>
            </w:r>
          </w:p>
        </w:tc>
        <w:tc>
          <w:tcPr>
            <w:tcW w:w="1527" w:type="dxa"/>
            <w:tcBorders>
              <w:top w:val="nil"/>
              <w:left w:val="nil"/>
              <w:bottom w:val="single" w:color="auto" w:sz="12" w:space="0"/>
              <w:right w:val="nil"/>
            </w:tcBorders>
            <w:vAlign w:val="center"/>
          </w:tcPr>
          <w:p w14:paraId="499E902D">
            <w:pPr>
              <w:spacing w:line="360" w:lineRule="auto"/>
              <w:jc w:val="center"/>
              <w:rPr>
                <w:szCs w:val="21"/>
              </w:rPr>
            </w:pPr>
            <w:r>
              <w:rPr>
                <w:szCs w:val="21"/>
              </w:rPr>
              <w:t>≤46</w:t>
            </w:r>
          </w:p>
        </w:tc>
        <w:tc>
          <w:tcPr>
            <w:tcW w:w="2879" w:type="dxa"/>
            <w:tcBorders>
              <w:top w:val="nil"/>
              <w:left w:val="nil"/>
              <w:bottom w:val="single" w:color="auto" w:sz="12" w:space="0"/>
              <w:right w:val="nil"/>
            </w:tcBorders>
            <w:vAlign w:val="center"/>
          </w:tcPr>
          <w:p w14:paraId="630DDB39">
            <w:pPr>
              <w:spacing w:line="360" w:lineRule="auto"/>
              <w:jc w:val="center"/>
              <w:rPr>
                <w:szCs w:val="21"/>
              </w:rPr>
            </w:pPr>
            <w:r>
              <w:rPr>
                <w:rFonts w:hint="eastAsia"/>
              </w:rPr>
              <w:t>No requirement</w:t>
            </w:r>
            <w:r>
              <w:rPr>
                <w:rFonts w:hint="eastAsia"/>
              </w:rPr>
              <w:tab/>
            </w:r>
          </w:p>
        </w:tc>
        <w:tc>
          <w:tcPr>
            <w:tcW w:w="0" w:type="auto"/>
            <w:vMerge w:val="continue"/>
            <w:tcBorders>
              <w:top w:val="nil"/>
              <w:left w:val="nil"/>
              <w:bottom w:val="single" w:color="auto" w:sz="12" w:space="0"/>
              <w:right w:val="nil"/>
            </w:tcBorders>
            <w:vAlign w:val="center"/>
          </w:tcPr>
          <w:p w14:paraId="25A0017C">
            <w:pPr>
              <w:widowControl/>
              <w:jc w:val="left"/>
              <w:rPr>
                <w:szCs w:val="21"/>
              </w:rPr>
            </w:pPr>
          </w:p>
        </w:tc>
      </w:tr>
    </w:tbl>
    <w:p w14:paraId="7E2AFAE6">
      <w:pPr>
        <w:pStyle w:val="16"/>
        <w:spacing w:before="31" w:after="31"/>
        <w:ind w:firstLine="0" w:firstLineChars="0"/>
        <w:jc w:val="left"/>
        <w:rPr>
          <w:szCs w:val="24"/>
        </w:rPr>
      </w:pPr>
      <w:r>
        <w:rPr>
          <w:szCs w:val="24"/>
        </w:rPr>
        <w:t>(5) Component Failure Morphology</w:t>
      </w:r>
    </w:p>
    <w:p w14:paraId="51E84915">
      <w:pPr>
        <w:pStyle w:val="16"/>
        <w:spacing w:before="31" w:after="31"/>
        <w:ind w:firstLine="480"/>
        <w:jc w:val="left"/>
        <w:rPr>
          <w:szCs w:val="24"/>
        </w:rPr>
      </w:pPr>
      <w:r>
        <w:rPr>
          <w:szCs w:val="24"/>
        </w:rPr>
        <w:t>Figure 5-8.3 illustrates the secondary crack propagation mode of the failed casing. The crack propagation appears to be transgranular fracture, indicating strong brittleness of the pearlite structure, typical of brittle fracture cracks.</w:t>
      </w:r>
    </w:p>
    <w:p w14:paraId="57488A76">
      <w:pPr>
        <w:pStyle w:val="16"/>
        <w:spacing w:before="31" w:after="31"/>
        <w:ind w:firstLine="480"/>
        <w:jc w:val="left"/>
        <w:rPr>
          <w:szCs w:val="24"/>
        </w:rPr>
      </w:pPr>
    </w:p>
    <w:p w14:paraId="14F4B6EC">
      <w:pPr>
        <w:pStyle w:val="16"/>
        <w:spacing w:before="31" w:after="31"/>
        <w:ind w:firstLine="480"/>
        <w:jc w:val="left"/>
        <w:rPr>
          <w:szCs w:val="24"/>
        </w:rPr>
      </w:pPr>
      <w:r>
        <w:rPr>
          <w:szCs w:val="24"/>
        </w:rPr>
        <w:t>Figure 5-8.3 Macroscopic morphology of the failed casing fracture surface</w:t>
      </w:r>
    </w:p>
    <w:p w14:paraId="0B1A3E59">
      <w:pPr>
        <w:pStyle w:val="16"/>
        <w:spacing w:before="31" w:after="31"/>
        <w:ind w:firstLine="0" w:firstLineChars="0"/>
        <w:jc w:val="left"/>
        <w:rPr>
          <w:szCs w:val="24"/>
        </w:rPr>
      </w:pPr>
      <w:r>
        <w:rPr>
          <w:szCs w:val="24"/>
        </w:rPr>
        <w:t>(6) Analysis of Failure Causes</w:t>
      </w:r>
    </w:p>
    <w:p w14:paraId="08D6A22B">
      <w:pPr>
        <w:pStyle w:val="16"/>
        <w:spacing w:before="31" w:after="31"/>
        <w:ind w:firstLine="480"/>
        <w:jc w:val="left"/>
        <w:rPr>
          <w:szCs w:val="24"/>
        </w:rPr>
      </w:pPr>
      <w:r>
        <w:rPr>
          <w:szCs w:val="24"/>
        </w:rPr>
        <w:t>The results of the chemical composition analysis indicated that the average chemical composition of the failed casing met the requirements of API Spec 5CT, but there was uneven distribution of local chemical composition on the pipe wall. The S content on the inner side of the grain and the inner wall of the pipe was higher, leading to localized degradation and potential loss of material properties.</w:t>
      </w:r>
    </w:p>
    <w:p w14:paraId="0E4BA09E">
      <w:pPr>
        <w:pStyle w:val="16"/>
        <w:spacing w:before="31" w:after="31"/>
        <w:ind w:firstLine="480"/>
        <w:jc w:val="left"/>
        <w:rPr>
          <w:szCs w:val="24"/>
        </w:rPr>
      </w:pPr>
      <w:r>
        <w:rPr>
          <w:szCs w:val="24"/>
        </w:rPr>
        <w:t>The tensile and elongation properties of the failed casing material met the mandatory requirements of API Spec 5CT. However, the low impact toughness indicated by the Charpy impact test results suggested that the casing lacked sufficient toughness to resist impact loads during its service life.</w:t>
      </w:r>
    </w:p>
    <w:p w14:paraId="4CAA1D19">
      <w:pPr>
        <w:pStyle w:val="16"/>
        <w:spacing w:before="31" w:after="31"/>
        <w:ind w:firstLine="480"/>
        <w:jc w:val="left"/>
        <w:rPr>
          <w:szCs w:val="24"/>
        </w:rPr>
      </w:pPr>
      <w:r>
        <w:rPr>
          <w:szCs w:val="24"/>
        </w:rPr>
        <w:t>The large grain size and average grain size below 4-5 levels, combined with a microstructure of pearlite and reticular ferrite, indicated poor toughness of the material. The comprehensive analysis showed that the failure was mainly related to the material itself, with issues in chemical composition, microstructure, and mechanical properties. These factors led to defects in the quality of the casing, making it unsuitable for the actual environmental conditions during production and ultimately resulting in pipeline failure and accidents.</w:t>
      </w:r>
    </w:p>
    <w:p w14:paraId="1E678002">
      <w:pPr>
        <w:pStyle w:val="16"/>
        <w:spacing w:before="31" w:after="31"/>
        <w:ind w:firstLine="0" w:firstLineChars="0"/>
        <w:rPr>
          <w:szCs w:val="24"/>
        </w:rPr>
      </w:pPr>
      <w:r>
        <w:rPr>
          <w:szCs w:val="24"/>
        </w:rPr>
        <w:t>(7) Impact and Harm Caused</w:t>
      </w:r>
    </w:p>
    <w:p w14:paraId="03A68E5E">
      <w:pPr>
        <w:pStyle w:val="16"/>
        <w:spacing w:before="31" w:after="31"/>
        <w:ind w:firstLine="420" w:firstLineChars="0"/>
        <w:rPr>
          <w:szCs w:val="24"/>
        </w:rPr>
      </w:pPr>
      <w:r>
        <w:rPr>
          <w:szCs w:val="24"/>
        </w:rPr>
        <w:t>Null</w:t>
      </w:r>
    </w:p>
    <w:p w14:paraId="5306294D">
      <w:pPr>
        <w:pStyle w:val="16"/>
        <w:spacing w:before="31" w:after="31"/>
        <w:ind w:firstLine="0" w:firstLineChars="0"/>
        <w:jc w:val="left"/>
        <w:rPr>
          <w:szCs w:val="24"/>
        </w:rPr>
      </w:pPr>
      <w:r>
        <w:rPr>
          <w:szCs w:val="24"/>
        </w:rPr>
        <w:t>(8) Conclusion and Improvement Measures</w:t>
      </w:r>
    </w:p>
    <w:p w14:paraId="2E6B588C">
      <w:pPr>
        <w:pStyle w:val="16"/>
        <w:spacing w:before="31" w:after="31"/>
        <w:ind w:firstLine="480"/>
        <w:jc w:val="left"/>
        <w:rPr>
          <w:szCs w:val="24"/>
        </w:rPr>
      </w:pPr>
      <w:r>
        <w:rPr>
          <w:szCs w:val="24"/>
        </w:rPr>
        <w:t>The cause of the casing failure was attributed to defects in the material itself, leading to quality issues and subsequent failure in the actual environment. Therefore, controlling the production process of the casing is a necessary measure to ensure its quality. Additionally, relevant standards should impose mandatory requirements and specifications on the important performance parameters of the material.</w:t>
      </w:r>
    </w:p>
    <w:p w14:paraId="55C52539">
      <w:pPr>
        <w:pStyle w:val="16"/>
        <w:spacing w:before="31" w:after="31"/>
        <w:ind w:firstLine="0" w:firstLineChars="0"/>
        <w:jc w:val="left"/>
        <w:rPr>
          <w:b/>
          <w:bCs/>
          <w:szCs w:val="24"/>
        </w:rPr>
      </w:pPr>
      <w:r>
        <w:rPr>
          <w:b/>
          <w:bCs/>
          <w:szCs w:val="24"/>
        </w:rPr>
        <w:t>5.2.9 Case 5-9: Penetration Failure of S135 Drill Pipe Body</w:t>
      </w:r>
    </w:p>
    <w:p w14:paraId="0731F23F">
      <w:pPr>
        <w:pStyle w:val="16"/>
        <w:spacing w:before="31" w:after="31"/>
        <w:ind w:firstLine="0" w:firstLineChars="0"/>
        <w:jc w:val="left"/>
        <w:rPr>
          <w:szCs w:val="24"/>
        </w:rPr>
      </w:pPr>
      <w:r>
        <w:rPr>
          <w:szCs w:val="24"/>
        </w:rPr>
        <w:t>(1) Case Name</w:t>
      </w:r>
    </w:p>
    <w:p w14:paraId="22271C00">
      <w:pPr>
        <w:pStyle w:val="16"/>
        <w:spacing w:before="31" w:after="31"/>
        <w:ind w:firstLine="480"/>
        <w:jc w:val="left"/>
        <w:rPr>
          <w:szCs w:val="24"/>
        </w:rPr>
      </w:pPr>
      <w:r>
        <w:rPr>
          <w:szCs w:val="24"/>
        </w:rPr>
        <w:t>Penetration Failure of S135 Drill Pipe Body [11]</w:t>
      </w:r>
    </w:p>
    <w:p w14:paraId="5169FFEB">
      <w:pPr>
        <w:pStyle w:val="16"/>
        <w:spacing w:before="31" w:after="31"/>
        <w:ind w:firstLine="0" w:firstLineChars="0"/>
        <w:jc w:val="left"/>
        <w:rPr>
          <w:szCs w:val="24"/>
        </w:rPr>
      </w:pPr>
      <w:r>
        <w:rPr>
          <w:szCs w:val="24"/>
        </w:rPr>
        <w:t>(2) Description of Failure Process</w:t>
      </w:r>
    </w:p>
    <w:p w14:paraId="6A8BC4FE">
      <w:pPr>
        <w:pStyle w:val="16"/>
        <w:spacing w:before="31" w:after="31"/>
        <w:ind w:firstLine="480"/>
        <w:jc w:val="left"/>
        <w:rPr>
          <w:szCs w:val="24"/>
        </w:rPr>
      </w:pPr>
      <w:r>
        <w:rPr>
          <w:szCs w:val="24"/>
        </w:rPr>
        <w:t>In 2008, a batch of new Ф127mm×9.19mm S135 drill pipes was used for drilling operations on a marine platform. When drilling reached a depth of 2159m, the pump pressure suddenly dropped from 11MPa to 9MPa. Subsequent inspection of the mud pump found no abnormalities in the liner, piston, or valves. After cleaning the high and low-pressure suction chambers, only a small amount of debris was found, which was not the main cause of the pump pressure drop. After inspection, the mud pump flow rate was increased to 157.5 L/min, with a pressure of 11.7~12.4MPa. Drilling continued to 2183m, where the pressure dropped from 11.7MPa to 9.6MPa, prompting the cessation of drilling. The mud pump was pressure tested at 17.2MPa for 5 minutes, and the results were satisfactory. The situation was reported to the supervisory team, and the decision was made to pull out the drill string. Upon reaching 37 stands, it was discovered that the drill pipe body had been punctured. The puncture point was 725mm from the internal thread end face, and the puncture depth was 803.07m (at a depth of 1936m for the Ф244.5mm casing shoe). The S135 drill</w:t>
      </w:r>
    </w:p>
    <w:p w14:paraId="48D74360">
      <w:pPr>
        <w:pStyle w:val="16"/>
        <w:spacing w:before="31" w:after="31"/>
        <w:ind w:firstLine="480"/>
        <w:jc w:val="left"/>
        <w:rPr>
          <w:szCs w:val="24"/>
        </w:rPr>
      </w:pPr>
      <w:r>
        <w:rPr>
          <w:szCs w:val="24"/>
        </w:rPr>
        <w:t>pipe body was fractured into two sections, with the upper section containing the drill collar and the lower section containing the remaining drill pipes. The fractured end face was irregular and rough, with obvious deformation. The inner wall exhibited radial tearing, with jagged edges and obvious metal flow patterns. The puncture point was elongated, with an elliptical shape.</w:t>
      </w:r>
    </w:p>
    <w:p w14:paraId="4F3F25C1">
      <w:pPr>
        <w:pStyle w:val="16"/>
        <w:spacing w:before="31" w:after="31"/>
        <w:ind w:firstLine="0" w:firstLineChars="0"/>
        <w:rPr>
          <w:szCs w:val="24"/>
        </w:rPr>
      </w:pPr>
      <w:r>
        <w:rPr>
          <w:szCs w:val="24"/>
        </w:rPr>
        <w:t>(3) Service Environment:</w:t>
      </w:r>
    </w:p>
    <w:p w14:paraId="449843D7">
      <w:pPr>
        <w:pStyle w:val="16"/>
        <w:spacing w:before="31" w:after="31"/>
        <w:ind w:firstLine="420" w:firstLineChars="0"/>
        <w:rPr>
          <w:szCs w:val="24"/>
        </w:rPr>
      </w:pPr>
      <w:r>
        <w:rPr>
          <w:szCs w:val="24"/>
        </w:rPr>
        <w:t>Null</w:t>
      </w:r>
    </w:p>
    <w:p w14:paraId="50609B70">
      <w:pPr>
        <w:pStyle w:val="16"/>
        <w:spacing w:before="31" w:after="31"/>
        <w:ind w:firstLine="0" w:firstLineChars="0"/>
        <w:jc w:val="left"/>
        <w:rPr>
          <w:szCs w:val="24"/>
        </w:rPr>
      </w:pPr>
      <w:r>
        <w:rPr>
          <w:szCs w:val="24"/>
        </w:rPr>
        <w:t>(4) Failed Components and Materials</w:t>
      </w:r>
    </w:p>
    <w:p w14:paraId="2537FE0B">
      <w:pPr>
        <w:pStyle w:val="16"/>
        <w:spacing w:before="31" w:after="31"/>
        <w:ind w:firstLine="480"/>
        <w:jc w:val="left"/>
        <w:rPr>
          <w:szCs w:val="24"/>
        </w:rPr>
      </w:pPr>
      <w:r>
        <w:rPr>
          <w:szCs w:val="24"/>
        </w:rPr>
        <w:t>The failed S135 drill pipe body material was made of 30CrMnSiA steel. The chemical composition analysis results are shown in Table 5-13. The mechanical properties of the material met the requirements of API Spec 7-1.</w:t>
      </w:r>
    </w:p>
    <w:p w14:paraId="262C66E9">
      <w:pPr>
        <w:pStyle w:val="16"/>
        <w:spacing w:before="31" w:after="31"/>
        <w:ind w:firstLine="482"/>
        <w:jc w:val="center"/>
        <w:rPr>
          <w:b/>
          <w:bCs/>
          <w:szCs w:val="24"/>
        </w:rPr>
      </w:pPr>
      <w:r>
        <w:rPr>
          <w:b/>
          <w:bCs/>
          <w:szCs w:val="24"/>
        </w:rPr>
        <w:t>Table 5-13 Chemical composition analysis results</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68"/>
        <w:gridCol w:w="584"/>
        <w:gridCol w:w="794"/>
        <w:gridCol w:w="794"/>
        <w:gridCol w:w="804"/>
        <w:gridCol w:w="804"/>
        <w:gridCol w:w="584"/>
        <w:gridCol w:w="689"/>
        <w:gridCol w:w="689"/>
        <w:gridCol w:w="794"/>
      </w:tblGrid>
      <w:tr w14:paraId="329844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8" w:type="dxa"/>
            <w:tcBorders>
              <w:top w:val="single" w:color="auto" w:sz="12" w:space="0"/>
              <w:left w:val="nil"/>
              <w:bottom w:val="single" w:color="auto" w:sz="12" w:space="0"/>
              <w:right w:val="nil"/>
            </w:tcBorders>
            <w:vAlign w:val="center"/>
          </w:tcPr>
          <w:p w14:paraId="78D1F657">
            <w:pPr>
              <w:autoSpaceDE w:val="0"/>
              <w:autoSpaceDN w:val="0"/>
              <w:adjustRightInd w:val="0"/>
              <w:spacing w:line="360" w:lineRule="auto"/>
              <w:jc w:val="center"/>
              <w:rPr>
                <w:rFonts w:cs="宋体"/>
                <w:kern w:val="0"/>
                <w:szCs w:val="21"/>
              </w:rPr>
            </w:pPr>
            <w:r>
              <w:t>Element</w:t>
            </w:r>
          </w:p>
        </w:tc>
        <w:tc>
          <w:tcPr>
            <w:tcW w:w="584" w:type="dxa"/>
            <w:tcBorders>
              <w:top w:val="single" w:color="auto" w:sz="12" w:space="0"/>
              <w:left w:val="nil"/>
              <w:bottom w:val="single" w:color="auto" w:sz="12" w:space="0"/>
              <w:right w:val="nil"/>
            </w:tcBorders>
            <w:vAlign w:val="center"/>
          </w:tcPr>
          <w:p w14:paraId="29E46EC7">
            <w:pPr>
              <w:autoSpaceDE w:val="0"/>
              <w:autoSpaceDN w:val="0"/>
              <w:adjustRightInd w:val="0"/>
              <w:spacing w:line="360" w:lineRule="auto"/>
              <w:jc w:val="center"/>
              <w:rPr>
                <w:rFonts w:cs="宋体"/>
                <w:kern w:val="0"/>
                <w:szCs w:val="21"/>
              </w:rPr>
            </w:pPr>
            <w:r>
              <w:rPr>
                <w:rFonts w:cs="宋体"/>
                <w:kern w:val="0"/>
                <w:szCs w:val="21"/>
              </w:rPr>
              <w:t>C</w:t>
            </w:r>
          </w:p>
        </w:tc>
        <w:tc>
          <w:tcPr>
            <w:tcW w:w="794" w:type="dxa"/>
            <w:tcBorders>
              <w:top w:val="single" w:color="auto" w:sz="12" w:space="0"/>
              <w:left w:val="nil"/>
              <w:bottom w:val="single" w:color="auto" w:sz="12" w:space="0"/>
              <w:right w:val="nil"/>
            </w:tcBorders>
            <w:vAlign w:val="center"/>
          </w:tcPr>
          <w:p w14:paraId="3B7A95D8">
            <w:pPr>
              <w:autoSpaceDE w:val="0"/>
              <w:autoSpaceDN w:val="0"/>
              <w:adjustRightInd w:val="0"/>
              <w:spacing w:line="360" w:lineRule="auto"/>
              <w:jc w:val="center"/>
              <w:rPr>
                <w:rFonts w:cs="宋体"/>
                <w:kern w:val="0"/>
                <w:szCs w:val="21"/>
              </w:rPr>
            </w:pPr>
            <w:r>
              <w:rPr>
                <w:rFonts w:cs="宋体"/>
                <w:kern w:val="0"/>
                <w:szCs w:val="21"/>
              </w:rPr>
              <w:t>Si</w:t>
            </w:r>
          </w:p>
        </w:tc>
        <w:tc>
          <w:tcPr>
            <w:tcW w:w="794" w:type="dxa"/>
            <w:tcBorders>
              <w:top w:val="single" w:color="auto" w:sz="12" w:space="0"/>
              <w:left w:val="nil"/>
              <w:bottom w:val="single" w:color="auto" w:sz="12" w:space="0"/>
              <w:right w:val="nil"/>
            </w:tcBorders>
            <w:vAlign w:val="center"/>
          </w:tcPr>
          <w:p w14:paraId="68D3593B">
            <w:pPr>
              <w:autoSpaceDE w:val="0"/>
              <w:autoSpaceDN w:val="0"/>
              <w:adjustRightInd w:val="0"/>
              <w:spacing w:line="360" w:lineRule="auto"/>
              <w:jc w:val="center"/>
              <w:rPr>
                <w:rFonts w:cs="宋体"/>
                <w:kern w:val="0"/>
                <w:szCs w:val="21"/>
              </w:rPr>
            </w:pPr>
            <w:r>
              <w:rPr>
                <w:rFonts w:cs="宋体"/>
                <w:kern w:val="0"/>
                <w:szCs w:val="21"/>
              </w:rPr>
              <w:t>Mn</w:t>
            </w:r>
          </w:p>
        </w:tc>
        <w:tc>
          <w:tcPr>
            <w:tcW w:w="804" w:type="dxa"/>
            <w:tcBorders>
              <w:top w:val="single" w:color="auto" w:sz="12" w:space="0"/>
              <w:left w:val="nil"/>
              <w:bottom w:val="single" w:color="auto" w:sz="12" w:space="0"/>
              <w:right w:val="nil"/>
            </w:tcBorders>
            <w:vAlign w:val="center"/>
          </w:tcPr>
          <w:p w14:paraId="0F131D81">
            <w:pPr>
              <w:autoSpaceDE w:val="0"/>
              <w:autoSpaceDN w:val="0"/>
              <w:adjustRightInd w:val="0"/>
              <w:spacing w:line="360" w:lineRule="auto"/>
              <w:jc w:val="center"/>
              <w:rPr>
                <w:rFonts w:cs="宋体"/>
                <w:kern w:val="0"/>
                <w:szCs w:val="21"/>
              </w:rPr>
            </w:pPr>
            <w:r>
              <w:rPr>
                <w:rFonts w:cs="宋体"/>
                <w:kern w:val="0"/>
                <w:szCs w:val="21"/>
              </w:rPr>
              <w:t>P</w:t>
            </w:r>
          </w:p>
        </w:tc>
        <w:tc>
          <w:tcPr>
            <w:tcW w:w="804" w:type="dxa"/>
            <w:tcBorders>
              <w:top w:val="single" w:color="auto" w:sz="12" w:space="0"/>
              <w:left w:val="nil"/>
              <w:bottom w:val="single" w:color="auto" w:sz="12" w:space="0"/>
              <w:right w:val="nil"/>
            </w:tcBorders>
            <w:vAlign w:val="center"/>
          </w:tcPr>
          <w:p w14:paraId="6B5F9502">
            <w:pPr>
              <w:autoSpaceDE w:val="0"/>
              <w:autoSpaceDN w:val="0"/>
              <w:adjustRightInd w:val="0"/>
              <w:spacing w:line="360" w:lineRule="auto"/>
              <w:jc w:val="center"/>
              <w:rPr>
                <w:rFonts w:cs="宋体"/>
                <w:kern w:val="0"/>
                <w:szCs w:val="21"/>
              </w:rPr>
            </w:pPr>
            <w:r>
              <w:rPr>
                <w:rFonts w:cs="宋体"/>
                <w:kern w:val="0"/>
                <w:szCs w:val="21"/>
              </w:rPr>
              <w:t>S</w:t>
            </w:r>
          </w:p>
        </w:tc>
        <w:tc>
          <w:tcPr>
            <w:tcW w:w="584" w:type="dxa"/>
            <w:tcBorders>
              <w:top w:val="single" w:color="auto" w:sz="12" w:space="0"/>
              <w:left w:val="nil"/>
              <w:bottom w:val="single" w:color="auto" w:sz="12" w:space="0"/>
              <w:right w:val="nil"/>
            </w:tcBorders>
            <w:vAlign w:val="center"/>
          </w:tcPr>
          <w:p w14:paraId="4CE461F1">
            <w:pPr>
              <w:autoSpaceDE w:val="0"/>
              <w:autoSpaceDN w:val="0"/>
              <w:adjustRightInd w:val="0"/>
              <w:spacing w:line="360" w:lineRule="auto"/>
              <w:jc w:val="center"/>
              <w:rPr>
                <w:rFonts w:cs="宋体"/>
                <w:kern w:val="0"/>
                <w:szCs w:val="21"/>
              </w:rPr>
            </w:pPr>
            <w:r>
              <w:rPr>
                <w:rFonts w:cs="宋体"/>
                <w:kern w:val="0"/>
                <w:szCs w:val="21"/>
              </w:rPr>
              <w:t>Cr</w:t>
            </w:r>
          </w:p>
        </w:tc>
        <w:tc>
          <w:tcPr>
            <w:tcW w:w="689" w:type="dxa"/>
            <w:tcBorders>
              <w:top w:val="single" w:color="auto" w:sz="12" w:space="0"/>
              <w:left w:val="nil"/>
              <w:bottom w:val="single" w:color="auto" w:sz="12" w:space="0"/>
              <w:right w:val="nil"/>
            </w:tcBorders>
            <w:vAlign w:val="center"/>
          </w:tcPr>
          <w:p w14:paraId="708E29E6">
            <w:pPr>
              <w:autoSpaceDE w:val="0"/>
              <w:autoSpaceDN w:val="0"/>
              <w:adjustRightInd w:val="0"/>
              <w:spacing w:line="360" w:lineRule="auto"/>
              <w:jc w:val="center"/>
              <w:rPr>
                <w:rFonts w:cs="宋体"/>
                <w:kern w:val="0"/>
                <w:szCs w:val="21"/>
              </w:rPr>
            </w:pPr>
            <w:r>
              <w:rPr>
                <w:rFonts w:cs="宋体"/>
                <w:kern w:val="0"/>
                <w:szCs w:val="21"/>
              </w:rPr>
              <w:t>Ni</w:t>
            </w:r>
          </w:p>
        </w:tc>
        <w:tc>
          <w:tcPr>
            <w:tcW w:w="689" w:type="dxa"/>
            <w:tcBorders>
              <w:top w:val="single" w:color="auto" w:sz="12" w:space="0"/>
              <w:left w:val="nil"/>
              <w:bottom w:val="single" w:color="auto" w:sz="12" w:space="0"/>
              <w:right w:val="nil"/>
            </w:tcBorders>
            <w:vAlign w:val="center"/>
          </w:tcPr>
          <w:p w14:paraId="18EA441C">
            <w:pPr>
              <w:autoSpaceDE w:val="0"/>
              <w:autoSpaceDN w:val="0"/>
              <w:adjustRightInd w:val="0"/>
              <w:spacing w:line="360" w:lineRule="auto"/>
              <w:jc w:val="center"/>
              <w:rPr>
                <w:rFonts w:cs="宋体"/>
                <w:kern w:val="0"/>
                <w:szCs w:val="21"/>
              </w:rPr>
            </w:pPr>
            <w:r>
              <w:rPr>
                <w:rFonts w:cs="宋体"/>
                <w:kern w:val="0"/>
                <w:szCs w:val="21"/>
              </w:rPr>
              <w:t>Cu</w:t>
            </w:r>
          </w:p>
        </w:tc>
        <w:tc>
          <w:tcPr>
            <w:tcW w:w="794" w:type="dxa"/>
            <w:tcBorders>
              <w:top w:val="single" w:color="auto" w:sz="12" w:space="0"/>
              <w:left w:val="nil"/>
              <w:bottom w:val="single" w:color="auto" w:sz="12" w:space="0"/>
              <w:right w:val="nil"/>
            </w:tcBorders>
            <w:vAlign w:val="center"/>
          </w:tcPr>
          <w:p w14:paraId="6E439AD8">
            <w:pPr>
              <w:autoSpaceDE w:val="0"/>
              <w:autoSpaceDN w:val="0"/>
              <w:adjustRightInd w:val="0"/>
              <w:spacing w:line="360" w:lineRule="auto"/>
              <w:jc w:val="center"/>
              <w:rPr>
                <w:rFonts w:cs="宋体"/>
                <w:kern w:val="0"/>
                <w:szCs w:val="21"/>
              </w:rPr>
            </w:pPr>
            <w:r>
              <w:rPr>
                <w:rFonts w:cs="宋体"/>
                <w:kern w:val="0"/>
                <w:szCs w:val="21"/>
              </w:rPr>
              <w:t>Ti</w:t>
            </w:r>
          </w:p>
        </w:tc>
      </w:tr>
      <w:tr w14:paraId="5D9CC0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8" w:type="dxa"/>
            <w:tcBorders>
              <w:top w:val="single" w:color="auto" w:sz="12" w:space="0"/>
              <w:left w:val="nil"/>
              <w:bottom w:val="nil"/>
              <w:right w:val="nil"/>
            </w:tcBorders>
            <w:vAlign w:val="center"/>
          </w:tcPr>
          <w:p w14:paraId="16985C9D">
            <w:pPr>
              <w:autoSpaceDE w:val="0"/>
              <w:autoSpaceDN w:val="0"/>
              <w:adjustRightInd w:val="0"/>
              <w:spacing w:line="360" w:lineRule="auto"/>
              <w:jc w:val="center"/>
              <w:rPr>
                <w:rFonts w:cs="宋体"/>
                <w:kern w:val="0"/>
                <w:szCs w:val="21"/>
              </w:rPr>
            </w:pPr>
            <w:r>
              <w:t>Composition</w:t>
            </w:r>
          </w:p>
        </w:tc>
        <w:tc>
          <w:tcPr>
            <w:tcW w:w="584" w:type="dxa"/>
            <w:tcBorders>
              <w:top w:val="single" w:color="auto" w:sz="12" w:space="0"/>
              <w:left w:val="nil"/>
              <w:bottom w:val="nil"/>
              <w:right w:val="nil"/>
            </w:tcBorders>
            <w:vAlign w:val="center"/>
          </w:tcPr>
          <w:p w14:paraId="6E25AED3">
            <w:pPr>
              <w:autoSpaceDE w:val="0"/>
              <w:autoSpaceDN w:val="0"/>
              <w:adjustRightInd w:val="0"/>
              <w:spacing w:line="360" w:lineRule="auto"/>
              <w:jc w:val="center"/>
              <w:rPr>
                <w:rFonts w:cs="宋体"/>
                <w:kern w:val="0"/>
                <w:szCs w:val="21"/>
              </w:rPr>
            </w:pPr>
            <w:r>
              <w:rPr>
                <w:rFonts w:cs="宋体"/>
                <w:kern w:val="0"/>
                <w:szCs w:val="21"/>
              </w:rPr>
              <w:t>0.27</w:t>
            </w:r>
          </w:p>
        </w:tc>
        <w:tc>
          <w:tcPr>
            <w:tcW w:w="794" w:type="dxa"/>
            <w:tcBorders>
              <w:top w:val="single" w:color="auto" w:sz="12" w:space="0"/>
              <w:left w:val="nil"/>
              <w:bottom w:val="nil"/>
              <w:right w:val="nil"/>
            </w:tcBorders>
            <w:vAlign w:val="center"/>
          </w:tcPr>
          <w:p w14:paraId="36B0D2E8">
            <w:pPr>
              <w:autoSpaceDE w:val="0"/>
              <w:autoSpaceDN w:val="0"/>
              <w:adjustRightInd w:val="0"/>
              <w:spacing w:line="360" w:lineRule="auto"/>
              <w:jc w:val="center"/>
              <w:rPr>
                <w:rFonts w:cs="宋体"/>
                <w:kern w:val="0"/>
                <w:szCs w:val="21"/>
              </w:rPr>
            </w:pPr>
            <w:r>
              <w:rPr>
                <w:rFonts w:cs="宋体"/>
                <w:kern w:val="0"/>
                <w:szCs w:val="21"/>
              </w:rPr>
              <w:t>0.22</w:t>
            </w:r>
          </w:p>
        </w:tc>
        <w:tc>
          <w:tcPr>
            <w:tcW w:w="794" w:type="dxa"/>
            <w:tcBorders>
              <w:top w:val="single" w:color="auto" w:sz="12" w:space="0"/>
              <w:left w:val="nil"/>
              <w:bottom w:val="nil"/>
              <w:right w:val="nil"/>
            </w:tcBorders>
            <w:vAlign w:val="center"/>
          </w:tcPr>
          <w:p w14:paraId="3897EAAB">
            <w:pPr>
              <w:autoSpaceDE w:val="0"/>
              <w:autoSpaceDN w:val="0"/>
              <w:adjustRightInd w:val="0"/>
              <w:spacing w:line="360" w:lineRule="auto"/>
              <w:jc w:val="center"/>
              <w:rPr>
                <w:rFonts w:cs="宋体"/>
                <w:kern w:val="0"/>
                <w:szCs w:val="21"/>
              </w:rPr>
            </w:pPr>
            <w:r>
              <w:rPr>
                <w:rFonts w:cs="宋体"/>
                <w:kern w:val="0"/>
                <w:szCs w:val="21"/>
              </w:rPr>
              <w:t>0.85</w:t>
            </w:r>
          </w:p>
        </w:tc>
        <w:tc>
          <w:tcPr>
            <w:tcW w:w="804" w:type="dxa"/>
            <w:tcBorders>
              <w:top w:val="single" w:color="auto" w:sz="12" w:space="0"/>
              <w:left w:val="nil"/>
              <w:bottom w:val="nil"/>
              <w:right w:val="nil"/>
            </w:tcBorders>
            <w:vAlign w:val="center"/>
          </w:tcPr>
          <w:p w14:paraId="37127A8A">
            <w:pPr>
              <w:autoSpaceDE w:val="0"/>
              <w:autoSpaceDN w:val="0"/>
              <w:adjustRightInd w:val="0"/>
              <w:spacing w:line="360" w:lineRule="auto"/>
              <w:jc w:val="center"/>
              <w:rPr>
                <w:rFonts w:cs="宋体"/>
                <w:kern w:val="0"/>
                <w:szCs w:val="21"/>
              </w:rPr>
            </w:pPr>
            <w:r>
              <w:rPr>
                <w:rFonts w:cs="宋体"/>
                <w:kern w:val="0"/>
                <w:szCs w:val="21"/>
              </w:rPr>
              <w:t>0.0066</w:t>
            </w:r>
          </w:p>
        </w:tc>
        <w:tc>
          <w:tcPr>
            <w:tcW w:w="804" w:type="dxa"/>
            <w:tcBorders>
              <w:top w:val="single" w:color="auto" w:sz="12" w:space="0"/>
              <w:left w:val="nil"/>
              <w:bottom w:val="nil"/>
              <w:right w:val="nil"/>
            </w:tcBorders>
            <w:vAlign w:val="center"/>
          </w:tcPr>
          <w:p w14:paraId="5AF3C07F">
            <w:pPr>
              <w:autoSpaceDE w:val="0"/>
              <w:autoSpaceDN w:val="0"/>
              <w:adjustRightInd w:val="0"/>
              <w:spacing w:line="360" w:lineRule="auto"/>
              <w:jc w:val="center"/>
              <w:rPr>
                <w:rFonts w:cs="宋体"/>
                <w:kern w:val="0"/>
                <w:szCs w:val="21"/>
              </w:rPr>
            </w:pPr>
            <w:r>
              <w:rPr>
                <w:rFonts w:cs="宋体"/>
                <w:kern w:val="0"/>
                <w:szCs w:val="21"/>
              </w:rPr>
              <w:t>0.0018</w:t>
            </w:r>
          </w:p>
        </w:tc>
        <w:tc>
          <w:tcPr>
            <w:tcW w:w="584" w:type="dxa"/>
            <w:tcBorders>
              <w:top w:val="single" w:color="auto" w:sz="12" w:space="0"/>
              <w:left w:val="nil"/>
              <w:bottom w:val="nil"/>
              <w:right w:val="nil"/>
            </w:tcBorders>
            <w:vAlign w:val="center"/>
          </w:tcPr>
          <w:p w14:paraId="542CA319">
            <w:pPr>
              <w:autoSpaceDE w:val="0"/>
              <w:autoSpaceDN w:val="0"/>
              <w:adjustRightInd w:val="0"/>
              <w:spacing w:line="360" w:lineRule="auto"/>
              <w:jc w:val="center"/>
              <w:rPr>
                <w:rFonts w:cs="宋体"/>
                <w:kern w:val="0"/>
                <w:szCs w:val="21"/>
              </w:rPr>
            </w:pPr>
            <w:r>
              <w:rPr>
                <w:rFonts w:cs="宋体"/>
                <w:kern w:val="0"/>
                <w:szCs w:val="21"/>
              </w:rPr>
              <w:t>0.92</w:t>
            </w:r>
          </w:p>
        </w:tc>
        <w:tc>
          <w:tcPr>
            <w:tcW w:w="689" w:type="dxa"/>
            <w:tcBorders>
              <w:top w:val="single" w:color="auto" w:sz="12" w:space="0"/>
              <w:left w:val="nil"/>
              <w:bottom w:val="nil"/>
              <w:right w:val="nil"/>
            </w:tcBorders>
            <w:vAlign w:val="center"/>
          </w:tcPr>
          <w:p w14:paraId="4F79E38D">
            <w:pPr>
              <w:autoSpaceDE w:val="0"/>
              <w:autoSpaceDN w:val="0"/>
              <w:adjustRightInd w:val="0"/>
              <w:spacing w:line="360" w:lineRule="auto"/>
              <w:jc w:val="center"/>
              <w:rPr>
                <w:rFonts w:cs="宋体"/>
                <w:kern w:val="0"/>
                <w:szCs w:val="21"/>
              </w:rPr>
            </w:pPr>
            <w:r>
              <w:rPr>
                <w:rFonts w:cs="宋体"/>
                <w:kern w:val="0"/>
                <w:szCs w:val="21"/>
              </w:rPr>
              <w:t>0.034</w:t>
            </w:r>
          </w:p>
        </w:tc>
        <w:tc>
          <w:tcPr>
            <w:tcW w:w="689" w:type="dxa"/>
            <w:tcBorders>
              <w:top w:val="single" w:color="auto" w:sz="12" w:space="0"/>
              <w:left w:val="nil"/>
              <w:bottom w:val="nil"/>
              <w:right w:val="nil"/>
            </w:tcBorders>
            <w:vAlign w:val="center"/>
          </w:tcPr>
          <w:p w14:paraId="121B8087">
            <w:pPr>
              <w:autoSpaceDE w:val="0"/>
              <w:autoSpaceDN w:val="0"/>
              <w:adjustRightInd w:val="0"/>
              <w:spacing w:line="360" w:lineRule="auto"/>
              <w:jc w:val="center"/>
              <w:rPr>
                <w:rFonts w:cs="宋体"/>
                <w:kern w:val="0"/>
                <w:szCs w:val="21"/>
              </w:rPr>
            </w:pPr>
            <w:r>
              <w:rPr>
                <w:rFonts w:cs="宋体"/>
                <w:kern w:val="0"/>
                <w:szCs w:val="21"/>
              </w:rPr>
              <w:t>0.083</w:t>
            </w:r>
          </w:p>
        </w:tc>
        <w:tc>
          <w:tcPr>
            <w:tcW w:w="794" w:type="dxa"/>
            <w:tcBorders>
              <w:top w:val="single" w:color="auto" w:sz="12" w:space="0"/>
              <w:left w:val="nil"/>
              <w:bottom w:val="nil"/>
              <w:right w:val="nil"/>
            </w:tcBorders>
            <w:vAlign w:val="center"/>
          </w:tcPr>
          <w:p w14:paraId="441E6886">
            <w:pPr>
              <w:autoSpaceDE w:val="0"/>
              <w:autoSpaceDN w:val="0"/>
              <w:adjustRightInd w:val="0"/>
              <w:spacing w:line="360" w:lineRule="auto"/>
              <w:jc w:val="center"/>
              <w:rPr>
                <w:rFonts w:cs="宋体"/>
                <w:kern w:val="0"/>
                <w:szCs w:val="21"/>
              </w:rPr>
            </w:pPr>
            <w:r>
              <w:rPr>
                <w:rFonts w:cs="宋体"/>
                <w:kern w:val="0"/>
                <w:szCs w:val="21"/>
              </w:rPr>
              <w:t>0.0028</w:t>
            </w:r>
          </w:p>
        </w:tc>
      </w:tr>
      <w:tr w14:paraId="4FD79F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8" w:type="dxa"/>
            <w:tcBorders>
              <w:top w:val="nil"/>
              <w:left w:val="nil"/>
              <w:bottom w:val="single" w:color="auto" w:sz="12" w:space="0"/>
              <w:right w:val="nil"/>
            </w:tcBorders>
            <w:vAlign w:val="center"/>
          </w:tcPr>
          <w:p w14:paraId="618B6D0B">
            <w:pPr>
              <w:autoSpaceDE w:val="0"/>
              <w:autoSpaceDN w:val="0"/>
              <w:adjustRightInd w:val="0"/>
              <w:spacing w:line="360" w:lineRule="auto"/>
              <w:jc w:val="center"/>
              <w:rPr>
                <w:rFonts w:cs="宋体"/>
                <w:kern w:val="0"/>
                <w:szCs w:val="21"/>
              </w:rPr>
            </w:pPr>
            <w:r>
              <w:rPr>
                <w:rFonts w:cs="宋体"/>
                <w:kern w:val="0"/>
                <w:szCs w:val="21"/>
              </w:rPr>
              <w:t>API Spec 5D</w:t>
            </w:r>
          </w:p>
        </w:tc>
        <w:tc>
          <w:tcPr>
            <w:tcW w:w="584" w:type="dxa"/>
            <w:tcBorders>
              <w:top w:val="nil"/>
              <w:left w:val="nil"/>
              <w:bottom w:val="single" w:color="auto" w:sz="12" w:space="0"/>
              <w:right w:val="nil"/>
            </w:tcBorders>
            <w:vAlign w:val="center"/>
          </w:tcPr>
          <w:p w14:paraId="3CE33BFA">
            <w:pPr>
              <w:autoSpaceDE w:val="0"/>
              <w:autoSpaceDN w:val="0"/>
              <w:adjustRightInd w:val="0"/>
              <w:spacing w:line="360" w:lineRule="auto"/>
              <w:jc w:val="center"/>
              <w:rPr>
                <w:rFonts w:cs="宋体"/>
                <w:kern w:val="0"/>
                <w:szCs w:val="21"/>
              </w:rPr>
            </w:pPr>
            <w:r>
              <w:rPr>
                <w:rFonts w:hint="eastAsia" w:cs="宋体"/>
                <w:kern w:val="0"/>
                <w:szCs w:val="21"/>
              </w:rPr>
              <w:t>—</w:t>
            </w:r>
          </w:p>
        </w:tc>
        <w:tc>
          <w:tcPr>
            <w:tcW w:w="794" w:type="dxa"/>
            <w:tcBorders>
              <w:top w:val="nil"/>
              <w:left w:val="nil"/>
              <w:bottom w:val="single" w:color="auto" w:sz="12" w:space="0"/>
              <w:right w:val="nil"/>
            </w:tcBorders>
            <w:vAlign w:val="center"/>
          </w:tcPr>
          <w:p w14:paraId="7480BEC2">
            <w:pPr>
              <w:autoSpaceDE w:val="0"/>
              <w:autoSpaceDN w:val="0"/>
              <w:adjustRightInd w:val="0"/>
              <w:spacing w:line="360" w:lineRule="auto"/>
              <w:jc w:val="center"/>
              <w:rPr>
                <w:rFonts w:cs="宋体"/>
                <w:kern w:val="0"/>
                <w:szCs w:val="21"/>
              </w:rPr>
            </w:pPr>
            <w:r>
              <w:rPr>
                <w:rFonts w:hint="eastAsia" w:cs="宋体"/>
                <w:kern w:val="0"/>
                <w:szCs w:val="21"/>
              </w:rPr>
              <w:t>—</w:t>
            </w:r>
          </w:p>
        </w:tc>
        <w:tc>
          <w:tcPr>
            <w:tcW w:w="794" w:type="dxa"/>
            <w:tcBorders>
              <w:top w:val="nil"/>
              <w:left w:val="nil"/>
              <w:bottom w:val="single" w:color="auto" w:sz="12" w:space="0"/>
              <w:right w:val="nil"/>
            </w:tcBorders>
            <w:vAlign w:val="center"/>
          </w:tcPr>
          <w:p w14:paraId="0A23099F">
            <w:pPr>
              <w:autoSpaceDE w:val="0"/>
              <w:autoSpaceDN w:val="0"/>
              <w:adjustRightInd w:val="0"/>
              <w:spacing w:line="360" w:lineRule="auto"/>
              <w:jc w:val="center"/>
              <w:rPr>
                <w:rFonts w:cs="宋体"/>
                <w:kern w:val="0"/>
                <w:szCs w:val="21"/>
              </w:rPr>
            </w:pPr>
            <w:r>
              <w:rPr>
                <w:rFonts w:hint="eastAsia" w:cs="宋体"/>
                <w:kern w:val="0"/>
                <w:szCs w:val="21"/>
              </w:rPr>
              <w:t>—</w:t>
            </w:r>
          </w:p>
        </w:tc>
        <w:tc>
          <w:tcPr>
            <w:tcW w:w="804" w:type="dxa"/>
            <w:tcBorders>
              <w:top w:val="nil"/>
              <w:left w:val="nil"/>
              <w:bottom w:val="single" w:color="auto" w:sz="12" w:space="0"/>
              <w:right w:val="nil"/>
            </w:tcBorders>
            <w:vAlign w:val="center"/>
          </w:tcPr>
          <w:p w14:paraId="7D34D706">
            <w:pPr>
              <w:autoSpaceDE w:val="0"/>
              <w:autoSpaceDN w:val="0"/>
              <w:adjustRightInd w:val="0"/>
              <w:spacing w:line="360" w:lineRule="auto"/>
              <w:jc w:val="center"/>
              <w:rPr>
                <w:rFonts w:cs="宋体"/>
                <w:kern w:val="0"/>
                <w:szCs w:val="21"/>
              </w:rPr>
            </w:pPr>
            <w:r>
              <w:rPr>
                <w:szCs w:val="21"/>
              </w:rPr>
              <w:t>≤0.030</w:t>
            </w:r>
          </w:p>
        </w:tc>
        <w:tc>
          <w:tcPr>
            <w:tcW w:w="804" w:type="dxa"/>
            <w:tcBorders>
              <w:top w:val="nil"/>
              <w:left w:val="nil"/>
              <w:bottom w:val="single" w:color="auto" w:sz="12" w:space="0"/>
              <w:right w:val="nil"/>
            </w:tcBorders>
            <w:vAlign w:val="center"/>
          </w:tcPr>
          <w:p w14:paraId="6F29FF35">
            <w:pPr>
              <w:autoSpaceDE w:val="0"/>
              <w:autoSpaceDN w:val="0"/>
              <w:adjustRightInd w:val="0"/>
              <w:spacing w:line="360" w:lineRule="auto"/>
              <w:jc w:val="center"/>
              <w:rPr>
                <w:rFonts w:cs="宋体"/>
                <w:kern w:val="0"/>
                <w:szCs w:val="21"/>
              </w:rPr>
            </w:pPr>
            <w:r>
              <w:rPr>
                <w:szCs w:val="21"/>
              </w:rPr>
              <w:t>≤0.030</w:t>
            </w:r>
          </w:p>
        </w:tc>
        <w:tc>
          <w:tcPr>
            <w:tcW w:w="584" w:type="dxa"/>
            <w:tcBorders>
              <w:top w:val="nil"/>
              <w:left w:val="nil"/>
              <w:bottom w:val="single" w:color="auto" w:sz="12" w:space="0"/>
              <w:right w:val="nil"/>
            </w:tcBorders>
            <w:vAlign w:val="center"/>
          </w:tcPr>
          <w:p w14:paraId="3930822D">
            <w:pPr>
              <w:autoSpaceDE w:val="0"/>
              <w:autoSpaceDN w:val="0"/>
              <w:adjustRightInd w:val="0"/>
              <w:spacing w:line="360" w:lineRule="auto"/>
              <w:jc w:val="center"/>
              <w:rPr>
                <w:rFonts w:cs="宋体"/>
                <w:kern w:val="0"/>
                <w:szCs w:val="21"/>
              </w:rPr>
            </w:pPr>
            <w:r>
              <w:rPr>
                <w:rFonts w:hint="eastAsia" w:cs="宋体"/>
                <w:kern w:val="0"/>
                <w:szCs w:val="21"/>
              </w:rPr>
              <w:t>—</w:t>
            </w:r>
          </w:p>
        </w:tc>
        <w:tc>
          <w:tcPr>
            <w:tcW w:w="689" w:type="dxa"/>
            <w:tcBorders>
              <w:top w:val="nil"/>
              <w:left w:val="nil"/>
              <w:bottom w:val="single" w:color="auto" w:sz="12" w:space="0"/>
              <w:right w:val="nil"/>
            </w:tcBorders>
            <w:vAlign w:val="center"/>
          </w:tcPr>
          <w:p w14:paraId="14FEBDCF">
            <w:pPr>
              <w:autoSpaceDE w:val="0"/>
              <w:autoSpaceDN w:val="0"/>
              <w:adjustRightInd w:val="0"/>
              <w:spacing w:line="360" w:lineRule="auto"/>
              <w:jc w:val="center"/>
              <w:rPr>
                <w:rFonts w:cs="宋体"/>
                <w:kern w:val="0"/>
                <w:szCs w:val="21"/>
              </w:rPr>
            </w:pPr>
            <w:r>
              <w:rPr>
                <w:rFonts w:hint="eastAsia" w:cs="宋体"/>
                <w:kern w:val="0"/>
                <w:szCs w:val="21"/>
              </w:rPr>
              <w:t>—</w:t>
            </w:r>
          </w:p>
        </w:tc>
        <w:tc>
          <w:tcPr>
            <w:tcW w:w="689" w:type="dxa"/>
            <w:tcBorders>
              <w:top w:val="nil"/>
              <w:left w:val="nil"/>
              <w:bottom w:val="single" w:color="auto" w:sz="12" w:space="0"/>
              <w:right w:val="nil"/>
            </w:tcBorders>
            <w:vAlign w:val="center"/>
          </w:tcPr>
          <w:p w14:paraId="0BC4704A">
            <w:pPr>
              <w:autoSpaceDE w:val="0"/>
              <w:autoSpaceDN w:val="0"/>
              <w:adjustRightInd w:val="0"/>
              <w:spacing w:line="360" w:lineRule="auto"/>
              <w:jc w:val="center"/>
              <w:rPr>
                <w:rFonts w:cs="宋体"/>
                <w:kern w:val="0"/>
                <w:szCs w:val="21"/>
              </w:rPr>
            </w:pPr>
            <w:r>
              <w:rPr>
                <w:rFonts w:hint="eastAsia" w:cs="宋体"/>
                <w:kern w:val="0"/>
                <w:szCs w:val="21"/>
              </w:rPr>
              <w:t>—</w:t>
            </w:r>
          </w:p>
        </w:tc>
        <w:tc>
          <w:tcPr>
            <w:tcW w:w="794" w:type="dxa"/>
            <w:tcBorders>
              <w:top w:val="nil"/>
              <w:left w:val="nil"/>
              <w:bottom w:val="single" w:color="auto" w:sz="12" w:space="0"/>
              <w:right w:val="nil"/>
            </w:tcBorders>
            <w:vAlign w:val="center"/>
          </w:tcPr>
          <w:p w14:paraId="0A14824E">
            <w:pPr>
              <w:autoSpaceDE w:val="0"/>
              <w:autoSpaceDN w:val="0"/>
              <w:adjustRightInd w:val="0"/>
              <w:spacing w:line="360" w:lineRule="auto"/>
              <w:jc w:val="center"/>
              <w:rPr>
                <w:rFonts w:cs="宋体"/>
                <w:kern w:val="0"/>
                <w:szCs w:val="21"/>
              </w:rPr>
            </w:pPr>
            <w:r>
              <w:rPr>
                <w:rFonts w:hint="eastAsia" w:cs="宋体"/>
                <w:kern w:val="0"/>
                <w:szCs w:val="21"/>
              </w:rPr>
              <w:t>—</w:t>
            </w:r>
          </w:p>
        </w:tc>
      </w:tr>
      <w:tr w14:paraId="4C974E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8" w:type="dxa"/>
            <w:tcBorders>
              <w:top w:val="single" w:color="auto" w:sz="12" w:space="0"/>
              <w:left w:val="nil"/>
              <w:bottom w:val="single" w:color="auto" w:sz="12" w:space="0"/>
              <w:right w:val="nil"/>
            </w:tcBorders>
            <w:vAlign w:val="center"/>
          </w:tcPr>
          <w:p w14:paraId="1E0A6385">
            <w:pPr>
              <w:autoSpaceDE w:val="0"/>
              <w:autoSpaceDN w:val="0"/>
              <w:adjustRightInd w:val="0"/>
              <w:spacing w:line="360" w:lineRule="auto"/>
              <w:jc w:val="center"/>
              <w:rPr>
                <w:rFonts w:cs="宋体"/>
                <w:kern w:val="0"/>
                <w:szCs w:val="21"/>
              </w:rPr>
            </w:pPr>
            <w:r>
              <w:t>Element</w:t>
            </w:r>
          </w:p>
        </w:tc>
        <w:tc>
          <w:tcPr>
            <w:tcW w:w="584" w:type="dxa"/>
            <w:tcBorders>
              <w:top w:val="single" w:color="auto" w:sz="12" w:space="0"/>
              <w:left w:val="nil"/>
              <w:bottom w:val="single" w:color="auto" w:sz="12" w:space="0"/>
              <w:right w:val="nil"/>
            </w:tcBorders>
            <w:vAlign w:val="center"/>
          </w:tcPr>
          <w:p w14:paraId="0F98B4E5">
            <w:pPr>
              <w:autoSpaceDE w:val="0"/>
              <w:autoSpaceDN w:val="0"/>
              <w:adjustRightInd w:val="0"/>
              <w:spacing w:line="360" w:lineRule="auto"/>
              <w:jc w:val="center"/>
              <w:rPr>
                <w:rFonts w:cs="宋体"/>
                <w:kern w:val="0"/>
                <w:szCs w:val="21"/>
              </w:rPr>
            </w:pPr>
            <w:r>
              <w:rPr>
                <w:rFonts w:cs="宋体"/>
                <w:kern w:val="0"/>
                <w:szCs w:val="21"/>
              </w:rPr>
              <w:t>Mo</w:t>
            </w:r>
          </w:p>
        </w:tc>
        <w:tc>
          <w:tcPr>
            <w:tcW w:w="794" w:type="dxa"/>
            <w:tcBorders>
              <w:top w:val="single" w:color="auto" w:sz="12" w:space="0"/>
              <w:left w:val="nil"/>
              <w:bottom w:val="single" w:color="auto" w:sz="12" w:space="0"/>
              <w:right w:val="nil"/>
            </w:tcBorders>
            <w:vAlign w:val="center"/>
          </w:tcPr>
          <w:p w14:paraId="706064EB">
            <w:pPr>
              <w:autoSpaceDE w:val="0"/>
              <w:autoSpaceDN w:val="0"/>
              <w:adjustRightInd w:val="0"/>
              <w:spacing w:line="360" w:lineRule="auto"/>
              <w:jc w:val="center"/>
              <w:rPr>
                <w:rFonts w:cs="宋体"/>
                <w:kern w:val="0"/>
                <w:szCs w:val="21"/>
              </w:rPr>
            </w:pPr>
            <w:r>
              <w:rPr>
                <w:rFonts w:cs="宋体"/>
                <w:kern w:val="0"/>
                <w:szCs w:val="21"/>
              </w:rPr>
              <w:t>V</w:t>
            </w:r>
          </w:p>
        </w:tc>
        <w:tc>
          <w:tcPr>
            <w:tcW w:w="794" w:type="dxa"/>
            <w:tcBorders>
              <w:top w:val="single" w:color="auto" w:sz="12" w:space="0"/>
              <w:left w:val="nil"/>
              <w:bottom w:val="single" w:color="auto" w:sz="12" w:space="0"/>
              <w:right w:val="nil"/>
            </w:tcBorders>
            <w:vAlign w:val="center"/>
          </w:tcPr>
          <w:p w14:paraId="3D0C8042">
            <w:pPr>
              <w:autoSpaceDE w:val="0"/>
              <w:autoSpaceDN w:val="0"/>
              <w:adjustRightInd w:val="0"/>
              <w:spacing w:line="360" w:lineRule="auto"/>
              <w:jc w:val="center"/>
              <w:rPr>
                <w:rFonts w:cs="宋体"/>
                <w:kern w:val="0"/>
                <w:szCs w:val="21"/>
              </w:rPr>
            </w:pPr>
            <w:r>
              <w:rPr>
                <w:rFonts w:cs="宋体"/>
                <w:kern w:val="0"/>
                <w:szCs w:val="21"/>
              </w:rPr>
              <w:t>Al</w:t>
            </w:r>
          </w:p>
        </w:tc>
        <w:tc>
          <w:tcPr>
            <w:tcW w:w="804" w:type="dxa"/>
            <w:tcBorders>
              <w:top w:val="single" w:color="auto" w:sz="12" w:space="0"/>
              <w:left w:val="nil"/>
              <w:bottom w:val="single" w:color="auto" w:sz="12" w:space="0"/>
              <w:right w:val="nil"/>
            </w:tcBorders>
            <w:vAlign w:val="center"/>
          </w:tcPr>
          <w:p w14:paraId="23A14B9B">
            <w:pPr>
              <w:autoSpaceDE w:val="0"/>
              <w:autoSpaceDN w:val="0"/>
              <w:adjustRightInd w:val="0"/>
              <w:spacing w:line="360" w:lineRule="auto"/>
              <w:jc w:val="center"/>
              <w:rPr>
                <w:rFonts w:cs="宋体"/>
                <w:kern w:val="0"/>
                <w:szCs w:val="21"/>
              </w:rPr>
            </w:pPr>
            <w:r>
              <w:rPr>
                <w:rFonts w:cs="宋体"/>
                <w:kern w:val="0"/>
                <w:szCs w:val="21"/>
              </w:rPr>
              <w:t>Co</w:t>
            </w:r>
          </w:p>
        </w:tc>
        <w:tc>
          <w:tcPr>
            <w:tcW w:w="804" w:type="dxa"/>
            <w:tcBorders>
              <w:top w:val="single" w:color="auto" w:sz="12" w:space="0"/>
              <w:left w:val="nil"/>
              <w:bottom w:val="single" w:color="auto" w:sz="12" w:space="0"/>
              <w:right w:val="nil"/>
            </w:tcBorders>
            <w:vAlign w:val="center"/>
          </w:tcPr>
          <w:p w14:paraId="7DDE34CC">
            <w:pPr>
              <w:autoSpaceDE w:val="0"/>
              <w:autoSpaceDN w:val="0"/>
              <w:adjustRightInd w:val="0"/>
              <w:spacing w:line="360" w:lineRule="auto"/>
              <w:jc w:val="center"/>
              <w:rPr>
                <w:rFonts w:cs="宋体"/>
                <w:kern w:val="0"/>
                <w:szCs w:val="21"/>
              </w:rPr>
            </w:pPr>
            <w:r>
              <w:rPr>
                <w:rFonts w:cs="宋体"/>
                <w:kern w:val="0"/>
                <w:szCs w:val="21"/>
              </w:rPr>
              <w:t>W</w:t>
            </w:r>
          </w:p>
        </w:tc>
        <w:tc>
          <w:tcPr>
            <w:tcW w:w="584" w:type="dxa"/>
            <w:tcBorders>
              <w:top w:val="single" w:color="auto" w:sz="12" w:space="0"/>
              <w:left w:val="nil"/>
              <w:bottom w:val="single" w:color="auto" w:sz="12" w:space="0"/>
              <w:right w:val="nil"/>
            </w:tcBorders>
            <w:vAlign w:val="center"/>
          </w:tcPr>
          <w:p w14:paraId="509C7EDA">
            <w:pPr>
              <w:autoSpaceDE w:val="0"/>
              <w:autoSpaceDN w:val="0"/>
              <w:adjustRightInd w:val="0"/>
              <w:spacing w:line="360" w:lineRule="auto"/>
              <w:jc w:val="center"/>
              <w:rPr>
                <w:rFonts w:cs="宋体"/>
                <w:kern w:val="0"/>
                <w:szCs w:val="21"/>
              </w:rPr>
            </w:pPr>
          </w:p>
        </w:tc>
        <w:tc>
          <w:tcPr>
            <w:tcW w:w="689" w:type="dxa"/>
            <w:tcBorders>
              <w:top w:val="single" w:color="auto" w:sz="12" w:space="0"/>
              <w:left w:val="nil"/>
              <w:bottom w:val="single" w:color="auto" w:sz="12" w:space="0"/>
              <w:right w:val="nil"/>
            </w:tcBorders>
            <w:vAlign w:val="center"/>
          </w:tcPr>
          <w:p w14:paraId="1EBB5E12">
            <w:pPr>
              <w:autoSpaceDE w:val="0"/>
              <w:autoSpaceDN w:val="0"/>
              <w:adjustRightInd w:val="0"/>
              <w:spacing w:line="360" w:lineRule="auto"/>
              <w:jc w:val="center"/>
              <w:rPr>
                <w:rFonts w:cs="宋体"/>
                <w:kern w:val="0"/>
                <w:szCs w:val="21"/>
              </w:rPr>
            </w:pPr>
          </w:p>
        </w:tc>
        <w:tc>
          <w:tcPr>
            <w:tcW w:w="689" w:type="dxa"/>
            <w:tcBorders>
              <w:top w:val="single" w:color="auto" w:sz="12" w:space="0"/>
              <w:left w:val="nil"/>
              <w:bottom w:val="single" w:color="auto" w:sz="12" w:space="0"/>
              <w:right w:val="nil"/>
            </w:tcBorders>
            <w:vAlign w:val="center"/>
          </w:tcPr>
          <w:p w14:paraId="15148918">
            <w:pPr>
              <w:autoSpaceDE w:val="0"/>
              <w:autoSpaceDN w:val="0"/>
              <w:adjustRightInd w:val="0"/>
              <w:spacing w:line="360" w:lineRule="auto"/>
              <w:jc w:val="center"/>
              <w:rPr>
                <w:rFonts w:cs="宋体"/>
                <w:kern w:val="0"/>
                <w:szCs w:val="21"/>
              </w:rPr>
            </w:pPr>
          </w:p>
        </w:tc>
        <w:tc>
          <w:tcPr>
            <w:tcW w:w="794" w:type="dxa"/>
            <w:tcBorders>
              <w:top w:val="single" w:color="auto" w:sz="12" w:space="0"/>
              <w:left w:val="nil"/>
              <w:bottom w:val="single" w:color="auto" w:sz="12" w:space="0"/>
              <w:right w:val="nil"/>
            </w:tcBorders>
            <w:vAlign w:val="center"/>
          </w:tcPr>
          <w:p w14:paraId="4FDC2C2B">
            <w:pPr>
              <w:autoSpaceDE w:val="0"/>
              <w:autoSpaceDN w:val="0"/>
              <w:adjustRightInd w:val="0"/>
              <w:spacing w:line="360" w:lineRule="auto"/>
              <w:jc w:val="center"/>
              <w:rPr>
                <w:rFonts w:cs="宋体"/>
                <w:kern w:val="0"/>
                <w:szCs w:val="21"/>
              </w:rPr>
            </w:pPr>
          </w:p>
        </w:tc>
      </w:tr>
      <w:tr w14:paraId="590CDE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8" w:type="dxa"/>
            <w:tcBorders>
              <w:top w:val="single" w:color="auto" w:sz="12" w:space="0"/>
              <w:left w:val="nil"/>
              <w:bottom w:val="nil"/>
              <w:right w:val="nil"/>
            </w:tcBorders>
            <w:vAlign w:val="center"/>
          </w:tcPr>
          <w:p w14:paraId="63A2DFC5">
            <w:pPr>
              <w:autoSpaceDE w:val="0"/>
              <w:autoSpaceDN w:val="0"/>
              <w:adjustRightInd w:val="0"/>
              <w:spacing w:line="360" w:lineRule="auto"/>
              <w:jc w:val="center"/>
              <w:rPr>
                <w:rFonts w:cs="宋体"/>
                <w:kern w:val="0"/>
                <w:szCs w:val="21"/>
              </w:rPr>
            </w:pPr>
            <w:r>
              <w:t>Composition</w:t>
            </w:r>
          </w:p>
        </w:tc>
        <w:tc>
          <w:tcPr>
            <w:tcW w:w="584" w:type="dxa"/>
            <w:tcBorders>
              <w:top w:val="single" w:color="auto" w:sz="12" w:space="0"/>
              <w:left w:val="nil"/>
              <w:bottom w:val="nil"/>
              <w:right w:val="nil"/>
            </w:tcBorders>
            <w:vAlign w:val="center"/>
          </w:tcPr>
          <w:p w14:paraId="7A6F6A92">
            <w:pPr>
              <w:autoSpaceDE w:val="0"/>
              <w:autoSpaceDN w:val="0"/>
              <w:adjustRightInd w:val="0"/>
              <w:spacing w:line="360" w:lineRule="auto"/>
              <w:jc w:val="center"/>
              <w:rPr>
                <w:rFonts w:cs="宋体"/>
                <w:kern w:val="0"/>
                <w:szCs w:val="21"/>
              </w:rPr>
            </w:pPr>
            <w:r>
              <w:rPr>
                <w:rFonts w:cs="宋体"/>
                <w:kern w:val="0"/>
                <w:szCs w:val="21"/>
              </w:rPr>
              <w:t>0.37</w:t>
            </w:r>
          </w:p>
        </w:tc>
        <w:tc>
          <w:tcPr>
            <w:tcW w:w="794" w:type="dxa"/>
            <w:tcBorders>
              <w:top w:val="single" w:color="auto" w:sz="12" w:space="0"/>
              <w:left w:val="nil"/>
              <w:bottom w:val="nil"/>
              <w:right w:val="nil"/>
            </w:tcBorders>
            <w:vAlign w:val="center"/>
          </w:tcPr>
          <w:p w14:paraId="1F58535C">
            <w:pPr>
              <w:autoSpaceDE w:val="0"/>
              <w:autoSpaceDN w:val="0"/>
              <w:adjustRightInd w:val="0"/>
              <w:spacing w:line="360" w:lineRule="auto"/>
              <w:jc w:val="center"/>
              <w:rPr>
                <w:rFonts w:cs="宋体"/>
                <w:kern w:val="0"/>
                <w:szCs w:val="21"/>
              </w:rPr>
            </w:pPr>
            <w:r>
              <w:rPr>
                <w:rFonts w:cs="宋体"/>
                <w:kern w:val="0"/>
                <w:szCs w:val="21"/>
              </w:rPr>
              <w:t>0.0042</w:t>
            </w:r>
          </w:p>
        </w:tc>
        <w:tc>
          <w:tcPr>
            <w:tcW w:w="794" w:type="dxa"/>
            <w:tcBorders>
              <w:top w:val="single" w:color="auto" w:sz="12" w:space="0"/>
              <w:left w:val="nil"/>
              <w:bottom w:val="nil"/>
              <w:right w:val="nil"/>
            </w:tcBorders>
            <w:vAlign w:val="center"/>
          </w:tcPr>
          <w:p w14:paraId="1A82AEB1">
            <w:pPr>
              <w:autoSpaceDE w:val="0"/>
              <w:autoSpaceDN w:val="0"/>
              <w:adjustRightInd w:val="0"/>
              <w:spacing w:line="360" w:lineRule="auto"/>
              <w:jc w:val="center"/>
              <w:rPr>
                <w:rFonts w:cs="宋体"/>
                <w:kern w:val="0"/>
                <w:szCs w:val="21"/>
              </w:rPr>
            </w:pPr>
            <w:r>
              <w:rPr>
                <w:rFonts w:cs="宋体"/>
                <w:kern w:val="0"/>
                <w:szCs w:val="21"/>
              </w:rPr>
              <w:t>0.0098</w:t>
            </w:r>
          </w:p>
        </w:tc>
        <w:tc>
          <w:tcPr>
            <w:tcW w:w="804" w:type="dxa"/>
            <w:tcBorders>
              <w:top w:val="single" w:color="auto" w:sz="12" w:space="0"/>
              <w:left w:val="nil"/>
              <w:bottom w:val="nil"/>
              <w:right w:val="nil"/>
            </w:tcBorders>
            <w:vAlign w:val="center"/>
          </w:tcPr>
          <w:p w14:paraId="22746D9B">
            <w:pPr>
              <w:autoSpaceDE w:val="0"/>
              <w:autoSpaceDN w:val="0"/>
              <w:adjustRightInd w:val="0"/>
              <w:spacing w:line="360" w:lineRule="auto"/>
              <w:jc w:val="center"/>
              <w:rPr>
                <w:rFonts w:cs="宋体"/>
                <w:kern w:val="0"/>
                <w:szCs w:val="21"/>
              </w:rPr>
            </w:pPr>
            <w:r>
              <w:rPr>
                <w:rFonts w:cs="宋体"/>
                <w:kern w:val="0"/>
                <w:szCs w:val="21"/>
              </w:rPr>
              <w:t>0.0070</w:t>
            </w:r>
          </w:p>
        </w:tc>
        <w:tc>
          <w:tcPr>
            <w:tcW w:w="804" w:type="dxa"/>
            <w:tcBorders>
              <w:top w:val="single" w:color="auto" w:sz="12" w:space="0"/>
              <w:left w:val="nil"/>
              <w:bottom w:val="nil"/>
              <w:right w:val="nil"/>
            </w:tcBorders>
            <w:vAlign w:val="center"/>
          </w:tcPr>
          <w:p w14:paraId="679D9AB7">
            <w:pPr>
              <w:autoSpaceDE w:val="0"/>
              <w:autoSpaceDN w:val="0"/>
              <w:adjustRightInd w:val="0"/>
              <w:spacing w:line="360" w:lineRule="auto"/>
              <w:jc w:val="center"/>
              <w:rPr>
                <w:rFonts w:cs="宋体"/>
                <w:kern w:val="0"/>
                <w:szCs w:val="21"/>
              </w:rPr>
            </w:pPr>
            <w:r>
              <w:rPr>
                <w:rFonts w:cs="宋体"/>
                <w:kern w:val="0"/>
                <w:szCs w:val="21"/>
              </w:rPr>
              <w:t>0.0050</w:t>
            </w:r>
          </w:p>
        </w:tc>
        <w:tc>
          <w:tcPr>
            <w:tcW w:w="584" w:type="dxa"/>
            <w:tcBorders>
              <w:top w:val="single" w:color="auto" w:sz="12" w:space="0"/>
              <w:left w:val="nil"/>
              <w:bottom w:val="nil"/>
              <w:right w:val="nil"/>
            </w:tcBorders>
            <w:vAlign w:val="center"/>
          </w:tcPr>
          <w:p w14:paraId="24453C4B">
            <w:pPr>
              <w:autoSpaceDE w:val="0"/>
              <w:autoSpaceDN w:val="0"/>
              <w:adjustRightInd w:val="0"/>
              <w:spacing w:line="360" w:lineRule="auto"/>
              <w:jc w:val="center"/>
              <w:rPr>
                <w:rFonts w:cs="宋体"/>
                <w:kern w:val="0"/>
                <w:szCs w:val="21"/>
              </w:rPr>
            </w:pPr>
          </w:p>
        </w:tc>
        <w:tc>
          <w:tcPr>
            <w:tcW w:w="689" w:type="dxa"/>
            <w:tcBorders>
              <w:top w:val="single" w:color="auto" w:sz="12" w:space="0"/>
              <w:left w:val="nil"/>
              <w:bottom w:val="nil"/>
              <w:right w:val="nil"/>
            </w:tcBorders>
            <w:vAlign w:val="center"/>
          </w:tcPr>
          <w:p w14:paraId="0F26CC9C">
            <w:pPr>
              <w:autoSpaceDE w:val="0"/>
              <w:autoSpaceDN w:val="0"/>
              <w:adjustRightInd w:val="0"/>
              <w:spacing w:line="360" w:lineRule="auto"/>
              <w:jc w:val="center"/>
              <w:rPr>
                <w:rFonts w:cs="宋体"/>
                <w:kern w:val="0"/>
                <w:szCs w:val="21"/>
              </w:rPr>
            </w:pPr>
          </w:p>
        </w:tc>
        <w:tc>
          <w:tcPr>
            <w:tcW w:w="689" w:type="dxa"/>
            <w:tcBorders>
              <w:top w:val="single" w:color="auto" w:sz="12" w:space="0"/>
              <w:left w:val="nil"/>
              <w:bottom w:val="nil"/>
              <w:right w:val="nil"/>
            </w:tcBorders>
            <w:vAlign w:val="center"/>
          </w:tcPr>
          <w:p w14:paraId="5E843B76">
            <w:pPr>
              <w:autoSpaceDE w:val="0"/>
              <w:autoSpaceDN w:val="0"/>
              <w:adjustRightInd w:val="0"/>
              <w:spacing w:line="360" w:lineRule="auto"/>
              <w:jc w:val="center"/>
              <w:rPr>
                <w:rFonts w:cs="宋体"/>
                <w:kern w:val="0"/>
                <w:szCs w:val="21"/>
              </w:rPr>
            </w:pPr>
          </w:p>
        </w:tc>
        <w:tc>
          <w:tcPr>
            <w:tcW w:w="794" w:type="dxa"/>
            <w:tcBorders>
              <w:top w:val="single" w:color="auto" w:sz="12" w:space="0"/>
              <w:left w:val="nil"/>
              <w:bottom w:val="nil"/>
              <w:right w:val="nil"/>
            </w:tcBorders>
            <w:vAlign w:val="center"/>
          </w:tcPr>
          <w:p w14:paraId="11E9FFF4">
            <w:pPr>
              <w:autoSpaceDE w:val="0"/>
              <w:autoSpaceDN w:val="0"/>
              <w:adjustRightInd w:val="0"/>
              <w:spacing w:line="360" w:lineRule="auto"/>
              <w:jc w:val="center"/>
              <w:rPr>
                <w:rFonts w:cs="宋体"/>
                <w:kern w:val="0"/>
                <w:szCs w:val="21"/>
              </w:rPr>
            </w:pPr>
          </w:p>
        </w:tc>
      </w:tr>
      <w:tr w14:paraId="00EDE7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8" w:type="dxa"/>
            <w:tcBorders>
              <w:top w:val="nil"/>
              <w:left w:val="nil"/>
              <w:bottom w:val="single" w:color="auto" w:sz="12" w:space="0"/>
              <w:right w:val="nil"/>
            </w:tcBorders>
            <w:vAlign w:val="center"/>
          </w:tcPr>
          <w:p w14:paraId="5DB52AF5">
            <w:pPr>
              <w:autoSpaceDE w:val="0"/>
              <w:autoSpaceDN w:val="0"/>
              <w:adjustRightInd w:val="0"/>
              <w:spacing w:line="360" w:lineRule="auto"/>
              <w:jc w:val="center"/>
              <w:rPr>
                <w:rFonts w:cs="宋体"/>
                <w:kern w:val="0"/>
                <w:szCs w:val="21"/>
              </w:rPr>
            </w:pPr>
            <w:r>
              <w:rPr>
                <w:rFonts w:cs="宋体"/>
                <w:kern w:val="0"/>
                <w:szCs w:val="21"/>
              </w:rPr>
              <w:t>API Spec 5D</w:t>
            </w:r>
          </w:p>
        </w:tc>
        <w:tc>
          <w:tcPr>
            <w:tcW w:w="584" w:type="dxa"/>
            <w:tcBorders>
              <w:top w:val="nil"/>
              <w:left w:val="nil"/>
              <w:bottom w:val="single" w:color="auto" w:sz="12" w:space="0"/>
              <w:right w:val="nil"/>
            </w:tcBorders>
            <w:vAlign w:val="center"/>
          </w:tcPr>
          <w:p w14:paraId="0A3DF071">
            <w:pPr>
              <w:autoSpaceDE w:val="0"/>
              <w:autoSpaceDN w:val="0"/>
              <w:adjustRightInd w:val="0"/>
              <w:spacing w:line="360" w:lineRule="auto"/>
              <w:jc w:val="center"/>
              <w:rPr>
                <w:rFonts w:cs="宋体"/>
                <w:kern w:val="0"/>
                <w:szCs w:val="21"/>
              </w:rPr>
            </w:pPr>
            <w:r>
              <w:rPr>
                <w:rFonts w:hint="eastAsia" w:cs="宋体"/>
                <w:kern w:val="0"/>
                <w:szCs w:val="21"/>
              </w:rPr>
              <w:t>—</w:t>
            </w:r>
          </w:p>
        </w:tc>
        <w:tc>
          <w:tcPr>
            <w:tcW w:w="794" w:type="dxa"/>
            <w:tcBorders>
              <w:top w:val="nil"/>
              <w:left w:val="nil"/>
              <w:bottom w:val="single" w:color="auto" w:sz="12" w:space="0"/>
              <w:right w:val="nil"/>
            </w:tcBorders>
            <w:vAlign w:val="center"/>
          </w:tcPr>
          <w:p w14:paraId="053DE710">
            <w:pPr>
              <w:autoSpaceDE w:val="0"/>
              <w:autoSpaceDN w:val="0"/>
              <w:adjustRightInd w:val="0"/>
              <w:spacing w:line="360" w:lineRule="auto"/>
              <w:jc w:val="center"/>
              <w:rPr>
                <w:rFonts w:cs="宋体"/>
                <w:kern w:val="0"/>
                <w:szCs w:val="21"/>
              </w:rPr>
            </w:pPr>
            <w:r>
              <w:rPr>
                <w:rFonts w:hint="eastAsia" w:cs="宋体"/>
                <w:kern w:val="0"/>
                <w:szCs w:val="21"/>
              </w:rPr>
              <w:t>—</w:t>
            </w:r>
          </w:p>
        </w:tc>
        <w:tc>
          <w:tcPr>
            <w:tcW w:w="794" w:type="dxa"/>
            <w:tcBorders>
              <w:top w:val="nil"/>
              <w:left w:val="nil"/>
              <w:bottom w:val="single" w:color="auto" w:sz="12" w:space="0"/>
              <w:right w:val="nil"/>
            </w:tcBorders>
            <w:vAlign w:val="center"/>
          </w:tcPr>
          <w:p w14:paraId="32D5F348">
            <w:pPr>
              <w:autoSpaceDE w:val="0"/>
              <w:autoSpaceDN w:val="0"/>
              <w:adjustRightInd w:val="0"/>
              <w:spacing w:line="360" w:lineRule="auto"/>
              <w:jc w:val="center"/>
              <w:rPr>
                <w:rFonts w:cs="宋体"/>
                <w:kern w:val="0"/>
                <w:szCs w:val="21"/>
              </w:rPr>
            </w:pPr>
            <w:r>
              <w:rPr>
                <w:rFonts w:hint="eastAsia" w:cs="宋体"/>
                <w:kern w:val="0"/>
                <w:szCs w:val="21"/>
              </w:rPr>
              <w:t>—</w:t>
            </w:r>
          </w:p>
        </w:tc>
        <w:tc>
          <w:tcPr>
            <w:tcW w:w="804" w:type="dxa"/>
            <w:tcBorders>
              <w:top w:val="nil"/>
              <w:left w:val="nil"/>
              <w:bottom w:val="single" w:color="auto" w:sz="12" w:space="0"/>
              <w:right w:val="nil"/>
            </w:tcBorders>
            <w:vAlign w:val="center"/>
          </w:tcPr>
          <w:p w14:paraId="54E2D9E9">
            <w:pPr>
              <w:autoSpaceDE w:val="0"/>
              <w:autoSpaceDN w:val="0"/>
              <w:adjustRightInd w:val="0"/>
              <w:spacing w:line="360" w:lineRule="auto"/>
              <w:jc w:val="center"/>
              <w:rPr>
                <w:rFonts w:cs="宋体"/>
                <w:kern w:val="0"/>
                <w:szCs w:val="21"/>
              </w:rPr>
            </w:pPr>
            <w:r>
              <w:rPr>
                <w:rFonts w:hint="eastAsia" w:cs="宋体"/>
                <w:kern w:val="0"/>
                <w:szCs w:val="21"/>
              </w:rPr>
              <w:t>—</w:t>
            </w:r>
          </w:p>
        </w:tc>
        <w:tc>
          <w:tcPr>
            <w:tcW w:w="804" w:type="dxa"/>
            <w:tcBorders>
              <w:top w:val="nil"/>
              <w:left w:val="nil"/>
              <w:bottom w:val="single" w:color="auto" w:sz="12" w:space="0"/>
              <w:right w:val="nil"/>
            </w:tcBorders>
            <w:vAlign w:val="center"/>
          </w:tcPr>
          <w:p w14:paraId="1DCEA7CC">
            <w:pPr>
              <w:autoSpaceDE w:val="0"/>
              <w:autoSpaceDN w:val="0"/>
              <w:adjustRightInd w:val="0"/>
              <w:spacing w:line="360" w:lineRule="auto"/>
              <w:jc w:val="center"/>
              <w:rPr>
                <w:rFonts w:cs="宋体"/>
                <w:kern w:val="0"/>
                <w:szCs w:val="21"/>
              </w:rPr>
            </w:pPr>
            <w:r>
              <w:rPr>
                <w:rFonts w:hint="eastAsia" w:cs="宋体"/>
                <w:kern w:val="0"/>
                <w:szCs w:val="21"/>
              </w:rPr>
              <w:t>—</w:t>
            </w:r>
          </w:p>
        </w:tc>
        <w:tc>
          <w:tcPr>
            <w:tcW w:w="584" w:type="dxa"/>
            <w:tcBorders>
              <w:top w:val="nil"/>
              <w:left w:val="nil"/>
              <w:bottom w:val="single" w:color="auto" w:sz="12" w:space="0"/>
              <w:right w:val="nil"/>
            </w:tcBorders>
            <w:vAlign w:val="center"/>
          </w:tcPr>
          <w:p w14:paraId="1C080305">
            <w:pPr>
              <w:autoSpaceDE w:val="0"/>
              <w:autoSpaceDN w:val="0"/>
              <w:adjustRightInd w:val="0"/>
              <w:spacing w:line="360" w:lineRule="auto"/>
              <w:jc w:val="center"/>
              <w:rPr>
                <w:rFonts w:cs="宋体"/>
                <w:kern w:val="0"/>
                <w:szCs w:val="21"/>
              </w:rPr>
            </w:pPr>
          </w:p>
        </w:tc>
        <w:tc>
          <w:tcPr>
            <w:tcW w:w="689" w:type="dxa"/>
            <w:tcBorders>
              <w:top w:val="nil"/>
              <w:left w:val="nil"/>
              <w:bottom w:val="single" w:color="auto" w:sz="12" w:space="0"/>
              <w:right w:val="nil"/>
            </w:tcBorders>
            <w:vAlign w:val="center"/>
          </w:tcPr>
          <w:p w14:paraId="7A689C59">
            <w:pPr>
              <w:autoSpaceDE w:val="0"/>
              <w:autoSpaceDN w:val="0"/>
              <w:adjustRightInd w:val="0"/>
              <w:spacing w:line="360" w:lineRule="auto"/>
              <w:jc w:val="center"/>
              <w:rPr>
                <w:rFonts w:cs="宋体"/>
                <w:kern w:val="0"/>
                <w:szCs w:val="21"/>
              </w:rPr>
            </w:pPr>
          </w:p>
        </w:tc>
        <w:tc>
          <w:tcPr>
            <w:tcW w:w="689" w:type="dxa"/>
            <w:tcBorders>
              <w:top w:val="nil"/>
              <w:left w:val="nil"/>
              <w:bottom w:val="single" w:color="auto" w:sz="12" w:space="0"/>
              <w:right w:val="nil"/>
            </w:tcBorders>
            <w:vAlign w:val="center"/>
          </w:tcPr>
          <w:p w14:paraId="1A42F1C1">
            <w:pPr>
              <w:autoSpaceDE w:val="0"/>
              <w:autoSpaceDN w:val="0"/>
              <w:adjustRightInd w:val="0"/>
              <w:spacing w:line="360" w:lineRule="auto"/>
              <w:jc w:val="center"/>
              <w:rPr>
                <w:rFonts w:cs="宋体"/>
                <w:kern w:val="0"/>
                <w:szCs w:val="21"/>
              </w:rPr>
            </w:pPr>
          </w:p>
        </w:tc>
        <w:tc>
          <w:tcPr>
            <w:tcW w:w="794" w:type="dxa"/>
            <w:tcBorders>
              <w:top w:val="nil"/>
              <w:left w:val="nil"/>
              <w:bottom w:val="single" w:color="auto" w:sz="12" w:space="0"/>
              <w:right w:val="nil"/>
            </w:tcBorders>
            <w:vAlign w:val="center"/>
          </w:tcPr>
          <w:p w14:paraId="1541307D">
            <w:pPr>
              <w:autoSpaceDE w:val="0"/>
              <w:autoSpaceDN w:val="0"/>
              <w:adjustRightInd w:val="0"/>
              <w:spacing w:line="360" w:lineRule="auto"/>
              <w:jc w:val="center"/>
              <w:rPr>
                <w:rFonts w:cs="宋体"/>
                <w:kern w:val="0"/>
                <w:szCs w:val="21"/>
              </w:rPr>
            </w:pPr>
          </w:p>
        </w:tc>
      </w:tr>
    </w:tbl>
    <w:p w14:paraId="3A0BC0A4">
      <w:pPr>
        <w:pStyle w:val="16"/>
        <w:spacing w:before="31" w:after="31"/>
        <w:ind w:firstLine="0" w:firstLineChars="0"/>
        <w:jc w:val="left"/>
        <w:rPr>
          <w:rFonts w:hint="eastAsia"/>
          <w:szCs w:val="24"/>
        </w:rPr>
      </w:pPr>
    </w:p>
    <w:p w14:paraId="74260888">
      <w:pPr>
        <w:pStyle w:val="16"/>
        <w:spacing w:before="31" w:after="31"/>
        <w:ind w:firstLine="199" w:firstLineChars="83"/>
        <w:jc w:val="left"/>
        <w:rPr>
          <w:szCs w:val="24"/>
        </w:rPr>
      </w:pPr>
      <w:r>
        <w:rPr>
          <w:szCs w:val="24"/>
        </w:rPr>
        <w:t>(5) Component Failure Morphology</w:t>
      </w:r>
    </w:p>
    <w:p w14:paraId="722234B3">
      <w:pPr>
        <w:pStyle w:val="16"/>
        <w:spacing w:before="31" w:after="31"/>
        <w:ind w:firstLine="480"/>
        <w:jc w:val="left"/>
        <w:rPr>
          <w:szCs w:val="24"/>
        </w:rPr>
      </w:pPr>
      <w:r>
        <w:rPr>
          <w:szCs w:val="24"/>
        </w:rPr>
        <w:t>Figure 5-9.1 shows the overall appearance of the failed S135 drill pipe body. The failure was characterized by penetration failure, with a puncture point located 725mm from the internal thread end face. The puncture depth was 803.07m, and the failure exhibited irregular and rough fracture surfaces. The inner wall showed radial tearing, with jagged edges and clear metal flow patterns.</w:t>
      </w:r>
    </w:p>
    <w:p w14:paraId="0BBF1CF1">
      <w:pPr>
        <w:pStyle w:val="16"/>
        <w:spacing w:before="31" w:after="31"/>
        <w:ind w:firstLine="482"/>
        <w:jc w:val="center"/>
        <w:rPr>
          <w:b/>
          <w:bCs/>
          <w:szCs w:val="24"/>
        </w:rPr>
      </w:pPr>
      <w:r>
        <w:rPr>
          <w:b/>
          <w:bCs/>
          <w:szCs w:val="24"/>
        </w:rPr>
        <w:t>Figure 5-9.1 Overall appearance of the failed S135 drill pipe body</w:t>
      </w:r>
    </w:p>
    <w:p w14:paraId="3DC602F2">
      <w:pPr>
        <w:pStyle w:val="16"/>
        <w:spacing w:before="31" w:after="31"/>
        <w:ind w:firstLine="480"/>
        <w:jc w:val="left"/>
        <w:rPr>
          <w:szCs w:val="24"/>
        </w:rPr>
      </w:pPr>
      <w:r>
        <w:rPr>
          <w:szCs w:val="24"/>
        </w:rPr>
        <w:t>The microscopic morphology of the puncture point is shown in Figure 5-9.2. The failure exhibited fatigue fracture characteristics, with obvious fatigue striations and crack arrest marks. The crack initiated from the inner surface of the pipe wall and propagated to the outer surface, leading to penetration failure.</w:t>
      </w:r>
    </w:p>
    <w:p w14:paraId="750A0FBB">
      <w:pPr>
        <w:pStyle w:val="16"/>
        <w:spacing w:before="31" w:after="31"/>
        <w:ind w:firstLine="482"/>
        <w:jc w:val="center"/>
        <w:rPr>
          <w:b/>
          <w:bCs/>
          <w:szCs w:val="24"/>
        </w:rPr>
      </w:pPr>
      <w:r>
        <w:rPr>
          <w:b/>
          <w:bCs/>
          <w:szCs w:val="24"/>
        </w:rPr>
        <w:t>Figure 5-9.2 Microscopic morphology of the puncture point</w:t>
      </w:r>
    </w:p>
    <w:p w14:paraId="1E0A64C2">
      <w:pPr>
        <w:pStyle w:val="16"/>
        <w:spacing w:before="31" w:after="31"/>
        <w:ind w:firstLine="0" w:firstLineChars="0"/>
        <w:jc w:val="left"/>
        <w:rPr>
          <w:szCs w:val="24"/>
        </w:rPr>
      </w:pPr>
      <w:r>
        <w:rPr>
          <w:szCs w:val="24"/>
        </w:rPr>
        <w:t>(6) Analysis of Failure Causes</w:t>
      </w:r>
    </w:p>
    <w:p w14:paraId="0F2A7706">
      <w:pPr>
        <w:pStyle w:val="16"/>
        <w:spacing w:before="31" w:after="31"/>
        <w:ind w:firstLine="480"/>
        <w:jc w:val="left"/>
        <w:rPr>
          <w:szCs w:val="24"/>
        </w:rPr>
      </w:pPr>
      <w:r>
        <w:rPr>
          <w:szCs w:val="24"/>
        </w:rPr>
        <w:t>The corrosion pit morphology and microcrack conditions were observed using the hot acid etching test method, and no surface cracks were found, as shown in Figures 5-9.8 to 5-9.9.</w:t>
      </w:r>
    </w:p>
    <w:p w14:paraId="0112CAC8">
      <w:pPr>
        <w:pStyle w:val="16"/>
        <w:spacing w:before="31" w:after="31"/>
        <w:ind w:firstLine="482"/>
        <w:jc w:val="center"/>
        <w:rPr>
          <w:b/>
          <w:bCs/>
          <w:szCs w:val="24"/>
        </w:rPr>
      </w:pPr>
      <w:r>
        <w:rPr>
          <w:b/>
          <w:bCs/>
          <w:szCs w:val="24"/>
        </w:rPr>
        <w:t>Figure 5-9.8 Macroscopic morphology of the outer surface of the pipe body near the stabbing point of the S135 drill pipe after hot acid etching.</w:t>
      </w:r>
    </w:p>
    <w:p w14:paraId="4C779C79">
      <w:pPr>
        <w:pStyle w:val="16"/>
        <w:spacing w:before="31" w:after="31"/>
        <w:ind w:firstLine="482"/>
        <w:jc w:val="center"/>
        <w:rPr>
          <w:rFonts w:hint="eastAsia"/>
          <w:b/>
          <w:bCs/>
          <w:szCs w:val="24"/>
        </w:rPr>
      </w:pPr>
      <w:r>
        <w:rPr>
          <w:b/>
          <w:bCs/>
          <w:szCs w:val="24"/>
        </w:rPr>
        <w:t>Figure 5-9.9 Macroscopic morphology of the outer surface of the pipe body on the other side of the stabbing point of the S135 drill pipe after hot acid etching.</w:t>
      </w:r>
    </w:p>
    <w:p w14:paraId="23BAAAA5">
      <w:pPr>
        <w:pStyle w:val="16"/>
        <w:spacing w:before="31" w:after="31"/>
        <w:ind w:firstLine="480"/>
        <w:jc w:val="left"/>
        <w:rPr>
          <w:szCs w:val="24"/>
        </w:rPr>
      </w:pPr>
      <w:r>
        <w:rPr>
          <w:szCs w:val="24"/>
        </w:rPr>
        <w:t>The surface morphology of the crack at the piercing position of the S135 drill pipe is shown in Figure 5-9.10, where macroscopically, it exhibits grooves formed by erosion. The original cracking surface is severely damaged, covered with micro-pits and grooves formed by erosion, as shown in Figure 5-9.11, concealing the original morphology of the crack. Energy-dispersive X-ray spectroscopy (EDS) analysis of corrosion products on the pierced crack surface revealed components such as O, Fe, S, Ca, Al, Cr, C, with X-ray diffraction (XRD) analysis indicating that the main corrosion product is Fe2O3. Thus, the corrosion mechanism is primarily oxygen corrosion.</w:t>
      </w:r>
    </w:p>
    <w:p w14:paraId="3CEB9FE4">
      <w:pPr>
        <w:pStyle w:val="16"/>
        <w:spacing w:before="31" w:after="31"/>
        <w:ind w:firstLine="482"/>
        <w:jc w:val="center"/>
        <w:rPr>
          <w:b/>
          <w:bCs/>
          <w:szCs w:val="24"/>
        </w:rPr>
      </w:pPr>
      <w:r>
        <w:rPr>
          <w:b/>
          <w:bCs/>
          <w:szCs w:val="24"/>
        </w:rPr>
        <w:t>Figure 5-9.10 Surface morphology of the pierced crack on the S135 drill pipe.</w:t>
      </w:r>
    </w:p>
    <w:p w14:paraId="3661CA4A">
      <w:pPr>
        <w:pStyle w:val="16"/>
        <w:spacing w:before="31" w:after="31"/>
        <w:ind w:firstLine="482"/>
        <w:jc w:val="center"/>
        <w:rPr>
          <w:b/>
          <w:bCs/>
          <w:szCs w:val="24"/>
        </w:rPr>
      </w:pPr>
      <w:r>
        <w:rPr>
          <w:b/>
          <w:bCs/>
          <w:szCs w:val="24"/>
        </w:rPr>
        <w:t>Figure 5-9.11 Microscopic morphology of the surface of the pierced crack on the S135 drill pipe.</w:t>
      </w:r>
    </w:p>
    <w:p w14:paraId="1C390B50">
      <w:pPr>
        <w:pStyle w:val="16"/>
        <w:spacing w:before="31" w:after="31"/>
        <w:ind w:firstLine="480"/>
        <w:jc w:val="left"/>
        <w:rPr>
          <w:szCs w:val="24"/>
        </w:rPr>
      </w:pPr>
      <w:r>
        <w:rPr>
          <w:szCs w:val="24"/>
        </w:rPr>
        <w:t>In theory, when the drill pipe in a vertical wellbore is only subjected to static tensile loads and not bending loads, fatigue cracking should not occur. Fatigue fracture requires the mechanical condition of alternating stress. When a dogleg occurs in the wellbore, the drill pipe passing through this section bends, and bending load is a dynamic load. When the drill pipe rotates or moves, changes in tensile stress on the drill pipe surface result in alternating stress.</w:t>
      </w:r>
    </w:p>
    <w:p w14:paraId="185B9039">
      <w:pPr>
        <w:pStyle w:val="16"/>
        <w:spacing w:before="31" w:after="31"/>
        <w:ind w:firstLine="480"/>
        <w:jc w:val="left"/>
        <w:rPr>
          <w:szCs w:val="24"/>
        </w:rPr>
      </w:pPr>
      <w:r>
        <w:rPr>
          <w:szCs w:val="24"/>
        </w:rPr>
        <w:t>The severity of dogleg significantly affects the fatigue life of the drill pipe. Under the same tensile load, as the dogleg severity increases, the bending index of the drill pipe increases, and the fatigue life decreases. The well has a relatively severe dogleg, with a dogleg severity of 5.68° at a distance of 435m from the wellhead.</w:t>
      </w:r>
    </w:p>
    <w:p w14:paraId="0BB8880B">
      <w:pPr>
        <w:pStyle w:val="16"/>
        <w:spacing w:before="31" w:after="31"/>
        <w:ind w:firstLine="480"/>
        <w:jc w:val="left"/>
        <w:rPr>
          <w:szCs w:val="24"/>
        </w:rPr>
      </w:pPr>
    </w:p>
    <w:p w14:paraId="4147BD5A">
      <w:pPr>
        <w:pStyle w:val="16"/>
        <w:spacing w:before="31" w:after="31"/>
        <w:ind w:firstLine="480"/>
        <w:jc w:val="left"/>
        <w:rPr>
          <w:szCs w:val="24"/>
        </w:rPr>
      </w:pPr>
      <w:r>
        <w:rPr>
          <w:szCs w:val="24"/>
        </w:rPr>
        <w:t>The wellbore inclination in the well where the S135 failed drill pipe is located varies significantly, with an increasing slope of approximately 2° per 30m in the curved well section. When the drill string is forced to pass through the curved well section, the drill string bends, fatigue accumulates, and the severity of wellbore curvature has a significant impact on the rate of fatigue damage accumulation.</w:t>
      </w:r>
    </w:p>
    <w:p w14:paraId="162809E5">
      <w:pPr>
        <w:pStyle w:val="16"/>
        <w:spacing w:before="31" w:after="31"/>
        <w:ind w:firstLine="480"/>
        <w:jc w:val="left"/>
        <w:rPr>
          <w:szCs w:val="24"/>
        </w:rPr>
      </w:pPr>
      <w:r>
        <w:rPr>
          <w:szCs w:val="24"/>
        </w:rPr>
        <w:t>The corrosion fatigue piercing mechanism of the drill pipe is as follows: (1) Dissolved oxygen in the drilling fluid corrodes the outer surface of the drill pipe, forming corrosion pits. (2) The corrosion pits cause discontinuity in the drill pipe body, leading to high stress concentration in the surrounding area. In addition, at the disappearance of the internal thickening transition section, there is already a severe stress concentration. The combination of these two stress concentrations intensifies, resulting in more pronounced stress concentration at the bottom of the erosion pit. Under alternating stress, fatigue cracks initiate at this location and propagate until they penetrate the wall thickness, forming a piercing channel. Subsequently, high-pressure drilling fluid inside the pipe is ejected through this channel, creating perforations on the surface of the drill pipe. Excluding material factors, drill pipe fatigue is primarily related to the alternating stress it experiences and the surface condition.</w:t>
      </w:r>
    </w:p>
    <w:p w14:paraId="7F2C0C7C">
      <w:pPr>
        <w:pStyle w:val="16"/>
        <w:spacing w:before="31" w:after="31"/>
        <w:ind w:firstLine="0" w:firstLineChars="0"/>
        <w:rPr>
          <w:szCs w:val="24"/>
        </w:rPr>
      </w:pPr>
      <w:r>
        <w:rPr>
          <w:szCs w:val="24"/>
        </w:rPr>
        <w:t>(7) Impact and Harm Caused</w:t>
      </w:r>
    </w:p>
    <w:p w14:paraId="01B5A69C">
      <w:pPr>
        <w:pStyle w:val="16"/>
        <w:spacing w:before="31" w:after="31"/>
        <w:ind w:firstLine="420" w:firstLineChars="0"/>
        <w:rPr>
          <w:rFonts w:hint="eastAsia"/>
          <w:szCs w:val="24"/>
        </w:rPr>
      </w:pPr>
      <w:r>
        <w:rPr>
          <w:szCs w:val="24"/>
        </w:rPr>
        <w:t>Null</w:t>
      </w:r>
    </w:p>
    <w:p w14:paraId="21D86BEF">
      <w:pPr>
        <w:pStyle w:val="16"/>
        <w:spacing w:before="31" w:after="31"/>
        <w:ind w:firstLine="0" w:firstLineChars="0"/>
        <w:jc w:val="left"/>
        <w:rPr>
          <w:szCs w:val="24"/>
        </w:rPr>
      </w:pPr>
      <w:r>
        <w:rPr>
          <w:szCs w:val="24"/>
        </w:rPr>
        <w:t>(8) Conclusion and Improvement Measures:</w:t>
      </w:r>
    </w:p>
    <w:p w14:paraId="63EAEB4C">
      <w:pPr>
        <w:pStyle w:val="16"/>
        <w:spacing w:before="31" w:after="31"/>
        <w:ind w:firstLine="480"/>
        <w:jc w:val="left"/>
        <w:rPr>
          <w:rFonts w:hint="eastAsia"/>
          <w:szCs w:val="24"/>
        </w:rPr>
      </w:pPr>
      <w:r>
        <w:rPr>
          <w:szCs w:val="24"/>
        </w:rPr>
        <w:t>The composition and performance of the drill pipe meet the requirements, and the failure is attributed to corrosion fatigue. Proposed improvement measures for the failure are:</w:t>
      </w:r>
    </w:p>
    <w:p w14:paraId="4651B074">
      <w:pPr>
        <w:pStyle w:val="16"/>
        <w:spacing w:before="31" w:after="31"/>
        <w:ind w:firstLine="480"/>
        <w:jc w:val="left"/>
        <w:rPr>
          <w:szCs w:val="24"/>
        </w:rPr>
      </w:pPr>
      <w:r>
        <w:rPr>
          <w:szCs w:val="24"/>
        </w:rPr>
        <w:t>(a) Suggest adding suitable corrosion inhibitors and deoxidants to the acidizing fluid, and deoxygenate the drilling fluid and completion fluid.</w:t>
      </w:r>
    </w:p>
    <w:p w14:paraId="48A6BAF9">
      <w:pPr>
        <w:pStyle w:val="16"/>
        <w:spacing w:before="31" w:after="31"/>
        <w:ind w:firstLine="480"/>
        <w:jc w:val="left"/>
        <w:rPr>
          <w:szCs w:val="24"/>
        </w:rPr>
      </w:pPr>
      <w:r>
        <w:rPr>
          <w:szCs w:val="24"/>
        </w:rPr>
        <w:t>(b) Suggest avoiding the use of drill pipes for acidizing operations.</w:t>
      </w:r>
    </w:p>
    <w:p w14:paraId="42108BCE">
      <w:pPr>
        <w:pStyle w:val="16"/>
        <w:spacing w:before="31" w:after="31"/>
        <w:ind w:firstLine="480"/>
        <w:jc w:val="left"/>
        <w:rPr>
          <w:szCs w:val="24"/>
        </w:rPr>
      </w:pPr>
      <w:r>
        <w:rPr>
          <w:szCs w:val="24"/>
        </w:rPr>
        <w:t>(c) Suggest appropriately reducing the drilling speed.</w:t>
      </w:r>
    </w:p>
    <w:p w14:paraId="4447E1DA">
      <w:pPr>
        <w:pStyle w:val="16"/>
        <w:spacing w:before="31" w:after="31"/>
        <w:ind w:firstLine="480"/>
        <w:jc w:val="left"/>
        <w:rPr>
          <w:szCs w:val="24"/>
        </w:rPr>
      </w:pPr>
    </w:p>
    <w:p w14:paraId="0AEA059F">
      <w:pPr>
        <w:pStyle w:val="16"/>
        <w:spacing w:before="31" w:after="31"/>
        <w:ind w:firstLine="0" w:firstLineChars="0"/>
        <w:jc w:val="left"/>
        <w:rPr>
          <w:b/>
          <w:bCs/>
          <w:szCs w:val="24"/>
        </w:rPr>
      </w:pPr>
      <w:r>
        <w:rPr>
          <w:b/>
          <w:bCs/>
          <w:szCs w:val="24"/>
        </w:rPr>
        <w:t>5.2.10 Case 5-10 SHl50 Double-Arm Lifting Ring Crack</w:t>
      </w:r>
    </w:p>
    <w:p w14:paraId="4EE65EAE">
      <w:pPr>
        <w:pStyle w:val="16"/>
        <w:spacing w:before="31" w:after="31"/>
        <w:ind w:firstLine="0" w:firstLineChars="0"/>
        <w:jc w:val="left"/>
        <w:rPr>
          <w:szCs w:val="24"/>
        </w:rPr>
      </w:pPr>
      <w:r>
        <w:rPr>
          <w:szCs w:val="24"/>
        </w:rPr>
        <w:t>(1) Case Name</w:t>
      </w:r>
    </w:p>
    <w:p w14:paraId="76CB22B5">
      <w:pPr>
        <w:pStyle w:val="16"/>
        <w:spacing w:before="31" w:after="31"/>
        <w:ind w:firstLine="480"/>
        <w:jc w:val="left"/>
        <w:rPr>
          <w:szCs w:val="24"/>
        </w:rPr>
      </w:pPr>
      <w:r>
        <w:rPr>
          <w:szCs w:val="24"/>
        </w:rPr>
        <w:t>SHl50 Double-Arm Lifting Ring Crack [12]</w:t>
      </w:r>
    </w:p>
    <w:p w14:paraId="69FF705D">
      <w:pPr>
        <w:pStyle w:val="16"/>
        <w:spacing w:before="31" w:after="31"/>
        <w:ind w:firstLine="0" w:firstLineChars="0"/>
        <w:jc w:val="left"/>
        <w:rPr>
          <w:szCs w:val="24"/>
        </w:rPr>
      </w:pPr>
      <w:r>
        <w:rPr>
          <w:szCs w:val="24"/>
        </w:rPr>
        <w:t>(2) Failure Process Description</w:t>
      </w:r>
    </w:p>
    <w:p w14:paraId="07868E4F">
      <w:pPr>
        <w:pStyle w:val="16"/>
        <w:spacing w:before="31" w:after="31"/>
        <w:ind w:firstLine="480"/>
        <w:jc w:val="left"/>
        <w:rPr>
          <w:szCs w:val="24"/>
        </w:rPr>
      </w:pPr>
      <w:r>
        <w:rPr>
          <w:szCs w:val="24"/>
        </w:rPr>
        <w:t>During the periodic inspection of a 1500 kN double-arm lifting ring used for well servicing in a certain oilfield, stair-step cracks were found at the connection between the two lifting arms and the large hook.</w:t>
      </w:r>
    </w:p>
    <w:p w14:paraId="2F64FF29">
      <w:pPr>
        <w:pStyle w:val="16"/>
        <w:spacing w:before="31" w:after="31"/>
        <w:ind w:firstLine="0" w:firstLineChars="0"/>
        <w:rPr>
          <w:szCs w:val="24"/>
        </w:rPr>
      </w:pPr>
      <w:r>
        <w:rPr>
          <w:szCs w:val="24"/>
        </w:rPr>
        <w:t>(3) Service Environment:</w:t>
      </w:r>
    </w:p>
    <w:p w14:paraId="65EBA943">
      <w:pPr>
        <w:pStyle w:val="16"/>
        <w:spacing w:before="31" w:after="31"/>
        <w:ind w:firstLine="420" w:firstLineChars="0"/>
        <w:rPr>
          <w:rFonts w:hint="eastAsia"/>
          <w:szCs w:val="24"/>
        </w:rPr>
      </w:pPr>
      <w:r>
        <w:rPr>
          <w:szCs w:val="24"/>
        </w:rPr>
        <w:t>Null</w:t>
      </w:r>
    </w:p>
    <w:p w14:paraId="500E1D1A">
      <w:pPr>
        <w:pStyle w:val="16"/>
        <w:spacing w:before="31" w:after="31"/>
        <w:ind w:firstLine="0" w:firstLineChars="0"/>
        <w:jc w:val="left"/>
        <w:rPr>
          <w:szCs w:val="24"/>
        </w:rPr>
      </w:pPr>
      <w:r>
        <w:rPr>
          <w:szCs w:val="24"/>
        </w:rPr>
        <w:t>(4) Failed Component and Material</w:t>
      </w:r>
    </w:p>
    <w:p w14:paraId="487F5552">
      <w:pPr>
        <w:pStyle w:val="16"/>
        <w:spacing w:before="31" w:after="31"/>
        <w:ind w:firstLine="480"/>
        <w:jc w:val="left"/>
        <w:rPr>
          <w:szCs w:val="24"/>
        </w:rPr>
      </w:pPr>
      <w:r>
        <w:rPr>
          <w:szCs w:val="24"/>
        </w:rPr>
        <w:t>Spectral chemical analysis of the crack location in the lifting ring revealed that the material was 42CrMo, and all elemental components were within the permissible range of GB3007-1999 standards, as shown in Table 5-17.</w:t>
      </w:r>
    </w:p>
    <w:p w14:paraId="57F913B0">
      <w:pPr>
        <w:pStyle w:val="16"/>
        <w:spacing w:before="31" w:after="31"/>
        <w:ind w:firstLine="482"/>
        <w:jc w:val="center"/>
        <w:rPr>
          <w:b/>
          <w:bCs/>
          <w:szCs w:val="24"/>
        </w:rPr>
      </w:pPr>
      <w:r>
        <w:rPr>
          <w:b/>
          <w:bCs/>
          <w:szCs w:val="24"/>
        </w:rPr>
        <w:t>Table 5-17 Chemical Composition of Lifting Ring Material (wt%)</w:t>
      </w:r>
    </w:p>
    <w:tbl>
      <w:tblPr>
        <w:tblStyle w:val="9"/>
        <w:tblW w:w="889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60"/>
        <w:gridCol w:w="1138"/>
        <w:gridCol w:w="1135"/>
        <w:gridCol w:w="1135"/>
        <w:gridCol w:w="851"/>
        <w:gridCol w:w="868"/>
        <w:gridCol w:w="1135"/>
        <w:gridCol w:w="1073"/>
      </w:tblGrid>
      <w:tr w14:paraId="2DFA78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left w:val="nil"/>
              <w:bottom w:val="single" w:color="auto" w:sz="12" w:space="0"/>
              <w:right w:val="nil"/>
            </w:tcBorders>
            <w:vAlign w:val="center"/>
          </w:tcPr>
          <w:p w14:paraId="1F20BA3A">
            <w:pPr>
              <w:autoSpaceDE w:val="0"/>
              <w:autoSpaceDN w:val="0"/>
              <w:adjustRightInd w:val="0"/>
              <w:spacing w:line="360" w:lineRule="auto"/>
              <w:jc w:val="center"/>
              <w:rPr>
                <w:rFonts w:cs="宋体"/>
                <w:kern w:val="0"/>
                <w:szCs w:val="21"/>
              </w:rPr>
            </w:pPr>
            <w:r>
              <w:t>Element</w:t>
            </w:r>
          </w:p>
        </w:tc>
        <w:tc>
          <w:tcPr>
            <w:tcW w:w="1137" w:type="dxa"/>
            <w:tcBorders>
              <w:top w:val="single" w:color="auto" w:sz="12" w:space="0"/>
              <w:left w:val="nil"/>
              <w:bottom w:val="single" w:color="auto" w:sz="12" w:space="0"/>
              <w:right w:val="nil"/>
            </w:tcBorders>
            <w:vAlign w:val="center"/>
          </w:tcPr>
          <w:p w14:paraId="4594FC04">
            <w:pPr>
              <w:autoSpaceDE w:val="0"/>
              <w:autoSpaceDN w:val="0"/>
              <w:adjustRightInd w:val="0"/>
              <w:spacing w:line="360" w:lineRule="auto"/>
              <w:jc w:val="center"/>
              <w:rPr>
                <w:rFonts w:cs="宋体"/>
                <w:kern w:val="0"/>
                <w:szCs w:val="21"/>
              </w:rPr>
            </w:pPr>
            <w:r>
              <w:rPr>
                <w:rFonts w:cs="宋体"/>
                <w:kern w:val="0"/>
                <w:szCs w:val="21"/>
              </w:rPr>
              <w:t>C</w:t>
            </w:r>
          </w:p>
        </w:tc>
        <w:tc>
          <w:tcPr>
            <w:tcW w:w="1134" w:type="dxa"/>
            <w:tcBorders>
              <w:top w:val="single" w:color="auto" w:sz="12" w:space="0"/>
              <w:left w:val="nil"/>
              <w:bottom w:val="single" w:color="auto" w:sz="12" w:space="0"/>
              <w:right w:val="nil"/>
            </w:tcBorders>
            <w:vAlign w:val="center"/>
          </w:tcPr>
          <w:p w14:paraId="7F950116">
            <w:pPr>
              <w:autoSpaceDE w:val="0"/>
              <w:autoSpaceDN w:val="0"/>
              <w:adjustRightInd w:val="0"/>
              <w:spacing w:line="360" w:lineRule="auto"/>
              <w:jc w:val="center"/>
              <w:rPr>
                <w:rFonts w:cs="宋体"/>
                <w:kern w:val="0"/>
                <w:szCs w:val="21"/>
              </w:rPr>
            </w:pPr>
            <w:r>
              <w:rPr>
                <w:rFonts w:cs="宋体"/>
                <w:kern w:val="0"/>
                <w:szCs w:val="21"/>
              </w:rPr>
              <w:t>Si</w:t>
            </w:r>
          </w:p>
        </w:tc>
        <w:tc>
          <w:tcPr>
            <w:tcW w:w="1134" w:type="dxa"/>
            <w:tcBorders>
              <w:top w:val="single" w:color="auto" w:sz="12" w:space="0"/>
              <w:left w:val="nil"/>
              <w:bottom w:val="single" w:color="auto" w:sz="12" w:space="0"/>
              <w:right w:val="nil"/>
            </w:tcBorders>
            <w:vAlign w:val="center"/>
          </w:tcPr>
          <w:p w14:paraId="1257AED1">
            <w:pPr>
              <w:autoSpaceDE w:val="0"/>
              <w:autoSpaceDN w:val="0"/>
              <w:adjustRightInd w:val="0"/>
              <w:spacing w:line="360" w:lineRule="auto"/>
              <w:jc w:val="center"/>
              <w:rPr>
                <w:rFonts w:cs="宋体"/>
                <w:kern w:val="0"/>
                <w:szCs w:val="21"/>
              </w:rPr>
            </w:pPr>
            <w:r>
              <w:rPr>
                <w:rFonts w:cs="宋体"/>
                <w:kern w:val="0"/>
                <w:szCs w:val="21"/>
              </w:rPr>
              <w:t>Mn</w:t>
            </w:r>
          </w:p>
        </w:tc>
        <w:tc>
          <w:tcPr>
            <w:tcW w:w="851" w:type="dxa"/>
            <w:tcBorders>
              <w:top w:val="single" w:color="auto" w:sz="12" w:space="0"/>
              <w:left w:val="nil"/>
              <w:bottom w:val="single" w:color="auto" w:sz="12" w:space="0"/>
              <w:right w:val="nil"/>
            </w:tcBorders>
            <w:vAlign w:val="center"/>
          </w:tcPr>
          <w:p w14:paraId="48DA4B49">
            <w:pPr>
              <w:autoSpaceDE w:val="0"/>
              <w:autoSpaceDN w:val="0"/>
              <w:adjustRightInd w:val="0"/>
              <w:spacing w:line="360" w:lineRule="auto"/>
              <w:jc w:val="center"/>
              <w:rPr>
                <w:rFonts w:cs="宋体"/>
                <w:kern w:val="0"/>
                <w:szCs w:val="21"/>
              </w:rPr>
            </w:pPr>
            <w:r>
              <w:rPr>
                <w:rFonts w:cs="宋体"/>
                <w:kern w:val="0"/>
                <w:szCs w:val="21"/>
              </w:rPr>
              <w:t>P</w:t>
            </w:r>
          </w:p>
        </w:tc>
        <w:tc>
          <w:tcPr>
            <w:tcW w:w="868" w:type="dxa"/>
            <w:tcBorders>
              <w:top w:val="single" w:color="auto" w:sz="12" w:space="0"/>
              <w:left w:val="nil"/>
              <w:bottom w:val="single" w:color="auto" w:sz="12" w:space="0"/>
              <w:right w:val="nil"/>
            </w:tcBorders>
            <w:vAlign w:val="center"/>
          </w:tcPr>
          <w:p w14:paraId="798714AB">
            <w:pPr>
              <w:autoSpaceDE w:val="0"/>
              <w:autoSpaceDN w:val="0"/>
              <w:adjustRightInd w:val="0"/>
              <w:spacing w:line="360" w:lineRule="auto"/>
              <w:jc w:val="center"/>
              <w:rPr>
                <w:rFonts w:cs="宋体"/>
                <w:kern w:val="0"/>
                <w:szCs w:val="21"/>
              </w:rPr>
            </w:pPr>
            <w:r>
              <w:rPr>
                <w:rFonts w:cs="宋体"/>
                <w:kern w:val="0"/>
                <w:szCs w:val="21"/>
              </w:rPr>
              <w:t>S</w:t>
            </w:r>
          </w:p>
        </w:tc>
        <w:tc>
          <w:tcPr>
            <w:tcW w:w="1134" w:type="dxa"/>
            <w:tcBorders>
              <w:top w:val="single" w:color="auto" w:sz="12" w:space="0"/>
              <w:left w:val="nil"/>
              <w:bottom w:val="single" w:color="auto" w:sz="12" w:space="0"/>
              <w:right w:val="nil"/>
            </w:tcBorders>
            <w:vAlign w:val="center"/>
          </w:tcPr>
          <w:p w14:paraId="4E30EC91">
            <w:pPr>
              <w:autoSpaceDE w:val="0"/>
              <w:autoSpaceDN w:val="0"/>
              <w:adjustRightInd w:val="0"/>
              <w:spacing w:line="360" w:lineRule="auto"/>
              <w:jc w:val="center"/>
              <w:rPr>
                <w:rFonts w:cs="宋体"/>
                <w:kern w:val="0"/>
                <w:szCs w:val="21"/>
              </w:rPr>
            </w:pPr>
            <w:r>
              <w:rPr>
                <w:rFonts w:cs="宋体"/>
                <w:kern w:val="0"/>
                <w:szCs w:val="21"/>
              </w:rPr>
              <w:t>Cr</w:t>
            </w:r>
          </w:p>
        </w:tc>
        <w:tc>
          <w:tcPr>
            <w:tcW w:w="1073" w:type="dxa"/>
            <w:tcBorders>
              <w:top w:val="single" w:color="auto" w:sz="12" w:space="0"/>
              <w:left w:val="nil"/>
              <w:bottom w:val="single" w:color="auto" w:sz="12" w:space="0"/>
              <w:right w:val="nil"/>
            </w:tcBorders>
            <w:vAlign w:val="center"/>
          </w:tcPr>
          <w:p w14:paraId="45F047AC">
            <w:pPr>
              <w:autoSpaceDE w:val="0"/>
              <w:autoSpaceDN w:val="0"/>
              <w:adjustRightInd w:val="0"/>
              <w:spacing w:line="360" w:lineRule="auto"/>
              <w:jc w:val="center"/>
              <w:rPr>
                <w:rFonts w:cs="宋体"/>
                <w:kern w:val="0"/>
                <w:szCs w:val="21"/>
              </w:rPr>
            </w:pPr>
            <w:r>
              <w:rPr>
                <w:rFonts w:cs="宋体"/>
                <w:kern w:val="0"/>
                <w:szCs w:val="21"/>
              </w:rPr>
              <w:t>Mo</w:t>
            </w:r>
          </w:p>
        </w:tc>
      </w:tr>
      <w:tr w14:paraId="067F05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left w:val="nil"/>
              <w:bottom w:val="nil"/>
              <w:right w:val="nil"/>
            </w:tcBorders>
            <w:vAlign w:val="center"/>
          </w:tcPr>
          <w:p w14:paraId="7CFC696A">
            <w:pPr>
              <w:autoSpaceDE w:val="0"/>
              <w:autoSpaceDN w:val="0"/>
              <w:adjustRightInd w:val="0"/>
              <w:spacing w:line="360" w:lineRule="auto"/>
              <w:jc w:val="center"/>
              <w:rPr>
                <w:rFonts w:cs="宋体"/>
                <w:kern w:val="0"/>
                <w:szCs w:val="21"/>
              </w:rPr>
            </w:pPr>
            <w:r>
              <w:t>Test Value</w:t>
            </w:r>
            <w:r>
              <w:tab/>
            </w:r>
          </w:p>
        </w:tc>
        <w:tc>
          <w:tcPr>
            <w:tcW w:w="1137" w:type="dxa"/>
            <w:tcBorders>
              <w:top w:val="single" w:color="auto" w:sz="12" w:space="0"/>
              <w:left w:val="nil"/>
              <w:bottom w:val="nil"/>
              <w:right w:val="nil"/>
            </w:tcBorders>
            <w:vAlign w:val="center"/>
          </w:tcPr>
          <w:p w14:paraId="7A64F640">
            <w:pPr>
              <w:autoSpaceDE w:val="0"/>
              <w:autoSpaceDN w:val="0"/>
              <w:adjustRightInd w:val="0"/>
              <w:spacing w:line="360" w:lineRule="auto"/>
              <w:jc w:val="center"/>
              <w:rPr>
                <w:rFonts w:cs="宋体"/>
                <w:kern w:val="0"/>
                <w:szCs w:val="21"/>
              </w:rPr>
            </w:pPr>
            <w:r>
              <w:rPr>
                <w:rFonts w:cs="宋体"/>
                <w:kern w:val="0"/>
                <w:szCs w:val="21"/>
              </w:rPr>
              <w:t>0.40</w:t>
            </w:r>
          </w:p>
        </w:tc>
        <w:tc>
          <w:tcPr>
            <w:tcW w:w="1134" w:type="dxa"/>
            <w:tcBorders>
              <w:top w:val="single" w:color="auto" w:sz="12" w:space="0"/>
              <w:left w:val="nil"/>
              <w:bottom w:val="nil"/>
              <w:right w:val="nil"/>
            </w:tcBorders>
            <w:vAlign w:val="center"/>
          </w:tcPr>
          <w:p w14:paraId="0E47E113">
            <w:pPr>
              <w:autoSpaceDE w:val="0"/>
              <w:autoSpaceDN w:val="0"/>
              <w:adjustRightInd w:val="0"/>
              <w:spacing w:line="360" w:lineRule="auto"/>
              <w:jc w:val="center"/>
              <w:rPr>
                <w:rFonts w:cs="宋体"/>
                <w:kern w:val="0"/>
                <w:szCs w:val="21"/>
              </w:rPr>
            </w:pPr>
            <w:r>
              <w:rPr>
                <w:rFonts w:cs="宋体"/>
                <w:kern w:val="0"/>
                <w:szCs w:val="21"/>
              </w:rPr>
              <w:t>0.33</w:t>
            </w:r>
          </w:p>
        </w:tc>
        <w:tc>
          <w:tcPr>
            <w:tcW w:w="1134" w:type="dxa"/>
            <w:tcBorders>
              <w:top w:val="single" w:color="auto" w:sz="12" w:space="0"/>
              <w:left w:val="nil"/>
              <w:bottom w:val="nil"/>
              <w:right w:val="nil"/>
            </w:tcBorders>
            <w:vAlign w:val="center"/>
          </w:tcPr>
          <w:p w14:paraId="76925810">
            <w:pPr>
              <w:autoSpaceDE w:val="0"/>
              <w:autoSpaceDN w:val="0"/>
              <w:adjustRightInd w:val="0"/>
              <w:spacing w:line="360" w:lineRule="auto"/>
              <w:jc w:val="center"/>
              <w:rPr>
                <w:rFonts w:cs="宋体"/>
                <w:kern w:val="0"/>
                <w:szCs w:val="21"/>
              </w:rPr>
            </w:pPr>
            <w:r>
              <w:rPr>
                <w:rFonts w:cs="宋体"/>
                <w:kern w:val="0"/>
                <w:szCs w:val="21"/>
              </w:rPr>
              <w:t>0.50</w:t>
            </w:r>
          </w:p>
        </w:tc>
        <w:tc>
          <w:tcPr>
            <w:tcW w:w="851" w:type="dxa"/>
            <w:tcBorders>
              <w:top w:val="single" w:color="auto" w:sz="12" w:space="0"/>
              <w:left w:val="nil"/>
              <w:bottom w:val="nil"/>
              <w:right w:val="nil"/>
            </w:tcBorders>
            <w:vAlign w:val="center"/>
          </w:tcPr>
          <w:p w14:paraId="6749468F">
            <w:pPr>
              <w:autoSpaceDE w:val="0"/>
              <w:autoSpaceDN w:val="0"/>
              <w:adjustRightInd w:val="0"/>
              <w:spacing w:line="360" w:lineRule="auto"/>
              <w:jc w:val="center"/>
              <w:rPr>
                <w:rFonts w:cs="宋体"/>
                <w:kern w:val="0"/>
                <w:szCs w:val="21"/>
              </w:rPr>
            </w:pPr>
            <w:r>
              <w:rPr>
                <w:rFonts w:cs="宋体"/>
                <w:kern w:val="0"/>
                <w:szCs w:val="21"/>
              </w:rPr>
              <w:t>0.025</w:t>
            </w:r>
          </w:p>
        </w:tc>
        <w:tc>
          <w:tcPr>
            <w:tcW w:w="868" w:type="dxa"/>
            <w:tcBorders>
              <w:top w:val="single" w:color="auto" w:sz="12" w:space="0"/>
              <w:left w:val="nil"/>
              <w:bottom w:val="nil"/>
              <w:right w:val="nil"/>
            </w:tcBorders>
            <w:vAlign w:val="center"/>
          </w:tcPr>
          <w:p w14:paraId="0124D9C2">
            <w:pPr>
              <w:autoSpaceDE w:val="0"/>
              <w:autoSpaceDN w:val="0"/>
              <w:adjustRightInd w:val="0"/>
              <w:spacing w:line="360" w:lineRule="auto"/>
              <w:jc w:val="center"/>
              <w:rPr>
                <w:rFonts w:cs="宋体"/>
                <w:kern w:val="0"/>
                <w:szCs w:val="21"/>
              </w:rPr>
            </w:pPr>
            <w:r>
              <w:rPr>
                <w:rFonts w:cs="宋体"/>
                <w:kern w:val="0"/>
                <w:szCs w:val="21"/>
              </w:rPr>
              <w:t>0.008</w:t>
            </w:r>
          </w:p>
        </w:tc>
        <w:tc>
          <w:tcPr>
            <w:tcW w:w="1134" w:type="dxa"/>
            <w:tcBorders>
              <w:top w:val="single" w:color="auto" w:sz="12" w:space="0"/>
              <w:left w:val="nil"/>
              <w:bottom w:val="nil"/>
              <w:right w:val="nil"/>
            </w:tcBorders>
            <w:vAlign w:val="center"/>
          </w:tcPr>
          <w:p w14:paraId="7DC299FA">
            <w:pPr>
              <w:autoSpaceDE w:val="0"/>
              <w:autoSpaceDN w:val="0"/>
              <w:adjustRightInd w:val="0"/>
              <w:spacing w:line="360" w:lineRule="auto"/>
              <w:jc w:val="center"/>
              <w:rPr>
                <w:rFonts w:cs="宋体"/>
                <w:kern w:val="0"/>
                <w:szCs w:val="21"/>
              </w:rPr>
            </w:pPr>
            <w:r>
              <w:rPr>
                <w:rFonts w:cs="宋体"/>
                <w:kern w:val="0"/>
                <w:szCs w:val="21"/>
              </w:rPr>
              <w:t>0.93</w:t>
            </w:r>
          </w:p>
        </w:tc>
        <w:tc>
          <w:tcPr>
            <w:tcW w:w="1073" w:type="dxa"/>
            <w:tcBorders>
              <w:top w:val="single" w:color="auto" w:sz="12" w:space="0"/>
              <w:left w:val="nil"/>
              <w:bottom w:val="nil"/>
              <w:right w:val="nil"/>
            </w:tcBorders>
            <w:vAlign w:val="center"/>
          </w:tcPr>
          <w:p w14:paraId="2D99F5FF">
            <w:pPr>
              <w:autoSpaceDE w:val="0"/>
              <w:autoSpaceDN w:val="0"/>
              <w:adjustRightInd w:val="0"/>
              <w:spacing w:line="360" w:lineRule="auto"/>
              <w:jc w:val="center"/>
              <w:rPr>
                <w:rFonts w:cs="宋体"/>
                <w:kern w:val="0"/>
                <w:szCs w:val="21"/>
              </w:rPr>
            </w:pPr>
            <w:r>
              <w:rPr>
                <w:rFonts w:cs="宋体"/>
                <w:kern w:val="0"/>
                <w:szCs w:val="21"/>
              </w:rPr>
              <w:t>0.22</w:t>
            </w:r>
          </w:p>
        </w:tc>
      </w:tr>
      <w:tr w14:paraId="68E881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nil"/>
              <w:left w:val="nil"/>
              <w:bottom w:val="single" w:color="auto" w:sz="12" w:space="0"/>
              <w:right w:val="nil"/>
            </w:tcBorders>
            <w:vAlign w:val="center"/>
          </w:tcPr>
          <w:p w14:paraId="52025BAF">
            <w:pPr>
              <w:autoSpaceDE w:val="0"/>
              <w:autoSpaceDN w:val="0"/>
              <w:adjustRightInd w:val="0"/>
              <w:spacing w:line="360" w:lineRule="auto"/>
              <w:jc w:val="center"/>
              <w:rPr>
                <w:rFonts w:cs="宋体"/>
                <w:kern w:val="0"/>
                <w:szCs w:val="21"/>
              </w:rPr>
            </w:pPr>
            <w:r>
              <w:rPr>
                <w:rFonts w:cs="宋体"/>
                <w:kern w:val="0"/>
                <w:szCs w:val="21"/>
              </w:rPr>
              <w:t>GB3077-1999</w:t>
            </w:r>
          </w:p>
        </w:tc>
        <w:tc>
          <w:tcPr>
            <w:tcW w:w="1137" w:type="dxa"/>
            <w:tcBorders>
              <w:top w:val="nil"/>
              <w:left w:val="nil"/>
              <w:bottom w:val="single" w:color="auto" w:sz="12" w:space="0"/>
              <w:right w:val="nil"/>
            </w:tcBorders>
            <w:vAlign w:val="center"/>
          </w:tcPr>
          <w:p w14:paraId="3F842928">
            <w:pPr>
              <w:autoSpaceDE w:val="0"/>
              <w:autoSpaceDN w:val="0"/>
              <w:adjustRightInd w:val="0"/>
              <w:spacing w:line="360" w:lineRule="auto"/>
              <w:jc w:val="center"/>
              <w:rPr>
                <w:rFonts w:cs="宋体"/>
                <w:kern w:val="0"/>
                <w:szCs w:val="21"/>
              </w:rPr>
            </w:pPr>
            <w:r>
              <w:rPr>
                <w:rFonts w:cs="宋体"/>
                <w:kern w:val="0"/>
                <w:szCs w:val="21"/>
              </w:rPr>
              <w:t>0.38~0.45</w:t>
            </w:r>
          </w:p>
        </w:tc>
        <w:tc>
          <w:tcPr>
            <w:tcW w:w="1134" w:type="dxa"/>
            <w:tcBorders>
              <w:top w:val="nil"/>
              <w:left w:val="nil"/>
              <w:bottom w:val="single" w:color="auto" w:sz="12" w:space="0"/>
              <w:right w:val="nil"/>
            </w:tcBorders>
            <w:vAlign w:val="center"/>
          </w:tcPr>
          <w:p w14:paraId="4C2BC28A">
            <w:pPr>
              <w:autoSpaceDE w:val="0"/>
              <w:autoSpaceDN w:val="0"/>
              <w:adjustRightInd w:val="0"/>
              <w:spacing w:line="360" w:lineRule="auto"/>
              <w:jc w:val="center"/>
              <w:rPr>
                <w:rFonts w:cs="宋体"/>
                <w:kern w:val="0"/>
                <w:szCs w:val="21"/>
              </w:rPr>
            </w:pPr>
            <w:r>
              <w:rPr>
                <w:rFonts w:cs="宋体"/>
                <w:kern w:val="0"/>
                <w:szCs w:val="21"/>
              </w:rPr>
              <w:t>0.17~0.37</w:t>
            </w:r>
          </w:p>
        </w:tc>
        <w:tc>
          <w:tcPr>
            <w:tcW w:w="1134" w:type="dxa"/>
            <w:tcBorders>
              <w:top w:val="nil"/>
              <w:left w:val="nil"/>
              <w:bottom w:val="single" w:color="auto" w:sz="12" w:space="0"/>
              <w:right w:val="nil"/>
            </w:tcBorders>
            <w:vAlign w:val="center"/>
          </w:tcPr>
          <w:p w14:paraId="45D30E43">
            <w:pPr>
              <w:autoSpaceDE w:val="0"/>
              <w:autoSpaceDN w:val="0"/>
              <w:adjustRightInd w:val="0"/>
              <w:spacing w:line="360" w:lineRule="auto"/>
              <w:jc w:val="center"/>
              <w:rPr>
                <w:rFonts w:cs="宋体"/>
                <w:kern w:val="0"/>
                <w:szCs w:val="21"/>
              </w:rPr>
            </w:pPr>
            <w:r>
              <w:rPr>
                <w:rFonts w:cs="宋体"/>
                <w:kern w:val="0"/>
                <w:szCs w:val="21"/>
              </w:rPr>
              <w:t>0.50~0.80</w:t>
            </w:r>
          </w:p>
        </w:tc>
        <w:tc>
          <w:tcPr>
            <w:tcW w:w="851" w:type="dxa"/>
            <w:tcBorders>
              <w:top w:val="nil"/>
              <w:left w:val="nil"/>
              <w:bottom w:val="single" w:color="auto" w:sz="12" w:space="0"/>
              <w:right w:val="nil"/>
            </w:tcBorders>
            <w:vAlign w:val="center"/>
          </w:tcPr>
          <w:p w14:paraId="4CD6E9EB">
            <w:pPr>
              <w:autoSpaceDE w:val="0"/>
              <w:autoSpaceDN w:val="0"/>
              <w:adjustRightInd w:val="0"/>
              <w:spacing w:line="360" w:lineRule="auto"/>
              <w:jc w:val="center"/>
              <w:rPr>
                <w:rFonts w:cs="宋体"/>
                <w:kern w:val="0"/>
                <w:szCs w:val="21"/>
              </w:rPr>
            </w:pPr>
            <w:r>
              <w:rPr>
                <w:szCs w:val="21"/>
              </w:rPr>
              <w:t>≤0.040</w:t>
            </w:r>
          </w:p>
        </w:tc>
        <w:tc>
          <w:tcPr>
            <w:tcW w:w="868" w:type="dxa"/>
            <w:tcBorders>
              <w:top w:val="nil"/>
              <w:left w:val="nil"/>
              <w:bottom w:val="single" w:color="auto" w:sz="12" w:space="0"/>
              <w:right w:val="nil"/>
            </w:tcBorders>
            <w:vAlign w:val="center"/>
          </w:tcPr>
          <w:p w14:paraId="6BD8C472">
            <w:pPr>
              <w:autoSpaceDE w:val="0"/>
              <w:autoSpaceDN w:val="0"/>
              <w:adjustRightInd w:val="0"/>
              <w:spacing w:line="360" w:lineRule="auto"/>
              <w:jc w:val="center"/>
              <w:rPr>
                <w:rFonts w:cs="宋体"/>
                <w:kern w:val="0"/>
                <w:szCs w:val="21"/>
              </w:rPr>
            </w:pPr>
            <w:r>
              <w:rPr>
                <w:szCs w:val="21"/>
              </w:rPr>
              <w:t>≤0.040</w:t>
            </w:r>
          </w:p>
        </w:tc>
        <w:tc>
          <w:tcPr>
            <w:tcW w:w="1134" w:type="dxa"/>
            <w:tcBorders>
              <w:top w:val="nil"/>
              <w:left w:val="nil"/>
              <w:bottom w:val="single" w:color="auto" w:sz="12" w:space="0"/>
              <w:right w:val="nil"/>
            </w:tcBorders>
            <w:vAlign w:val="center"/>
          </w:tcPr>
          <w:p w14:paraId="75F52EB7">
            <w:pPr>
              <w:autoSpaceDE w:val="0"/>
              <w:autoSpaceDN w:val="0"/>
              <w:adjustRightInd w:val="0"/>
              <w:spacing w:line="360" w:lineRule="auto"/>
              <w:jc w:val="center"/>
              <w:rPr>
                <w:rFonts w:cs="宋体"/>
                <w:kern w:val="0"/>
                <w:szCs w:val="21"/>
              </w:rPr>
            </w:pPr>
            <w:r>
              <w:rPr>
                <w:rFonts w:cs="宋体"/>
                <w:kern w:val="0"/>
                <w:szCs w:val="21"/>
              </w:rPr>
              <w:t>0.90~1.20</w:t>
            </w:r>
          </w:p>
        </w:tc>
        <w:tc>
          <w:tcPr>
            <w:tcW w:w="1073" w:type="dxa"/>
            <w:tcBorders>
              <w:top w:val="nil"/>
              <w:left w:val="nil"/>
              <w:bottom w:val="single" w:color="auto" w:sz="12" w:space="0"/>
              <w:right w:val="nil"/>
            </w:tcBorders>
            <w:vAlign w:val="center"/>
          </w:tcPr>
          <w:p w14:paraId="5A0E127F">
            <w:pPr>
              <w:autoSpaceDE w:val="0"/>
              <w:autoSpaceDN w:val="0"/>
              <w:adjustRightInd w:val="0"/>
              <w:spacing w:line="360" w:lineRule="auto"/>
              <w:jc w:val="center"/>
              <w:rPr>
                <w:rFonts w:cs="宋体"/>
                <w:kern w:val="0"/>
                <w:szCs w:val="21"/>
              </w:rPr>
            </w:pPr>
            <w:r>
              <w:rPr>
                <w:rFonts w:cs="宋体"/>
                <w:kern w:val="0"/>
                <w:szCs w:val="21"/>
              </w:rPr>
              <w:t>0.15~0.25</w:t>
            </w:r>
          </w:p>
        </w:tc>
      </w:tr>
    </w:tbl>
    <w:p w14:paraId="5466F662">
      <w:pPr>
        <w:pStyle w:val="16"/>
        <w:spacing w:before="31" w:after="31"/>
        <w:ind w:firstLine="0" w:firstLineChars="0"/>
        <w:jc w:val="left"/>
        <w:rPr>
          <w:rFonts w:hint="eastAsia"/>
          <w:szCs w:val="24"/>
        </w:rPr>
      </w:pPr>
    </w:p>
    <w:p w14:paraId="0D06E220">
      <w:pPr>
        <w:pStyle w:val="16"/>
        <w:spacing w:before="31" w:after="31"/>
        <w:ind w:firstLine="480"/>
        <w:jc w:val="left"/>
        <w:rPr>
          <w:szCs w:val="24"/>
        </w:rPr>
      </w:pPr>
      <w:r>
        <w:rPr>
          <w:szCs w:val="24"/>
        </w:rPr>
        <w:t>The mechanical properties of the lifting ring are shown in Table 5-18. The lifting ring has high tensile strength (Rm), residual elongation strength (Rr0.2), and elongation after fracture (A), but lower impact absorption energy at -20°C. Hardness tests at intervals of 6mm from the surface to the center along the diameter direction revealed higher material hardness at the center and lower surface hardness, as shown in Table 5-19.</w:t>
      </w:r>
    </w:p>
    <w:p w14:paraId="75E6535B">
      <w:pPr>
        <w:pStyle w:val="16"/>
        <w:spacing w:before="31" w:after="31"/>
        <w:ind w:firstLine="482"/>
        <w:jc w:val="center"/>
        <w:rPr>
          <w:b/>
          <w:bCs/>
          <w:szCs w:val="24"/>
        </w:rPr>
      </w:pPr>
      <w:r>
        <w:rPr>
          <w:b/>
          <w:bCs/>
          <w:szCs w:val="24"/>
        </w:rPr>
        <w:t>Table 5-18 Mechanical Properties of Lifting Ring</w:t>
      </w:r>
    </w:p>
    <w:tbl>
      <w:tblPr>
        <w:tblStyle w:val="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6"/>
        <w:gridCol w:w="1595"/>
        <w:gridCol w:w="1603"/>
        <w:gridCol w:w="1576"/>
        <w:gridCol w:w="1603"/>
      </w:tblGrid>
      <w:tr w14:paraId="31265A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76" w:type="dxa"/>
            <w:vMerge w:val="restart"/>
            <w:tcBorders>
              <w:top w:val="single" w:color="auto" w:sz="12" w:space="0"/>
              <w:left w:val="nil"/>
              <w:bottom w:val="single" w:color="auto" w:sz="12" w:space="0"/>
              <w:right w:val="nil"/>
            </w:tcBorders>
          </w:tcPr>
          <w:p w14:paraId="4214AEDE">
            <w:pPr>
              <w:pStyle w:val="16"/>
              <w:spacing w:before="31" w:after="31"/>
              <w:ind w:firstLine="480"/>
              <w:jc w:val="left"/>
              <w:rPr>
                <w:szCs w:val="24"/>
              </w:rPr>
            </w:pPr>
            <w:r>
              <w:rPr>
                <w:szCs w:val="24"/>
              </w:rPr>
              <w:t>Item</w:t>
            </w:r>
            <w:r>
              <w:rPr>
                <w:szCs w:val="24"/>
              </w:rPr>
              <w:tab/>
            </w:r>
          </w:p>
          <w:p w14:paraId="7C8CBE1A">
            <w:pPr>
              <w:autoSpaceDE w:val="0"/>
              <w:autoSpaceDN w:val="0"/>
              <w:adjustRightInd w:val="0"/>
              <w:spacing w:line="312" w:lineRule="auto"/>
              <w:jc w:val="center"/>
              <w:rPr>
                <w:kern w:val="0"/>
                <w:szCs w:val="21"/>
              </w:rPr>
            </w:pPr>
          </w:p>
        </w:tc>
        <w:tc>
          <w:tcPr>
            <w:tcW w:w="4774" w:type="dxa"/>
            <w:gridSpan w:val="3"/>
            <w:tcBorders>
              <w:top w:val="single" w:color="auto" w:sz="12" w:space="0"/>
              <w:left w:val="nil"/>
              <w:bottom w:val="single" w:color="auto" w:sz="12" w:space="0"/>
              <w:right w:val="nil"/>
            </w:tcBorders>
          </w:tcPr>
          <w:p w14:paraId="3E65F77D">
            <w:pPr>
              <w:autoSpaceDE w:val="0"/>
              <w:autoSpaceDN w:val="0"/>
              <w:adjustRightInd w:val="0"/>
              <w:spacing w:line="312" w:lineRule="auto"/>
              <w:jc w:val="center"/>
              <w:rPr>
                <w:kern w:val="0"/>
                <w:szCs w:val="21"/>
              </w:rPr>
            </w:pPr>
            <w:r>
              <w:t>Tensile Test</w:t>
            </w:r>
            <w:r>
              <w:tab/>
            </w:r>
          </w:p>
        </w:tc>
        <w:tc>
          <w:tcPr>
            <w:tcW w:w="1603" w:type="dxa"/>
            <w:tcBorders>
              <w:top w:val="single" w:color="auto" w:sz="12" w:space="0"/>
              <w:left w:val="nil"/>
              <w:bottom w:val="single" w:color="auto" w:sz="12" w:space="0"/>
              <w:right w:val="nil"/>
            </w:tcBorders>
          </w:tcPr>
          <w:p w14:paraId="68D43C9E">
            <w:pPr>
              <w:autoSpaceDE w:val="0"/>
              <w:autoSpaceDN w:val="0"/>
              <w:adjustRightInd w:val="0"/>
              <w:spacing w:line="312" w:lineRule="auto"/>
              <w:jc w:val="center"/>
              <w:rPr>
                <w:kern w:val="0"/>
                <w:szCs w:val="21"/>
              </w:rPr>
            </w:pPr>
            <w:r>
              <w:t>Impact Test</w:t>
            </w:r>
          </w:p>
        </w:tc>
      </w:tr>
      <w:tr w14:paraId="061394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top w:val="single" w:color="auto" w:sz="12" w:space="0"/>
              <w:left w:val="nil"/>
              <w:bottom w:val="single" w:color="auto" w:sz="12" w:space="0"/>
              <w:right w:val="nil"/>
            </w:tcBorders>
            <w:vAlign w:val="center"/>
          </w:tcPr>
          <w:p w14:paraId="27766FC6">
            <w:pPr>
              <w:widowControl/>
              <w:jc w:val="left"/>
              <w:rPr>
                <w:kern w:val="0"/>
                <w:szCs w:val="21"/>
              </w:rPr>
            </w:pPr>
          </w:p>
        </w:tc>
        <w:tc>
          <w:tcPr>
            <w:tcW w:w="1595" w:type="dxa"/>
            <w:tcBorders>
              <w:top w:val="single" w:color="auto" w:sz="12" w:space="0"/>
              <w:left w:val="nil"/>
              <w:bottom w:val="single" w:color="auto" w:sz="12" w:space="0"/>
              <w:right w:val="nil"/>
            </w:tcBorders>
          </w:tcPr>
          <w:p w14:paraId="05AAB7BB">
            <w:pPr>
              <w:autoSpaceDE w:val="0"/>
              <w:autoSpaceDN w:val="0"/>
              <w:adjustRightInd w:val="0"/>
              <w:spacing w:line="312" w:lineRule="auto"/>
              <w:jc w:val="center"/>
              <w:rPr>
                <w:kern w:val="0"/>
                <w:szCs w:val="21"/>
              </w:rPr>
            </w:pPr>
            <w:r>
              <w:rPr>
                <w:kern w:val="0"/>
                <w:szCs w:val="21"/>
              </w:rPr>
              <w:t>R</w:t>
            </w:r>
            <w:r>
              <w:rPr>
                <w:kern w:val="0"/>
                <w:szCs w:val="21"/>
                <w:vertAlign w:val="subscript"/>
              </w:rPr>
              <w:t>m</w:t>
            </w:r>
            <w:r>
              <w:rPr>
                <w:kern w:val="0"/>
                <w:szCs w:val="21"/>
              </w:rPr>
              <w:t>/MPa</w:t>
            </w:r>
          </w:p>
        </w:tc>
        <w:tc>
          <w:tcPr>
            <w:tcW w:w="1603" w:type="dxa"/>
            <w:tcBorders>
              <w:top w:val="single" w:color="auto" w:sz="12" w:space="0"/>
              <w:left w:val="nil"/>
              <w:bottom w:val="single" w:color="auto" w:sz="12" w:space="0"/>
              <w:right w:val="nil"/>
            </w:tcBorders>
          </w:tcPr>
          <w:p w14:paraId="01572846">
            <w:pPr>
              <w:autoSpaceDE w:val="0"/>
              <w:autoSpaceDN w:val="0"/>
              <w:adjustRightInd w:val="0"/>
              <w:spacing w:line="312" w:lineRule="auto"/>
              <w:jc w:val="center"/>
              <w:rPr>
                <w:kern w:val="0"/>
                <w:szCs w:val="21"/>
              </w:rPr>
            </w:pPr>
            <w:r>
              <w:rPr>
                <w:kern w:val="0"/>
                <w:szCs w:val="21"/>
              </w:rPr>
              <w:t>R</w:t>
            </w:r>
            <w:r>
              <w:rPr>
                <w:kern w:val="0"/>
                <w:szCs w:val="21"/>
                <w:vertAlign w:val="subscript"/>
              </w:rPr>
              <w:t>r0.2</w:t>
            </w:r>
            <w:r>
              <w:rPr>
                <w:kern w:val="0"/>
                <w:szCs w:val="21"/>
              </w:rPr>
              <w:t>/MPa</w:t>
            </w:r>
          </w:p>
        </w:tc>
        <w:tc>
          <w:tcPr>
            <w:tcW w:w="1576" w:type="dxa"/>
            <w:tcBorders>
              <w:top w:val="single" w:color="auto" w:sz="12" w:space="0"/>
              <w:left w:val="nil"/>
              <w:bottom w:val="single" w:color="auto" w:sz="12" w:space="0"/>
              <w:right w:val="nil"/>
            </w:tcBorders>
          </w:tcPr>
          <w:p w14:paraId="07B0C6C5">
            <w:pPr>
              <w:autoSpaceDE w:val="0"/>
              <w:autoSpaceDN w:val="0"/>
              <w:adjustRightInd w:val="0"/>
              <w:spacing w:line="312" w:lineRule="auto"/>
              <w:jc w:val="center"/>
              <w:rPr>
                <w:kern w:val="0"/>
                <w:szCs w:val="21"/>
              </w:rPr>
            </w:pPr>
            <w:r>
              <w:rPr>
                <w:kern w:val="0"/>
                <w:szCs w:val="21"/>
              </w:rPr>
              <w:t>A/%</w:t>
            </w:r>
          </w:p>
        </w:tc>
        <w:tc>
          <w:tcPr>
            <w:tcW w:w="1603" w:type="dxa"/>
            <w:tcBorders>
              <w:top w:val="single" w:color="auto" w:sz="12" w:space="0"/>
              <w:left w:val="nil"/>
              <w:bottom w:val="single" w:color="auto" w:sz="12" w:space="0"/>
              <w:right w:val="nil"/>
            </w:tcBorders>
          </w:tcPr>
          <w:p w14:paraId="23C63608">
            <w:pPr>
              <w:autoSpaceDE w:val="0"/>
              <w:autoSpaceDN w:val="0"/>
              <w:adjustRightInd w:val="0"/>
              <w:spacing w:line="312" w:lineRule="auto"/>
              <w:jc w:val="center"/>
              <w:rPr>
                <w:kern w:val="0"/>
                <w:szCs w:val="21"/>
              </w:rPr>
            </w:pPr>
            <w:r>
              <w:rPr>
                <w:kern w:val="0"/>
                <w:szCs w:val="21"/>
              </w:rPr>
              <w:t>A</w:t>
            </w:r>
            <w:r>
              <w:rPr>
                <w:kern w:val="0"/>
                <w:szCs w:val="21"/>
                <w:vertAlign w:val="subscript"/>
              </w:rPr>
              <w:t>kv</w:t>
            </w:r>
            <w:r>
              <w:rPr>
                <w:kern w:val="0"/>
                <w:szCs w:val="21"/>
              </w:rPr>
              <w:t xml:space="preserve"> /J(-20</w:t>
            </w:r>
            <w:r>
              <w:rPr>
                <w:rFonts w:eastAsia="黑体"/>
                <w:b/>
                <w:szCs w:val="21"/>
              </w:rPr>
              <w:t>℃</w:t>
            </w:r>
            <w:r>
              <w:rPr>
                <w:kern w:val="0"/>
                <w:szCs w:val="21"/>
              </w:rPr>
              <w:t>)</w:t>
            </w:r>
          </w:p>
        </w:tc>
      </w:tr>
      <w:tr w14:paraId="6747EE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76" w:type="dxa"/>
            <w:vMerge w:val="restart"/>
            <w:tcBorders>
              <w:top w:val="single" w:color="auto" w:sz="12" w:space="0"/>
              <w:left w:val="nil"/>
              <w:bottom w:val="nil"/>
              <w:right w:val="nil"/>
            </w:tcBorders>
          </w:tcPr>
          <w:p w14:paraId="382D49CB">
            <w:pPr>
              <w:autoSpaceDE w:val="0"/>
              <w:autoSpaceDN w:val="0"/>
              <w:adjustRightInd w:val="0"/>
              <w:spacing w:line="312" w:lineRule="auto"/>
              <w:jc w:val="center"/>
              <w:rPr>
                <w:kern w:val="0"/>
                <w:szCs w:val="21"/>
              </w:rPr>
            </w:pPr>
            <w:r>
              <w:t>Test Value</w:t>
            </w:r>
          </w:p>
        </w:tc>
        <w:tc>
          <w:tcPr>
            <w:tcW w:w="1595" w:type="dxa"/>
            <w:tcBorders>
              <w:top w:val="single" w:color="auto" w:sz="12" w:space="0"/>
              <w:left w:val="nil"/>
              <w:bottom w:val="nil"/>
              <w:right w:val="nil"/>
            </w:tcBorders>
          </w:tcPr>
          <w:p w14:paraId="3C74BD96">
            <w:pPr>
              <w:autoSpaceDE w:val="0"/>
              <w:autoSpaceDN w:val="0"/>
              <w:adjustRightInd w:val="0"/>
              <w:spacing w:line="312" w:lineRule="auto"/>
              <w:jc w:val="center"/>
              <w:rPr>
                <w:kern w:val="0"/>
                <w:szCs w:val="21"/>
              </w:rPr>
            </w:pPr>
            <w:r>
              <w:rPr>
                <w:kern w:val="0"/>
                <w:szCs w:val="21"/>
              </w:rPr>
              <w:t>1040</w:t>
            </w:r>
          </w:p>
        </w:tc>
        <w:tc>
          <w:tcPr>
            <w:tcW w:w="1603" w:type="dxa"/>
            <w:tcBorders>
              <w:top w:val="single" w:color="auto" w:sz="12" w:space="0"/>
              <w:left w:val="nil"/>
              <w:bottom w:val="nil"/>
              <w:right w:val="nil"/>
            </w:tcBorders>
          </w:tcPr>
          <w:p w14:paraId="6599F490">
            <w:pPr>
              <w:autoSpaceDE w:val="0"/>
              <w:autoSpaceDN w:val="0"/>
              <w:adjustRightInd w:val="0"/>
              <w:spacing w:line="312" w:lineRule="auto"/>
              <w:jc w:val="center"/>
              <w:rPr>
                <w:kern w:val="0"/>
                <w:szCs w:val="21"/>
              </w:rPr>
            </w:pPr>
            <w:r>
              <w:rPr>
                <w:kern w:val="0"/>
                <w:szCs w:val="21"/>
              </w:rPr>
              <w:t>830</w:t>
            </w:r>
          </w:p>
        </w:tc>
        <w:tc>
          <w:tcPr>
            <w:tcW w:w="1576" w:type="dxa"/>
            <w:tcBorders>
              <w:top w:val="single" w:color="auto" w:sz="12" w:space="0"/>
              <w:left w:val="nil"/>
              <w:bottom w:val="nil"/>
              <w:right w:val="nil"/>
            </w:tcBorders>
          </w:tcPr>
          <w:p w14:paraId="5E4826AE">
            <w:pPr>
              <w:autoSpaceDE w:val="0"/>
              <w:autoSpaceDN w:val="0"/>
              <w:adjustRightInd w:val="0"/>
              <w:spacing w:line="312" w:lineRule="auto"/>
              <w:jc w:val="center"/>
              <w:rPr>
                <w:kern w:val="0"/>
                <w:szCs w:val="21"/>
              </w:rPr>
            </w:pPr>
            <w:r>
              <w:rPr>
                <w:kern w:val="0"/>
                <w:szCs w:val="21"/>
              </w:rPr>
              <w:t>16.5</w:t>
            </w:r>
          </w:p>
        </w:tc>
        <w:tc>
          <w:tcPr>
            <w:tcW w:w="1603" w:type="dxa"/>
            <w:tcBorders>
              <w:top w:val="single" w:color="auto" w:sz="12" w:space="0"/>
              <w:left w:val="nil"/>
              <w:bottom w:val="nil"/>
              <w:right w:val="nil"/>
            </w:tcBorders>
          </w:tcPr>
          <w:p w14:paraId="1100D068">
            <w:pPr>
              <w:autoSpaceDE w:val="0"/>
              <w:autoSpaceDN w:val="0"/>
              <w:adjustRightInd w:val="0"/>
              <w:spacing w:line="312" w:lineRule="auto"/>
              <w:jc w:val="center"/>
              <w:rPr>
                <w:kern w:val="0"/>
                <w:szCs w:val="21"/>
              </w:rPr>
            </w:pPr>
            <w:r>
              <w:rPr>
                <w:kern w:val="0"/>
                <w:szCs w:val="21"/>
              </w:rPr>
              <w:t>22.0</w:t>
            </w:r>
          </w:p>
        </w:tc>
      </w:tr>
      <w:tr w14:paraId="24AC0B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top w:val="single" w:color="auto" w:sz="12" w:space="0"/>
              <w:left w:val="nil"/>
              <w:bottom w:val="nil"/>
              <w:right w:val="nil"/>
            </w:tcBorders>
            <w:vAlign w:val="center"/>
          </w:tcPr>
          <w:p w14:paraId="4D96E5EB">
            <w:pPr>
              <w:widowControl/>
              <w:jc w:val="left"/>
              <w:rPr>
                <w:kern w:val="0"/>
                <w:szCs w:val="21"/>
              </w:rPr>
            </w:pPr>
          </w:p>
        </w:tc>
        <w:tc>
          <w:tcPr>
            <w:tcW w:w="1595" w:type="dxa"/>
            <w:tcBorders>
              <w:top w:val="nil"/>
              <w:left w:val="nil"/>
              <w:bottom w:val="nil"/>
              <w:right w:val="nil"/>
            </w:tcBorders>
          </w:tcPr>
          <w:p w14:paraId="30FF54A5">
            <w:pPr>
              <w:autoSpaceDE w:val="0"/>
              <w:autoSpaceDN w:val="0"/>
              <w:adjustRightInd w:val="0"/>
              <w:spacing w:line="312" w:lineRule="auto"/>
              <w:jc w:val="center"/>
              <w:rPr>
                <w:kern w:val="0"/>
                <w:szCs w:val="21"/>
              </w:rPr>
            </w:pPr>
          </w:p>
        </w:tc>
        <w:tc>
          <w:tcPr>
            <w:tcW w:w="1603" w:type="dxa"/>
            <w:tcBorders>
              <w:top w:val="nil"/>
              <w:left w:val="nil"/>
              <w:bottom w:val="nil"/>
              <w:right w:val="nil"/>
            </w:tcBorders>
          </w:tcPr>
          <w:p w14:paraId="4E5F0379">
            <w:pPr>
              <w:autoSpaceDE w:val="0"/>
              <w:autoSpaceDN w:val="0"/>
              <w:adjustRightInd w:val="0"/>
              <w:spacing w:line="312" w:lineRule="auto"/>
              <w:jc w:val="center"/>
              <w:rPr>
                <w:kern w:val="0"/>
                <w:szCs w:val="21"/>
              </w:rPr>
            </w:pPr>
          </w:p>
        </w:tc>
        <w:tc>
          <w:tcPr>
            <w:tcW w:w="1576" w:type="dxa"/>
            <w:tcBorders>
              <w:top w:val="nil"/>
              <w:left w:val="nil"/>
              <w:bottom w:val="nil"/>
              <w:right w:val="nil"/>
            </w:tcBorders>
          </w:tcPr>
          <w:p w14:paraId="2E152860">
            <w:pPr>
              <w:autoSpaceDE w:val="0"/>
              <w:autoSpaceDN w:val="0"/>
              <w:adjustRightInd w:val="0"/>
              <w:spacing w:line="312" w:lineRule="auto"/>
              <w:jc w:val="center"/>
              <w:rPr>
                <w:kern w:val="0"/>
                <w:szCs w:val="21"/>
              </w:rPr>
            </w:pPr>
          </w:p>
        </w:tc>
        <w:tc>
          <w:tcPr>
            <w:tcW w:w="1603" w:type="dxa"/>
            <w:tcBorders>
              <w:top w:val="nil"/>
              <w:left w:val="nil"/>
              <w:bottom w:val="nil"/>
              <w:right w:val="nil"/>
            </w:tcBorders>
          </w:tcPr>
          <w:p w14:paraId="7CBAC888">
            <w:pPr>
              <w:autoSpaceDE w:val="0"/>
              <w:autoSpaceDN w:val="0"/>
              <w:adjustRightInd w:val="0"/>
              <w:spacing w:line="312" w:lineRule="auto"/>
              <w:jc w:val="center"/>
              <w:rPr>
                <w:kern w:val="0"/>
                <w:szCs w:val="21"/>
              </w:rPr>
            </w:pPr>
            <w:r>
              <w:rPr>
                <w:kern w:val="0"/>
                <w:szCs w:val="21"/>
              </w:rPr>
              <w:t>22.0</w:t>
            </w:r>
          </w:p>
        </w:tc>
      </w:tr>
      <w:tr w14:paraId="1F023F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top w:val="single" w:color="auto" w:sz="12" w:space="0"/>
              <w:left w:val="nil"/>
              <w:bottom w:val="nil"/>
              <w:right w:val="nil"/>
            </w:tcBorders>
            <w:vAlign w:val="center"/>
          </w:tcPr>
          <w:p w14:paraId="7744340E">
            <w:pPr>
              <w:widowControl/>
              <w:jc w:val="left"/>
              <w:rPr>
                <w:kern w:val="0"/>
                <w:szCs w:val="21"/>
              </w:rPr>
            </w:pPr>
          </w:p>
        </w:tc>
        <w:tc>
          <w:tcPr>
            <w:tcW w:w="1595" w:type="dxa"/>
            <w:tcBorders>
              <w:top w:val="nil"/>
              <w:left w:val="nil"/>
              <w:bottom w:val="nil"/>
              <w:right w:val="nil"/>
            </w:tcBorders>
          </w:tcPr>
          <w:p w14:paraId="0E8DE564">
            <w:pPr>
              <w:autoSpaceDE w:val="0"/>
              <w:autoSpaceDN w:val="0"/>
              <w:adjustRightInd w:val="0"/>
              <w:spacing w:line="312" w:lineRule="auto"/>
              <w:jc w:val="center"/>
              <w:rPr>
                <w:kern w:val="0"/>
                <w:szCs w:val="21"/>
              </w:rPr>
            </w:pPr>
            <w:r>
              <w:rPr>
                <w:kern w:val="0"/>
                <w:szCs w:val="21"/>
              </w:rPr>
              <w:t>1040</w:t>
            </w:r>
          </w:p>
        </w:tc>
        <w:tc>
          <w:tcPr>
            <w:tcW w:w="1603" w:type="dxa"/>
            <w:tcBorders>
              <w:top w:val="nil"/>
              <w:left w:val="nil"/>
              <w:bottom w:val="nil"/>
              <w:right w:val="nil"/>
            </w:tcBorders>
          </w:tcPr>
          <w:p w14:paraId="74A5DACF">
            <w:pPr>
              <w:autoSpaceDE w:val="0"/>
              <w:autoSpaceDN w:val="0"/>
              <w:adjustRightInd w:val="0"/>
              <w:spacing w:line="312" w:lineRule="auto"/>
              <w:jc w:val="center"/>
              <w:rPr>
                <w:kern w:val="0"/>
                <w:szCs w:val="21"/>
              </w:rPr>
            </w:pPr>
            <w:r>
              <w:rPr>
                <w:kern w:val="0"/>
                <w:szCs w:val="21"/>
              </w:rPr>
              <w:t>835</w:t>
            </w:r>
          </w:p>
        </w:tc>
        <w:tc>
          <w:tcPr>
            <w:tcW w:w="1576" w:type="dxa"/>
            <w:tcBorders>
              <w:top w:val="nil"/>
              <w:left w:val="nil"/>
              <w:bottom w:val="nil"/>
              <w:right w:val="nil"/>
            </w:tcBorders>
          </w:tcPr>
          <w:p w14:paraId="19C81ADB">
            <w:pPr>
              <w:autoSpaceDE w:val="0"/>
              <w:autoSpaceDN w:val="0"/>
              <w:adjustRightInd w:val="0"/>
              <w:spacing w:line="312" w:lineRule="auto"/>
              <w:jc w:val="center"/>
              <w:rPr>
                <w:kern w:val="0"/>
                <w:szCs w:val="21"/>
              </w:rPr>
            </w:pPr>
            <w:r>
              <w:rPr>
                <w:kern w:val="0"/>
                <w:szCs w:val="21"/>
              </w:rPr>
              <w:t>17.0</w:t>
            </w:r>
          </w:p>
        </w:tc>
        <w:tc>
          <w:tcPr>
            <w:tcW w:w="1603" w:type="dxa"/>
            <w:tcBorders>
              <w:top w:val="nil"/>
              <w:left w:val="nil"/>
              <w:bottom w:val="nil"/>
              <w:right w:val="nil"/>
            </w:tcBorders>
          </w:tcPr>
          <w:p w14:paraId="2CBB0D84">
            <w:pPr>
              <w:autoSpaceDE w:val="0"/>
              <w:autoSpaceDN w:val="0"/>
              <w:adjustRightInd w:val="0"/>
              <w:spacing w:line="312" w:lineRule="auto"/>
              <w:jc w:val="center"/>
              <w:rPr>
                <w:kern w:val="0"/>
                <w:szCs w:val="21"/>
              </w:rPr>
            </w:pPr>
            <w:r>
              <w:rPr>
                <w:kern w:val="0"/>
                <w:szCs w:val="21"/>
              </w:rPr>
              <w:t>21.0</w:t>
            </w:r>
          </w:p>
        </w:tc>
      </w:tr>
      <w:tr w14:paraId="2360DD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top w:val="single" w:color="auto" w:sz="12" w:space="0"/>
              <w:left w:val="nil"/>
              <w:bottom w:val="nil"/>
              <w:right w:val="nil"/>
            </w:tcBorders>
            <w:vAlign w:val="center"/>
          </w:tcPr>
          <w:p w14:paraId="343D3F24">
            <w:pPr>
              <w:widowControl/>
              <w:jc w:val="left"/>
              <w:rPr>
                <w:kern w:val="0"/>
                <w:szCs w:val="21"/>
              </w:rPr>
            </w:pPr>
          </w:p>
        </w:tc>
        <w:tc>
          <w:tcPr>
            <w:tcW w:w="1595" w:type="dxa"/>
            <w:tcBorders>
              <w:top w:val="nil"/>
              <w:left w:val="nil"/>
              <w:bottom w:val="nil"/>
              <w:right w:val="nil"/>
            </w:tcBorders>
          </w:tcPr>
          <w:p w14:paraId="2CAC139B">
            <w:pPr>
              <w:autoSpaceDE w:val="0"/>
              <w:autoSpaceDN w:val="0"/>
              <w:adjustRightInd w:val="0"/>
              <w:spacing w:line="312" w:lineRule="auto"/>
              <w:jc w:val="center"/>
              <w:rPr>
                <w:kern w:val="0"/>
                <w:szCs w:val="21"/>
              </w:rPr>
            </w:pPr>
          </w:p>
        </w:tc>
        <w:tc>
          <w:tcPr>
            <w:tcW w:w="1603" w:type="dxa"/>
            <w:tcBorders>
              <w:top w:val="nil"/>
              <w:left w:val="nil"/>
              <w:bottom w:val="nil"/>
              <w:right w:val="nil"/>
            </w:tcBorders>
          </w:tcPr>
          <w:p w14:paraId="6078FEBE">
            <w:pPr>
              <w:autoSpaceDE w:val="0"/>
              <w:autoSpaceDN w:val="0"/>
              <w:adjustRightInd w:val="0"/>
              <w:spacing w:line="312" w:lineRule="auto"/>
              <w:jc w:val="center"/>
              <w:rPr>
                <w:kern w:val="0"/>
                <w:szCs w:val="21"/>
              </w:rPr>
            </w:pPr>
          </w:p>
        </w:tc>
        <w:tc>
          <w:tcPr>
            <w:tcW w:w="1576" w:type="dxa"/>
            <w:tcBorders>
              <w:top w:val="nil"/>
              <w:left w:val="nil"/>
              <w:bottom w:val="nil"/>
              <w:right w:val="nil"/>
            </w:tcBorders>
          </w:tcPr>
          <w:p w14:paraId="1CD1AC45">
            <w:pPr>
              <w:autoSpaceDE w:val="0"/>
              <w:autoSpaceDN w:val="0"/>
              <w:adjustRightInd w:val="0"/>
              <w:spacing w:line="312" w:lineRule="auto"/>
              <w:jc w:val="center"/>
              <w:rPr>
                <w:kern w:val="0"/>
                <w:szCs w:val="21"/>
              </w:rPr>
            </w:pPr>
          </w:p>
        </w:tc>
        <w:tc>
          <w:tcPr>
            <w:tcW w:w="1603" w:type="dxa"/>
            <w:tcBorders>
              <w:top w:val="nil"/>
              <w:left w:val="nil"/>
              <w:bottom w:val="nil"/>
              <w:right w:val="nil"/>
            </w:tcBorders>
          </w:tcPr>
          <w:p w14:paraId="32CAA676">
            <w:pPr>
              <w:autoSpaceDE w:val="0"/>
              <w:autoSpaceDN w:val="0"/>
              <w:adjustRightInd w:val="0"/>
              <w:spacing w:line="312" w:lineRule="auto"/>
              <w:jc w:val="center"/>
              <w:rPr>
                <w:kern w:val="0"/>
                <w:szCs w:val="21"/>
              </w:rPr>
            </w:pPr>
            <w:r>
              <w:rPr>
                <w:kern w:val="0"/>
                <w:szCs w:val="21"/>
              </w:rPr>
              <w:t>22.0</w:t>
            </w:r>
          </w:p>
        </w:tc>
      </w:tr>
      <w:tr w14:paraId="62EE46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top w:val="single" w:color="auto" w:sz="12" w:space="0"/>
              <w:left w:val="nil"/>
              <w:bottom w:val="nil"/>
              <w:right w:val="nil"/>
            </w:tcBorders>
            <w:vAlign w:val="center"/>
          </w:tcPr>
          <w:p w14:paraId="560E046F">
            <w:pPr>
              <w:widowControl/>
              <w:jc w:val="left"/>
              <w:rPr>
                <w:kern w:val="0"/>
                <w:szCs w:val="21"/>
              </w:rPr>
            </w:pPr>
          </w:p>
        </w:tc>
        <w:tc>
          <w:tcPr>
            <w:tcW w:w="1595" w:type="dxa"/>
            <w:tcBorders>
              <w:top w:val="nil"/>
              <w:left w:val="nil"/>
              <w:bottom w:val="nil"/>
              <w:right w:val="nil"/>
            </w:tcBorders>
          </w:tcPr>
          <w:p w14:paraId="72CCEAB1">
            <w:pPr>
              <w:autoSpaceDE w:val="0"/>
              <w:autoSpaceDN w:val="0"/>
              <w:adjustRightInd w:val="0"/>
              <w:spacing w:line="312" w:lineRule="auto"/>
              <w:jc w:val="center"/>
              <w:rPr>
                <w:kern w:val="0"/>
                <w:szCs w:val="21"/>
              </w:rPr>
            </w:pPr>
            <w:r>
              <w:rPr>
                <w:kern w:val="0"/>
                <w:szCs w:val="21"/>
              </w:rPr>
              <w:t>1040</w:t>
            </w:r>
          </w:p>
        </w:tc>
        <w:tc>
          <w:tcPr>
            <w:tcW w:w="1603" w:type="dxa"/>
            <w:tcBorders>
              <w:top w:val="nil"/>
              <w:left w:val="nil"/>
              <w:bottom w:val="nil"/>
              <w:right w:val="nil"/>
            </w:tcBorders>
          </w:tcPr>
          <w:p w14:paraId="3A54765F">
            <w:pPr>
              <w:autoSpaceDE w:val="0"/>
              <w:autoSpaceDN w:val="0"/>
              <w:adjustRightInd w:val="0"/>
              <w:spacing w:line="312" w:lineRule="auto"/>
              <w:jc w:val="center"/>
              <w:rPr>
                <w:kern w:val="0"/>
                <w:szCs w:val="21"/>
              </w:rPr>
            </w:pPr>
            <w:r>
              <w:rPr>
                <w:kern w:val="0"/>
                <w:szCs w:val="21"/>
              </w:rPr>
              <w:t>835</w:t>
            </w:r>
          </w:p>
        </w:tc>
        <w:tc>
          <w:tcPr>
            <w:tcW w:w="1576" w:type="dxa"/>
            <w:tcBorders>
              <w:top w:val="nil"/>
              <w:left w:val="nil"/>
              <w:bottom w:val="nil"/>
              <w:right w:val="nil"/>
            </w:tcBorders>
          </w:tcPr>
          <w:p w14:paraId="554DEDE8">
            <w:pPr>
              <w:autoSpaceDE w:val="0"/>
              <w:autoSpaceDN w:val="0"/>
              <w:adjustRightInd w:val="0"/>
              <w:spacing w:line="312" w:lineRule="auto"/>
              <w:jc w:val="center"/>
              <w:rPr>
                <w:kern w:val="0"/>
                <w:szCs w:val="21"/>
              </w:rPr>
            </w:pPr>
            <w:r>
              <w:rPr>
                <w:kern w:val="0"/>
                <w:szCs w:val="21"/>
              </w:rPr>
              <w:t>16.5</w:t>
            </w:r>
          </w:p>
        </w:tc>
        <w:tc>
          <w:tcPr>
            <w:tcW w:w="1603" w:type="dxa"/>
            <w:tcBorders>
              <w:top w:val="nil"/>
              <w:left w:val="nil"/>
              <w:bottom w:val="nil"/>
              <w:right w:val="nil"/>
            </w:tcBorders>
          </w:tcPr>
          <w:p w14:paraId="29ACBD7E">
            <w:pPr>
              <w:autoSpaceDE w:val="0"/>
              <w:autoSpaceDN w:val="0"/>
              <w:adjustRightInd w:val="0"/>
              <w:spacing w:line="312" w:lineRule="auto"/>
              <w:jc w:val="center"/>
              <w:rPr>
                <w:kern w:val="0"/>
                <w:szCs w:val="21"/>
              </w:rPr>
            </w:pPr>
            <w:r>
              <w:rPr>
                <w:kern w:val="0"/>
                <w:szCs w:val="21"/>
              </w:rPr>
              <w:t>20.0</w:t>
            </w:r>
          </w:p>
        </w:tc>
      </w:tr>
      <w:tr w14:paraId="04522E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top w:val="single" w:color="auto" w:sz="12" w:space="0"/>
              <w:left w:val="nil"/>
              <w:bottom w:val="nil"/>
              <w:right w:val="nil"/>
            </w:tcBorders>
            <w:vAlign w:val="center"/>
          </w:tcPr>
          <w:p w14:paraId="6A245FEB">
            <w:pPr>
              <w:widowControl/>
              <w:jc w:val="left"/>
              <w:rPr>
                <w:kern w:val="0"/>
                <w:szCs w:val="21"/>
              </w:rPr>
            </w:pPr>
          </w:p>
        </w:tc>
        <w:tc>
          <w:tcPr>
            <w:tcW w:w="1595" w:type="dxa"/>
            <w:tcBorders>
              <w:top w:val="nil"/>
              <w:left w:val="nil"/>
              <w:bottom w:val="nil"/>
              <w:right w:val="nil"/>
            </w:tcBorders>
          </w:tcPr>
          <w:p w14:paraId="1080A872">
            <w:pPr>
              <w:autoSpaceDE w:val="0"/>
              <w:autoSpaceDN w:val="0"/>
              <w:adjustRightInd w:val="0"/>
              <w:spacing w:line="312" w:lineRule="auto"/>
              <w:jc w:val="center"/>
              <w:rPr>
                <w:kern w:val="0"/>
                <w:szCs w:val="21"/>
              </w:rPr>
            </w:pPr>
          </w:p>
        </w:tc>
        <w:tc>
          <w:tcPr>
            <w:tcW w:w="1603" w:type="dxa"/>
            <w:tcBorders>
              <w:top w:val="nil"/>
              <w:left w:val="nil"/>
              <w:bottom w:val="nil"/>
              <w:right w:val="nil"/>
            </w:tcBorders>
          </w:tcPr>
          <w:p w14:paraId="32CACA5F">
            <w:pPr>
              <w:autoSpaceDE w:val="0"/>
              <w:autoSpaceDN w:val="0"/>
              <w:adjustRightInd w:val="0"/>
              <w:spacing w:line="312" w:lineRule="auto"/>
              <w:jc w:val="center"/>
              <w:rPr>
                <w:kern w:val="0"/>
                <w:szCs w:val="21"/>
              </w:rPr>
            </w:pPr>
          </w:p>
        </w:tc>
        <w:tc>
          <w:tcPr>
            <w:tcW w:w="1576" w:type="dxa"/>
            <w:tcBorders>
              <w:top w:val="nil"/>
              <w:left w:val="nil"/>
              <w:bottom w:val="nil"/>
              <w:right w:val="nil"/>
            </w:tcBorders>
          </w:tcPr>
          <w:p w14:paraId="28C277C1">
            <w:pPr>
              <w:autoSpaceDE w:val="0"/>
              <w:autoSpaceDN w:val="0"/>
              <w:adjustRightInd w:val="0"/>
              <w:spacing w:line="312" w:lineRule="auto"/>
              <w:jc w:val="center"/>
              <w:rPr>
                <w:kern w:val="0"/>
                <w:szCs w:val="21"/>
              </w:rPr>
            </w:pPr>
          </w:p>
        </w:tc>
        <w:tc>
          <w:tcPr>
            <w:tcW w:w="1603" w:type="dxa"/>
            <w:tcBorders>
              <w:top w:val="nil"/>
              <w:left w:val="nil"/>
              <w:bottom w:val="nil"/>
              <w:right w:val="nil"/>
            </w:tcBorders>
          </w:tcPr>
          <w:p w14:paraId="4778E767">
            <w:pPr>
              <w:autoSpaceDE w:val="0"/>
              <w:autoSpaceDN w:val="0"/>
              <w:adjustRightInd w:val="0"/>
              <w:spacing w:line="312" w:lineRule="auto"/>
              <w:jc w:val="center"/>
              <w:rPr>
                <w:kern w:val="0"/>
                <w:szCs w:val="21"/>
              </w:rPr>
            </w:pPr>
            <w:r>
              <w:rPr>
                <w:kern w:val="0"/>
                <w:szCs w:val="21"/>
              </w:rPr>
              <w:t>21.0</w:t>
            </w:r>
          </w:p>
        </w:tc>
      </w:tr>
      <w:tr w14:paraId="204736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76" w:type="dxa"/>
            <w:tcBorders>
              <w:top w:val="nil"/>
              <w:left w:val="nil"/>
              <w:bottom w:val="single" w:color="auto" w:sz="12" w:space="0"/>
              <w:right w:val="nil"/>
            </w:tcBorders>
          </w:tcPr>
          <w:p w14:paraId="5FCB63BC">
            <w:pPr>
              <w:autoSpaceDE w:val="0"/>
              <w:autoSpaceDN w:val="0"/>
              <w:adjustRightInd w:val="0"/>
              <w:spacing w:line="312" w:lineRule="auto"/>
              <w:jc w:val="center"/>
              <w:rPr>
                <w:kern w:val="0"/>
                <w:szCs w:val="21"/>
              </w:rPr>
            </w:pPr>
            <w:r>
              <w:rPr>
                <w:kern w:val="0"/>
                <w:szCs w:val="21"/>
              </w:rPr>
              <w:t>SY/T5035-2004</w:t>
            </w:r>
          </w:p>
        </w:tc>
        <w:tc>
          <w:tcPr>
            <w:tcW w:w="1595" w:type="dxa"/>
            <w:tcBorders>
              <w:top w:val="nil"/>
              <w:left w:val="nil"/>
              <w:bottom w:val="single" w:color="auto" w:sz="12" w:space="0"/>
              <w:right w:val="nil"/>
            </w:tcBorders>
          </w:tcPr>
          <w:p w14:paraId="18BE0B3A">
            <w:pPr>
              <w:autoSpaceDE w:val="0"/>
              <w:autoSpaceDN w:val="0"/>
              <w:adjustRightInd w:val="0"/>
              <w:spacing w:line="312" w:lineRule="auto"/>
              <w:jc w:val="center"/>
              <w:rPr>
                <w:kern w:val="0"/>
                <w:szCs w:val="21"/>
              </w:rPr>
            </w:pPr>
            <w:r>
              <w:rPr>
                <w:kern w:val="0"/>
                <w:szCs w:val="21"/>
              </w:rPr>
              <w:t>≥930</w:t>
            </w:r>
          </w:p>
        </w:tc>
        <w:tc>
          <w:tcPr>
            <w:tcW w:w="1603" w:type="dxa"/>
            <w:tcBorders>
              <w:top w:val="nil"/>
              <w:left w:val="nil"/>
              <w:bottom w:val="single" w:color="auto" w:sz="12" w:space="0"/>
              <w:right w:val="nil"/>
            </w:tcBorders>
          </w:tcPr>
          <w:p w14:paraId="4DC16113">
            <w:pPr>
              <w:autoSpaceDE w:val="0"/>
              <w:autoSpaceDN w:val="0"/>
              <w:adjustRightInd w:val="0"/>
              <w:spacing w:line="312" w:lineRule="auto"/>
              <w:jc w:val="center"/>
              <w:rPr>
                <w:kern w:val="0"/>
                <w:szCs w:val="21"/>
              </w:rPr>
            </w:pPr>
            <w:r>
              <w:rPr>
                <w:kern w:val="0"/>
                <w:szCs w:val="21"/>
              </w:rPr>
              <w:t>≥785</w:t>
            </w:r>
          </w:p>
        </w:tc>
        <w:tc>
          <w:tcPr>
            <w:tcW w:w="1576" w:type="dxa"/>
            <w:tcBorders>
              <w:top w:val="nil"/>
              <w:left w:val="nil"/>
              <w:bottom w:val="single" w:color="auto" w:sz="12" w:space="0"/>
              <w:right w:val="nil"/>
            </w:tcBorders>
          </w:tcPr>
          <w:p w14:paraId="0EB5E7CD">
            <w:pPr>
              <w:autoSpaceDE w:val="0"/>
              <w:autoSpaceDN w:val="0"/>
              <w:adjustRightInd w:val="0"/>
              <w:spacing w:line="312" w:lineRule="auto"/>
              <w:jc w:val="center"/>
              <w:rPr>
                <w:kern w:val="0"/>
                <w:szCs w:val="21"/>
              </w:rPr>
            </w:pPr>
            <w:r>
              <w:rPr>
                <w:kern w:val="0"/>
                <w:szCs w:val="21"/>
              </w:rPr>
              <w:t>≥12</w:t>
            </w:r>
          </w:p>
        </w:tc>
        <w:tc>
          <w:tcPr>
            <w:tcW w:w="1603" w:type="dxa"/>
            <w:tcBorders>
              <w:top w:val="nil"/>
              <w:left w:val="nil"/>
              <w:bottom w:val="single" w:color="auto" w:sz="12" w:space="0"/>
              <w:right w:val="nil"/>
            </w:tcBorders>
          </w:tcPr>
          <w:p w14:paraId="738A6B67">
            <w:pPr>
              <w:autoSpaceDE w:val="0"/>
              <w:autoSpaceDN w:val="0"/>
              <w:adjustRightInd w:val="0"/>
              <w:spacing w:line="312" w:lineRule="auto"/>
              <w:jc w:val="center"/>
              <w:rPr>
                <w:kern w:val="0"/>
                <w:szCs w:val="21"/>
              </w:rPr>
            </w:pPr>
            <w:r>
              <w:rPr>
                <w:kern w:val="0"/>
                <w:szCs w:val="21"/>
              </w:rPr>
              <w:t>≥42</w:t>
            </w:r>
          </w:p>
        </w:tc>
      </w:tr>
    </w:tbl>
    <w:p w14:paraId="3C9C4486">
      <w:pPr>
        <w:pStyle w:val="16"/>
        <w:spacing w:before="31" w:after="31"/>
        <w:ind w:firstLine="480"/>
        <w:jc w:val="left"/>
        <w:rPr>
          <w:szCs w:val="24"/>
        </w:rPr>
      </w:pPr>
    </w:p>
    <w:p w14:paraId="40865E24">
      <w:pPr>
        <w:pStyle w:val="16"/>
        <w:spacing w:before="31" w:after="31"/>
        <w:ind w:firstLine="482"/>
        <w:jc w:val="center"/>
        <w:rPr>
          <w:b/>
          <w:bCs/>
          <w:szCs w:val="24"/>
        </w:rPr>
      </w:pPr>
      <w:r>
        <w:rPr>
          <w:b/>
          <w:bCs/>
          <w:szCs w:val="24"/>
        </w:rPr>
        <w:t>Table 5-19 Material Hardness Values from Lifting Ring Center to Surface</w:t>
      </w:r>
    </w:p>
    <w:tbl>
      <w:tblPr>
        <w:tblStyle w:val="9"/>
        <w:tblW w:w="0" w:type="auto"/>
        <w:tblInd w:w="0" w:type="dxa"/>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1358"/>
        <w:gridCol w:w="1359"/>
        <w:gridCol w:w="1359"/>
        <w:gridCol w:w="1359"/>
        <w:gridCol w:w="1359"/>
        <w:gridCol w:w="1359"/>
      </w:tblGrid>
      <w:tr w14:paraId="7ED5510A">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358" w:type="dxa"/>
            <w:tcBorders>
              <w:top w:val="single" w:color="auto" w:sz="12" w:space="0"/>
              <w:left w:val="nil"/>
              <w:bottom w:val="single" w:color="auto" w:sz="12" w:space="0"/>
              <w:right w:val="nil"/>
            </w:tcBorders>
          </w:tcPr>
          <w:p w14:paraId="10B33AF6">
            <w:pPr>
              <w:autoSpaceDE w:val="0"/>
              <w:autoSpaceDN w:val="0"/>
              <w:adjustRightInd w:val="0"/>
              <w:spacing w:line="312" w:lineRule="auto"/>
              <w:jc w:val="center"/>
              <w:rPr>
                <w:rFonts w:cs="FzBookMaker9DlFont9+ZJUGkL-22"/>
                <w:kern w:val="0"/>
                <w:szCs w:val="21"/>
              </w:rPr>
            </w:pPr>
            <w:r>
              <w:t>Location</w:t>
            </w:r>
          </w:p>
        </w:tc>
        <w:tc>
          <w:tcPr>
            <w:tcW w:w="1359" w:type="dxa"/>
            <w:tcBorders>
              <w:top w:val="single" w:color="auto" w:sz="12" w:space="0"/>
              <w:left w:val="nil"/>
              <w:bottom w:val="single" w:color="auto" w:sz="12" w:space="0"/>
              <w:right w:val="nil"/>
            </w:tcBorders>
          </w:tcPr>
          <w:p w14:paraId="46E9A5FD">
            <w:pPr>
              <w:autoSpaceDE w:val="0"/>
              <w:autoSpaceDN w:val="0"/>
              <w:adjustRightInd w:val="0"/>
              <w:spacing w:line="312" w:lineRule="auto"/>
              <w:jc w:val="center"/>
              <w:rPr>
                <w:rFonts w:cs="FzBookMaker9DlFont9+ZJUGkL-22"/>
                <w:kern w:val="0"/>
                <w:szCs w:val="21"/>
              </w:rPr>
            </w:pPr>
            <w:r>
              <w:rPr>
                <w:rFonts w:cs="FzBookMaker9DlFont9+ZJUGkL-22"/>
                <w:kern w:val="0"/>
                <w:szCs w:val="21"/>
              </w:rPr>
              <w:t>1</w:t>
            </w:r>
          </w:p>
        </w:tc>
        <w:tc>
          <w:tcPr>
            <w:tcW w:w="1359" w:type="dxa"/>
            <w:tcBorders>
              <w:top w:val="single" w:color="auto" w:sz="12" w:space="0"/>
              <w:left w:val="nil"/>
              <w:bottom w:val="single" w:color="auto" w:sz="12" w:space="0"/>
              <w:right w:val="nil"/>
            </w:tcBorders>
          </w:tcPr>
          <w:p w14:paraId="0C91C4B6">
            <w:pPr>
              <w:autoSpaceDE w:val="0"/>
              <w:autoSpaceDN w:val="0"/>
              <w:adjustRightInd w:val="0"/>
              <w:spacing w:line="312" w:lineRule="auto"/>
              <w:jc w:val="center"/>
              <w:rPr>
                <w:rFonts w:cs="FzBookMaker9DlFont9+ZJUGkL-22"/>
                <w:kern w:val="0"/>
                <w:szCs w:val="21"/>
              </w:rPr>
            </w:pPr>
            <w:r>
              <w:rPr>
                <w:rFonts w:cs="FzBookMaker9DlFont9+ZJUGkL-22"/>
                <w:kern w:val="0"/>
                <w:szCs w:val="21"/>
              </w:rPr>
              <w:t>2</w:t>
            </w:r>
          </w:p>
        </w:tc>
        <w:tc>
          <w:tcPr>
            <w:tcW w:w="1359" w:type="dxa"/>
            <w:tcBorders>
              <w:top w:val="single" w:color="auto" w:sz="12" w:space="0"/>
              <w:left w:val="nil"/>
              <w:bottom w:val="single" w:color="auto" w:sz="12" w:space="0"/>
              <w:right w:val="nil"/>
            </w:tcBorders>
          </w:tcPr>
          <w:p w14:paraId="4F343FE0">
            <w:pPr>
              <w:autoSpaceDE w:val="0"/>
              <w:autoSpaceDN w:val="0"/>
              <w:adjustRightInd w:val="0"/>
              <w:spacing w:line="312" w:lineRule="auto"/>
              <w:jc w:val="center"/>
              <w:rPr>
                <w:rFonts w:cs="FzBookMaker9DlFont9+ZJUGkL-22"/>
                <w:kern w:val="0"/>
                <w:szCs w:val="21"/>
              </w:rPr>
            </w:pPr>
            <w:r>
              <w:rPr>
                <w:rFonts w:cs="FzBookMaker9DlFont9+ZJUGkL-22"/>
                <w:kern w:val="0"/>
                <w:szCs w:val="21"/>
              </w:rPr>
              <w:t>3</w:t>
            </w:r>
          </w:p>
        </w:tc>
        <w:tc>
          <w:tcPr>
            <w:tcW w:w="1359" w:type="dxa"/>
            <w:tcBorders>
              <w:top w:val="single" w:color="auto" w:sz="12" w:space="0"/>
              <w:left w:val="nil"/>
              <w:bottom w:val="single" w:color="auto" w:sz="12" w:space="0"/>
              <w:right w:val="nil"/>
            </w:tcBorders>
          </w:tcPr>
          <w:p w14:paraId="22835256">
            <w:pPr>
              <w:autoSpaceDE w:val="0"/>
              <w:autoSpaceDN w:val="0"/>
              <w:adjustRightInd w:val="0"/>
              <w:spacing w:line="312" w:lineRule="auto"/>
              <w:jc w:val="center"/>
              <w:rPr>
                <w:rFonts w:cs="FzBookMaker9DlFont9+ZJUGkL-22"/>
                <w:kern w:val="0"/>
                <w:szCs w:val="21"/>
              </w:rPr>
            </w:pPr>
            <w:r>
              <w:rPr>
                <w:rFonts w:cs="FzBookMaker9DlFont9+ZJUGkL-22"/>
                <w:kern w:val="0"/>
                <w:szCs w:val="21"/>
              </w:rPr>
              <w:t>4</w:t>
            </w:r>
          </w:p>
        </w:tc>
        <w:tc>
          <w:tcPr>
            <w:tcW w:w="1359" w:type="dxa"/>
            <w:tcBorders>
              <w:top w:val="single" w:color="auto" w:sz="12" w:space="0"/>
              <w:left w:val="nil"/>
              <w:bottom w:val="single" w:color="auto" w:sz="12" w:space="0"/>
              <w:right w:val="nil"/>
            </w:tcBorders>
          </w:tcPr>
          <w:p w14:paraId="22FA7E8B">
            <w:pPr>
              <w:autoSpaceDE w:val="0"/>
              <w:autoSpaceDN w:val="0"/>
              <w:adjustRightInd w:val="0"/>
              <w:spacing w:line="312" w:lineRule="auto"/>
              <w:jc w:val="center"/>
              <w:rPr>
                <w:rFonts w:cs="FzBookMaker9DlFont9+ZJUGkL-22"/>
                <w:kern w:val="0"/>
                <w:szCs w:val="21"/>
              </w:rPr>
            </w:pPr>
            <w:r>
              <w:rPr>
                <w:rFonts w:cs="FzBookMaker9DlFont9+ZJUGkL-22"/>
                <w:kern w:val="0"/>
                <w:szCs w:val="21"/>
              </w:rPr>
              <w:t>5</w:t>
            </w:r>
            <w:r>
              <w:rPr>
                <w:rFonts w:hint="eastAsia" w:cs="FzBookMaker9DlFont9+ZJUGkL-22"/>
                <w:kern w:val="0"/>
                <w:szCs w:val="21"/>
              </w:rPr>
              <w:t>（中心）</w:t>
            </w:r>
          </w:p>
        </w:tc>
      </w:tr>
      <w:tr w14:paraId="2E2EC87A">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358" w:type="dxa"/>
            <w:tcBorders>
              <w:top w:val="single" w:color="auto" w:sz="12" w:space="0"/>
              <w:left w:val="nil"/>
              <w:bottom w:val="single" w:color="auto" w:sz="12" w:space="0"/>
              <w:right w:val="nil"/>
            </w:tcBorders>
          </w:tcPr>
          <w:p w14:paraId="5892F5D3">
            <w:pPr>
              <w:autoSpaceDE w:val="0"/>
              <w:autoSpaceDN w:val="0"/>
              <w:adjustRightInd w:val="0"/>
              <w:spacing w:line="312" w:lineRule="auto"/>
              <w:jc w:val="center"/>
              <w:rPr>
                <w:rFonts w:cs="FzBookMaker9DlFont9+ZJUGkL-22"/>
                <w:kern w:val="0"/>
                <w:szCs w:val="21"/>
              </w:rPr>
            </w:pPr>
            <w:r>
              <w:t>Hardness/HB</w:t>
            </w:r>
          </w:p>
        </w:tc>
        <w:tc>
          <w:tcPr>
            <w:tcW w:w="1359" w:type="dxa"/>
            <w:tcBorders>
              <w:top w:val="single" w:color="auto" w:sz="12" w:space="0"/>
              <w:left w:val="nil"/>
              <w:bottom w:val="single" w:color="auto" w:sz="12" w:space="0"/>
              <w:right w:val="nil"/>
            </w:tcBorders>
          </w:tcPr>
          <w:p w14:paraId="18ED8FF9">
            <w:pPr>
              <w:autoSpaceDE w:val="0"/>
              <w:autoSpaceDN w:val="0"/>
              <w:adjustRightInd w:val="0"/>
              <w:spacing w:line="312" w:lineRule="auto"/>
              <w:jc w:val="center"/>
              <w:rPr>
                <w:rFonts w:cs="FzBookMaker9DlFont9+ZJUGkL-22"/>
                <w:kern w:val="0"/>
                <w:szCs w:val="21"/>
              </w:rPr>
            </w:pPr>
            <w:r>
              <w:rPr>
                <w:rFonts w:cs="FzBookMaker9DlFont9+ZJUGkL-22"/>
                <w:kern w:val="0"/>
                <w:szCs w:val="21"/>
              </w:rPr>
              <w:t>223</w:t>
            </w:r>
          </w:p>
        </w:tc>
        <w:tc>
          <w:tcPr>
            <w:tcW w:w="1359" w:type="dxa"/>
            <w:tcBorders>
              <w:top w:val="single" w:color="auto" w:sz="12" w:space="0"/>
              <w:left w:val="nil"/>
              <w:bottom w:val="single" w:color="auto" w:sz="12" w:space="0"/>
              <w:right w:val="nil"/>
            </w:tcBorders>
          </w:tcPr>
          <w:p w14:paraId="6CB901A5">
            <w:pPr>
              <w:autoSpaceDE w:val="0"/>
              <w:autoSpaceDN w:val="0"/>
              <w:adjustRightInd w:val="0"/>
              <w:spacing w:line="312" w:lineRule="auto"/>
              <w:jc w:val="center"/>
              <w:rPr>
                <w:rFonts w:cs="FzBookMaker9DlFont9+ZJUGkL-22"/>
                <w:kern w:val="0"/>
                <w:szCs w:val="21"/>
              </w:rPr>
            </w:pPr>
            <w:r>
              <w:rPr>
                <w:rFonts w:cs="FzBookMaker9DlFont9+ZJUGkL-22"/>
                <w:kern w:val="0"/>
                <w:szCs w:val="21"/>
              </w:rPr>
              <w:t>239</w:t>
            </w:r>
          </w:p>
        </w:tc>
        <w:tc>
          <w:tcPr>
            <w:tcW w:w="1359" w:type="dxa"/>
            <w:tcBorders>
              <w:top w:val="single" w:color="auto" w:sz="12" w:space="0"/>
              <w:left w:val="nil"/>
              <w:bottom w:val="single" w:color="auto" w:sz="12" w:space="0"/>
              <w:right w:val="nil"/>
            </w:tcBorders>
          </w:tcPr>
          <w:p w14:paraId="10810E01">
            <w:pPr>
              <w:autoSpaceDE w:val="0"/>
              <w:autoSpaceDN w:val="0"/>
              <w:adjustRightInd w:val="0"/>
              <w:spacing w:line="312" w:lineRule="auto"/>
              <w:jc w:val="center"/>
              <w:rPr>
                <w:rFonts w:cs="FzBookMaker9DlFont9+ZJUGkL-22"/>
                <w:kern w:val="0"/>
                <w:szCs w:val="21"/>
              </w:rPr>
            </w:pPr>
            <w:r>
              <w:rPr>
                <w:rFonts w:cs="FzBookMaker9DlFont9+ZJUGkL-22"/>
                <w:kern w:val="0"/>
                <w:szCs w:val="21"/>
              </w:rPr>
              <w:t>277</w:t>
            </w:r>
          </w:p>
        </w:tc>
        <w:tc>
          <w:tcPr>
            <w:tcW w:w="1359" w:type="dxa"/>
            <w:tcBorders>
              <w:top w:val="single" w:color="auto" w:sz="12" w:space="0"/>
              <w:left w:val="nil"/>
              <w:bottom w:val="single" w:color="auto" w:sz="12" w:space="0"/>
              <w:right w:val="nil"/>
            </w:tcBorders>
          </w:tcPr>
          <w:p w14:paraId="420307F7">
            <w:pPr>
              <w:autoSpaceDE w:val="0"/>
              <w:autoSpaceDN w:val="0"/>
              <w:adjustRightInd w:val="0"/>
              <w:spacing w:line="312" w:lineRule="auto"/>
              <w:jc w:val="center"/>
              <w:rPr>
                <w:rFonts w:cs="FzBookMaker9DlFont9+ZJUGkL-22"/>
                <w:kern w:val="0"/>
                <w:szCs w:val="21"/>
              </w:rPr>
            </w:pPr>
            <w:r>
              <w:rPr>
                <w:rFonts w:cs="FzBookMaker9DlFont9+ZJUGkL-22"/>
                <w:kern w:val="0"/>
                <w:szCs w:val="21"/>
              </w:rPr>
              <w:t>295</w:t>
            </w:r>
          </w:p>
        </w:tc>
        <w:tc>
          <w:tcPr>
            <w:tcW w:w="1359" w:type="dxa"/>
            <w:tcBorders>
              <w:top w:val="single" w:color="auto" w:sz="12" w:space="0"/>
              <w:left w:val="nil"/>
              <w:bottom w:val="single" w:color="auto" w:sz="12" w:space="0"/>
              <w:right w:val="nil"/>
            </w:tcBorders>
          </w:tcPr>
          <w:p w14:paraId="09557323">
            <w:pPr>
              <w:autoSpaceDE w:val="0"/>
              <w:autoSpaceDN w:val="0"/>
              <w:adjustRightInd w:val="0"/>
              <w:spacing w:line="312" w:lineRule="auto"/>
              <w:jc w:val="center"/>
              <w:rPr>
                <w:rFonts w:cs="FzBookMaker9DlFont9+ZJUGkL-22"/>
                <w:kern w:val="0"/>
                <w:szCs w:val="21"/>
              </w:rPr>
            </w:pPr>
            <w:r>
              <w:rPr>
                <w:rFonts w:cs="FzBookMaker9DlFont9+ZJUGkL-22"/>
                <w:kern w:val="0"/>
                <w:szCs w:val="21"/>
              </w:rPr>
              <w:t>289</w:t>
            </w:r>
          </w:p>
        </w:tc>
      </w:tr>
    </w:tbl>
    <w:p w14:paraId="5A244F69">
      <w:pPr>
        <w:pStyle w:val="16"/>
        <w:spacing w:before="31" w:after="31"/>
        <w:ind w:firstLine="0" w:firstLineChars="0"/>
        <w:jc w:val="left"/>
        <w:rPr>
          <w:szCs w:val="24"/>
        </w:rPr>
      </w:pPr>
    </w:p>
    <w:p w14:paraId="3E0748E9">
      <w:pPr>
        <w:pStyle w:val="16"/>
        <w:spacing w:before="31" w:after="31"/>
        <w:ind w:firstLine="480"/>
        <w:jc w:val="left"/>
        <w:rPr>
          <w:szCs w:val="24"/>
        </w:rPr>
      </w:pPr>
      <w:r>
        <w:rPr>
          <w:szCs w:val="24"/>
        </w:rPr>
        <w:t>Metallographic analysis indicated that the internal metallographic structure of the lifting ring was primarily tempered martensite, with small amounts of upper bainite and ferrite, and a grain size of approximately grade 7, as shown in Figure 5-10.1.</w:t>
      </w:r>
    </w:p>
    <w:p w14:paraId="5C2C7CD7">
      <w:pPr>
        <w:pStyle w:val="16"/>
        <w:spacing w:before="31" w:after="31"/>
        <w:ind w:firstLine="482"/>
        <w:jc w:val="center"/>
        <w:rPr>
          <w:b/>
          <w:bCs/>
          <w:szCs w:val="24"/>
        </w:rPr>
      </w:pPr>
      <w:r>
        <w:rPr>
          <w:b/>
          <w:bCs/>
          <w:szCs w:val="24"/>
        </w:rPr>
        <w:t>Figure 5-10.1 Metallographic Structure</w:t>
      </w:r>
    </w:p>
    <w:p w14:paraId="31BE3852">
      <w:pPr>
        <w:pStyle w:val="16"/>
        <w:spacing w:before="31" w:after="31"/>
        <w:ind w:firstLine="0" w:firstLineChars="0"/>
        <w:jc w:val="left"/>
        <w:rPr>
          <w:rFonts w:hint="eastAsia"/>
          <w:szCs w:val="24"/>
        </w:rPr>
      </w:pPr>
    </w:p>
    <w:p w14:paraId="69837110">
      <w:pPr>
        <w:pStyle w:val="16"/>
        <w:spacing w:before="31" w:after="31"/>
        <w:ind w:firstLine="0" w:firstLineChars="0"/>
        <w:jc w:val="left"/>
        <w:rPr>
          <w:szCs w:val="24"/>
        </w:rPr>
      </w:pPr>
      <w:r>
        <w:rPr>
          <w:szCs w:val="24"/>
        </w:rPr>
        <w:t>(5) Component Failure Morphology</w:t>
      </w:r>
    </w:p>
    <w:p w14:paraId="72955364">
      <w:pPr>
        <w:pStyle w:val="16"/>
        <w:spacing w:before="31" w:after="31"/>
        <w:ind w:firstLine="480"/>
        <w:jc w:val="left"/>
        <w:rPr>
          <w:szCs w:val="24"/>
        </w:rPr>
      </w:pPr>
      <w:r>
        <w:rPr>
          <w:szCs w:val="24"/>
        </w:rPr>
        <w:t>Macroscopically, cracks were observed roughly perpendicular to the axis of the lifting ring, forming a parallel stair-step distribution, as shown in Figure 5-10.2.</w:t>
      </w:r>
    </w:p>
    <w:p w14:paraId="3EFF4128">
      <w:pPr>
        <w:pStyle w:val="16"/>
        <w:spacing w:before="31" w:after="31"/>
        <w:ind w:firstLine="482"/>
        <w:jc w:val="center"/>
        <w:rPr>
          <w:b/>
          <w:bCs/>
          <w:szCs w:val="24"/>
        </w:rPr>
      </w:pPr>
      <w:r>
        <w:rPr>
          <w:b/>
          <w:bCs/>
          <w:szCs w:val="24"/>
        </w:rPr>
        <w:t>Figure 5-10.2 Fluorescent Magnetic Particle Testing Photo of Cracked Lifting Ring</w:t>
      </w:r>
    </w:p>
    <w:p w14:paraId="22FACB40">
      <w:pPr>
        <w:pStyle w:val="16"/>
        <w:spacing w:before="31" w:after="31"/>
        <w:ind w:firstLine="480"/>
        <w:jc w:val="left"/>
        <w:rPr>
          <w:szCs w:val="24"/>
        </w:rPr>
      </w:pPr>
      <w:r>
        <w:rPr>
          <w:szCs w:val="24"/>
        </w:rPr>
        <w:t>Macroscopic analysis at the crack location revealed significant wear on one side of the crack generation area, while the other side showed less wear, indicating an apparent bias in wear during the service life of the lifting ring, as shown in Figure 5-10.3.</w:t>
      </w:r>
    </w:p>
    <w:p w14:paraId="56BDC274">
      <w:pPr>
        <w:pStyle w:val="16"/>
        <w:spacing w:before="31" w:after="31"/>
        <w:ind w:firstLine="482"/>
        <w:jc w:val="center"/>
        <w:rPr>
          <w:b/>
          <w:bCs/>
          <w:szCs w:val="24"/>
        </w:rPr>
      </w:pPr>
      <w:r>
        <w:rPr>
          <w:b/>
          <w:bCs/>
          <w:szCs w:val="24"/>
        </w:rPr>
        <w:t>Figure 5-10.3 Macroscopic Analysis of Defective Area in Lifting Ring</w:t>
      </w:r>
    </w:p>
    <w:p w14:paraId="6654AB41">
      <w:pPr>
        <w:pStyle w:val="16"/>
        <w:spacing w:before="31" w:after="31"/>
        <w:ind w:firstLine="480"/>
        <w:jc w:val="left"/>
        <w:rPr>
          <w:szCs w:val="24"/>
        </w:rPr>
      </w:pPr>
      <w:r>
        <w:rPr>
          <w:szCs w:val="24"/>
        </w:rPr>
        <w:t>A decarburized layer was found at the crack generation area, as shown in Figure 5-10.4. After metallographic dissection of the crack group, it was observed that the cracks were essentially parallel to the lifting ring surface, and the crack tips bifurcated inward along the normal direction of the wall thickness, as shown in Figure 5-10.5.</w:t>
      </w:r>
    </w:p>
    <w:p w14:paraId="33F171D6">
      <w:pPr>
        <w:pStyle w:val="16"/>
        <w:spacing w:before="31" w:after="31"/>
        <w:ind w:firstLine="482"/>
        <w:jc w:val="center"/>
        <w:rPr>
          <w:b/>
          <w:bCs/>
          <w:szCs w:val="24"/>
        </w:rPr>
      </w:pPr>
      <w:r>
        <w:rPr>
          <w:b/>
          <w:bCs/>
          <w:szCs w:val="24"/>
        </w:rPr>
        <w:t>Figure 5-10.4 Surface Decarburized Structure</w:t>
      </w:r>
    </w:p>
    <w:p w14:paraId="3FD78AE3">
      <w:pPr>
        <w:pStyle w:val="16"/>
        <w:spacing w:before="31" w:after="31"/>
        <w:ind w:firstLine="482"/>
        <w:jc w:val="center"/>
        <w:rPr>
          <w:b/>
          <w:bCs/>
          <w:szCs w:val="24"/>
        </w:rPr>
      </w:pPr>
      <w:r>
        <w:rPr>
          <w:b/>
          <w:bCs/>
          <w:szCs w:val="24"/>
        </w:rPr>
        <w:t>Figure 5-10.5 Crack Dissection</w:t>
      </w:r>
    </w:p>
    <w:p w14:paraId="2533B8E7">
      <w:pPr>
        <w:pStyle w:val="16"/>
        <w:spacing w:before="31" w:after="31"/>
        <w:ind w:firstLine="0" w:firstLineChars="0"/>
        <w:jc w:val="left"/>
        <w:rPr>
          <w:szCs w:val="24"/>
        </w:rPr>
      </w:pPr>
      <w:r>
        <w:rPr>
          <w:szCs w:val="24"/>
        </w:rPr>
        <w:t>(6) Analysis of Failure Causes</w:t>
      </w:r>
    </w:p>
    <w:p w14:paraId="4C492978">
      <w:pPr>
        <w:pStyle w:val="16"/>
        <w:spacing w:before="31" w:after="31"/>
        <w:ind w:firstLine="480"/>
        <w:jc w:val="left"/>
        <w:rPr>
          <w:szCs w:val="24"/>
        </w:rPr>
      </w:pPr>
      <w:r>
        <w:rPr>
          <w:szCs w:val="24"/>
        </w:rPr>
        <w:t>Macroscopic analysis at the crack site indicated severe bias in wear at the crack generation area. It was found that, during the descent of the drill string in the well servicing process, the crack generation area bore a significant load due to improper assembly with the large hook. The load acted on the bending of the arms at the ears of the lifting ring, causing the force on the surface of the lifting ring to be at an angle, resulting in a folding-like stair-step crack group on the surface of the lifting ring, as shown in Figure 5-10.6.</w:t>
      </w:r>
    </w:p>
    <w:p w14:paraId="78E7706E">
      <w:pPr>
        <w:pStyle w:val="16"/>
        <w:spacing w:before="31" w:after="31"/>
        <w:ind w:firstLine="482"/>
        <w:jc w:val="center"/>
        <w:rPr>
          <w:szCs w:val="24"/>
        </w:rPr>
      </w:pPr>
      <w:r>
        <w:rPr>
          <w:rFonts w:cs="FzBookMaker9DlFont9+ZJUGkL-22"/>
          <w:b/>
          <w:bCs/>
          <w:kern w:val="0"/>
        </w:rPr>
        <w:drawing>
          <wp:inline distT="0" distB="0" distL="0" distR="0">
            <wp:extent cx="2171700" cy="1438275"/>
            <wp:effectExtent l="0" t="0" r="0" b="9525"/>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171700" cy="1438275"/>
                    </a:xfrm>
                    <a:prstGeom prst="rect">
                      <a:avLst/>
                    </a:prstGeom>
                    <a:noFill/>
                    <a:ln>
                      <a:noFill/>
                    </a:ln>
                  </pic:spPr>
                </pic:pic>
              </a:graphicData>
            </a:graphic>
          </wp:inline>
        </w:drawing>
      </w:r>
    </w:p>
    <w:p w14:paraId="08770812">
      <w:pPr>
        <w:pStyle w:val="16"/>
        <w:spacing w:before="31" w:after="31"/>
        <w:ind w:firstLine="482"/>
        <w:jc w:val="center"/>
        <w:rPr>
          <w:b/>
          <w:bCs/>
          <w:szCs w:val="24"/>
        </w:rPr>
      </w:pPr>
      <w:r>
        <w:rPr>
          <w:b/>
          <w:bCs/>
          <w:szCs w:val="24"/>
        </w:rPr>
        <w:t>Figure 5-10.6 Schematic Diagram of Normal and Abnormal Assembly Forces on the Lifting Ring</w:t>
      </w:r>
    </w:p>
    <w:p w14:paraId="597D42C6">
      <w:pPr>
        <w:pStyle w:val="16"/>
        <w:spacing w:before="31" w:after="31"/>
        <w:ind w:firstLine="480"/>
        <w:jc w:val="left"/>
        <w:rPr>
          <w:szCs w:val="24"/>
        </w:rPr>
      </w:pPr>
    </w:p>
    <w:p w14:paraId="35779486">
      <w:pPr>
        <w:pStyle w:val="16"/>
        <w:spacing w:before="31" w:after="31"/>
        <w:ind w:firstLine="480"/>
        <w:jc w:val="left"/>
        <w:rPr>
          <w:szCs w:val="24"/>
        </w:rPr>
      </w:pPr>
      <w:r>
        <w:rPr>
          <w:szCs w:val="24"/>
        </w:rPr>
        <w:t>The metallographic structure of the lifting ring indicated the presence of a decarburized layer on the surface. The existence of the decarburized layer not only lowered the surface hardness but also created significant residual tensile stress during different parts of the surface quenching due to different expansion coefficients. Improper usage during service led to the application of loads at an angle to the surface, causing the formation of the crack group at that location. Additionally, the metallographic analysis results indicated the presence of small amounts of upper bainite, and the formation temperature of upper bainite in medium carbon steel is between 350-550°C. The presence of upper bainite significantly reduces the material's plasticity and toughness, making the material more brittle and resulting in lower impact energy for the lifting ring. Continued use, with the presence of cracks, reduces the load-bearing area of the lifting ring and may lead to fracture accidents during operation.</w:t>
      </w:r>
    </w:p>
    <w:p w14:paraId="530BBBFE">
      <w:pPr>
        <w:pStyle w:val="16"/>
        <w:spacing w:before="31" w:after="31"/>
        <w:ind w:firstLine="0" w:firstLineChars="0"/>
        <w:rPr>
          <w:szCs w:val="24"/>
        </w:rPr>
      </w:pPr>
      <w:r>
        <w:rPr>
          <w:szCs w:val="24"/>
        </w:rPr>
        <w:t>(7) Impact and Harm Caused</w:t>
      </w:r>
    </w:p>
    <w:p w14:paraId="0437D96B">
      <w:pPr>
        <w:pStyle w:val="16"/>
        <w:spacing w:before="31" w:after="31"/>
        <w:ind w:firstLine="420" w:firstLineChars="0"/>
        <w:rPr>
          <w:szCs w:val="24"/>
        </w:rPr>
      </w:pPr>
      <w:r>
        <w:rPr>
          <w:szCs w:val="24"/>
        </w:rPr>
        <w:t>Null</w:t>
      </w:r>
    </w:p>
    <w:p w14:paraId="0927E344">
      <w:pPr>
        <w:pStyle w:val="16"/>
        <w:spacing w:before="31" w:after="31"/>
        <w:ind w:firstLine="0" w:firstLineChars="0"/>
        <w:jc w:val="left"/>
        <w:rPr>
          <w:szCs w:val="24"/>
        </w:rPr>
      </w:pPr>
      <w:r>
        <w:rPr>
          <w:szCs w:val="24"/>
        </w:rPr>
        <w:t>(8) Conclusion and Improvement Measures</w:t>
      </w:r>
    </w:p>
    <w:p w14:paraId="5A466A9D">
      <w:pPr>
        <w:pStyle w:val="16"/>
        <w:spacing w:before="31" w:after="31"/>
        <w:ind w:firstLine="480"/>
        <w:jc w:val="left"/>
        <w:rPr>
          <w:szCs w:val="24"/>
        </w:rPr>
      </w:pPr>
      <w:r>
        <w:rPr>
          <w:szCs w:val="24"/>
        </w:rPr>
        <w:t>The main reason for the failure of the lifting ring is improper usage (improper assembly) and material defects (surface decarburization).</w:t>
      </w:r>
    </w:p>
    <w:p w14:paraId="5A74EABE">
      <w:pPr>
        <w:pStyle w:val="16"/>
        <w:spacing w:before="31" w:after="31"/>
        <w:ind w:firstLine="480"/>
        <w:jc w:val="left"/>
        <w:rPr>
          <w:szCs w:val="24"/>
        </w:rPr>
      </w:pPr>
      <w:r>
        <w:rPr>
          <w:szCs w:val="24"/>
        </w:rPr>
        <w:t>To avoid such failures, attention should be paid to the following in practice:</w:t>
      </w:r>
    </w:p>
    <w:p w14:paraId="525E4F78">
      <w:pPr>
        <w:pStyle w:val="16"/>
        <w:spacing w:before="31" w:after="31"/>
        <w:ind w:firstLine="480"/>
        <w:jc w:val="left"/>
        <w:rPr>
          <w:szCs w:val="24"/>
        </w:rPr>
      </w:pPr>
      <w:r>
        <w:rPr>
          <w:szCs w:val="24"/>
        </w:rPr>
        <w:t>(a) For improper usage, it is recommended to assemble this type of lifting ring carefully during use.</w:t>
      </w:r>
    </w:p>
    <w:p w14:paraId="44A18F44">
      <w:pPr>
        <w:pStyle w:val="16"/>
        <w:spacing w:before="31" w:after="31"/>
        <w:ind w:firstLine="480"/>
        <w:jc w:val="left"/>
        <w:rPr>
          <w:rFonts w:hint="eastAsia"/>
          <w:szCs w:val="24"/>
        </w:rPr>
      </w:pPr>
      <w:r>
        <w:rPr>
          <w:szCs w:val="24"/>
        </w:rPr>
        <w:t>(b) For material issues, attention should be given to the forging and heat treatment processes during the manufacturing of the lifting ring to prevent the formation of surface decarburization.</w:t>
      </w:r>
    </w:p>
    <w:p w14:paraId="0501FD52">
      <w:pPr>
        <w:pStyle w:val="16"/>
        <w:spacing w:before="31" w:after="31"/>
        <w:ind w:firstLine="0" w:firstLineChars="0"/>
        <w:jc w:val="left"/>
        <w:rPr>
          <w:b/>
          <w:bCs/>
          <w:szCs w:val="24"/>
        </w:rPr>
      </w:pPr>
      <w:r>
        <w:rPr>
          <w:b/>
          <w:bCs/>
          <w:szCs w:val="24"/>
        </w:rPr>
        <w:t>5.2.11 Case 5-11 Ф22 mm D-Grade Pumping Rod Failure</w:t>
      </w:r>
    </w:p>
    <w:p w14:paraId="385FEF8F">
      <w:pPr>
        <w:pStyle w:val="16"/>
        <w:spacing w:before="31" w:after="31"/>
        <w:ind w:firstLine="0" w:firstLineChars="0"/>
        <w:jc w:val="left"/>
        <w:rPr>
          <w:szCs w:val="24"/>
        </w:rPr>
      </w:pPr>
      <w:r>
        <w:rPr>
          <w:szCs w:val="24"/>
        </w:rPr>
        <w:t>(1) Case Name</w:t>
      </w:r>
    </w:p>
    <w:p w14:paraId="53760056">
      <w:pPr>
        <w:pStyle w:val="16"/>
        <w:spacing w:before="31" w:after="31"/>
        <w:ind w:firstLine="480"/>
        <w:jc w:val="left"/>
        <w:rPr>
          <w:szCs w:val="24"/>
        </w:rPr>
      </w:pPr>
      <w:r>
        <w:rPr>
          <w:rFonts w:hint="eastAsia"/>
          <w:szCs w:val="24"/>
        </w:rPr>
        <w:t>Ф</w:t>
      </w:r>
      <w:r>
        <w:rPr>
          <w:szCs w:val="24"/>
        </w:rPr>
        <w:t>22 mm D-Grade Pumping Rod Failure [13]</w:t>
      </w:r>
    </w:p>
    <w:p w14:paraId="70F7D6B4">
      <w:pPr>
        <w:pStyle w:val="16"/>
        <w:spacing w:before="31" w:after="31"/>
        <w:ind w:firstLine="0" w:firstLineChars="0"/>
        <w:jc w:val="left"/>
        <w:rPr>
          <w:szCs w:val="24"/>
        </w:rPr>
      </w:pPr>
      <w:r>
        <w:rPr>
          <w:szCs w:val="24"/>
        </w:rPr>
        <w:t>(2) Failure Process Description</w:t>
      </w:r>
    </w:p>
    <w:p w14:paraId="6EF4B412">
      <w:pPr>
        <w:pStyle w:val="16"/>
        <w:spacing w:before="31" w:after="31"/>
        <w:ind w:firstLine="480"/>
        <w:jc w:val="left"/>
        <w:rPr>
          <w:szCs w:val="24"/>
        </w:rPr>
      </w:pPr>
      <w:r>
        <w:rPr>
          <w:szCs w:val="24"/>
        </w:rPr>
        <w:t>In the process of using the Ф22mm D-grade pumping rod in a certain oilfield, multiple failures such as rod breakage, wear deviation, and corrosion scaling occurred, causing a significant amount of downhole pump inspections or corrective operations each year. Since 2004, the oilfield has performed over 400 downhole inspections annually due to failures, with an increasing trend. According to statistics, in 2004, there were 524 downhole inspections, and rod and valve fractures accounted for 292 inspections, or 55.7% of the total inspections. Among them, 236 inspections were due to wear causing rod breakage and tubing wear, accounting for 45% of the total inspections; 100 inspections were due to corrosion causing rod breakage, pump leakage, and scaling obstruction, accounting for 19%; 94 inspections were due to fatigue rod breakage, accounting for 17.9%; 59 inspections were due to pump leakage, accounting for</w:t>
      </w:r>
    </w:p>
    <w:p w14:paraId="52FE7A6E">
      <w:pPr>
        <w:pStyle w:val="16"/>
        <w:spacing w:before="31" w:after="31"/>
        <w:ind w:firstLine="480"/>
        <w:jc w:val="left"/>
        <w:rPr>
          <w:szCs w:val="24"/>
        </w:rPr>
      </w:pPr>
      <w:r>
        <w:rPr>
          <w:szCs w:val="24"/>
        </w:rPr>
        <w:t>11.3%; and 17 inspections were due to wax blockage, accounting for 3%. Statistical analysis shows that the D-grade pumping rods used in this oilfield mainly experience three failure modes: fracture, wear deviation, and corrosion.</w:t>
      </w:r>
    </w:p>
    <w:p w14:paraId="61BB3956">
      <w:pPr>
        <w:pStyle w:val="16"/>
        <w:spacing w:before="31" w:after="31"/>
        <w:ind w:firstLine="0" w:firstLineChars="0"/>
        <w:jc w:val="left"/>
        <w:rPr>
          <w:szCs w:val="24"/>
        </w:rPr>
      </w:pPr>
      <w:r>
        <w:rPr>
          <w:szCs w:val="24"/>
        </w:rPr>
        <w:t>(3) Service Environment</w:t>
      </w:r>
    </w:p>
    <w:p w14:paraId="66939452">
      <w:pPr>
        <w:pStyle w:val="16"/>
        <w:spacing w:before="31" w:after="31"/>
        <w:ind w:firstLine="480"/>
        <w:jc w:val="left"/>
        <w:rPr>
          <w:szCs w:val="24"/>
        </w:rPr>
      </w:pPr>
      <w:r>
        <w:rPr>
          <w:szCs w:val="24"/>
        </w:rPr>
        <w:t>The oilfield well trajectories are complex, and the produced water has high mineralization and is rich in sulfate-reducing bacteria.</w:t>
      </w:r>
    </w:p>
    <w:p w14:paraId="1D30A866">
      <w:pPr>
        <w:pStyle w:val="16"/>
        <w:spacing w:before="31" w:after="31"/>
        <w:ind w:firstLine="0" w:firstLineChars="0"/>
        <w:jc w:val="left"/>
        <w:rPr>
          <w:szCs w:val="24"/>
        </w:rPr>
      </w:pPr>
      <w:r>
        <w:rPr>
          <w:szCs w:val="24"/>
        </w:rPr>
        <w:t>(4) Failed Component and Material</w:t>
      </w:r>
    </w:p>
    <w:p w14:paraId="6EB90AAC">
      <w:pPr>
        <w:pStyle w:val="16"/>
        <w:spacing w:before="31" w:after="31"/>
        <w:ind w:firstLine="480"/>
        <w:jc w:val="left"/>
        <w:rPr>
          <w:szCs w:val="24"/>
        </w:rPr>
      </w:pPr>
      <w:r>
        <w:rPr>
          <w:szCs w:val="24"/>
        </w:rPr>
        <w:t>The chemical composition analysis results of the pumping rod are shown in Table 5-20, and the chemical composition of the pumping rod meets standard requirements.</w:t>
      </w:r>
    </w:p>
    <w:p w14:paraId="4BDB5C79">
      <w:pPr>
        <w:pStyle w:val="16"/>
        <w:spacing w:before="31" w:after="31"/>
        <w:ind w:firstLine="482"/>
        <w:jc w:val="center"/>
        <w:rPr>
          <w:b/>
          <w:bCs/>
          <w:szCs w:val="24"/>
        </w:rPr>
      </w:pPr>
      <w:r>
        <w:rPr>
          <w:b/>
          <w:bCs/>
          <w:szCs w:val="24"/>
        </w:rPr>
        <w:t>Table 5-20 Chemical Composition Analysis Results (wt%)</w:t>
      </w:r>
    </w:p>
    <w:tbl>
      <w:tblPr>
        <w:tblStyle w:val="9"/>
        <w:tblW w:w="0" w:type="auto"/>
        <w:jc w:val="center"/>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916"/>
        <w:gridCol w:w="689"/>
        <w:gridCol w:w="689"/>
        <w:gridCol w:w="689"/>
        <w:gridCol w:w="689"/>
        <w:gridCol w:w="689"/>
        <w:gridCol w:w="689"/>
        <w:gridCol w:w="689"/>
        <w:gridCol w:w="689"/>
        <w:gridCol w:w="689"/>
        <w:gridCol w:w="689"/>
        <w:gridCol w:w="689"/>
      </w:tblGrid>
      <w:tr w14:paraId="419CFA5B">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750" w:type="dxa"/>
            <w:tcBorders>
              <w:top w:val="single" w:color="auto" w:sz="12" w:space="0"/>
              <w:left w:val="nil"/>
              <w:bottom w:val="single" w:color="auto" w:sz="12" w:space="0"/>
              <w:right w:val="nil"/>
            </w:tcBorders>
            <w:vAlign w:val="center"/>
          </w:tcPr>
          <w:p w14:paraId="3F557504">
            <w:pPr>
              <w:autoSpaceDE w:val="0"/>
              <w:autoSpaceDN w:val="0"/>
              <w:adjustRightInd w:val="0"/>
              <w:spacing w:line="312" w:lineRule="auto"/>
              <w:jc w:val="center"/>
              <w:rPr>
                <w:kern w:val="0"/>
                <w:szCs w:val="21"/>
              </w:rPr>
            </w:pPr>
            <w:r>
              <w:t>Element</w:t>
            </w:r>
          </w:p>
        </w:tc>
        <w:tc>
          <w:tcPr>
            <w:tcW w:w="689" w:type="dxa"/>
            <w:tcBorders>
              <w:top w:val="single" w:color="auto" w:sz="12" w:space="0"/>
              <w:left w:val="nil"/>
              <w:bottom w:val="single" w:color="auto" w:sz="12" w:space="0"/>
              <w:right w:val="nil"/>
            </w:tcBorders>
            <w:vAlign w:val="center"/>
          </w:tcPr>
          <w:p w14:paraId="4C76FDCF">
            <w:pPr>
              <w:autoSpaceDE w:val="0"/>
              <w:autoSpaceDN w:val="0"/>
              <w:adjustRightInd w:val="0"/>
              <w:spacing w:line="312" w:lineRule="auto"/>
              <w:jc w:val="center"/>
              <w:rPr>
                <w:kern w:val="0"/>
                <w:szCs w:val="21"/>
              </w:rPr>
            </w:pPr>
            <w:r>
              <w:rPr>
                <w:kern w:val="0"/>
                <w:szCs w:val="21"/>
              </w:rPr>
              <w:t>C</w:t>
            </w:r>
          </w:p>
        </w:tc>
        <w:tc>
          <w:tcPr>
            <w:tcW w:w="689" w:type="dxa"/>
            <w:tcBorders>
              <w:top w:val="single" w:color="auto" w:sz="12" w:space="0"/>
              <w:left w:val="nil"/>
              <w:bottom w:val="single" w:color="auto" w:sz="12" w:space="0"/>
              <w:right w:val="nil"/>
            </w:tcBorders>
            <w:vAlign w:val="center"/>
          </w:tcPr>
          <w:p w14:paraId="0BF3C27F">
            <w:pPr>
              <w:autoSpaceDE w:val="0"/>
              <w:autoSpaceDN w:val="0"/>
              <w:adjustRightInd w:val="0"/>
              <w:spacing w:line="312" w:lineRule="auto"/>
              <w:jc w:val="center"/>
              <w:rPr>
                <w:kern w:val="0"/>
                <w:szCs w:val="21"/>
              </w:rPr>
            </w:pPr>
            <w:r>
              <w:rPr>
                <w:kern w:val="0"/>
                <w:szCs w:val="21"/>
              </w:rPr>
              <w:t>Si</w:t>
            </w:r>
          </w:p>
        </w:tc>
        <w:tc>
          <w:tcPr>
            <w:tcW w:w="689" w:type="dxa"/>
            <w:tcBorders>
              <w:top w:val="single" w:color="auto" w:sz="12" w:space="0"/>
              <w:left w:val="nil"/>
              <w:bottom w:val="single" w:color="auto" w:sz="12" w:space="0"/>
              <w:right w:val="nil"/>
            </w:tcBorders>
            <w:vAlign w:val="center"/>
          </w:tcPr>
          <w:p w14:paraId="217942E1">
            <w:pPr>
              <w:autoSpaceDE w:val="0"/>
              <w:autoSpaceDN w:val="0"/>
              <w:adjustRightInd w:val="0"/>
              <w:spacing w:line="312" w:lineRule="auto"/>
              <w:jc w:val="center"/>
              <w:rPr>
                <w:kern w:val="0"/>
                <w:szCs w:val="21"/>
              </w:rPr>
            </w:pPr>
            <w:r>
              <w:rPr>
                <w:kern w:val="0"/>
                <w:szCs w:val="21"/>
              </w:rPr>
              <w:t>Mn</w:t>
            </w:r>
          </w:p>
        </w:tc>
        <w:tc>
          <w:tcPr>
            <w:tcW w:w="689" w:type="dxa"/>
            <w:tcBorders>
              <w:top w:val="single" w:color="auto" w:sz="12" w:space="0"/>
              <w:left w:val="nil"/>
              <w:bottom w:val="single" w:color="auto" w:sz="12" w:space="0"/>
              <w:right w:val="nil"/>
            </w:tcBorders>
            <w:vAlign w:val="center"/>
          </w:tcPr>
          <w:p w14:paraId="440762D1">
            <w:pPr>
              <w:autoSpaceDE w:val="0"/>
              <w:autoSpaceDN w:val="0"/>
              <w:adjustRightInd w:val="0"/>
              <w:spacing w:line="312" w:lineRule="auto"/>
              <w:jc w:val="center"/>
              <w:rPr>
                <w:kern w:val="0"/>
                <w:szCs w:val="21"/>
              </w:rPr>
            </w:pPr>
            <w:r>
              <w:rPr>
                <w:kern w:val="0"/>
                <w:szCs w:val="21"/>
              </w:rPr>
              <w:t>P</w:t>
            </w:r>
          </w:p>
        </w:tc>
        <w:tc>
          <w:tcPr>
            <w:tcW w:w="689" w:type="dxa"/>
            <w:tcBorders>
              <w:top w:val="single" w:color="auto" w:sz="12" w:space="0"/>
              <w:left w:val="nil"/>
              <w:bottom w:val="single" w:color="auto" w:sz="12" w:space="0"/>
              <w:right w:val="nil"/>
            </w:tcBorders>
            <w:vAlign w:val="center"/>
          </w:tcPr>
          <w:p w14:paraId="6A66C4CA">
            <w:pPr>
              <w:autoSpaceDE w:val="0"/>
              <w:autoSpaceDN w:val="0"/>
              <w:adjustRightInd w:val="0"/>
              <w:spacing w:line="312" w:lineRule="auto"/>
              <w:jc w:val="center"/>
              <w:rPr>
                <w:kern w:val="0"/>
                <w:szCs w:val="21"/>
              </w:rPr>
            </w:pPr>
            <w:r>
              <w:rPr>
                <w:kern w:val="0"/>
                <w:szCs w:val="21"/>
              </w:rPr>
              <w:t>S</w:t>
            </w:r>
          </w:p>
        </w:tc>
        <w:tc>
          <w:tcPr>
            <w:tcW w:w="689" w:type="dxa"/>
            <w:tcBorders>
              <w:top w:val="single" w:color="auto" w:sz="12" w:space="0"/>
              <w:left w:val="nil"/>
              <w:bottom w:val="single" w:color="auto" w:sz="12" w:space="0"/>
              <w:right w:val="nil"/>
            </w:tcBorders>
            <w:vAlign w:val="center"/>
          </w:tcPr>
          <w:p w14:paraId="0398638F">
            <w:pPr>
              <w:autoSpaceDE w:val="0"/>
              <w:autoSpaceDN w:val="0"/>
              <w:adjustRightInd w:val="0"/>
              <w:spacing w:line="312" w:lineRule="auto"/>
              <w:jc w:val="center"/>
              <w:rPr>
                <w:kern w:val="0"/>
                <w:szCs w:val="21"/>
              </w:rPr>
            </w:pPr>
            <w:r>
              <w:rPr>
                <w:kern w:val="0"/>
                <w:szCs w:val="21"/>
              </w:rPr>
              <w:t>Cr</w:t>
            </w:r>
          </w:p>
        </w:tc>
        <w:tc>
          <w:tcPr>
            <w:tcW w:w="689" w:type="dxa"/>
            <w:tcBorders>
              <w:top w:val="single" w:color="auto" w:sz="12" w:space="0"/>
              <w:left w:val="nil"/>
              <w:bottom w:val="single" w:color="auto" w:sz="12" w:space="0"/>
              <w:right w:val="nil"/>
            </w:tcBorders>
            <w:vAlign w:val="center"/>
          </w:tcPr>
          <w:p w14:paraId="08302731">
            <w:pPr>
              <w:autoSpaceDE w:val="0"/>
              <w:autoSpaceDN w:val="0"/>
              <w:adjustRightInd w:val="0"/>
              <w:spacing w:line="312" w:lineRule="auto"/>
              <w:jc w:val="center"/>
              <w:rPr>
                <w:kern w:val="0"/>
                <w:szCs w:val="21"/>
              </w:rPr>
            </w:pPr>
            <w:r>
              <w:rPr>
                <w:kern w:val="0"/>
                <w:szCs w:val="21"/>
              </w:rPr>
              <w:t>Mo</w:t>
            </w:r>
          </w:p>
        </w:tc>
        <w:tc>
          <w:tcPr>
            <w:tcW w:w="689" w:type="dxa"/>
            <w:tcBorders>
              <w:top w:val="single" w:color="auto" w:sz="12" w:space="0"/>
              <w:left w:val="nil"/>
              <w:bottom w:val="single" w:color="auto" w:sz="12" w:space="0"/>
              <w:right w:val="nil"/>
            </w:tcBorders>
            <w:vAlign w:val="center"/>
          </w:tcPr>
          <w:p w14:paraId="3A5C25CB">
            <w:pPr>
              <w:autoSpaceDE w:val="0"/>
              <w:autoSpaceDN w:val="0"/>
              <w:adjustRightInd w:val="0"/>
              <w:spacing w:line="312" w:lineRule="auto"/>
              <w:jc w:val="center"/>
              <w:rPr>
                <w:kern w:val="0"/>
                <w:szCs w:val="21"/>
              </w:rPr>
            </w:pPr>
            <w:r>
              <w:rPr>
                <w:kern w:val="0"/>
                <w:szCs w:val="21"/>
              </w:rPr>
              <w:t>Ni</w:t>
            </w:r>
          </w:p>
        </w:tc>
        <w:tc>
          <w:tcPr>
            <w:tcW w:w="689" w:type="dxa"/>
            <w:tcBorders>
              <w:top w:val="single" w:color="auto" w:sz="12" w:space="0"/>
              <w:left w:val="nil"/>
              <w:bottom w:val="single" w:color="auto" w:sz="12" w:space="0"/>
              <w:right w:val="nil"/>
            </w:tcBorders>
            <w:vAlign w:val="center"/>
          </w:tcPr>
          <w:p w14:paraId="7C22AFEA">
            <w:pPr>
              <w:autoSpaceDE w:val="0"/>
              <w:autoSpaceDN w:val="0"/>
              <w:adjustRightInd w:val="0"/>
              <w:spacing w:line="312" w:lineRule="auto"/>
              <w:jc w:val="center"/>
              <w:rPr>
                <w:kern w:val="0"/>
                <w:szCs w:val="21"/>
              </w:rPr>
            </w:pPr>
            <w:r>
              <w:rPr>
                <w:kern w:val="0"/>
                <w:szCs w:val="21"/>
              </w:rPr>
              <w:t>V</w:t>
            </w:r>
          </w:p>
        </w:tc>
        <w:tc>
          <w:tcPr>
            <w:tcW w:w="689" w:type="dxa"/>
            <w:tcBorders>
              <w:top w:val="single" w:color="auto" w:sz="12" w:space="0"/>
              <w:left w:val="nil"/>
              <w:bottom w:val="single" w:color="auto" w:sz="12" w:space="0"/>
              <w:right w:val="nil"/>
            </w:tcBorders>
            <w:vAlign w:val="center"/>
          </w:tcPr>
          <w:p w14:paraId="59C395AC">
            <w:pPr>
              <w:autoSpaceDE w:val="0"/>
              <w:autoSpaceDN w:val="0"/>
              <w:adjustRightInd w:val="0"/>
              <w:spacing w:line="312" w:lineRule="auto"/>
              <w:jc w:val="center"/>
              <w:rPr>
                <w:kern w:val="0"/>
                <w:szCs w:val="21"/>
              </w:rPr>
            </w:pPr>
            <w:r>
              <w:rPr>
                <w:kern w:val="0"/>
                <w:szCs w:val="21"/>
              </w:rPr>
              <w:t>Ti</w:t>
            </w:r>
          </w:p>
        </w:tc>
        <w:tc>
          <w:tcPr>
            <w:tcW w:w="689" w:type="dxa"/>
            <w:tcBorders>
              <w:top w:val="single" w:color="auto" w:sz="12" w:space="0"/>
              <w:left w:val="nil"/>
              <w:bottom w:val="single" w:color="auto" w:sz="12" w:space="0"/>
              <w:right w:val="nil"/>
            </w:tcBorders>
            <w:vAlign w:val="center"/>
          </w:tcPr>
          <w:p w14:paraId="3F51D674">
            <w:pPr>
              <w:autoSpaceDE w:val="0"/>
              <w:autoSpaceDN w:val="0"/>
              <w:adjustRightInd w:val="0"/>
              <w:spacing w:line="312" w:lineRule="auto"/>
              <w:jc w:val="center"/>
              <w:rPr>
                <w:kern w:val="0"/>
                <w:szCs w:val="21"/>
              </w:rPr>
            </w:pPr>
            <w:r>
              <w:rPr>
                <w:kern w:val="0"/>
                <w:szCs w:val="21"/>
              </w:rPr>
              <w:t>Cu</w:t>
            </w:r>
          </w:p>
        </w:tc>
      </w:tr>
      <w:tr w14:paraId="5761F99F">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750" w:type="dxa"/>
            <w:tcBorders>
              <w:top w:val="single" w:color="auto" w:sz="12" w:space="0"/>
              <w:left w:val="nil"/>
              <w:bottom w:val="single" w:color="auto" w:sz="12" w:space="0"/>
              <w:right w:val="nil"/>
            </w:tcBorders>
            <w:vAlign w:val="center"/>
          </w:tcPr>
          <w:p w14:paraId="3E3D4336">
            <w:pPr>
              <w:autoSpaceDE w:val="0"/>
              <w:autoSpaceDN w:val="0"/>
              <w:adjustRightInd w:val="0"/>
              <w:spacing w:line="312" w:lineRule="auto"/>
              <w:jc w:val="center"/>
              <w:rPr>
                <w:kern w:val="0"/>
                <w:szCs w:val="21"/>
              </w:rPr>
            </w:pPr>
            <w:r>
              <w:t>Content</w:t>
            </w:r>
          </w:p>
        </w:tc>
        <w:tc>
          <w:tcPr>
            <w:tcW w:w="689" w:type="dxa"/>
            <w:tcBorders>
              <w:top w:val="single" w:color="auto" w:sz="12" w:space="0"/>
              <w:left w:val="nil"/>
              <w:bottom w:val="single" w:color="auto" w:sz="12" w:space="0"/>
              <w:right w:val="nil"/>
            </w:tcBorders>
            <w:vAlign w:val="center"/>
          </w:tcPr>
          <w:p w14:paraId="4F483367">
            <w:pPr>
              <w:autoSpaceDE w:val="0"/>
              <w:autoSpaceDN w:val="0"/>
              <w:adjustRightInd w:val="0"/>
              <w:spacing w:line="312" w:lineRule="auto"/>
              <w:jc w:val="center"/>
              <w:rPr>
                <w:kern w:val="0"/>
                <w:szCs w:val="21"/>
              </w:rPr>
            </w:pPr>
            <w:r>
              <w:rPr>
                <w:kern w:val="0"/>
                <w:szCs w:val="21"/>
              </w:rPr>
              <w:t>0.190</w:t>
            </w:r>
          </w:p>
        </w:tc>
        <w:tc>
          <w:tcPr>
            <w:tcW w:w="689" w:type="dxa"/>
            <w:tcBorders>
              <w:top w:val="single" w:color="auto" w:sz="12" w:space="0"/>
              <w:left w:val="nil"/>
              <w:bottom w:val="single" w:color="auto" w:sz="12" w:space="0"/>
              <w:right w:val="nil"/>
            </w:tcBorders>
            <w:vAlign w:val="center"/>
          </w:tcPr>
          <w:p w14:paraId="1FE8C685">
            <w:pPr>
              <w:autoSpaceDE w:val="0"/>
              <w:autoSpaceDN w:val="0"/>
              <w:adjustRightInd w:val="0"/>
              <w:spacing w:line="312" w:lineRule="auto"/>
              <w:jc w:val="center"/>
              <w:rPr>
                <w:kern w:val="0"/>
                <w:szCs w:val="21"/>
              </w:rPr>
            </w:pPr>
            <w:r>
              <w:rPr>
                <w:kern w:val="0"/>
                <w:szCs w:val="21"/>
              </w:rPr>
              <w:t>0.690</w:t>
            </w:r>
          </w:p>
        </w:tc>
        <w:tc>
          <w:tcPr>
            <w:tcW w:w="689" w:type="dxa"/>
            <w:tcBorders>
              <w:top w:val="single" w:color="auto" w:sz="12" w:space="0"/>
              <w:left w:val="nil"/>
              <w:bottom w:val="single" w:color="auto" w:sz="12" w:space="0"/>
              <w:right w:val="nil"/>
            </w:tcBorders>
            <w:vAlign w:val="center"/>
          </w:tcPr>
          <w:p w14:paraId="40149676">
            <w:pPr>
              <w:autoSpaceDE w:val="0"/>
              <w:autoSpaceDN w:val="0"/>
              <w:adjustRightInd w:val="0"/>
              <w:spacing w:line="312" w:lineRule="auto"/>
              <w:jc w:val="center"/>
              <w:rPr>
                <w:kern w:val="0"/>
                <w:szCs w:val="21"/>
              </w:rPr>
            </w:pPr>
            <w:r>
              <w:rPr>
                <w:kern w:val="0"/>
                <w:szCs w:val="21"/>
              </w:rPr>
              <w:t>1.950</w:t>
            </w:r>
          </w:p>
        </w:tc>
        <w:tc>
          <w:tcPr>
            <w:tcW w:w="689" w:type="dxa"/>
            <w:tcBorders>
              <w:top w:val="single" w:color="auto" w:sz="12" w:space="0"/>
              <w:left w:val="nil"/>
              <w:bottom w:val="single" w:color="auto" w:sz="12" w:space="0"/>
              <w:right w:val="nil"/>
            </w:tcBorders>
            <w:vAlign w:val="center"/>
          </w:tcPr>
          <w:p w14:paraId="70DD04E8">
            <w:pPr>
              <w:autoSpaceDE w:val="0"/>
              <w:autoSpaceDN w:val="0"/>
              <w:adjustRightInd w:val="0"/>
              <w:spacing w:line="312" w:lineRule="auto"/>
              <w:jc w:val="center"/>
              <w:rPr>
                <w:kern w:val="0"/>
                <w:szCs w:val="21"/>
              </w:rPr>
            </w:pPr>
            <w:r>
              <w:rPr>
                <w:kern w:val="0"/>
                <w:szCs w:val="21"/>
              </w:rPr>
              <w:t>0.014</w:t>
            </w:r>
          </w:p>
        </w:tc>
        <w:tc>
          <w:tcPr>
            <w:tcW w:w="689" w:type="dxa"/>
            <w:tcBorders>
              <w:top w:val="single" w:color="auto" w:sz="12" w:space="0"/>
              <w:left w:val="nil"/>
              <w:bottom w:val="single" w:color="auto" w:sz="12" w:space="0"/>
              <w:right w:val="nil"/>
            </w:tcBorders>
            <w:vAlign w:val="center"/>
          </w:tcPr>
          <w:p w14:paraId="6A122287">
            <w:pPr>
              <w:autoSpaceDE w:val="0"/>
              <w:autoSpaceDN w:val="0"/>
              <w:adjustRightInd w:val="0"/>
              <w:spacing w:line="312" w:lineRule="auto"/>
              <w:jc w:val="center"/>
              <w:rPr>
                <w:kern w:val="0"/>
                <w:szCs w:val="21"/>
              </w:rPr>
            </w:pPr>
            <w:r>
              <w:rPr>
                <w:kern w:val="0"/>
                <w:szCs w:val="21"/>
              </w:rPr>
              <w:t>0.014</w:t>
            </w:r>
          </w:p>
        </w:tc>
        <w:tc>
          <w:tcPr>
            <w:tcW w:w="689" w:type="dxa"/>
            <w:tcBorders>
              <w:top w:val="single" w:color="auto" w:sz="12" w:space="0"/>
              <w:left w:val="nil"/>
              <w:bottom w:val="single" w:color="auto" w:sz="12" w:space="0"/>
              <w:right w:val="nil"/>
            </w:tcBorders>
            <w:vAlign w:val="center"/>
          </w:tcPr>
          <w:p w14:paraId="54C384C3">
            <w:pPr>
              <w:autoSpaceDE w:val="0"/>
              <w:autoSpaceDN w:val="0"/>
              <w:adjustRightInd w:val="0"/>
              <w:spacing w:line="312" w:lineRule="auto"/>
              <w:jc w:val="center"/>
              <w:rPr>
                <w:kern w:val="0"/>
                <w:szCs w:val="21"/>
              </w:rPr>
            </w:pPr>
            <w:r>
              <w:rPr>
                <w:kern w:val="0"/>
                <w:szCs w:val="21"/>
              </w:rPr>
              <w:t>0.620</w:t>
            </w:r>
          </w:p>
        </w:tc>
        <w:tc>
          <w:tcPr>
            <w:tcW w:w="689" w:type="dxa"/>
            <w:tcBorders>
              <w:top w:val="single" w:color="auto" w:sz="12" w:space="0"/>
              <w:left w:val="nil"/>
              <w:bottom w:val="single" w:color="auto" w:sz="12" w:space="0"/>
              <w:right w:val="nil"/>
            </w:tcBorders>
            <w:vAlign w:val="center"/>
          </w:tcPr>
          <w:p w14:paraId="6BC90002">
            <w:pPr>
              <w:autoSpaceDE w:val="0"/>
              <w:autoSpaceDN w:val="0"/>
              <w:adjustRightInd w:val="0"/>
              <w:spacing w:line="312" w:lineRule="auto"/>
              <w:jc w:val="center"/>
              <w:rPr>
                <w:kern w:val="0"/>
                <w:szCs w:val="21"/>
              </w:rPr>
            </w:pPr>
            <w:r>
              <w:rPr>
                <w:kern w:val="0"/>
                <w:szCs w:val="21"/>
              </w:rPr>
              <w:t>0.170</w:t>
            </w:r>
          </w:p>
        </w:tc>
        <w:tc>
          <w:tcPr>
            <w:tcW w:w="689" w:type="dxa"/>
            <w:tcBorders>
              <w:top w:val="single" w:color="auto" w:sz="12" w:space="0"/>
              <w:left w:val="nil"/>
              <w:bottom w:val="single" w:color="auto" w:sz="12" w:space="0"/>
              <w:right w:val="nil"/>
            </w:tcBorders>
            <w:vAlign w:val="center"/>
          </w:tcPr>
          <w:p w14:paraId="19123E65">
            <w:pPr>
              <w:autoSpaceDE w:val="0"/>
              <w:autoSpaceDN w:val="0"/>
              <w:adjustRightInd w:val="0"/>
              <w:spacing w:line="312" w:lineRule="auto"/>
              <w:jc w:val="center"/>
              <w:rPr>
                <w:kern w:val="0"/>
                <w:szCs w:val="21"/>
              </w:rPr>
            </w:pPr>
            <w:r>
              <w:rPr>
                <w:kern w:val="0"/>
                <w:szCs w:val="21"/>
              </w:rPr>
              <w:t>0.074</w:t>
            </w:r>
          </w:p>
        </w:tc>
        <w:tc>
          <w:tcPr>
            <w:tcW w:w="689" w:type="dxa"/>
            <w:tcBorders>
              <w:top w:val="single" w:color="auto" w:sz="12" w:space="0"/>
              <w:left w:val="nil"/>
              <w:bottom w:val="single" w:color="auto" w:sz="12" w:space="0"/>
              <w:right w:val="nil"/>
            </w:tcBorders>
            <w:vAlign w:val="center"/>
          </w:tcPr>
          <w:p w14:paraId="6BF0714B">
            <w:pPr>
              <w:autoSpaceDE w:val="0"/>
              <w:autoSpaceDN w:val="0"/>
              <w:adjustRightInd w:val="0"/>
              <w:spacing w:line="312" w:lineRule="auto"/>
              <w:jc w:val="center"/>
              <w:rPr>
                <w:kern w:val="0"/>
                <w:szCs w:val="21"/>
              </w:rPr>
            </w:pPr>
            <w:r>
              <w:rPr>
                <w:kern w:val="0"/>
                <w:szCs w:val="21"/>
              </w:rPr>
              <w:t>0.100</w:t>
            </w:r>
          </w:p>
        </w:tc>
        <w:tc>
          <w:tcPr>
            <w:tcW w:w="689" w:type="dxa"/>
            <w:tcBorders>
              <w:top w:val="single" w:color="auto" w:sz="12" w:space="0"/>
              <w:left w:val="nil"/>
              <w:bottom w:val="single" w:color="auto" w:sz="12" w:space="0"/>
              <w:right w:val="nil"/>
            </w:tcBorders>
            <w:vAlign w:val="center"/>
          </w:tcPr>
          <w:p w14:paraId="02374AD4">
            <w:pPr>
              <w:autoSpaceDE w:val="0"/>
              <w:autoSpaceDN w:val="0"/>
              <w:adjustRightInd w:val="0"/>
              <w:spacing w:line="312" w:lineRule="auto"/>
              <w:jc w:val="center"/>
              <w:rPr>
                <w:kern w:val="0"/>
                <w:szCs w:val="21"/>
              </w:rPr>
            </w:pPr>
            <w:r>
              <w:rPr>
                <w:kern w:val="0"/>
                <w:szCs w:val="21"/>
              </w:rPr>
              <w:t>0.020</w:t>
            </w:r>
          </w:p>
        </w:tc>
        <w:tc>
          <w:tcPr>
            <w:tcW w:w="689" w:type="dxa"/>
            <w:tcBorders>
              <w:top w:val="single" w:color="auto" w:sz="12" w:space="0"/>
              <w:left w:val="nil"/>
              <w:bottom w:val="single" w:color="auto" w:sz="12" w:space="0"/>
              <w:right w:val="nil"/>
            </w:tcBorders>
            <w:vAlign w:val="center"/>
          </w:tcPr>
          <w:p w14:paraId="1E3E4ECE">
            <w:pPr>
              <w:autoSpaceDE w:val="0"/>
              <w:autoSpaceDN w:val="0"/>
              <w:adjustRightInd w:val="0"/>
              <w:spacing w:line="312" w:lineRule="auto"/>
              <w:jc w:val="center"/>
              <w:rPr>
                <w:kern w:val="0"/>
                <w:szCs w:val="21"/>
              </w:rPr>
            </w:pPr>
            <w:r>
              <w:rPr>
                <w:kern w:val="0"/>
                <w:szCs w:val="21"/>
              </w:rPr>
              <w:t>0.160</w:t>
            </w:r>
          </w:p>
        </w:tc>
      </w:tr>
    </w:tbl>
    <w:p w14:paraId="2AB8B5FD">
      <w:pPr>
        <w:pStyle w:val="16"/>
        <w:spacing w:before="31" w:after="31"/>
        <w:ind w:firstLine="0" w:firstLineChars="0"/>
        <w:jc w:val="left"/>
        <w:rPr>
          <w:rFonts w:hint="eastAsia"/>
          <w:szCs w:val="24"/>
        </w:rPr>
      </w:pPr>
    </w:p>
    <w:p w14:paraId="0B2A753E">
      <w:pPr>
        <w:pStyle w:val="16"/>
        <w:spacing w:before="31" w:after="31"/>
        <w:ind w:firstLine="480"/>
        <w:jc w:val="left"/>
        <w:rPr>
          <w:szCs w:val="24"/>
        </w:rPr>
      </w:pPr>
      <w:r>
        <w:rPr>
          <w:szCs w:val="24"/>
        </w:rPr>
        <w:t>The metallographic structure of the pumping rod consists of tempered martensite and ferrite, as shown in Figure 5-11.1. The grain size is graded as 10.5, and inclusions include A2.5, B1.0, and D1.0. There is an obvious decarburized layer on the sample surface, as shown in Figure 5-11.2.</w:t>
      </w:r>
    </w:p>
    <w:p w14:paraId="14F4A3A7">
      <w:pPr>
        <w:pStyle w:val="16"/>
        <w:spacing w:before="31" w:after="31"/>
        <w:ind w:firstLine="482"/>
        <w:jc w:val="center"/>
        <w:rPr>
          <w:b/>
          <w:bCs/>
          <w:szCs w:val="24"/>
        </w:rPr>
      </w:pPr>
      <w:r>
        <w:rPr>
          <w:b/>
          <w:bCs/>
          <w:szCs w:val="24"/>
        </w:rPr>
        <w:t>Figure 5-11.1 Pumping Rod Structure (200X)</w:t>
      </w:r>
    </w:p>
    <w:p w14:paraId="1E88E842">
      <w:pPr>
        <w:pStyle w:val="16"/>
        <w:spacing w:before="31" w:after="31"/>
        <w:ind w:firstLine="482"/>
        <w:jc w:val="center"/>
        <w:rPr>
          <w:b/>
          <w:bCs/>
          <w:szCs w:val="24"/>
        </w:rPr>
      </w:pPr>
      <w:r>
        <w:rPr>
          <w:b/>
          <w:bCs/>
          <w:szCs w:val="24"/>
        </w:rPr>
        <w:t>Figure 5-11.2 Pumping Rod Surface Decarburized Layer (500X)</w:t>
      </w:r>
    </w:p>
    <w:p w14:paraId="756B89CE">
      <w:pPr>
        <w:pStyle w:val="16"/>
        <w:spacing w:before="31" w:after="31"/>
        <w:ind w:firstLine="480"/>
        <w:jc w:val="left"/>
        <w:rPr>
          <w:szCs w:val="24"/>
        </w:rPr>
      </w:pPr>
      <w:r>
        <w:rPr>
          <w:szCs w:val="24"/>
        </w:rPr>
        <w:t>The mechanical properties of the D-grade pumping rod are shown in Table 5-21. Although the mechanical properties meet the standards of SY/T5029-2003, the toughness of the pumping rod is relatively low.</w:t>
      </w:r>
    </w:p>
    <w:p w14:paraId="399294E7">
      <w:pPr>
        <w:pStyle w:val="16"/>
        <w:spacing w:before="31" w:after="31"/>
        <w:ind w:firstLine="480"/>
        <w:jc w:val="left"/>
        <w:rPr>
          <w:szCs w:val="24"/>
        </w:rPr>
      </w:pPr>
    </w:p>
    <w:p w14:paraId="47673F81">
      <w:pPr>
        <w:pStyle w:val="16"/>
        <w:spacing w:before="31" w:after="31"/>
        <w:ind w:firstLine="482"/>
        <w:jc w:val="center"/>
        <w:rPr>
          <w:b/>
          <w:bCs/>
          <w:szCs w:val="24"/>
        </w:rPr>
      </w:pPr>
      <w:r>
        <w:rPr>
          <w:b/>
          <w:bCs/>
          <w:szCs w:val="24"/>
        </w:rPr>
        <w:t>Table 5-21 Mechanical Properties Test Results</w:t>
      </w:r>
    </w:p>
    <w:tbl>
      <w:tblPr>
        <w:tblStyle w:val="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1"/>
        <w:gridCol w:w="1474"/>
        <w:gridCol w:w="1396"/>
        <w:gridCol w:w="1222"/>
        <w:gridCol w:w="1101"/>
        <w:gridCol w:w="1379"/>
      </w:tblGrid>
      <w:tr w14:paraId="3B9297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1" w:type="dxa"/>
            <w:vMerge w:val="restart"/>
            <w:tcBorders>
              <w:top w:val="single" w:color="auto" w:sz="12" w:space="0"/>
              <w:left w:val="nil"/>
              <w:bottom w:val="single" w:color="auto" w:sz="12" w:space="0"/>
              <w:right w:val="nil"/>
            </w:tcBorders>
            <w:vAlign w:val="center"/>
          </w:tcPr>
          <w:p w14:paraId="5A081042">
            <w:pPr>
              <w:autoSpaceDE w:val="0"/>
              <w:autoSpaceDN w:val="0"/>
              <w:adjustRightInd w:val="0"/>
              <w:spacing w:line="312" w:lineRule="auto"/>
              <w:jc w:val="center"/>
              <w:rPr>
                <w:kern w:val="0"/>
                <w:szCs w:val="21"/>
              </w:rPr>
            </w:pPr>
            <w:r>
              <w:t>Item</w:t>
            </w:r>
          </w:p>
        </w:tc>
        <w:tc>
          <w:tcPr>
            <w:tcW w:w="5193" w:type="dxa"/>
            <w:gridSpan w:val="4"/>
            <w:tcBorders>
              <w:top w:val="single" w:color="auto" w:sz="12" w:space="0"/>
              <w:left w:val="nil"/>
              <w:bottom w:val="single" w:color="auto" w:sz="12" w:space="0"/>
              <w:right w:val="nil"/>
            </w:tcBorders>
            <w:vAlign w:val="center"/>
          </w:tcPr>
          <w:p w14:paraId="026498C2">
            <w:pPr>
              <w:autoSpaceDE w:val="0"/>
              <w:autoSpaceDN w:val="0"/>
              <w:adjustRightInd w:val="0"/>
              <w:spacing w:line="312" w:lineRule="auto"/>
              <w:jc w:val="center"/>
              <w:rPr>
                <w:kern w:val="0"/>
                <w:szCs w:val="21"/>
              </w:rPr>
            </w:pPr>
            <w:r>
              <w:t>Tensile Test</w:t>
            </w:r>
            <w:r>
              <w:tab/>
            </w:r>
          </w:p>
        </w:tc>
        <w:tc>
          <w:tcPr>
            <w:tcW w:w="1379" w:type="dxa"/>
            <w:tcBorders>
              <w:top w:val="single" w:color="auto" w:sz="12" w:space="0"/>
              <w:left w:val="nil"/>
              <w:bottom w:val="single" w:color="auto" w:sz="12" w:space="0"/>
              <w:right w:val="nil"/>
            </w:tcBorders>
            <w:vAlign w:val="center"/>
          </w:tcPr>
          <w:p w14:paraId="684509B7">
            <w:pPr>
              <w:autoSpaceDE w:val="0"/>
              <w:autoSpaceDN w:val="0"/>
              <w:adjustRightInd w:val="0"/>
              <w:spacing w:line="312" w:lineRule="auto"/>
              <w:jc w:val="center"/>
              <w:rPr>
                <w:kern w:val="0"/>
                <w:szCs w:val="21"/>
              </w:rPr>
            </w:pPr>
            <w:r>
              <w:tab/>
            </w:r>
            <w:r>
              <w:t>Impact Test</w:t>
            </w:r>
          </w:p>
        </w:tc>
      </w:tr>
      <w:tr w14:paraId="0CE7E6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top w:val="single" w:color="auto" w:sz="12" w:space="0"/>
              <w:left w:val="nil"/>
              <w:bottom w:val="single" w:color="auto" w:sz="12" w:space="0"/>
              <w:right w:val="nil"/>
            </w:tcBorders>
            <w:vAlign w:val="center"/>
          </w:tcPr>
          <w:p w14:paraId="01B81D4B">
            <w:pPr>
              <w:widowControl/>
              <w:jc w:val="left"/>
              <w:rPr>
                <w:kern w:val="0"/>
                <w:szCs w:val="21"/>
              </w:rPr>
            </w:pPr>
          </w:p>
        </w:tc>
        <w:tc>
          <w:tcPr>
            <w:tcW w:w="1474" w:type="dxa"/>
            <w:tcBorders>
              <w:top w:val="single" w:color="auto" w:sz="12" w:space="0"/>
              <w:left w:val="nil"/>
              <w:bottom w:val="single" w:color="auto" w:sz="12" w:space="0"/>
              <w:right w:val="nil"/>
            </w:tcBorders>
            <w:vAlign w:val="center"/>
          </w:tcPr>
          <w:p w14:paraId="0F487980">
            <w:pPr>
              <w:autoSpaceDE w:val="0"/>
              <w:autoSpaceDN w:val="0"/>
              <w:adjustRightInd w:val="0"/>
              <w:spacing w:line="312" w:lineRule="auto"/>
              <w:jc w:val="center"/>
              <w:rPr>
                <w:kern w:val="0"/>
                <w:szCs w:val="21"/>
              </w:rPr>
            </w:pPr>
            <w:r>
              <w:rPr>
                <w:kern w:val="0"/>
                <w:szCs w:val="21"/>
              </w:rPr>
              <w:t>R</w:t>
            </w:r>
            <w:r>
              <w:rPr>
                <w:kern w:val="0"/>
                <w:szCs w:val="21"/>
                <w:vertAlign w:val="subscript"/>
              </w:rPr>
              <w:t>m</w:t>
            </w:r>
            <w:r>
              <w:rPr>
                <w:kern w:val="0"/>
                <w:szCs w:val="21"/>
              </w:rPr>
              <w:t>/MPa</w:t>
            </w:r>
          </w:p>
        </w:tc>
        <w:tc>
          <w:tcPr>
            <w:tcW w:w="1396" w:type="dxa"/>
            <w:tcBorders>
              <w:top w:val="single" w:color="auto" w:sz="12" w:space="0"/>
              <w:left w:val="nil"/>
              <w:bottom w:val="single" w:color="auto" w:sz="12" w:space="0"/>
              <w:right w:val="nil"/>
            </w:tcBorders>
            <w:vAlign w:val="center"/>
          </w:tcPr>
          <w:p w14:paraId="6A69E044">
            <w:pPr>
              <w:autoSpaceDE w:val="0"/>
              <w:autoSpaceDN w:val="0"/>
              <w:adjustRightInd w:val="0"/>
              <w:spacing w:line="312" w:lineRule="auto"/>
              <w:jc w:val="center"/>
              <w:rPr>
                <w:kern w:val="0"/>
                <w:szCs w:val="21"/>
              </w:rPr>
            </w:pPr>
            <w:r>
              <w:rPr>
                <w:kern w:val="0"/>
                <w:szCs w:val="21"/>
              </w:rPr>
              <w:t>R</w:t>
            </w:r>
            <w:r>
              <w:rPr>
                <w:kern w:val="0"/>
                <w:szCs w:val="21"/>
                <w:vertAlign w:val="subscript"/>
              </w:rPr>
              <w:t>cl</w:t>
            </w:r>
            <w:r>
              <w:rPr>
                <w:kern w:val="0"/>
                <w:szCs w:val="21"/>
              </w:rPr>
              <w:t>/MPa</w:t>
            </w:r>
          </w:p>
        </w:tc>
        <w:tc>
          <w:tcPr>
            <w:tcW w:w="1222" w:type="dxa"/>
            <w:tcBorders>
              <w:top w:val="single" w:color="auto" w:sz="12" w:space="0"/>
              <w:left w:val="nil"/>
              <w:bottom w:val="single" w:color="auto" w:sz="12" w:space="0"/>
              <w:right w:val="nil"/>
            </w:tcBorders>
            <w:vAlign w:val="center"/>
          </w:tcPr>
          <w:p w14:paraId="7ACD8D75">
            <w:pPr>
              <w:autoSpaceDE w:val="0"/>
              <w:autoSpaceDN w:val="0"/>
              <w:adjustRightInd w:val="0"/>
              <w:spacing w:line="312" w:lineRule="auto"/>
              <w:jc w:val="center"/>
              <w:rPr>
                <w:kern w:val="0"/>
                <w:szCs w:val="21"/>
              </w:rPr>
            </w:pPr>
            <w:r>
              <w:rPr>
                <w:kern w:val="0"/>
                <w:szCs w:val="21"/>
              </w:rPr>
              <w:t>A</w:t>
            </w:r>
            <w:r>
              <w:rPr>
                <w:kern w:val="0"/>
                <w:szCs w:val="21"/>
                <w:vertAlign w:val="subscript"/>
              </w:rPr>
              <w:t>200</w:t>
            </w:r>
            <w:r>
              <w:rPr>
                <w:kern w:val="0"/>
                <w:szCs w:val="21"/>
              </w:rPr>
              <w:t>/%</w:t>
            </w:r>
          </w:p>
        </w:tc>
        <w:tc>
          <w:tcPr>
            <w:tcW w:w="1101" w:type="dxa"/>
            <w:tcBorders>
              <w:top w:val="single" w:color="auto" w:sz="12" w:space="0"/>
              <w:left w:val="nil"/>
              <w:bottom w:val="single" w:color="auto" w:sz="12" w:space="0"/>
              <w:right w:val="nil"/>
            </w:tcBorders>
            <w:vAlign w:val="center"/>
          </w:tcPr>
          <w:p w14:paraId="3AB8ABE7">
            <w:pPr>
              <w:autoSpaceDE w:val="0"/>
              <w:autoSpaceDN w:val="0"/>
              <w:adjustRightInd w:val="0"/>
              <w:spacing w:line="312" w:lineRule="auto"/>
              <w:jc w:val="center"/>
              <w:rPr>
                <w:kern w:val="0"/>
                <w:szCs w:val="21"/>
              </w:rPr>
            </w:pPr>
            <w:r>
              <w:rPr>
                <w:kern w:val="0"/>
                <w:szCs w:val="21"/>
              </w:rPr>
              <w:t>Z%</w:t>
            </w:r>
          </w:p>
        </w:tc>
        <w:tc>
          <w:tcPr>
            <w:tcW w:w="1379" w:type="dxa"/>
            <w:tcBorders>
              <w:top w:val="single" w:color="auto" w:sz="12" w:space="0"/>
              <w:left w:val="nil"/>
              <w:bottom w:val="single" w:color="auto" w:sz="12" w:space="0"/>
              <w:right w:val="nil"/>
            </w:tcBorders>
            <w:vAlign w:val="center"/>
          </w:tcPr>
          <w:p w14:paraId="59A7940F">
            <w:pPr>
              <w:autoSpaceDE w:val="0"/>
              <w:autoSpaceDN w:val="0"/>
              <w:adjustRightInd w:val="0"/>
              <w:spacing w:line="312" w:lineRule="auto"/>
              <w:jc w:val="center"/>
              <w:rPr>
                <w:kern w:val="0"/>
                <w:szCs w:val="21"/>
              </w:rPr>
            </w:pPr>
            <w:r>
              <w:rPr>
                <w:kern w:val="0"/>
                <w:szCs w:val="21"/>
              </w:rPr>
              <w:t>A</w:t>
            </w:r>
            <w:r>
              <w:rPr>
                <w:kern w:val="0"/>
                <w:szCs w:val="21"/>
                <w:vertAlign w:val="subscript"/>
              </w:rPr>
              <w:t>kv</w:t>
            </w:r>
            <w:r>
              <w:rPr>
                <w:kern w:val="0"/>
                <w:szCs w:val="21"/>
              </w:rPr>
              <w:t xml:space="preserve"> /J</w:t>
            </w:r>
          </w:p>
        </w:tc>
      </w:tr>
      <w:tr w14:paraId="3208D3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1" w:type="dxa"/>
            <w:tcBorders>
              <w:top w:val="single" w:color="auto" w:sz="12" w:space="0"/>
              <w:left w:val="nil"/>
              <w:bottom w:val="nil"/>
              <w:right w:val="nil"/>
            </w:tcBorders>
            <w:vAlign w:val="center"/>
          </w:tcPr>
          <w:p w14:paraId="378E4122">
            <w:pPr>
              <w:autoSpaceDE w:val="0"/>
              <w:autoSpaceDN w:val="0"/>
              <w:adjustRightInd w:val="0"/>
              <w:spacing w:line="312" w:lineRule="auto"/>
              <w:jc w:val="center"/>
              <w:rPr>
                <w:kern w:val="0"/>
                <w:szCs w:val="21"/>
              </w:rPr>
            </w:pPr>
            <w:r>
              <w:rPr>
                <w:kern w:val="0"/>
                <w:szCs w:val="21"/>
              </w:rPr>
              <w:t>1</w:t>
            </w:r>
          </w:p>
        </w:tc>
        <w:tc>
          <w:tcPr>
            <w:tcW w:w="1474" w:type="dxa"/>
            <w:tcBorders>
              <w:top w:val="single" w:color="auto" w:sz="12" w:space="0"/>
              <w:left w:val="nil"/>
              <w:bottom w:val="nil"/>
              <w:right w:val="nil"/>
            </w:tcBorders>
            <w:vAlign w:val="center"/>
          </w:tcPr>
          <w:p w14:paraId="67657616">
            <w:pPr>
              <w:autoSpaceDE w:val="0"/>
              <w:autoSpaceDN w:val="0"/>
              <w:adjustRightInd w:val="0"/>
              <w:spacing w:line="312" w:lineRule="auto"/>
              <w:jc w:val="center"/>
              <w:rPr>
                <w:kern w:val="0"/>
                <w:szCs w:val="21"/>
              </w:rPr>
            </w:pPr>
            <w:r>
              <w:rPr>
                <w:kern w:val="0"/>
                <w:szCs w:val="21"/>
              </w:rPr>
              <w:t>960</w:t>
            </w:r>
          </w:p>
        </w:tc>
        <w:tc>
          <w:tcPr>
            <w:tcW w:w="1396" w:type="dxa"/>
            <w:tcBorders>
              <w:top w:val="single" w:color="auto" w:sz="12" w:space="0"/>
              <w:left w:val="nil"/>
              <w:bottom w:val="nil"/>
              <w:right w:val="nil"/>
            </w:tcBorders>
            <w:vAlign w:val="center"/>
          </w:tcPr>
          <w:p w14:paraId="3A7027CC">
            <w:pPr>
              <w:autoSpaceDE w:val="0"/>
              <w:autoSpaceDN w:val="0"/>
              <w:adjustRightInd w:val="0"/>
              <w:spacing w:line="312" w:lineRule="auto"/>
              <w:jc w:val="center"/>
              <w:rPr>
                <w:kern w:val="0"/>
                <w:szCs w:val="21"/>
              </w:rPr>
            </w:pPr>
            <w:r>
              <w:rPr>
                <w:kern w:val="0"/>
                <w:szCs w:val="21"/>
              </w:rPr>
              <w:t>855</w:t>
            </w:r>
          </w:p>
        </w:tc>
        <w:tc>
          <w:tcPr>
            <w:tcW w:w="1222" w:type="dxa"/>
            <w:tcBorders>
              <w:top w:val="single" w:color="auto" w:sz="12" w:space="0"/>
              <w:left w:val="nil"/>
              <w:bottom w:val="nil"/>
              <w:right w:val="nil"/>
            </w:tcBorders>
            <w:vAlign w:val="center"/>
          </w:tcPr>
          <w:p w14:paraId="7BB395F9">
            <w:pPr>
              <w:autoSpaceDE w:val="0"/>
              <w:autoSpaceDN w:val="0"/>
              <w:adjustRightInd w:val="0"/>
              <w:spacing w:line="312" w:lineRule="auto"/>
              <w:jc w:val="center"/>
              <w:rPr>
                <w:kern w:val="0"/>
                <w:szCs w:val="21"/>
              </w:rPr>
            </w:pPr>
            <w:r>
              <w:rPr>
                <w:kern w:val="0"/>
                <w:szCs w:val="21"/>
              </w:rPr>
              <w:t>12.5</w:t>
            </w:r>
          </w:p>
        </w:tc>
        <w:tc>
          <w:tcPr>
            <w:tcW w:w="1101" w:type="dxa"/>
            <w:tcBorders>
              <w:top w:val="single" w:color="auto" w:sz="12" w:space="0"/>
              <w:left w:val="nil"/>
              <w:bottom w:val="nil"/>
              <w:right w:val="nil"/>
            </w:tcBorders>
            <w:vAlign w:val="center"/>
          </w:tcPr>
          <w:p w14:paraId="338D5BA2">
            <w:pPr>
              <w:autoSpaceDE w:val="0"/>
              <w:autoSpaceDN w:val="0"/>
              <w:adjustRightInd w:val="0"/>
              <w:spacing w:line="312" w:lineRule="auto"/>
              <w:jc w:val="center"/>
              <w:rPr>
                <w:kern w:val="0"/>
                <w:szCs w:val="21"/>
              </w:rPr>
            </w:pPr>
            <w:r>
              <w:rPr>
                <w:kern w:val="0"/>
                <w:szCs w:val="21"/>
              </w:rPr>
              <w:t>50</w:t>
            </w:r>
          </w:p>
        </w:tc>
        <w:tc>
          <w:tcPr>
            <w:tcW w:w="1379" w:type="dxa"/>
            <w:tcBorders>
              <w:top w:val="single" w:color="auto" w:sz="12" w:space="0"/>
              <w:left w:val="nil"/>
              <w:bottom w:val="nil"/>
              <w:right w:val="nil"/>
            </w:tcBorders>
            <w:vAlign w:val="center"/>
          </w:tcPr>
          <w:p w14:paraId="5101182A">
            <w:pPr>
              <w:autoSpaceDE w:val="0"/>
              <w:autoSpaceDN w:val="0"/>
              <w:adjustRightInd w:val="0"/>
              <w:spacing w:line="312" w:lineRule="auto"/>
              <w:jc w:val="center"/>
              <w:rPr>
                <w:kern w:val="0"/>
                <w:szCs w:val="21"/>
              </w:rPr>
            </w:pPr>
            <w:r>
              <w:rPr>
                <w:kern w:val="0"/>
                <w:szCs w:val="21"/>
              </w:rPr>
              <w:t>50.0</w:t>
            </w:r>
          </w:p>
        </w:tc>
      </w:tr>
      <w:tr w14:paraId="0510B6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1" w:type="dxa"/>
            <w:tcBorders>
              <w:top w:val="nil"/>
              <w:left w:val="nil"/>
              <w:bottom w:val="nil"/>
              <w:right w:val="nil"/>
            </w:tcBorders>
            <w:vAlign w:val="center"/>
          </w:tcPr>
          <w:p w14:paraId="17A9CA2E">
            <w:pPr>
              <w:autoSpaceDE w:val="0"/>
              <w:autoSpaceDN w:val="0"/>
              <w:adjustRightInd w:val="0"/>
              <w:spacing w:line="312" w:lineRule="auto"/>
              <w:jc w:val="center"/>
              <w:rPr>
                <w:kern w:val="0"/>
                <w:szCs w:val="21"/>
              </w:rPr>
            </w:pPr>
            <w:r>
              <w:rPr>
                <w:kern w:val="0"/>
                <w:szCs w:val="21"/>
              </w:rPr>
              <w:t>2</w:t>
            </w:r>
          </w:p>
        </w:tc>
        <w:tc>
          <w:tcPr>
            <w:tcW w:w="1474" w:type="dxa"/>
            <w:tcBorders>
              <w:top w:val="nil"/>
              <w:left w:val="nil"/>
              <w:bottom w:val="nil"/>
              <w:right w:val="nil"/>
            </w:tcBorders>
            <w:vAlign w:val="center"/>
          </w:tcPr>
          <w:p w14:paraId="67BE1263">
            <w:pPr>
              <w:autoSpaceDE w:val="0"/>
              <w:autoSpaceDN w:val="0"/>
              <w:adjustRightInd w:val="0"/>
              <w:spacing w:line="312" w:lineRule="auto"/>
              <w:jc w:val="center"/>
              <w:rPr>
                <w:kern w:val="0"/>
                <w:szCs w:val="21"/>
              </w:rPr>
            </w:pPr>
            <w:r>
              <w:rPr>
                <w:kern w:val="0"/>
                <w:szCs w:val="21"/>
              </w:rPr>
              <w:t>965</w:t>
            </w:r>
          </w:p>
        </w:tc>
        <w:tc>
          <w:tcPr>
            <w:tcW w:w="1396" w:type="dxa"/>
            <w:tcBorders>
              <w:top w:val="nil"/>
              <w:left w:val="nil"/>
              <w:bottom w:val="nil"/>
              <w:right w:val="nil"/>
            </w:tcBorders>
            <w:vAlign w:val="center"/>
          </w:tcPr>
          <w:p w14:paraId="01D44B57">
            <w:pPr>
              <w:autoSpaceDE w:val="0"/>
              <w:autoSpaceDN w:val="0"/>
              <w:adjustRightInd w:val="0"/>
              <w:spacing w:line="312" w:lineRule="auto"/>
              <w:jc w:val="center"/>
              <w:rPr>
                <w:kern w:val="0"/>
                <w:szCs w:val="21"/>
              </w:rPr>
            </w:pPr>
            <w:r>
              <w:rPr>
                <w:kern w:val="0"/>
                <w:szCs w:val="21"/>
              </w:rPr>
              <w:t>845</w:t>
            </w:r>
          </w:p>
        </w:tc>
        <w:tc>
          <w:tcPr>
            <w:tcW w:w="1222" w:type="dxa"/>
            <w:tcBorders>
              <w:top w:val="nil"/>
              <w:left w:val="nil"/>
              <w:bottom w:val="nil"/>
              <w:right w:val="nil"/>
            </w:tcBorders>
            <w:vAlign w:val="center"/>
          </w:tcPr>
          <w:p w14:paraId="485B073F">
            <w:pPr>
              <w:autoSpaceDE w:val="0"/>
              <w:autoSpaceDN w:val="0"/>
              <w:adjustRightInd w:val="0"/>
              <w:spacing w:line="312" w:lineRule="auto"/>
              <w:jc w:val="center"/>
              <w:rPr>
                <w:kern w:val="0"/>
                <w:szCs w:val="21"/>
              </w:rPr>
            </w:pPr>
            <w:r>
              <w:rPr>
                <w:kern w:val="0"/>
                <w:szCs w:val="21"/>
              </w:rPr>
              <w:t>11.5</w:t>
            </w:r>
          </w:p>
        </w:tc>
        <w:tc>
          <w:tcPr>
            <w:tcW w:w="1101" w:type="dxa"/>
            <w:tcBorders>
              <w:top w:val="nil"/>
              <w:left w:val="nil"/>
              <w:bottom w:val="nil"/>
              <w:right w:val="nil"/>
            </w:tcBorders>
            <w:vAlign w:val="center"/>
          </w:tcPr>
          <w:p w14:paraId="6731D008">
            <w:pPr>
              <w:autoSpaceDE w:val="0"/>
              <w:autoSpaceDN w:val="0"/>
              <w:adjustRightInd w:val="0"/>
              <w:spacing w:line="312" w:lineRule="auto"/>
              <w:jc w:val="center"/>
              <w:rPr>
                <w:kern w:val="0"/>
                <w:szCs w:val="21"/>
              </w:rPr>
            </w:pPr>
            <w:r>
              <w:rPr>
                <w:kern w:val="0"/>
                <w:szCs w:val="21"/>
              </w:rPr>
              <w:t>50</w:t>
            </w:r>
          </w:p>
        </w:tc>
        <w:tc>
          <w:tcPr>
            <w:tcW w:w="1379" w:type="dxa"/>
            <w:tcBorders>
              <w:top w:val="nil"/>
              <w:left w:val="nil"/>
              <w:bottom w:val="nil"/>
              <w:right w:val="nil"/>
            </w:tcBorders>
            <w:vAlign w:val="center"/>
          </w:tcPr>
          <w:p w14:paraId="7D06B312">
            <w:pPr>
              <w:autoSpaceDE w:val="0"/>
              <w:autoSpaceDN w:val="0"/>
              <w:adjustRightInd w:val="0"/>
              <w:spacing w:line="312" w:lineRule="auto"/>
              <w:jc w:val="center"/>
              <w:rPr>
                <w:kern w:val="0"/>
                <w:szCs w:val="21"/>
              </w:rPr>
            </w:pPr>
            <w:r>
              <w:rPr>
                <w:kern w:val="0"/>
                <w:szCs w:val="21"/>
              </w:rPr>
              <w:t>55.0</w:t>
            </w:r>
          </w:p>
        </w:tc>
      </w:tr>
      <w:tr w14:paraId="1DD369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1" w:type="dxa"/>
            <w:tcBorders>
              <w:top w:val="nil"/>
              <w:left w:val="nil"/>
              <w:bottom w:val="nil"/>
              <w:right w:val="nil"/>
            </w:tcBorders>
            <w:vAlign w:val="center"/>
          </w:tcPr>
          <w:p w14:paraId="6D36E541">
            <w:pPr>
              <w:autoSpaceDE w:val="0"/>
              <w:autoSpaceDN w:val="0"/>
              <w:adjustRightInd w:val="0"/>
              <w:spacing w:line="312" w:lineRule="auto"/>
              <w:jc w:val="center"/>
              <w:rPr>
                <w:kern w:val="0"/>
                <w:szCs w:val="21"/>
              </w:rPr>
            </w:pPr>
            <w:r>
              <w:rPr>
                <w:kern w:val="0"/>
                <w:szCs w:val="21"/>
              </w:rPr>
              <w:t>3</w:t>
            </w:r>
          </w:p>
        </w:tc>
        <w:tc>
          <w:tcPr>
            <w:tcW w:w="1474" w:type="dxa"/>
            <w:tcBorders>
              <w:top w:val="nil"/>
              <w:left w:val="nil"/>
              <w:bottom w:val="nil"/>
              <w:right w:val="nil"/>
            </w:tcBorders>
            <w:vAlign w:val="center"/>
          </w:tcPr>
          <w:p w14:paraId="6E05DFC1">
            <w:pPr>
              <w:autoSpaceDE w:val="0"/>
              <w:autoSpaceDN w:val="0"/>
              <w:adjustRightInd w:val="0"/>
              <w:spacing w:line="312" w:lineRule="auto"/>
              <w:jc w:val="center"/>
              <w:rPr>
                <w:kern w:val="0"/>
                <w:szCs w:val="21"/>
              </w:rPr>
            </w:pPr>
            <w:r>
              <w:rPr>
                <w:kern w:val="0"/>
                <w:szCs w:val="21"/>
              </w:rPr>
              <w:t>965</w:t>
            </w:r>
          </w:p>
        </w:tc>
        <w:tc>
          <w:tcPr>
            <w:tcW w:w="1396" w:type="dxa"/>
            <w:tcBorders>
              <w:top w:val="nil"/>
              <w:left w:val="nil"/>
              <w:bottom w:val="nil"/>
              <w:right w:val="nil"/>
            </w:tcBorders>
            <w:vAlign w:val="center"/>
          </w:tcPr>
          <w:p w14:paraId="7265D3BD">
            <w:pPr>
              <w:autoSpaceDE w:val="0"/>
              <w:autoSpaceDN w:val="0"/>
              <w:adjustRightInd w:val="0"/>
              <w:spacing w:line="312" w:lineRule="auto"/>
              <w:jc w:val="center"/>
              <w:rPr>
                <w:kern w:val="0"/>
                <w:szCs w:val="21"/>
              </w:rPr>
            </w:pPr>
            <w:r>
              <w:rPr>
                <w:kern w:val="0"/>
                <w:szCs w:val="21"/>
              </w:rPr>
              <w:t>840</w:t>
            </w:r>
          </w:p>
        </w:tc>
        <w:tc>
          <w:tcPr>
            <w:tcW w:w="1222" w:type="dxa"/>
            <w:tcBorders>
              <w:top w:val="nil"/>
              <w:left w:val="nil"/>
              <w:bottom w:val="nil"/>
              <w:right w:val="nil"/>
            </w:tcBorders>
            <w:vAlign w:val="center"/>
          </w:tcPr>
          <w:p w14:paraId="4778F7C4">
            <w:pPr>
              <w:autoSpaceDE w:val="0"/>
              <w:autoSpaceDN w:val="0"/>
              <w:adjustRightInd w:val="0"/>
              <w:spacing w:line="312" w:lineRule="auto"/>
              <w:jc w:val="center"/>
              <w:rPr>
                <w:kern w:val="0"/>
                <w:szCs w:val="21"/>
              </w:rPr>
            </w:pPr>
            <w:r>
              <w:rPr>
                <w:kern w:val="0"/>
                <w:szCs w:val="21"/>
              </w:rPr>
              <w:t>11.5</w:t>
            </w:r>
          </w:p>
        </w:tc>
        <w:tc>
          <w:tcPr>
            <w:tcW w:w="1101" w:type="dxa"/>
            <w:tcBorders>
              <w:top w:val="nil"/>
              <w:left w:val="nil"/>
              <w:bottom w:val="nil"/>
              <w:right w:val="nil"/>
            </w:tcBorders>
            <w:vAlign w:val="center"/>
          </w:tcPr>
          <w:p w14:paraId="06C5E8A8">
            <w:pPr>
              <w:autoSpaceDE w:val="0"/>
              <w:autoSpaceDN w:val="0"/>
              <w:adjustRightInd w:val="0"/>
              <w:spacing w:line="312" w:lineRule="auto"/>
              <w:jc w:val="center"/>
              <w:rPr>
                <w:kern w:val="0"/>
                <w:szCs w:val="21"/>
              </w:rPr>
            </w:pPr>
            <w:r>
              <w:rPr>
                <w:kern w:val="0"/>
                <w:szCs w:val="21"/>
              </w:rPr>
              <w:t>50</w:t>
            </w:r>
          </w:p>
        </w:tc>
        <w:tc>
          <w:tcPr>
            <w:tcW w:w="1379" w:type="dxa"/>
            <w:tcBorders>
              <w:top w:val="nil"/>
              <w:left w:val="nil"/>
              <w:bottom w:val="nil"/>
              <w:right w:val="nil"/>
            </w:tcBorders>
            <w:vAlign w:val="center"/>
          </w:tcPr>
          <w:p w14:paraId="717B2F53">
            <w:pPr>
              <w:autoSpaceDE w:val="0"/>
              <w:autoSpaceDN w:val="0"/>
              <w:adjustRightInd w:val="0"/>
              <w:spacing w:line="312" w:lineRule="auto"/>
              <w:jc w:val="center"/>
              <w:rPr>
                <w:kern w:val="0"/>
                <w:szCs w:val="21"/>
              </w:rPr>
            </w:pPr>
            <w:r>
              <w:rPr>
                <w:kern w:val="0"/>
                <w:szCs w:val="21"/>
              </w:rPr>
              <w:t>52.0</w:t>
            </w:r>
          </w:p>
        </w:tc>
      </w:tr>
      <w:tr w14:paraId="3145AE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1" w:type="dxa"/>
            <w:tcBorders>
              <w:top w:val="nil"/>
              <w:left w:val="nil"/>
              <w:bottom w:val="single" w:color="auto" w:sz="12" w:space="0"/>
              <w:right w:val="nil"/>
            </w:tcBorders>
            <w:vAlign w:val="center"/>
          </w:tcPr>
          <w:p w14:paraId="5274F912">
            <w:pPr>
              <w:autoSpaceDE w:val="0"/>
              <w:autoSpaceDN w:val="0"/>
              <w:adjustRightInd w:val="0"/>
              <w:spacing w:line="312" w:lineRule="auto"/>
              <w:jc w:val="center"/>
              <w:rPr>
                <w:kern w:val="0"/>
                <w:szCs w:val="21"/>
              </w:rPr>
            </w:pPr>
            <w:r>
              <w:rPr>
                <w:kern w:val="0"/>
                <w:szCs w:val="21"/>
              </w:rPr>
              <w:t>SY/T5029-2003</w:t>
            </w:r>
          </w:p>
        </w:tc>
        <w:tc>
          <w:tcPr>
            <w:tcW w:w="1474" w:type="dxa"/>
            <w:tcBorders>
              <w:top w:val="nil"/>
              <w:left w:val="nil"/>
              <w:bottom w:val="single" w:color="auto" w:sz="12" w:space="0"/>
              <w:right w:val="nil"/>
            </w:tcBorders>
            <w:vAlign w:val="center"/>
          </w:tcPr>
          <w:p w14:paraId="6C83F876">
            <w:pPr>
              <w:autoSpaceDE w:val="0"/>
              <w:autoSpaceDN w:val="0"/>
              <w:adjustRightInd w:val="0"/>
              <w:spacing w:line="312" w:lineRule="auto"/>
              <w:jc w:val="center"/>
              <w:rPr>
                <w:kern w:val="0"/>
                <w:szCs w:val="21"/>
              </w:rPr>
            </w:pPr>
            <w:r>
              <w:rPr>
                <w:kern w:val="0"/>
                <w:szCs w:val="21"/>
              </w:rPr>
              <w:t>793~965</w:t>
            </w:r>
          </w:p>
        </w:tc>
        <w:tc>
          <w:tcPr>
            <w:tcW w:w="1396" w:type="dxa"/>
            <w:tcBorders>
              <w:top w:val="nil"/>
              <w:left w:val="nil"/>
              <w:bottom w:val="single" w:color="auto" w:sz="12" w:space="0"/>
              <w:right w:val="nil"/>
            </w:tcBorders>
            <w:vAlign w:val="center"/>
          </w:tcPr>
          <w:p w14:paraId="1DDFA74D">
            <w:pPr>
              <w:autoSpaceDE w:val="0"/>
              <w:autoSpaceDN w:val="0"/>
              <w:adjustRightInd w:val="0"/>
              <w:spacing w:line="312" w:lineRule="auto"/>
              <w:jc w:val="center"/>
              <w:rPr>
                <w:kern w:val="0"/>
                <w:szCs w:val="21"/>
              </w:rPr>
            </w:pPr>
            <w:r>
              <w:rPr>
                <w:kern w:val="0"/>
                <w:szCs w:val="21"/>
              </w:rPr>
              <w:t>≥586</w:t>
            </w:r>
          </w:p>
        </w:tc>
        <w:tc>
          <w:tcPr>
            <w:tcW w:w="1222" w:type="dxa"/>
            <w:tcBorders>
              <w:top w:val="nil"/>
              <w:left w:val="nil"/>
              <w:bottom w:val="single" w:color="auto" w:sz="12" w:space="0"/>
              <w:right w:val="nil"/>
            </w:tcBorders>
            <w:vAlign w:val="center"/>
          </w:tcPr>
          <w:p w14:paraId="2822061F">
            <w:pPr>
              <w:autoSpaceDE w:val="0"/>
              <w:autoSpaceDN w:val="0"/>
              <w:adjustRightInd w:val="0"/>
              <w:spacing w:line="312" w:lineRule="auto"/>
              <w:jc w:val="center"/>
              <w:rPr>
                <w:kern w:val="0"/>
                <w:szCs w:val="21"/>
              </w:rPr>
            </w:pPr>
            <w:r>
              <w:rPr>
                <w:kern w:val="0"/>
                <w:szCs w:val="21"/>
              </w:rPr>
              <w:t>≥10.0</w:t>
            </w:r>
          </w:p>
        </w:tc>
        <w:tc>
          <w:tcPr>
            <w:tcW w:w="1101" w:type="dxa"/>
            <w:tcBorders>
              <w:top w:val="nil"/>
              <w:left w:val="nil"/>
              <w:bottom w:val="single" w:color="auto" w:sz="12" w:space="0"/>
              <w:right w:val="nil"/>
            </w:tcBorders>
            <w:vAlign w:val="center"/>
          </w:tcPr>
          <w:p w14:paraId="3C51A23D">
            <w:pPr>
              <w:autoSpaceDE w:val="0"/>
              <w:autoSpaceDN w:val="0"/>
              <w:adjustRightInd w:val="0"/>
              <w:spacing w:line="312" w:lineRule="auto"/>
              <w:jc w:val="center"/>
              <w:rPr>
                <w:kern w:val="0"/>
                <w:szCs w:val="21"/>
              </w:rPr>
            </w:pPr>
            <w:r>
              <w:rPr>
                <w:kern w:val="0"/>
                <w:szCs w:val="21"/>
              </w:rPr>
              <w:t>≥50</w:t>
            </w:r>
          </w:p>
        </w:tc>
        <w:tc>
          <w:tcPr>
            <w:tcW w:w="1379" w:type="dxa"/>
            <w:tcBorders>
              <w:top w:val="nil"/>
              <w:left w:val="nil"/>
              <w:bottom w:val="single" w:color="auto" w:sz="12" w:space="0"/>
              <w:right w:val="nil"/>
            </w:tcBorders>
            <w:vAlign w:val="center"/>
          </w:tcPr>
          <w:p w14:paraId="22C9C2DF">
            <w:pPr>
              <w:autoSpaceDE w:val="0"/>
              <w:autoSpaceDN w:val="0"/>
              <w:adjustRightInd w:val="0"/>
              <w:spacing w:line="312" w:lineRule="auto"/>
              <w:jc w:val="center"/>
              <w:rPr>
                <w:kern w:val="0"/>
                <w:szCs w:val="21"/>
              </w:rPr>
            </w:pPr>
            <w:r>
              <w:rPr>
                <w:kern w:val="0"/>
                <w:szCs w:val="21"/>
              </w:rPr>
              <w:t>≥58.8</w:t>
            </w:r>
          </w:p>
        </w:tc>
      </w:tr>
    </w:tbl>
    <w:p w14:paraId="76F9EB52">
      <w:pPr>
        <w:pStyle w:val="16"/>
        <w:spacing w:before="31" w:after="31"/>
        <w:ind w:firstLine="0" w:firstLineChars="0"/>
        <w:jc w:val="left"/>
        <w:rPr>
          <w:szCs w:val="24"/>
        </w:rPr>
      </w:pPr>
      <w:r>
        <w:rPr>
          <w:szCs w:val="24"/>
        </w:rPr>
        <w:t>(5) Component Failure Morphology</w:t>
      </w:r>
    </w:p>
    <w:p w14:paraId="6CC5A22C">
      <w:pPr>
        <w:pStyle w:val="16"/>
        <w:spacing w:before="31" w:after="31"/>
        <w:ind w:firstLine="480"/>
        <w:jc w:val="left"/>
        <w:rPr>
          <w:szCs w:val="24"/>
        </w:rPr>
      </w:pPr>
      <w:r>
        <w:rPr>
          <w:szCs w:val="24"/>
        </w:rPr>
        <w:t>The macroscopic morphology of the failed component is shown in Figures 5-11.3 to 5-13.6.</w:t>
      </w:r>
    </w:p>
    <w:p w14:paraId="204EDA59">
      <w:pPr>
        <w:pStyle w:val="16"/>
        <w:spacing w:before="31" w:after="31"/>
        <w:ind w:firstLine="482"/>
        <w:jc w:val="center"/>
        <w:rPr>
          <w:b/>
          <w:bCs/>
          <w:szCs w:val="24"/>
        </w:rPr>
      </w:pPr>
      <w:r>
        <w:rPr>
          <w:b/>
          <w:bCs/>
          <w:szCs w:val="24"/>
        </w:rPr>
        <w:t>Figure 5-11.3 D-Grade Pumping Rod Wear Deviation</w:t>
      </w:r>
    </w:p>
    <w:p w14:paraId="03441E55">
      <w:pPr>
        <w:pStyle w:val="16"/>
        <w:spacing w:before="31" w:after="31"/>
        <w:ind w:firstLine="482"/>
        <w:jc w:val="center"/>
        <w:rPr>
          <w:b/>
          <w:bCs/>
          <w:szCs w:val="24"/>
        </w:rPr>
      </w:pPr>
      <w:r>
        <w:rPr>
          <w:b/>
          <w:bCs/>
          <w:szCs w:val="24"/>
        </w:rPr>
        <w:t>Figure 5-11.4 D-Grade Pumping Rod Corrosion</w:t>
      </w:r>
    </w:p>
    <w:p w14:paraId="13AA4D1E">
      <w:pPr>
        <w:pStyle w:val="16"/>
        <w:spacing w:before="31" w:after="31"/>
        <w:ind w:firstLine="482"/>
        <w:jc w:val="center"/>
        <w:rPr>
          <w:b/>
          <w:bCs/>
          <w:szCs w:val="24"/>
        </w:rPr>
      </w:pPr>
      <w:r>
        <w:rPr>
          <w:b/>
          <w:bCs/>
          <w:szCs w:val="24"/>
        </w:rPr>
        <w:t>Figure 5-11.5 D-Grade Pumping Rod Fracture</w:t>
      </w:r>
    </w:p>
    <w:p w14:paraId="4850F8C3">
      <w:pPr>
        <w:pStyle w:val="16"/>
        <w:spacing w:before="31" w:after="31"/>
        <w:ind w:firstLine="482"/>
        <w:jc w:val="center"/>
        <w:rPr>
          <w:rFonts w:hint="eastAsia"/>
          <w:b/>
          <w:bCs/>
          <w:szCs w:val="24"/>
        </w:rPr>
      </w:pPr>
      <w:r>
        <w:rPr>
          <w:b/>
          <w:bCs/>
          <w:szCs w:val="24"/>
        </w:rPr>
        <w:t>Figure 5-11.6 D-Grade Pumping Rod Fracture Surface</w:t>
      </w:r>
    </w:p>
    <w:p w14:paraId="65643ADD">
      <w:pPr>
        <w:pStyle w:val="16"/>
        <w:spacing w:before="31" w:after="31"/>
        <w:ind w:firstLine="480"/>
        <w:jc w:val="left"/>
        <w:rPr>
          <w:szCs w:val="24"/>
        </w:rPr>
      </w:pPr>
      <w:r>
        <w:rPr>
          <w:szCs w:val="24"/>
        </w:rPr>
        <w:t>The fracture morphology of the Ф22 mm D-grade pumping rod is shown in Figure 5-11.7. It can be seen that the macroscopic fracture is flat, with no apparent plastic deformation. The fracture surface is flat, with slight signs of wear, displaying a typical fatigue fracture morphology. The results of the fracture surface energy spectrum analysis are shown in Table 5-22. For samples with wear and corrosion failures, the wear and corrosion have worn through the internal thread tooth base, and the outer wall shows obvious rust, with clear signs of wear and erosion, as shown in Figure 5-11.8. The surface energy spectrum analysis results are shown in Table 5-23.</w:t>
      </w:r>
    </w:p>
    <w:p w14:paraId="0907390D">
      <w:pPr>
        <w:pStyle w:val="16"/>
        <w:spacing w:before="31" w:after="31"/>
        <w:ind w:firstLine="482"/>
        <w:jc w:val="center"/>
        <w:rPr>
          <w:b/>
          <w:bCs/>
          <w:szCs w:val="24"/>
        </w:rPr>
      </w:pPr>
      <w:r>
        <w:rPr>
          <w:b/>
          <w:bCs/>
          <w:szCs w:val="24"/>
        </w:rPr>
        <w:t>Figure 5-11.7 Fracture Morphology of D-Grade Pumping Rod</w:t>
      </w:r>
    </w:p>
    <w:p w14:paraId="2E37DDE0">
      <w:pPr>
        <w:pStyle w:val="16"/>
        <w:spacing w:before="31" w:after="31"/>
        <w:ind w:firstLine="482"/>
        <w:jc w:val="center"/>
        <w:rPr>
          <w:b/>
          <w:bCs/>
          <w:szCs w:val="24"/>
        </w:rPr>
      </w:pPr>
      <w:r>
        <w:rPr>
          <w:b/>
          <w:bCs/>
          <w:szCs w:val="24"/>
        </w:rPr>
        <w:t>Figure 5-11.8 Microscopic Surface Morphology After Corrosion</w:t>
      </w:r>
    </w:p>
    <w:p w14:paraId="3047ACCC">
      <w:pPr>
        <w:pStyle w:val="16"/>
        <w:spacing w:before="31" w:after="31"/>
        <w:ind w:firstLine="480"/>
        <w:jc w:val="left"/>
        <w:rPr>
          <w:szCs w:val="24"/>
        </w:rPr>
      </w:pPr>
    </w:p>
    <w:p w14:paraId="48BCE075">
      <w:pPr>
        <w:pStyle w:val="16"/>
        <w:spacing w:before="31" w:after="31"/>
        <w:ind w:firstLine="482"/>
        <w:jc w:val="center"/>
        <w:rPr>
          <w:b/>
          <w:bCs/>
          <w:szCs w:val="24"/>
        </w:rPr>
      </w:pPr>
      <w:r>
        <w:rPr>
          <w:b/>
          <w:bCs/>
          <w:szCs w:val="24"/>
        </w:rPr>
        <w:t>Table 5-22 Content of Each Component in the Energy Spectrum Analysis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5"/>
        <w:gridCol w:w="1065"/>
        <w:gridCol w:w="1065"/>
        <w:gridCol w:w="1065"/>
        <w:gridCol w:w="1065"/>
        <w:gridCol w:w="1065"/>
        <w:gridCol w:w="1066"/>
        <w:gridCol w:w="1066"/>
      </w:tblGrid>
      <w:tr w14:paraId="7C382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015727FD">
            <w:pPr>
              <w:pStyle w:val="16"/>
              <w:spacing w:before="31" w:after="31"/>
              <w:ind w:firstLine="0" w:firstLineChars="0"/>
              <w:jc w:val="left"/>
              <w:rPr>
                <w:szCs w:val="24"/>
              </w:rPr>
            </w:pPr>
            <w:r>
              <w:rPr>
                <w:szCs w:val="24"/>
              </w:rPr>
              <w:t>Element</w:t>
            </w:r>
          </w:p>
        </w:tc>
        <w:tc>
          <w:tcPr>
            <w:tcW w:w="1065" w:type="dxa"/>
          </w:tcPr>
          <w:p w14:paraId="07A5B821">
            <w:pPr>
              <w:pStyle w:val="16"/>
              <w:spacing w:before="31" w:after="31"/>
              <w:ind w:firstLine="0" w:firstLineChars="0"/>
              <w:jc w:val="left"/>
              <w:rPr>
                <w:szCs w:val="24"/>
              </w:rPr>
            </w:pPr>
            <w:r>
              <w:rPr>
                <w:szCs w:val="24"/>
              </w:rPr>
              <w:t>C</w:t>
            </w:r>
          </w:p>
        </w:tc>
        <w:tc>
          <w:tcPr>
            <w:tcW w:w="1065" w:type="dxa"/>
          </w:tcPr>
          <w:p w14:paraId="7B958BB3">
            <w:pPr>
              <w:pStyle w:val="16"/>
              <w:spacing w:before="31" w:after="31"/>
              <w:ind w:firstLine="0" w:firstLineChars="0"/>
              <w:jc w:val="left"/>
              <w:rPr>
                <w:szCs w:val="24"/>
              </w:rPr>
            </w:pPr>
            <w:r>
              <w:rPr>
                <w:szCs w:val="24"/>
              </w:rPr>
              <w:t>Fe</w:t>
            </w:r>
          </w:p>
        </w:tc>
        <w:tc>
          <w:tcPr>
            <w:tcW w:w="1065" w:type="dxa"/>
          </w:tcPr>
          <w:p w14:paraId="331D42D5">
            <w:pPr>
              <w:pStyle w:val="16"/>
              <w:spacing w:before="31" w:after="31"/>
              <w:ind w:firstLine="0" w:firstLineChars="0"/>
              <w:jc w:val="left"/>
              <w:rPr>
                <w:szCs w:val="24"/>
              </w:rPr>
            </w:pPr>
            <w:r>
              <w:rPr>
                <w:szCs w:val="24"/>
              </w:rPr>
              <w:t>O</w:t>
            </w:r>
          </w:p>
        </w:tc>
        <w:tc>
          <w:tcPr>
            <w:tcW w:w="1065" w:type="dxa"/>
          </w:tcPr>
          <w:p w14:paraId="0499BDB9">
            <w:pPr>
              <w:pStyle w:val="16"/>
              <w:spacing w:before="31" w:after="31"/>
              <w:ind w:firstLine="0" w:firstLineChars="0"/>
              <w:jc w:val="left"/>
              <w:rPr>
                <w:szCs w:val="24"/>
              </w:rPr>
            </w:pPr>
            <w:r>
              <w:rPr>
                <w:szCs w:val="24"/>
              </w:rPr>
              <w:t>Mn</w:t>
            </w:r>
          </w:p>
        </w:tc>
        <w:tc>
          <w:tcPr>
            <w:tcW w:w="1065" w:type="dxa"/>
          </w:tcPr>
          <w:p w14:paraId="19101B9B">
            <w:pPr>
              <w:pStyle w:val="16"/>
              <w:spacing w:before="31" w:after="31"/>
              <w:ind w:firstLine="0" w:firstLineChars="0"/>
              <w:jc w:val="left"/>
              <w:rPr>
                <w:szCs w:val="24"/>
              </w:rPr>
            </w:pPr>
            <w:r>
              <w:rPr>
                <w:szCs w:val="24"/>
              </w:rPr>
              <w:t>Cr</w:t>
            </w:r>
          </w:p>
        </w:tc>
        <w:tc>
          <w:tcPr>
            <w:tcW w:w="1066" w:type="dxa"/>
          </w:tcPr>
          <w:p w14:paraId="19FFC208">
            <w:pPr>
              <w:pStyle w:val="16"/>
              <w:spacing w:before="31" w:after="31"/>
              <w:ind w:firstLine="0" w:firstLineChars="0"/>
              <w:jc w:val="left"/>
              <w:rPr>
                <w:szCs w:val="24"/>
              </w:rPr>
            </w:pPr>
            <w:r>
              <w:rPr>
                <w:szCs w:val="24"/>
              </w:rPr>
              <w:t>Si</w:t>
            </w:r>
          </w:p>
        </w:tc>
        <w:tc>
          <w:tcPr>
            <w:tcW w:w="1066" w:type="dxa"/>
          </w:tcPr>
          <w:p w14:paraId="03C373A4">
            <w:pPr>
              <w:pStyle w:val="16"/>
              <w:spacing w:before="31" w:after="31"/>
              <w:ind w:firstLine="0" w:firstLineChars="0"/>
              <w:jc w:val="left"/>
              <w:rPr>
                <w:szCs w:val="24"/>
              </w:rPr>
            </w:pPr>
            <w:r>
              <w:rPr>
                <w:szCs w:val="24"/>
              </w:rPr>
              <w:t>S</w:t>
            </w:r>
          </w:p>
        </w:tc>
      </w:tr>
      <w:tr w14:paraId="151E8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1031E1B9">
            <w:pPr>
              <w:pStyle w:val="16"/>
              <w:spacing w:before="31" w:after="31"/>
              <w:ind w:firstLine="0" w:firstLineChars="0"/>
              <w:jc w:val="left"/>
              <w:rPr>
                <w:szCs w:val="24"/>
              </w:rPr>
            </w:pPr>
            <w:r>
              <w:rPr>
                <w:szCs w:val="24"/>
              </w:rPr>
              <w:t>Content</w:t>
            </w:r>
          </w:p>
        </w:tc>
        <w:tc>
          <w:tcPr>
            <w:tcW w:w="1065" w:type="dxa"/>
          </w:tcPr>
          <w:p w14:paraId="64AD31C6">
            <w:pPr>
              <w:pStyle w:val="16"/>
              <w:spacing w:before="31" w:after="31"/>
              <w:ind w:firstLine="0" w:firstLineChars="0"/>
              <w:jc w:val="left"/>
              <w:rPr>
                <w:szCs w:val="24"/>
              </w:rPr>
            </w:pPr>
            <w:r>
              <w:rPr>
                <w:szCs w:val="24"/>
              </w:rPr>
              <w:t>3.71</w:t>
            </w:r>
          </w:p>
        </w:tc>
        <w:tc>
          <w:tcPr>
            <w:tcW w:w="1065" w:type="dxa"/>
          </w:tcPr>
          <w:p w14:paraId="635B6247">
            <w:pPr>
              <w:pStyle w:val="16"/>
              <w:spacing w:before="31" w:after="31"/>
              <w:ind w:firstLine="0" w:firstLineChars="0"/>
              <w:jc w:val="left"/>
              <w:rPr>
                <w:szCs w:val="24"/>
              </w:rPr>
            </w:pPr>
            <w:r>
              <w:rPr>
                <w:szCs w:val="24"/>
              </w:rPr>
              <w:t>86.13</w:t>
            </w:r>
          </w:p>
        </w:tc>
        <w:tc>
          <w:tcPr>
            <w:tcW w:w="1065" w:type="dxa"/>
          </w:tcPr>
          <w:p w14:paraId="43D62678">
            <w:pPr>
              <w:pStyle w:val="16"/>
              <w:spacing w:before="31" w:after="31"/>
              <w:ind w:firstLine="0" w:firstLineChars="0"/>
              <w:jc w:val="left"/>
              <w:rPr>
                <w:szCs w:val="24"/>
              </w:rPr>
            </w:pPr>
            <w:r>
              <w:rPr>
                <w:szCs w:val="24"/>
              </w:rPr>
              <w:t>5.95</w:t>
            </w:r>
          </w:p>
        </w:tc>
        <w:tc>
          <w:tcPr>
            <w:tcW w:w="1065" w:type="dxa"/>
          </w:tcPr>
          <w:p w14:paraId="098E99EC">
            <w:pPr>
              <w:pStyle w:val="16"/>
              <w:spacing w:before="31" w:after="31"/>
              <w:ind w:firstLine="0" w:firstLineChars="0"/>
              <w:jc w:val="left"/>
              <w:rPr>
                <w:szCs w:val="24"/>
              </w:rPr>
            </w:pPr>
            <w:r>
              <w:rPr>
                <w:szCs w:val="24"/>
              </w:rPr>
              <w:t>1.68</w:t>
            </w:r>
          </w:p>
        </w:tc>
        <w:tc>
          <w:tcPr>
            <w:tcW w:w="1065" w:type="dxa"/>
          </w:tcPr>
          <w:p w14:paraId="3EB39B6C">
            <w:pPr>
              <w:pStyle w:val="16"/>
              <w:spacing w:before="31" w:after="31"/>
              <w:ind w:firstLine="0" w:firstLineChars="0"/>
              <w:jc w:val="left"/>
              <w:rPr>
                <w:szCs w:val="24"/>
              </w:rPr>
            </w:pPr>
            <w:r>
              <w:rPr>
                <w:szCs w:val="24"/>
              </w:rPr>
              <w:t>0.68</w:t>
            </w:r>
          </w:p>
        </w:tc>
        <w:tc>
          <w:tcPr>
            <w:tcW w:w="1066" w:type="dxa"/>
          </w:tcPr>
          <w:p w14:paraId="0B5E49EA">
            <w:pPr>
              <w:pStyle w:val="16"/>
              <w:spacing w:before="31" w:after="31"/>
              <w:ind w:firstLine="0" w:firstLineChars="0"/>
              <w:jc w:val="left"/>
              <w:rPr>
                <w:szCs w:val="24"/>
              </w:rPr>
            </w:pPr>
            <w:r>
              <w:rPr>
                <w:szCs w:val="24"/>
              </w:rPr>
              <w:t>0.64</w:t>
            </w:r>
          </w:p>
        </w:tc>
        <w:tc>
          <w:tcPr>
            <w:tcW w:w="1066" w:type="dxa"/>
          </w:tcPr>
          <w:p w14:paraId="3B465B04">
            <w:pPr>
              <w:pStyle w:val="16"/>
              <w:spacing w:before="31" w:after="31"/>
              <w:ind w:firstLine="0" w:firstLineChars="0"/>
              <w:jc w:val="left"/>
              <w:rPr>
                <w:szCs w:val="24"/>
              </w:rPr>
            </w:pPr>
            <w:r>
              <w:rPr>
                <w:szCs w:val="24"/>
              </w:rPr>
              <w:t>1.21</w:t>
            </w:r>
          </w:p>
        </w:tc>
      </w:tr>
    </w:tbl>
    <w:p w14:paraId="1E8D4712">
      <w:pPr>
        <w:pStyle w:val="16"/>
        <w:spacing w:before="31" w:after="31"/>
        <w:ind w:firstLine="480"/>
        <w:jc w:val="left"/>
        <w:rPr>
          <w:szCs w:val="24"/>
        </w:rPr>
      </w:pPr>
    </w:p>
    <w:p w14:paraId="2CEC5030">
      <w:pPr>
        <w:pStyle w:val="16"/>
        <w:spacing w:before="31" w:after="31"/>
        <w:ind w:firstLine="482"/>
        <w:jc w:val="left"/>
        <w:rPr>
          <w:b/>
          <w:bCs/>
          <w:szCs w:val="24"/>
        </w:rPr>
      </w:pPr>
      <w:r>
        <w:rPr>
          <w:b/>
          <w:bCs/>
          <w:szCs w:val="24"/>
        </w:rPr>
        <w:t>Table 5-23 Content of Each Component in the Corrosion Product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
        <w:gridCol w:w="937"/>
        <w:gridCol w:w="937"/>
        <w:gridCol w:w="941"/>
        <w:gridCol w:w="937"/>
        <w:gridCol w:w="937"/>
        <w:gridCol w:w="941"/>
        <w:gridCol w:w="938"/>
        <w:gridCol w:w="938"/>
      </w:tblGrid>
      <w:tr w14:paraId="108C5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0FC89980">
            <w:pPr>
              <w:pStyle w:val="16"/>
              <w:spacing w:before="31" w:after="31"/>
              <w:ind w:firstLine="0" w:firstLineChars="0"/>
              <w:jc w:val="left"/>
              <w:rPr>
                <w:szCs w:val="24"/>
              </w:rPr>
            </w:pPr>
            <w:r>
              <w:rPr>
                <w:szCs w:val="24"/>
              </w:rPr>
              <w:t>Element</w:t>
            </w:r>
          </w:p>
        </w:tc>
        <w:tc>
          <w:tcPr>
            <w:tcW w:w="947" w:type="dxa"/>
          </w:tcPr>
          <w:p w14:paraId="1DB588A9">
            <w:pPr>
              <w:pStyle w:val="16"/>
              <w:spacing w:before="31" w:after="31"/>
              <w:ind w:firstLine="0" w:firstLineChars="0"/>
              <w:jc w:val="left"/>
              <w:rPr>
                <w:szCs w:val="24"/>
              </w:rPr>
            </w:pPr>
            <w:r>
              <w:rPr>
                <w:szCs w:val="24"/>
              </w:rPr>
              <w:t>C</w:t>
            </w:r>
          </w:p>
        </w:tc>
        <w:tc>
          <w:tcPr>
            <w:tcW w:w="947" w:type="dxa"/>
          </w:tcPr>
          <w:p w14:paraId="584887F8">
            <w:pPr>
              <w:pStyle w:val="16"/>
              <w:spacing w:before="31" w:after="31"/>
              <w:ind w:firstLine="0" w:firstLineChars="0"/>
              <w:jc w:val="left"/>
              <w:rPr>
                <w:szCs w:val="24"/>
              </w:rPr>
            </w:pPr>
            <w:r>
              <w:rPr>
                <w:szCs w:val="24"/>
              </w:rPr>
              <w:t>Ca</w:t>
            </w:r>
          </w:p>
        </w:tc>
        <w:tc>
          <w:tcPr>
            <w:tcW w:w="947" w:type="dxa"/>
          </w:tcPr>
          <w:p w14:paraId="7195275B">
            <w:pPr>
              <w:pStyle w:val="16"/>
              <w:spacing w:before="31" w:after="31"/>
              <w:ind w:firstLine="0" w:firstLineChars="0"/>
              <w:jc w:val="left"/>
              <w:rPr>
                <w:szCs w:val="24"/>
              </w:rPr>
            </w:pPr>
            <w:r>
              <w:rPr>
                <w:szCs w:val="24"/>
              </w:rPr>
              <w:t>O</w:t>
            </w:r>
          </w:p>
        </w:tc>
        <w:tc>
          <w:tcPr>
            <w:tcW w:w="947" w:type="dxa"/>
          </w:tcPr>
          <w:p w14:paraId="0213CE57">
            <w:pPr>
              <w:pStyle w:val="16"/>
              <w:spacing w:before="31" w:after="31"/>
              <w:ind w:firstLine="0" w:firstLineChars="0"/>
              <w:jc w:val="left"/>
              <w:rPr>
                <w:szCs w:val="24"/>
              </w:rPr>
            </w:pPr>
            <w:r>
              <w:rPr>
                <w:szCs w:val="24"/>
              </w:rPr>
              <w:t>Mn</w:t>
            </w:r>
          </w:p>
        </w:tc>
        <w:tc>
          <w:tcPr>
            <w:tcW w:w="947" w:type="dxa"/>
          </w:tcPr>
          <w:p w14:paraId="4CDF91E2">
            <w:pPr>
              <w:pStyle w:val="16"/>
              <w:spacing w:before="31" w:after="31"/>
              <w:ind w:firstLine="0" w:firstLineChars="0"/>
              <w:jc w:val="left"/>
              <w:rPr>
                <w:szCs w:val="24"/>
              </w:rPr>
            </w:pPr>
            <w:r>
              <w:rPr>
                <w:szCs w:val="24"/>
              </w:rPr>
              <w:t>Si</w:t>
            </w:r>
          </w:p>
        </w:tc>
        <w:tc>
          <w:tcPr>
            <w:tcW w:w="947" w:type="dxa"/>
          </w:tcPr>
          <w:p w14:paraId="37EC6060">
            <w:pPr>
              <w:pStyle w:val="16"/>
              <w:spacing w:before="31" w:after="31"/>
              <w:ind w:firstLine="0" w:firstLineChars="0"/>
              <w:jc w:val="left"/>
              <w:rPr>
                <w:szCs w:val="24"/>
              </w:rPr>
            </w:pPr>
            <w:r>
              <w:rPr>
                <w:szCs w:val="24"/>
              </w:rPr>
              <w:t>Fe</w:t>
            </w:r>
          </w:p>
        </w:tc>
        <w:tc>
          <w:tcPr>
            <w:tcW w:w="947" w:type="dxa"/>
          </w:tcPr>
          <w:p w14:paraId="023A021E">
            <w:pPr>
              <w:pStyle w:val="16"/>
              <w:spacing w:before="31" w:after="31"/>
              <w:ind w:firstLine="0" w:firstLineChars="0"/>
              <w:jc w:val="left"/>
              <w:rPr>
                <w:szCs w:val="24"/>
              </w:rPr>
            </w:pPr>
            <w:r>
              <w:rPr>
                <w:szCs w:val="24"/>
              </w:rPr>
              <w:t>S</w:t>
            </w:r>
          </w:p>
        </w:tc>
        <w:tc>
          <w:tcPr>
            <w:tcW w:w="947" w:type="dxa"/>
          </w:tcPr>
          <w:p w14:paraId="066FF811">
            <w:pPr>
              <w:pStyle w:val="16"/>
              <w:spacing w:before="31" w:after="31"/>
              <w:ind w:firstLine="0" w:firstLineChars="0"/>
              <w:jc w:val="left"/>
              <w:rPr>
                <w:szCs w:val="24"/>
              </w:rPr>
            </w:pPr>
            <w:r>
              <w:rPr>
                <w:szCs w:val="24"/>
              </w:rPr>
              <w:t>Cl</w:t>
            </w:r>
          </w:p>
        </w:tc>
      </w:tr>
      <w:tr w14:paraId="03DFD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73C0A22F">
            <w:pPr>
              <w:pStyle w:val="16"/>
              <w:spacing w:before="31" w:after="31"/>
              <w:ind w:firstLine="0" w:firstLineChars="0"/>
              <w:jc w:val="left"/>
              <w:rPr>
                <w:szCs w:val="24"/>
              </w:rPr>
            </w:pPr>
            <w:r>
              <w:rPr>
                <w:szCs w:val="24"/>
              </w:rPr>
              <w:t>Content</w:t>
            </w:r>
          </w:p>
        </w:tc>
        <w:tc>
          <w:tcPr>
            <w:tcW w:w="947" w:type="dxa"/>
          </w:tcPr>
          <w:p w14:paraId="401AD56E">
            <w:pPr>
              <w:pStyle w:val="16"/>
              <w:spacing w:before="31" w:after="31"/>
              <w:ind w:firstLine="0" w:firstLineChars="0"/>
              <w:jc w:val="left"/>
              <w:rPr>
                <w:szCs w:val="24"/>
              </w:rPr>
            </w:pPr>
            <w:r>
              <w:rPr>
                <w:szCs w:val="24"/>
              </w:rPr>
              <w:t>5.13</w:t>
            </w:r>
          </w:p>
        </w:tc>
        <w:tc>
          <w:tcPr>
            <w:tcW w:w="947" w:type="dxa"/>
          </w:tcPr>
          <w:p w14:paraId="607AB1DA">
            <w:pPr>
              <w:pStyle w:val="16"/>
              <w:spacing w:before="31" w:after="31"/>
              <w:ind w:firstLine="0" w:firstLineChars="0"/>
              <w:jc w:val="left"/>
              <w:rPr>
                <w:szCs w:val="24"/>
              </w:rPr>
            </w:pPr>
            <w:r>
              <w:rPr>
                <w:szCs w:val="24"/>
              </w:rPr>
              <w:t>0.47</w:t>
            </w:r>
          </w:p>
        </w:tc>
        <w:tc>
          <w:tcPr>
            <w:tcW w:w="947" w:type="dxa"/>
          </w:tcPr>
          <w:p w14:paraId="5E05F0AE">
            <w:pPr>
              <w:pStyle w:val="16"/>
              <w:spacing w:before="31" w:after="31"/>
              <w:ind w:firstLine="0" w:firstLineChars="0"/>
              <w:jc w:val="left"/>
              <w:rPr>
                <w:szCs w:val="24"/>
              </w:rPr>
            </w:pPr>
            <w:r>
              <w:rPr>
                <w:szCs w:val="24"/>
              </w:rPr>
              <w:t>14.79</w:t>
            </w:r>
          </w:p>
        </w:tc>
        <w:tc>
          <w:tcPr>
            <w:tcW w:w="947" w:type="dxa"/>
          </w:tcPr>
          <w:p w14:paraId="24EF200D">
            <w:pPr>
              <w:pStyle w:val="16"/>
              <w:spacing w:before="31" w:after="31"/>
              <w:ind w:firstLine="0" w:firstLineChars="0"/>
              <w:jc w:val="left"/>
              <w:rPr>
                <w:szCs w:val="24"/>
              </w:rPr>
            </w:pPr>
            <w:r>
              <w:rPr>
                <w:szCs w:val="24"/>
              </w:rPr>
              <w:t>0.96</w:t>
            </w:r>
          </w:p>
        </w:tc>
        <w:tc>
          <w:tcPr>
            <w:tcW w:w="947" w:type="dxa"/>
          </w:tcPr>
          <w:p w14:paraId="04AD483A">
            <w:pPr>
              <w:pStyle w:val="16"/>
              <w:spacing w:before="31" w:after="31"/>
              <w:ind w:firstLine="0" w:firstLineChars="0"/>
              <w:jc w:val="left"/>
              <w:rPr>
                <w:szCs w:val="24"/>
              </w:rPr>
            </w:pPr>
            <w:r>
              <w:rPr>
                <w:szCs w:val="24"/>
              </w:rPr>
              <w:t>0.39</w:t>
            </w:r>
          </w:p>
        </w:tc>
        <w:tc>
          <w:tcPr>
            <w:tcW w:w="947" w:type="dxa"/>
          </w:tcPr>
          <w:p w14:paraId="06B880B6">
            <w:pPr>
              <w:pStyle w:val="16"/>
              <w:spacing w:before="31" w:after="31"/>
              <w:ind w:firstLine="0" w:firstLineChars="0"/>
              <w:jc w:val="left"/>
              <w:rPr>
                <w:szCs w:val="24"/>
              </w:rPr>
            </w:pPr>
            <w:r>
              <w:rPr>
                <w:szCs w:val="24"/>
              </w:rPr>
              <w:t>77.16</w:t>
            </w:r>
          </w:p>
        </w:tc>
        <w:tc>
          <w:tcPr>
            <w:tcW w:w="947" w:type="dxa"/>
          </w:tcPr>
          <w:p w14:paraId="6F2E7CF6">
            <w:pPr>
              <w:pStyle w:val="16"/>
              <w:spacing w:before="31" w:after="31"/>
              <w:ind w:firstLine="0" w:firstLineChars="0"/>
              <w:jc w:val="left"/>
              <w:rPr>
                <w:szCs w:val="24"/>
              </w:rPr>
            </w:pPr>
            <w:r>
              <w:rPr>
                <w:szCs w:val="24"/>
              </w:rPr>
              <w:t>0.52</w:t>
            </w:r>
          </w:p>
        </w:tc>
        <w:tc>
          <w:tcPr>
            <w:tcW w:w="947" w:type="dxa"/>
          </w:tcPr>
          <w:p w14:paraId="657CE812">
            <w:pPr>
              <w:pStyle w:val="16"/>
              <w:spacing w:before="31" w:after="31"/>
              <w:ind w:firstLine="0" w:firstLineChars="0"/>
              <w:jc w:val="left"/>
              <w:rPr>
                <w:szCs w:val="24"/>
              </w:rPr>
            </w:pPr>
            <w:r>
              <w:rPr>
                <w:szCs w:val="24"/>
              </w:rPr>
              <w:t>0.59</w:t>
            </w:r>
          </w:p>
        </w:tc>
      </w:tr>
    </w:tbl>
    <w:p w14:paraId="2F63A508">
      <w:pPr>
        <w:pStyle w:val="16"/>
        <w:spacing w:before="31" w:after="31"/>
        <w:ind w:firstLine="0" w:firstLineChars="0"/>
        <w:jc w:val="left"/>
        <w:rPr>
          <w:rFonts w:hint="eastAsia"/>
          <w:szCs w:val="24"/>
        </w:rPr>
      </w:pPr>
    </w:p>
    <w:p w14:paraId="1CBEF3EF">
      <w:pPr>
        <w:pStyle w:val="16"/>
        <w:spacing w:before="31" w:after="31"/>
        <w:ind w:firstLine="0" w:firstLineChars="0"/>
        <w:jc w:val="left"/>
        <w:rPr>
          <w:szCs w:val="24"/>
        </w:rPr>
      </w:pPr>
      <w:r>
        <w:rPr>
          <w:szCs w:val="24"/>
        </w:rPr>
        <w:t>(6) Analysis of Failure Causes</w:t>
      </w:r>
    </w:p>
    <w:p w14:paraId="64A0CB00">
      <w:pPr>
        <w:pStyle w:val="16"/>
        <w:spacing w:before="31" w:after="31"/>
        <w:ind w:firstLine="480"/>
        <w:jc w:val="left"/>
        <w:rPr>
          <w:szCs w:val="24"/>
        </w:rPr>
      </w:pPr>
      <w:r>
        <w:rPr>
          <w:szCs w:val="24"/>
        </w:rPr>
        <w:t>(a) The chemical composition, metallographic structure, and mechanical properties of the material meet the relevant technical standards. The structure consists of tempered martensite and ferrite, but there is an obvious decarburized layer on the surface. The pumping rod also has relatively low impact energy and low toughness due to improper control of the quenching process, resulting in a significant amount of ferrite in the structure and a large transformation-induced stress, adversely affecting its fatigue resistance. Obvious fatigue marks were found on the pumping rod section, and fatigue fracture originated from the outer surface. Under tensile alternating loads, fatigue cracks rapidly expanded inward and outward when the remaining cross-section was insufficient to withstand the working load, resulting in fracture.</w:t>
      </w:r>
    </w:p>
    <w:p w14:paraId="07989B2A">
      <w:pPr>
        <w:pStyle w:val="16"/>
        <w:spacing w:before="31" w:after="31"/>
        <w:ind w:firstLine="480"/>
        <w:jc w:val="left"/>
        <w:rPr>
          <w:szCs w:val="24"/>
        </w:rPr>
      </w:pPr>
      <w:r>
        <w:rPr>
          <w:szCs w:val="24"/>
        </w:rPr>
        <w:t>(b) During drilling, as the depth increased, the concentricity between the drill bit and the inlet deteriorated, and the wellbore trajectory appeared as a curved and twisted line when viewed longitudinally. The well trajectories were generally complex, with multiple doglegs, leading to common occurrences of pipe deviation wear. The variable-speed movement and alternating load-bearing of the pumping rod column caused column vibration and liquid impact vibration, shifting the neutral point upward, increasing the range and degree of wear deviation, and the probability of rod breakage. Furthermore, with the increase in pump diameter, the reduction of pump diameter clearance, and the increase in liquid viscosity, the bending load at the bottom of the pumping rod also increased. Due to compression of the pumping rod below the neutral point, when the bending load exceeded the critical load of the pumping rod, it inevitably led to bending deformation of the pumping rod, causing wear deviation.</w:t>
      </w:r>
    </w:p>
    <w:p w14:paraId="7C4C97DA">
      <w:pPr>
        <w:pStyle w:val="16"/>
        <w:spacing w:before="31" w:after="31"/>
        <w:ind w:firstLine="480"/>
        <w:jc w:val="left"/>
        <w:rPr>
          <w:szCs w:val="24"/>
        </w:rPr>
      </w:pPr>
      <w:r>
        <w:rPr>
          <w:szCs w:val="24"/>
        </w:rPr>
        <w:t>(c) The major elements in the corrosion products are C, O, Fe, S, and Cl. Due to the high content of sulfides and sulfate-reducing bacteria in the formation water of the oil well, with a sulfate-reducing bacteria count reaching 10^3 /L and sulfide content reaching 10 mg/L, the total iron content also reaches 3 mg/L. Consequently, the corrosiveness of the produced fluid is extremely strong, and H2S is present in the associated gas. Under suitable external conditions, sulfate-reducing bacteria proliferate in certain areas, reducing some sulfate in the water to H2S. This, in conjunction with Fe2+, forms stable black FeS, causing corrosion on the surface of the pumping rod. Additionally, the formation water in this oil field has a nature of heavy sodium carbonate, with a total mineralization reaching 10,845 mg/L and chloride ion content reaching 4,829 mg/L. High mineralization easily leads to scaling on the surface of the pumping rod, increasing both corrosion and load on the rod. Since ions have strong activity, they tend to adsorb onto the metal surface and penetrate the metal surface, forming active points. Under the action of mixed oil and water flow, the metal surface is locally damaged and undergoes anodic dissolution, resulting in the formation of corrosion pits. The corrosiveness of well water also increases with the increase in chloride ion concentration, making it difficult for corrosion inhibitors to achieve protective purposes for pumping rods in high-concentration chloride ion well fluids. When the rod is deformed under load, the presence of chloride ions also accelerates the fracture of the rod. In the case of pipe string deviation grinding, when the oxide layer on the surface of the rod is shed, the activated metal surface quickly undergoes corrosion in the corrosive liquid. Additionally, due to the continuous movement of the pumping rod, the corrosion products formed on the surface are washed away. Under the combined action of deviation grinding and corrosion, rod fracture quickly occurs.</w:t>
      </w:r>
    </w:p>
    <w:p w14:paraId="0B295178">
      <w:pPr>
        <w:pStyle w:val="16"/>
        <w:spacing w:before="31" w:after="31"/>
        <w:ind w:firstLine="480"/>
        <w:jc w:val="left"/>
        <w:rPr>
          <w:szCs w:val="24"/>
        </w:rPr>
      </w:pPr>
      <w:r>
        <w:rPr>
          <w:szCs w:val="24"/>
        </w:rPr>
        <w:t>(d) Corrosion and deviation grinding coexist and interact. Deviation grinding destroys the oxide layer on the surface of the pumping rod, providing favorable conditions for corrosion, and corrosion on the rod surface further exacerbates the degree of deviation grinding. Whether it is corrosion, deviation grinding, rod damage, aging, scaling, or pump sticking, these factors all lead to loads exceeding the tensile strength of the rod. Abrasion causes changes in the rod diameter, reducing tensile strength, and deviation grinding also increases friction, thereby increasing the load on the pumping rod, leading to rod fracture.</w:t>
      </w:r>
    </w:p>
    <w:p w14:paraId="5EBC684B">
      <w:pPr>
        <w:pStyle w:val="16"/>
        <w:spacing w:before="31" w:after="31"/>
        <w:ind w:firstLine="0" w:firstLineChars="0"/>
        <w:rPr>
          <w:szCs w:val="24"/>
        </w:rPr>
      </w:pPr>
      <w:r>
        <w:rPr>
          <w:szCs w:val="24"/>
        </w:rPr>
        <w:t>(7) Impact and Harm Caused</w:t>
      </w:r>
    </w:p>
    <w:p w14:paraId="7CF9F2DD">
      <w:pPr>
        <w:pStyle w:val="16"/>
        <w:spacing w:before="31" w:after="31"/>
        <w:ind w:firstLine="420" w:firstLineChars="0"/>
        <w:rPr>
          <w:szCs w:val="24"/>
        </w:rPr>
      </w:pPr>
      <w:r>
        <w:rPr>
          <w:szCs w:val="24"/>
        </w:rPr>
        <w:t>Null</w:t>
      </w:r>
    </w:p>
    <w:p w14:paraId="356CDBB9">
      <w:pPr>
        <w:pStyle w:val="16"/>
        <w:spacing w:before="31" w:after="31"/>
        <w:ind w:firstLine="0" w:firstLineChars="0"/>
        <w:jc w:val="left"/>
        <w:rPr>
          <w:szCs w:val="24"/>
        </w:rPr>
      </w:pPr>
      <w:r>
        <w:rPr>
          <w:szCs w:val="24"/>
        </w:rPr>
        <w:t>(8) Conclusion and Improvement Measures</w:t>
      </w:r>
    </w:p>
    <w:p w14:paraId="2C3610BD">
      <w:pPr>
        <w:pStyle w:val="16"/>
        <w:spacing w:before="31" w:after="31"/>
        <w:ind w:firstLine="480"/>
        <w:jc w:val="left"/>
        <w:rPr>
          <w:szCs w:val="24"/>
        </w:rPr>
      </w:pPr>
      <w:r>
        <w:rPr>
          <w:szCs w:val="24"/>
        </w:rPr>
        <w:t>(a) The chemical composition, metallographic structure, and mechanical properties of the pumping rod material all meet the relevant technical standards of SY/T5029-2003.</w:t>
      </w:r>
    </w:p>
    <w:p w14:paraId="312CF5E8">
      <w:pPr>
        <w:pStyle w:val="16"/>
        <w:spacing w:before="31" w:after="31"/>
        <w:ind w:firstLine="480"/>
        <w:jc w:val="left"/>
        <w:rPr>
          <w:szCs w:val="24"/>
        </w:rPr>
      </w:pPr>
      <w:r>
        <w:rPr>
          <w:szCs w:val="24"/>
        </w:rPr>
        <w:t>(b) Due to improper heat treatment processes, the pumping rod has a decarburization layer in the structure, and the toughness of the rod is low. Under the combined action of alternating loads, deviation grinding, and corrosion, corrosion fatigue fracture occurs.</w:t>
      </w:r>
    </w:p>
    <w:p w14:paraId="5EA4428D">
      <w:pPr>
        <w:pStyle w:val="16"/>
        <w:spacing w:before="31" w:after="31"/>
        <w:ind w:firstLine="480"/>
        <w:jc w:val="left"/>
        <w:rPr>
          <w:szCs w:val="24"/>
        </w:rPr>
      </w:pPr>
      <w:r>
        <w:rPr>
          <w:szCs w:val="24"/>
        </w:rPr>
        <w:t>(c) The main factors causing corrosion are H2S formed by sulfides and sulfate-reducing bacteria and corrosion formed by the joint presence of high-chloride ions.</w:t>
      </w:r>
    </w:p>
    <w:p w14:paraId="257B43E8">
      <w:pPr>
        <w:pStyle w:val="16"/>
        <w:spacing w:before="31" w:after="31"/>
        <w:ind w:firstLine="482"/>
        <w:jc w:val="left"/>
        <w:rPr>
          <w:szCs w:val="24"/>
        </w:rPr>
      </w:pPr>
      <w:r>
        <w:rPr>
          <w:b/>
          <w:bCs/>
          <w:szCs w:val="24"/>
        </w:rPr>
        <w:t>5.2.12 Case 5-12: Longitudinal Cracking Failure of Ф139.7mm Drill Pipe Inner Threaded Joint</w:t>
      </w:r>
    </w:p>
    <w:p w14:paraId="04E8EE4F">
      <w:pPr>
        <w:pStyle w:val="16"/>
        <w:spacing w:before="31" w:after="31"/>
        <w:ind w:firstLine="0" w:firstLineChars="0"/>
        <w:jc w:val="left"/>
        <w:rPr>
          <w:szCs w:val="24"/>
        </w:rPr>
      </w:pPr>
      <w:r>
        <w:rPr>
          <w:szCs w:val="24"/>
        </w:rPr>
        <w:t>(1) Case Name</w:t>
      </w:r>
    </w:p>
    <w:p w14:paraId="770AFAB4">
      <w:pPr>
        <w:pStyle w:val="16"/>
        <w:spacing w:before="31" w:after="31"/>
        <w:ind w:firstLine="480"/>
        <w:jc w:val="left"/>
        <w:rPr>
          <w:szCs w:val="24"/>
        </w:rPr>
      </w:pPr>
      <w:r>
        <w:rPr>
          <w:szCs w:val="24"/>
        </w:rPr>
        <w:t>Longitudinal cracking failure of Ф139.7mm drill pipe inner threaded joint [14].</w:t>
      </w:r>
    </w:p>
    <w:p w14:paraId="7B40B975">
      <w:pPr>
        <w:pStyle w:val="16"/>
        <w:spacing w:before="31" w:after="31"/>
        <w:ind w:firstLine="0" w:firstLineChars="0"/>
        <w:jc w:val="left"/>
        <w:rPr>
          <w:szCs w:val="24"/>
        </w:rPr>
      </w:pPr>
      <w:r>
        <w:rPr>
          <w:szCs w:val="24"/>
        </w:rPr>
        <w:t>(2) Failure Process Description</w:t>
      </w:r>
    </w:p>
    <w:p w14:paraId="7D17B742">
      <w:pPr>
        <w:pStyle w:val="16"/>
        <w:spacing w:before="31" w:after="31"/>
        <w:ind w:firstLine="480"/>
        <w:jc w:val="left"/>
        <w:rPr>
          <w:szCs w:val="24"/>
        </w:rPr>
      </w:pPr>
      <w:r>
        <w:rPr>
          <w:szCs w:val="24"/>
        </w:rPr>
        <w:t>In 2009, during the drilling process of a natural gas well in Xinjiang, China, multiple rare cases of longitudinal cracking failures occurred in the Ф139.7mm drill pipe inner threaded joints, severely impacting the normal drilling progress.</w:t>
      </w:r>
    </w:p>
    <w:p w14:paraId="11DE65A0">
      <w:pPr>
        <w:pStyle w:val="16"/>
        <w:spacing w:before="31" w:after="31"/>
        <w:ind w:firstLine="0" w:firstLineChars="0"/>
        <w:jc w:val="left"/>
        <w:rPr>
          <w:szCs w:val="24"/>
        </w:rPr>
      </w:pPr>
      <w:r>
        <w:rPr>
          <w:szCs w:val="24"/>
        </w:rPr>
        <w:t>(3) Service Environment</w:t>
      </w:r>
    </w:p>
    <w:p w14:paraId="1BED6E57">
      <w:pPr>
        <w:pStyle w:val="16"/>
        <w:spacing w:before="31" w:after="31"/>
        <w:ind w:firstLine="480"/>
        <w:jc w:val="left"/>
        <w:rPr>
          <w:szCs w:val="24"/>
        </w:rPr>
      </w:pPr>
      <w:r>
        <w:rPr>
          <w:szCs w:val="24"/>
        </w:rPr>
        <w:t>The well where the failure occurred was designed as a development well with vertical and horizontal sections. According to geological data, the drillability of the formation from 4647.5m to 4902m was poor. The drilling parameters for the maximum well deviation of 0.76°/2756m were: drilling pressure 20-200kN, pump pressure 10-23MPa, pump displacement 30-65L/s, and mud density 1.12-1.85g/cm3.</w:t>
      </w:r>
    </w:p>
    <w:p w14:paraId="7EAEB075">
      <w:pPr>
        <w:pStyle w:val="16"/>
        <w:spacing w:before="31" w:after="31"/>
        <w:ind w:firstLine="0" w:firstLineChars="0"/>
        <w:jc w:val="left"/>
        <w:rPr>
          <w:szCs w:val="24"/>
        </w:rPr>
      </w:pPr>
      <w:r>
        <w:rPr>
          <w:szCs w:val="24"/>
        </w:rPr>
        <w:t>(4) Failed Components and Materials</w:t>
      </w:r>
    </w:p>
    <w:p w14:paraId="0EB462D5">
      <w:pPr>
        <w:pStyle w:val="16"/>
        <w:spacing w:before="31" w:after="31"/>
        <w:ind w:firstLine="480"/>
        <w:jc w:val="left"/>
        <w:rPr>
          <w:szCs w:val="24"/>
        </w:rPr>
      </w:pPr>
      <w:r>
        <w:rPr>
          <w:szCs w:val="24"/>
        </w:rPr>
        <w:t>The macroscopic appearance of the failed drill pipe joint is shown in Figure 5-12.1, with an outer diameter of Ф183.80mm. Chemical composition analysis of the failed drill pipe indicated sulfur (S) and phosphorus (P) contents of 0.0031% and 0.0077%, respectively, meeting the requirements of the SY/T6288-2007 standard.</w:t>
      </w:r>
    </w:p>
    <w:p w14:paraId="6E620BC8">
      <w:pPr>
        <w:pStyle w:val="16"/>
        <w:spacing w:before="31" w:after="31"/>
        <w:ind w:firstLine="482"/>
        <w:jc w:val="center"/>
        <w:rPr>
          <w:b/>
          <w:bCs/>
          <w:szCs w:val="24"/>
        </w:rPr>
      </w:pPr>
      <w:r>
        <w:rPr>
          <w:b/>
          <w:bCs/>
          <w:szCs w:val="24"/>
        </w:rPr>
        <w:t>Figure 5-12.1 Macroscopic appearance of the drill pipe inner threaded joint</w:t>
      </w:r>
    </w:p>
    <w:p w14:paraId="426AEDD1">
      <w:pPr>
        <w:pStyle w:val="16"/>
        <w:spacing w:before="31" w:after="31"/>
        <w:ind w:firstLine="480"/>
        <w:jc w:val="left"/>
        <w:rPr>
          <w:szCs w:val="24"/>
        </w:rPr>
      </w:pPr>
    </w:p>
    <w:p w14:paraId="1B325600">
      <w:pPr>
        <w:pStyle w:val="16"/>
        <w:spacing w:before="31" w:after="31"/>
        <w:ind w:firstLine="480"/>
        <w:jc w:val="left"/>
        <w:rPr>
          <w:szCs w:val="24"/>
        </w:rPr>
      </w:pPr>
      <w:r>
        <w:rPr>
          <w:szCs w:val="24"/>
        </w:rPr>
        <w:t>Mechanical properties of the drill pipe joint are presented in Tables 5-24 and 5-25. The results indicate that the tensile performance, hardness, and impact energy of the failed drill pipe joint meet the requirements of the SY/T6288-2007 standard, with the transverse impact energy at -20°C reaching the A-level recommended by the standard.</w:t>
      </w:r>
    </w:p>
    <w:p w14:paraId="751A0721">
      <w:pPr>
        <w:pStyle w:val="16"/>
        <w:spacing w:before="31" w:after="31"/>
        <w:ind w:firstLine="480"/>
        <w:jc w:val="left"/>
        <w:rPr>
          <w:szCs w:val="24"/>
        </w:rPr>
      </w:pPr>
    </w:p>
    <w:p w14:paraId="0290619F">
      <w:pPr>
        <w:pStyle w:val="16"/>
        <w:spacing w:before="31" w:after="31"/>
        <w:ind w:firstLine="482"/>
        <w:jc w:val="center"/>
        <w:rPr>
          <w:b/>
          <w:bCs/>
          <w:szCs w:val="24"/>
        </w:rPr>
      </w:pPr>
      <w:r>
        <w:rPr>
          <w:b/>
          <w:bCs/>
          <w:szCs w:val="24"/>
        </w:rPr>
        <w:t>Table 5-24 Tensile performance of the drill pipe joint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683"/>
        <w:gridCol w:w="1684"/>
        <w:gridCol w:w="1685"/>
        <w:gridCol w:w="1694"/>
      </w:tblGrid>
      <w:tr w14:paraId="09068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E638AE3">
            <w:pPr>
              <w:pStyle w:val="16"/>
              <w:spacing w:before="31" w:after="31"/>
              <w:ind w:firstLine="0" w:firstLineChars="0"/>
              <w:jc w:val="left"/>
              <w:rPr>
                <w:szCs w:val="24"/>
              </w:rPr>
            </w:pPr>
            <w:r>
              <w:rPr>
                <w:szCs w:val="24"/>
              </w:rPr>
              <w:t>Test Value</w:t>
            </w:r>
          </w:p>
        </w:tc>
        <w:tc>
          <w:tcPr>
            <w:tcW w:w="1704" w:type="dxa"/>
          </w:tcPr>
          <w:p w14:paraId="6BD3E960">
            <w:pPr>
              <w:pStyle w:val="16"/>
              <w:spacing w:before="31" w:after="31"/>
              <w:ind w:firstLine="0" w:firstLineChars="0"/>
              <w:jc w:val="left"/>
              <w:rPr>
                <w:szCs w:val="24"/>
              </w:rPr>
            </w:pPr>
            <w:r>
              <w:rPr>
                <w:szCs w:val="24"/>
              </w:rPr>
              <w:t>Yield Strength/Mpa</w:t>
            </w:r>
          </w:p>
        </w:tc>
        <w:tc>
          <w:tcPr>
            <w:tcW w:w="1704" w:type="dxa"/>
          </w:tcPr>
          <w:p w14:paraId="3BACE995">
            <w:pPr>
              <w:pStyle w:val="16"/>
              <w:spacing w:before="31" w:after="31"/>
              <w:ind w:firstLine="0" w:firstLineChars="0"/>
              <w:jc w:val="left"/>
              <w:rPr>
                <w:szCs w:val="24"/>
              </w:rPr>
            </w:pPr>
            <w:r>
              <w:rPr>
                <w:szCs w:val="24"/>
              </w:rPr>
              <w:t>Tensile Strength/Mpa</w:t>
            </w:r>
          </w:p>
        </w:tc>
        <w:tc>
          <w:tcPr>
            <w:tcW w:w="1705" w:type="dxa"/>
          </w:tcPr>
          <w:p w14:paraId="7389CD92">
            <w:pPr>
              <w:pStyle w:val="16"/>
              <w:spacing w:before="31" w:after="31"/>
              <w:ind w:firstLine="0" w:firstLineChars="0"/>
              <w:jc w:val="left"/>
              <w:rPr>
                <w:szCs w:val="24"/>
              </w:rPr>
            </w:pPr>
            <w:r>
              <w:rPr>
                <w:szCs w:val="24"/>
              </w:rPr>
              <w:t>Elongation/%</w:t>
            </w:r>
          </w:p>
        </w:tc>
        <w:tc>
          <w:tcPr>
            <w:tcW w:w="1705" w:type="dxa"/>
          </w:tcPr>
          <w:p w14:paraId="08A04F15">
            <w:pPr>
              <w:pStyle w:val="16"/>
              <w:spacing w:before="31" w:after="31"/>
              <w:ind w:firstLine="0" w:firstLineChars="0"/>
              <w:jc w:val="left"/>
              <w:rPr>
                <w:szCs w:val="24"/>
              </w:rPr>
            </w:pPr>
            <w:r>
              <w:rPr>
                <w:szCs w:val="24"/>
              </w:rPr>
              <w:t>Contraction/%</w:t>
            </w:r>
          </w:p>
        </w:tc>
      </w:tr>
      <w:tr w14:paraId="616D0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9A74B96">
            <w:pPr>
              <w:pStyle w:val="16"/>
              <w:spacing w:before="31" w:after="31"/>
              <w:ind w:firstLine="0" w:firstLineChars="0"/>
              <w:jc w:val="left"/>
              <w:rPr>
                <w:szCs w:val="24"/>
              </w:rPr>
            </w:pPr>
            <w:r>
              <w:rPr>
                <w:szCs w:val="24"/>
              </w:rPr>
              <w:t>Single Value</w:t>
            </w:r>
          </w:p>
        </w:tc>
        <w:tc>
          <w:tcPr>
            <w:tcW w:w="1704" w:type="dxa"/>
          </w:tcPr>
          <w:p w14:paraId="020B9462">
            <w:pPr>
              <w:pStyle w:val="16"/>
              <w:spacing w:before="31" w:after="31"/>
              <w:ind w:firstLine="0" w:firstLineChars="0"/>
              <w:jc w:val="left"/>
              <w:rPr>
                <w:szCs w:val="24"/>
              </w:rPr>
            </w:pPr>
            <w:r>
              <w:rPr>
                <w:szCs w:val="24"/>
              </w:rPr>
              <w:t>1050</w:t>
            </w:r>
          </w:p>
        </w:tc>
        <w:tc>
          <w:tcPr>
            <w:tcW w:w="1704" w:type="dxa"/>
          </w:tcPr>
          <w:p w14:paraId="114833BE">
            <w:pPr>
              <w:pStyle w:val="16"/>
              <w:spacing w:before="31" w:after="31"/>
              <w:ind w:firstLine="0" w:firstLineChars="0"/>
              <w:jc w:val="left"/>
              <w:rPr>
                <w:szCs w:val="24"/>
              </w:rPr>
            </w:pPr>
            <w:r>
              <w:rPr>
                <w:szCs w:val="24"/>
              </w:rPr>
              <w:t>1120</w:t>
            </w:r>
          </w:p>
        </w:tc>
        <w:tc>
          <w:tcPr>
            <w:tcW w:w="1705" w:type="dxa"/>
          </w:tcPr>
          <w:p w14:paraId="19F5C616">
            <w:pPr>
              <w:pStyle w:val="16"/>
              <w:spacing w:before="31" w:after="31"/>
              <w:ind w:firstLine="0" w:firstLineChars="0"/>
              <w:jc w:val="left"/>
              <w:rPr>
                <w:szCs w:val="24"/>
              </w:rPr>
            </w:pPr>
            <w:r>
              <w:rPr>
                <w:szCs w:val="24"/>
              </w:rPr>
              <w:t>19.5</w:t>
            </w:r>
          </w:p>
        </w:tc>
        <w:tc>
          <w:tcPr>
            <w:tcW w:w="1705" w:type="dxa"/>
          </w:tcPr>
          <w:p w14:paraId="04BCFE1B">
            <w:pPr>
              <w:pStyle w:val="16"/>
              <w:spacing w:before="31" w:after="31"/>
              <w:ind w:firstLine="0" w:firstLineChars="0"/>
              <w:jc w:val="left"/>
              <w:rPr>
                <w:szCs w:val="24"/>
              </w:rPr>
            </w:pPr>
            <w:r>
              <w:rPr>
                <w:szCs w:val="24"/>
              </w:rPr>
              <w:t>62.0</w:t>
            </w:r>
          </w:p>
        </w:tc>
      </w:tr>
      <w:tr w14:paraId="164FA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F146BD2">
            <w:pPr>
              <w:pStyle w:val="16"/>
              <w:spacing w:before="31" w:after="31"/>
              <w:ind w:firstLine="0" w:firstLineChars="0"/>
              <w:jc w:val="left"/>
              <w:rPr>
                <w:szCs w:val="24"/>
              </w:rPr>
            </w:pPr>
          </w:p>
        </w:tc>
        <w:tc>
          <w:tcPr>
            <w:tcW w:w="1704" w:type="dxa"/>
          </w:tcPr>
          <w:p w14:paraId="3D792BF5">
            <w:pPr>
              <w:pStyle w:val="16"/>
              <w:spacing w:before="31" w:after="31"/>
              <w:ind w:firstLine="0" w:firstLineChars="0"/>
              <w:jc w:val="left"/>
              <w:rPr>
                <w:szCs w:val="24"/>
              </w:rPr>
            </w:pPr>
            <w:r>
              <w:rPr>
                <w:szCs w:val="24"/>
              </w:rPr>
              <w:t>1050</w:t>
            </w:r>
          </w:p>
        </w:tc>
        <w:tc>
          <w:tcPr>
            <w:tcW w:w="1704" w:type="dxa"/>
          </w:tcPr>
          <w:p w14:paraId="6C983995">
            <w:pPr>
              <w:pStyle w:val="16"/>
              <w:spacing w:before="31" w:after="31"/>
              <w:ind w:firstLine="0" w:firstLineChars="0"/>
              <w:jc w:val="left"/>
              <w:rPr>
                <w:szCs w:val="24"/>
              </w:rPr>
            </w:pPr>
            <w:r>
              <w:rPr>
                <w:szCs w:val="24"/>
              </w:rPr>
              <w:t>1120</w:t>
            </w:r>
          </w:p>
        </w:tc>
        <w:tc>
          <w:tcPr>
            <w:tcW w:w="1705" w:type="dxa"/>
          </w:tcPr>
          <w:p w14:paraId="26E5F255">
            <w:pPr>
              <w:pStyle w:val="16"/>
              <w:spacing w:before="31" w:after="31"/>
              <w:ind w:firstLine="0" w:firstLineChars="0"/>
              <w:jc w:val="left"/>
              <w:rPr>
                <w:szCs w:val="24"/>
              </w:rPr>
            </w:pPr>
            <w:r>
              <w:rPr>
                <w:szCs w:val="24"/>
              </w:rPr>
              <w:t>18.0</w:t>
            </w:r>
          </w:p>
        </w:tc>
        <w:tc>
          <w:tcPr>
            <w:tcW w:w="1705" w:type="dxa"/>
          </w:tcPr>
          <w:p w14:paraId="5E8E5B41">
            <w:pPr>
              <w:pStyle w:val="16"/>
              <w:spacing w:before="31" w:after="31"/>
              <w:ind w:firstLine="0" w:firstLineChars="0"/>
              <w:jc w:val="left"/>
              <w:rPr>
                <w:szCs w:val="24"/>
              </w:rPr>
            </w:pPr>
            <w:r>
              <w:rPr>
                <w:szCs w:val="24"/>
              </w:rPr>
              <w:t>62.0</w:t>
            </w:r>
          </w:p>
        </w:tc>
      </w:tr>
      <w:tr w14:paraId="4EBBC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880A404">
            <w:pPr>
              <w:pStyle w:val="16"/>
              <w:spacing w:before="31" w:after="31"/>
              <w:ind w:firstLine="0" w:firstLineChars="0"/>
              <w:jc w:val="left"/>
              <w:rPr>
                <w:szCs w:val="24"/>
              </w:rPr>
            </w:pPr>
          </w:p>
        </w:tc>
        <w:tc>
          <w:tcPr>
            <w:tcW w:w="1704" w:type="dxa"/>
          </w:tcPr>
          <w:p w14:paraId="4A20D9CF">
            <w:pPr>
              <w:pStyle w:val="16"/>
              <w:spacing w:before="31" w:after="31"/>
              <w:ind w:firstLine="0" w:firstLineChars="0"/>
              <w:jc w:val="left"/>
              <w:rPr>
                <w:szCs w:val="24"/>
              </w:rPr>
            </w:pPr>
            <w:r>
              <w:rPr>
                <w:szCs w:val="24"/>
              </w:rPr>
              <w:t>1030</w:t>
            </w:r>
          </w:p>
        </w:tc>
        <w:tc>
          <w:tcPr>
            <w:tcW w:w="1704" w:type="dxa"/>
          </w:tcPr>
          <w:p w14:paraId="6950C86B">
            <w:pPr>
              <w:pStyle w:val="16"/>
              <w:spacing w:before="31" w:after="31"/>
              <w:ind w:firstLine="0" w:firstLineChars="0"/>
              <w:jc w:val="left"/>
              <w:rPr>
                <w:szCs w:val="24"/>
              </w:rPr>
            </w:pPr>
            <w:r>
              <w:rPr>
                <w:szCs w:val="24"/>
              </w:rPr>
              <w:t>1100</w:t>
            </w:r>
          </w:p>
        </w:tc>
        <w:tc>
          <w:tcPr>
            <w:tcW w:w="1705" w:type="dxa"/>
          </w:tcPr>
          <w:p w14:paraId="5B259220">
            <w:pPr>
              <w:pStyle w:val="16"/>
              <w:spacing w:before="31" w:after="31"/>
              <w:ind w:firstLine="0" w:firstLineChars="0"/>
              <w:jc w:val="left"/>
              <w:rPr>
                <w:szCs w:val="24"/>
              </w:rPr>
            </w:pPr>
            <w:r>
              <w:rPr>
                <w:szCs w:val="24"/>
              </w:rPr>
              <w:t>18.5</w:t>
            </w:r>
          </w:p>
        </w:tc>
        <w:tc>
          <w:tcPr>
            <w:tcW w:w="1705" w:type="dxa"/>
          </w:tcPr>
          <w:p w14:paraId="4B63CCFC">
            <w:pPr>
              <w:pStyle w:val="16"/>
              <w:spacing w:before="31" w:after="31"/>
              <w:ind w:firstLine="0" w:firstLineChars="0"/>
              <w:jc w:val="left"/>
              <w:rPr>
                <w:szCs w:val="24"/>
              </w:rPr>
            </w:pPr>
            <w:r>
              <w:rPr>
                <w:szCs w:val="24"/>
              </w:rPr>
              <w:t>63.0</w:t>
            </w:r>
          </w:p>
        </w:tc>
      </w:tr>
      <w:tr w14:paraId="0B29D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4CC253B">
            <w:pPr>
              <w:pStyle w:val="16"/>
              <w:spacing w:before="31" w:after="31"/>
              <w:ind w:firstLine="0" w:firstLineChars="0"/>
              <w:jc w:val="left"/>
              <w:rPr>
                <w:szCs w:val="24"/>
              </w:rPr>
            </w:pPr>
            <w:r>
              <w:rPr>
                <w:szCs w:val="24"/>
              </w:rPr>
              <w:t>Average Value</w:t>
            </w:r>
          </w:p>
        </w:tc>
        <w:tc>
          <w:tcPr>
            <w:tcW w:w="1704" w:type="dxa"/>
          </w:tcPr>
          <w:p w14:paraId="76BD10D0">
            <w:pPr>
              <w:pStyle w:val="16"/>
              <w:spacing w:before="31" w:after="31"/>
              <w:ind w:firstLine="0" w:firstLineChars="0"/>
              <w:jc w:val="left"/>
              <w:rPr>
                <w:szCs w:val="24"/>
              </w:rPr>
            </w:pPr>
            <w:r>
              <w:rPr>
                <w:szCs w:val="24"/>
              </w:rPr>
              <w:t>1043</w:t>
            </w:r>
          </w:p>
        </w:tc>
        <w:tc>
          <w:tcPr>
            <w:tcW w:w="1704" w:type="dxa"/>
          </w:tcPr>
          <w:p w14:paraId="4E3AE73C">
            <w:pPr>
              <w:pStyle w:val="16"/>
              <w:spacing w:before="31" w:after="31"/>
              <w:ind w:firstLine="0" w:firstLineChars="0"/>
              <w:jc w:val="left"/>
              <w:rPr>
                <w:szCs w:val="24"/>
              </w:rPr>
            </w:pPr>
            <w:r>
              <w:rPr>
                <w:szCs w:val="24"/>
              </w:rPr>
              <w:t>1113</w:t>
            </w:r>
          </w:p>
        </w:tc>
        <w:tc>
          <w:tcPr>
            <w:tcW w:w="1705" w:type="dxa"/>
          </w:tcPr>
          <w:p w14:paraId="44C5C363">
            <w:pPr>
              <w:pStyle w:val="16"/>
              <w:spacing w:before="31" w:after="31"/>
              <w:ind w:firstLine="0" w:firstLineChars="0"/>
              <w:jc w:val="left"/>
              <w:rPr>
                <w:szCs w:val="24"/>
              </w:rPr>
            </w:pPr>
            <w:r>
              <w:rPr>
                <w:szCs w:val="24"/>
              </w:rPr>
              <w:t>18.5</w:t>
            </w:r>
          </w:p>
        </w:tc>
        <w:tc>
          <w:tcPr>
            <w:tcW w:w="1705" w:type="dxa"/>
          </w:tcPr>
          <w:p w14:paraId="71E57797">
            <w:pPr>
              <w:pStyle w:val="16"/>
              <w:spacing w:before="31" w:after="31"/>
              <w:ind w:firstLine="0" w:firstLineChars="0"/>
              <w:jc w:val="left"/>
              <w:rPr>
                <w:szCs w:val="24"/>
              </w:rPr>
            </w:pPr>
            <w:r>
              <w:rPr>
                <w:szCs w:val="24"/>
              </w:rPr>
              <w:t>62.0</w:t>
            </w:r>
          </w:p>
        </w:tc>
      </w:tr>
      <w:tr w14:paraId="2E55F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F6D82E2">
            <w:pPr>
              <w:pStyle w:val="16"/>
              <w:spacing w:before="31" w:after="31"/>
              <w:ind w:firstLine="0" w:firstLineChars="0"/>
              <w:jc w:val="left"/>
              <w:rPr>
                <w:rFonts w:hint="eastAsia"/>
                <w:szCs w:val="24"/>
              </w:rPr>
            </w:pPr>
            <w:r>
              <w:rPr>
                <w:rFonts w:hint="eastAsia"/>
                <w:szCs w:val="24"/>
              </w:rPr>
              <w:t>SY/T6288-2007</w:t>
            </w:r>
          </w:p>
        </w:tc>
        <w:tc>
          <w:tcPr>
            <w:tcW w:w="1704" w:type="dxa"/>
          </w:tcPr>
          <w:p w14:paraId="07431456">
            <w:pPr>
              <w:pStyle w:val="16"/>
              <w:spacing w:before="31" w:after="31"/>
              <w:ind w:firstLine="0" w:firstLineChars="0"/>
              <w:jc w:val="left"/>
              <w:rPr>
                <w:rFonts w:hint="eastAsia"/>
                <w:szCs w:val="24"/>
              </w:rPr>
            </w:pPr>
            <w:r>
              <w:rPr>
                <w:rFonts w:hint="eastAsia"/>
                <w:szCs w:val="24"/>
              </w:rPr>
              <w:t>≥827</w:t>
            </w:r>
          </w:p>
        </w:tc>
        <w:tc>
          <w:tcPr>
            <w:tcW w:w="1704" w:type="dxa"/>
          </w:tcPr>
          <w:p w14:paraId="336FE0DD">
            <w:pPr>
              <w:pStyle w:val="16"/>
              <w:spacing w:before="31" w:after="31"/>
              <w:ind w:firstLine="0" w:firstLineChars="0"/>
              <w:jc w:val="left"/>
              <w:rPr>
                <w:rFonts w:hint="eastAsia"/>
                <w:szCs w:val="24"/>
              </w:rPr>
            </w:pPr>
            <w:r>
              <w:rPr>
                <w:rFonts w:hint="eastAsia"/>
                <w:szCs w:val="24"/>
              </w:rPr>
              <w:t>≥965</w:t>
            </w:r>
          </w:p>
        </w:tc>
        <w:tc>
          <w:tcPr>
            <w:tcW w:w="1705" w:type="dxa"/>
          </w:tcPr>
          <w:p w14:paraId="66124BE9">
            <w:pPr>
              <w:pStyle w:val="16"/>
              <w:spacing w:before="31" w:after="31"/>
              <w:ind w:firstLine="0" w:firstLineChars="0"/>
              <w:jc w:val="left"/>
              <w:rPr>
                <w:rFonts w:hint="eastAsia"/>
                <w:szCs w:val="24"/>
              </w:rPr>
            </w:pPr>
            <w:r>
              <w:rPr>
                <w:rFonts w:hint="eastAsia"/>
                <w:szCs w:val="24"/>
              </w:rPr>
              <w:t>≥13</w:t>
            </w:r>
          </w:p>
        </w:tc>
        <w:tc>
          <w:tcPr>
            <w:tcW w:w="1705" w:type="dxa"/>
          </w:tcPr>
          <w:p w14:paraId="66F70A60">
            <w:pPr>
              <w:pStyle w:val="16"/>
              <w:spacing w:before="31" w:after="31"/>
              <w:ind w:firstLine="0" w:firstLineChars="0"/>
              <w:jc w:val="left"/>
              <w:rPr>
                <w:rFonts w:hint="eastAsia"/>
                <w:szCs w:val="24"/>
              </w:rPr>
            </w:pPr>
            <w:r>
              <w:rPr>
                <w:rFonts w:hint="eastAsia"/>
                <w:szCs w:val="24"/>
              </w:rPr>
              <w:t>/</w:t>
            </w:r>
          </w:p>
        </w:tc>
      </w:tr>
    </w:tbl>
    <w:p w14:paraId="25FBDB88">
      <w:pPr>
        <w:pStyle w:val="16"/>
        <w:spacing w:before="31" w:after="31"/>
        <w:ind w:firstLine="480"/>
        <w:jc w:val="left"/>
        <w:rPr>
          <w:szCs w:val="24"/>
        </w:rPr>
      </w:pPr>
    </w:p>
    <w:p w14:paraId="4A21C5C0">
      <w:pPr>
        <w:pStyle w:val="16"/>
        <w:spacing w:before="31" w:after="31"/>
        <w:ind w:firstLine="482"/>
        <w:jc w:val="center"/>
        <w:rPr>
          <w:b/>
          <w:bCs/>
          <w:szCs w:val="24"/>
        </w:rPr>
      </w:pPr>
      <w:r>
        <w:rPr>
          <w:b/>
          <w:bCs/>
          <w:szCs w:val="24"/>
        </w:rPr>
        <w:t>Table 5-25 Impact energy and hardness of the drill pipe joint</w:t>
      </w:r>
    </w:p>
    <w:tbl>
      <w:tblPr>
        <w:tblStyle w:val="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1"/>
        <w:gridCol w:w="1474"/>
        <w:gridCol w:w="1122"/>
        <w:gridCol w:w="274"/>
        <w:gridCol w:w="1222"/>
        <w:gridCol w:w="1101"/>
        <w:gridCol w:w="1379"/>
      </w:tblGrid>
      <w:tr w14:paraId="2825B1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1" w:type="dxa"/>
            <w:vMerge w:val="restart"/>
            <w:tcBorders>
              <w:top w:val="single" w:color="auto" w:sz="12" w:space="0"/>
              <w:left w:val="nil"/>
              <w:bottom w:val="single" w:color="auto" w:sz="12" w:space="0"/>
              <w:right w:val="nil"/>
            </w:tcBorders>
            <w:vAlign w:val="center"/>
          </w:tcPr>
          <w:p w14:paraId="7B9C92B6">
            <w:pPr>
              <w:autoSpaceDE w:val="0"/>
              <w:autoSpaceDN w:val="0"/>
              <w:adjustRightInd w:val="0"/>
              <w:spacing w:line="312" w:lineRule="auto"/>
              <w:jc w:val="center"/>
              <w:rPr>
                <w:kern w:val="0"/>
                <w:szCs w:val="21"/>
              </w:rPr>
            </w:pPr>
            <w:r>
              <w:t>Item</w:t>
            </w:r>
          </w:p>
        </w:tc>
        <w:tc>
          <w:tcPr>
            <w:tcW w:w="2596" w:type="dxa"/>
            <w:gridSpan w:val="2"/>
            <w:tcBorders>
              <w:top w:val="single" w:color="auto" w:sz="12" w:space="0"/>
              <w:left w:val="nil"/>
              <w:bottom w:val="single" w:color="auto" w:sz="12" w:space="0"/>
              <w:right w:val="nil"/>
            </w:tcBorders>
            <w:vAlign w:val="center"/>
          </w:tcPr>
          <w:p w14:paraId="40B53EDD">
            <w:pPr>
              <w:autoSpaceDE w:val="0"/>
              <w:autoSpaceDN w:val="0"/>
              <w:adjustRightInd w:val="0"/>
              <w:spacing w:line="312" w:lineRule="auto"/>
              <w:jc w:val="center"/>
              <w:rPr>
                <w:kern w:val="0"/>
                <w:szCs w:val="21"/>
              </w:rPr>
            </w:pPr>
            <w:r>
              <w:t>Longitudinal Impact Energy/J</w:t>
            </w:r>
          </w:p>
        </w:tc>
        <w:tc>
          <w:tcPr>
            <w:tcW w:w="2597" w:type="dxa"/>
            <w:gridSpan w:val="3"/>
            <w:tcBorders>
              <w:top w:val="single" w:color="auto" w:sz="12" w:space="0"/>
              <w:left w:val="nil"/>
              <w:bottom w:val="single" w:color="auto" w:sz="12" w:space="0"/>
              <w:right w:val="nil"/>
            </w:tcBorders>
            <w:vAlign w:val="center"/>
          </w:tcPr>
          <w:p w14:paraId="043969BF">
            <w:pPr>
              <w:autoSpaceDE w:val="0"/>
              <w:autoSpaceDN w:val="0"/>
              <w:adjustRightInd w:val="0"/>
              <w:spacing w:line="312" w:lineRule="auto"/>
              <w:jc w:val="center"/>
              <w:rPr>
                <w:kern w:val="0"/>
                <w:szCs w:val="21"/>
              </w:rPr>
            </w:pPr>
            <w:r>
              <w:t>Transverse Impact Energy/J</w:t>
            </w:r>
          </w:p>
        </w:tc>
        <w:tc>
          <w:tcPr>
            <w:tcW w:w="1379" w:type="dxa"/>
            <w:vMerge w:val="restart"/>
            <w:tcBorders>
              <w:top w:val="single" w:color="auto" w:sz="12" w:space="0"/>
              <w:left w:val="nil"/>
              <w:bottom w:val="single" w:color="auto" w:sz="12" w:space="0"/>
              <w:right w:val="nil"/>
            </w:tcBorders>
            <w:vAlign w:val="center"/>
          </w:tcPr>
          <w:p w14:paraId="299A867A">
            <w:pPr>
              <w:autoSpaceDE w:val="0"/>
              <w:autoSpaceDN w:val="0"/>
              <w:adjustRightInd w:val="0"/>
              <w:spacing w:line="312" w:lineRule="auto"/>
              <w:jc w:val="center"/>
              <w:rPr>
                <w:kern w:val="0"/>
                <w:szCs w:val="21"/>
              </w:rPr>
            </w:pPr>
            <w:r>
              <w:t>Hardness/HB</w:t>
            </w:r>
          </w:p>
        </w:tc>
      </w:tr>
      <w:tr w14:paraId="5FC9B3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top w:val="single" w:color="auto" w:sz="12" w:space="0"/>
              <w:left w:val="nil"/>
              <w:bottom w:val="single" w:color="auto" w:sz="12" w:space="0"/>
              <w:right w:val="nil"/>
            </w:tcBorders>
            <w:vAlign w:val="center"/>
          </w:tcPr>
          <w:p w14:paraId="49207B13">
            <w:pPr>
              <w:widowControl/>
              <w:jc w:val="left"/>
              <w:rPr>
                <w:kern w:val="0"/>
                <w:szCs w:val="21"/>
              </w:rPr>
            </w:pPr>
          </w:p>
        </w:tc>
        <w:tc>
          <w:tcPr>
            <w:tcW w:w="1474" w:type="dxa"/>
            <w:tcBorders>
              <w:top w:val="single" w:color="auto" w:sz="12" w:space="0"/>
              <w:left w:val="nil"/>
              <w:bottom w:val="single" w:color="auto" w:sz="12" w:space="0"/>
              <w:right w:val="nil"/>
            </w:tcBorders>
            <w:vAlign w:val="center"/>
          </w:tcPr>
          <w:p w14:paraId="7E1E5274">
            <w:pPr>
              <w:autoSpaceDE w:val="0"/>
              <w:autoSpaceDN w:val="0"/>
              <w:adjustRightInd w:val="0"/>
              <w:spacing w:line="312" w:lineRule="auto"/>
              <w:jc w:val="center"/>
              <w:rPr>
                <w:kern w:val="0"/>
                <w:szCs w:val="21"/>
              </w:rPr>
            </w:pPr>
            <w:r>
              <w:rPr>
                <w:kern w:val="0"/>
                <w:szCs w:val="21"/>
              </w:rPr>
              <w:t>-20</w:t>
            </w:r>
            <w:r>
              <w:rPr>
                <w:rFonts w:hint="eastAsia" w:hAnsi="宋体"/>
                <w:szCs w:val="21"/>
              </w:rPr>
              <w:t>℃</w:t>
            </w:r>
          </w:p>
        </w:tc>
        <w:tc>
          <w:tcPr>
            <w:tcW w:w="1396" w:type="dxa"/>
            <w:gridSpan w:val="2"/>
            <w:tcBorders>
              <w:top w:val="single" w:color="auto" w:sz="12" w:space="0"/>
              <w:left w:val="nil"/>
              <w:bottom w:val="single" w:color="auto" w:sz="12" w:space="0"/>
              <w:right w:val="nil"/>
            </w:tcBorders>
            <w:vAlign w:val="center"/>
          </w:tcPr>
          <w:p w14:paraId="6C4E2213">
            <w:pPr>
              <w:autoSpaceDE w:val="0"/>
              <w:autoSpaceDN w:val="0"/>
              <w:adjustRightInd w:val="0"/>
              <w:spacing w:line="312" w:lineRule="auto"/>
              <w:jc w:val="center"/>
              <w:rPr>
                <w:kern w:val="0"/>
                <w:szCs w:val="21"/>
              </w:rPr>
            </w:pPr>
            <w:r>
              <w:rPr>
                <w:kern w:val="0"/>
                <w:szCs w:val="21"/>
              </w:rPr>
              <w:t>20</w:t>
            </w:r>
            <w:r>
              <w:rPr>
                <w:rFonts w:hint="eastAsia" w:hAnsi="宋体"/>
                <w:szCs w:val="21"/>
              </w:rPr>
              <w:t>℃</w:t>
            </w:r>
          </w:p>
        </w:tc>
        <w:tc>
          <w:tcPr>
            <w:tcW w:w="1222" w:type="dxa"/>
            <w:tcBorders>
              <w:top w:val="single" w:color="auto" w:sz="12" w:space="0"/>
              <w:left w:val="nil"/>
              <w:bottom w:val="single" w:color="auto" w:sz="12" w:space="0"/>
              <w:right w:val="nil"/>
            </w:tcBorders>
            <w:vAlign w:val="center"/>
          </w:tcPr>
          <w:p w14:paraId="0C7E2F83">
            <w:pPr>
              <w:autoSpaceDE w:val="0"/>
              <w:autoSpaceDN w:val="0"/>
              <w:adjustRightInd w:val="0"/>
              <w:spacing w:line="312" w:lineRule="auto"/>
              <w:jc w:val="center"/>
              <w:rPr>
                <w:kern w:val="0"/>
                <w:szCs w:val="21"/>
              </w:rPr>
            </w:pPr>
            <w:r>
              <w:rPr>
                <w:kern w:val="0"/>
                <w:szCs w:val="21"/>
              </w:rPr>
              <w:t>-20</w:t>
            </w:r>
            <w:r>
              <w:rPr>
                <w:rFonts w:hint="eastAsia" w:hAnsi="宋体"/>
                <w:szCs w:val="21"/>
              </w:rPr>
              <w:t>℃</w:t>
            </w:r>
          </w:p>
        </w:tc>
        <w:tc>
          <w:tcPr>
            <w:tcW w:w="1101" w:type="dxa"/>
            <w:tcBorders>
              <w:top w:val="single" w:color="auto" w:sz="12" w:space="0"/>
              <w:left w:val="nil"/>
              <w:bottom w:val="single" w:color="auto" w:sz="12" w:space="0"/>
              <w:right w:val="nil"/>
            </w:tcBorders>
            <w:vAlign w:val="center"/>
          </w:tcPr>
          <w:p w14:paraId="5FF16AC3">
            <w:pPr>
              <w:autoSpaceDE w:val="0"/>
              <w:autoSpaceDN w:val="0"/>
              <w:adjustRightInd w:val="0"/>
              <w:spacing w:line="312" w:lineRule="auto"/>
              <w:jc w:val="center"/>
              <w:rPr>
                <w:kern w:val="0"/>
                <w:szCs w:val="21"/>
              </w:rPr>
            </w:pPr>
            <w:r>
              <w:rPr>
                <w:kern w:val="0"/>
                <w:szCs w:val="21"/>
              </w:rPr>
              <w:t>20</w:t>
            </w:r>
            <w:r>
              <w:rPr>
                <w:rFonts w:hint="eastAsia" w:hAnsi="宋体"/>
                <w:szCs w:val="21"/>
              </w:rPr>
              <w:t>℃</w:t>
            </w:r>
          </w:p>
        </w:tc>
        <w:tc>
          <w:tcPr>
            <w:tcW w:w="0" w:type="auto"/>
            <w:vMerge w:val="continue"/>
            <w:tcBorders>
              <w:top w:val="single" w:color="auto" w:sz="12" w:space="0"/>
              <w:left w:val="nil"/>
              <w:bottom w:val="single" w:color="auto" w:sz="12" w:space="0"/>
              <w:right w:val="nil"/>
            </w:tcBorders>
            <w:vAlign w:val="center"/>
          </w:tcPr>
          <w:p w14:paraId="4B99A131">
            <w:pPr>
              <w:widowControl/>
              <w:jc w:val="left"/>
              <w:rPr>
                <w:kern w:val="0"/>
                <w:szCs w:val="21"/>
              </w:rPr>
            </w:pPr>
          </w:p>
        </w:tc>
      </w:tr>
      <w:tr w14:paraId="362BFE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1" w:type="dxa"/>
            <w:vMerge w:val="restart"/>
            <w:tcBorders>
              <w:top w:val="single" w:color="auto" w:sz="12" w:space="0"/>
              <w:left w:val="nil"/>
              <w:bottom w:val="nil"/>
              <w:right w:val="nil"/>
            </w:tcBorders>
            <w:vAlign w:val="center"/>
          </w:tcPr>
          <w:p w14:paraId="57EFD33B">
            <w:pPr>
              <w:autoSpaceDE w:val="0"/>
              <w:autoSpaceDN w:val="0"/>
              <w:adjustRightInd w:val="0"/>
              <w:spacing w:line="312" w:lineRule="auto"/>
              <w:jc w:val="center"/>
              <w:rPr>
                <w:kern w:val="0"/>
                <w:szCs w:val="21"/>
              </w:rPr>
            </w:pPr>
            <w:r>
              <w:t>Single Value</w:t>
            </w:r>
          </w:p>
        </w:tc>
        <w:tc>
          <w:tcPr>
            <w:tcW w:w="1474" w:type="dxa"/>
            <w:tcBorders>
              <w:top w:val="single" w:color="auto" w:sz="12" w:space="0"/>
              <w:left w:val="nil"/>
              <w:bottom w:val="nil"/>
              <w:right w:val="nil"/>
            </w:tcBorders>
            <w:vAlign w:val="center"/>
          </w:tcPr>
          <w:p w14:paraId="268764DD">
            <w:pPr>
              <w:autoSpaceDE w:val="0"/>
              <w:autoSpaceDN w:val="0"/>
              <w:adjustRightInd w:val="0"/>
              <w:spacing w:line="312" w:lineRule="auto"/>
              <w:jc w:val="center"/>
              <w:rPr>
                <w:kern w:val="0"/>
                <w:szCs w:val="21"/>
              </w:rPr>
            </w:pPr>
            <w:r>
              <w:rPr>
                <w:kern w:val="0"/>
                <w:szCs w:val="21"/>
              </w:rPr>
              <w:t>98.0</w:t>
            </w:r>
          </w:p>
        </w:tc>
        <w:tc>
          <w:tcPr>
            <w:tcW w:w="1396" w:type="dxa"/>
            <w:gridSpan w:val="2"/>
            <w:tcBorders>
              <w:top w:val="single" w:color="auto" w:sz="12" w:space="0"/>
              <w:left w:val="nil"/>
              <w:bottom w:val="nil"/>
              <w:right w:val="nil"/>
            </w:tcBorders>
            <w:vAlign w:val="center"/>
          </w:tcPr>
          <w:p w14:paraId="33353160">
            <w:pPr>
              <w:autoSpaceDE w:val="0"/>
              <w:autoSpaceDN w:val="0"/>
              <w:adjustRightInd w:val="0"/>
              <w:spacing w:line="312" w:lineRule="auto"/>
              <w:jc w:val="center"/>
              <w:rPr>
                <w:kern w:val="0"/>
                <w:szCs w:val="21"/>
              </w:rPr>
            </w:pPr>
            <w:r>
              <w:rPr>
                <w:kern w:val="0"/>
                <w:szCs w:val="21"/>
              </w:rPr>
              <w:t>125.0</w:t>
            </w:r>
          </w:p>
        </w:tc>
        <w:tc>
          <w:tcPr>
            <w:tcW w:w="1222" w:type="dxa"/>
            <w:tcBorders>
              <w:top w:val="single" w:color="auto" w:sz="12" w:space="0"/>
              <w:left w:val="nil"/>
              <w:bottom w:val="nil"/>
              <w:right w:val="nil"/>
            </w:tcBorders>
            <w:vAlign w:val="center"/>
          </w:tcPr>
          <w:p w14:paraId="1AB40778">
            <w:pPr>
              <w:autoSpaceDE w:val="0"/>
              <w:autoSpaceDN w:val="0"/>
              <w:adjustRightInd w:val="0"/>
              <w:spacing w:line="312" w:lineRule="auto"/>
              <w:jc w:val="center"/>
              <w:rPr>
                <w:kern w:val="0"/>
                <w:szCs w:val="21"/>
              </w:rPr>
            </w:pPr>
            <w:r>
              <w:rPr>
                <w:kern w:val="0"/>
                <w:szCs w:val="21"/>
              </w:rPr>
              <w:t>55.0</w:t>
            </w:r>
          </w:p>
        </w:tc>
        <w:tc>
          <w:tcPr>
            <w:tcW w:w="1101" w:type="dxa"/>
            <w:tcBorders>
              <w:top w:val="single" w:color="auto" w:sz="12" w:space="0"/>
              <w:left w:val="nil"/>
              <w:bottom w:val="nil"/>
              <w:right w:val="nil"/>
            </w:tcBorders>
            <w:vAlign w:val="center"/>
          </w:tcPr>
          <w:p w14:paraId="078F4709">
            <w:pPr>
              <w:autoSpaceDE w:val="0"/>
              <w:autoSpaceDN w:val="0"/>
              <w:adjustRightInd w:val="0"/>
              <w:spacing w:line="312" w:lineRule="auto"/>
              <w:jc w:val="center"/>
              <w:rPr>
                <w:kern w:val="0"/>
                <w:szCs w:val="21"/>
              </w:rPr>
            </w:pPr>
            <w:r>
              <w:rPr>
                <w:kern w:val="0"/>
                <w:szCs w:val="21"/>
              </w:rPr>
              <w:t>79.0</w:t>
            </w:r>
          </w:p>
        </w:tc>
        <w:tc>
          <w:tcPr>
            <w:tcW w:w="1379" w:type="dxa"/>
            <w:tcBorders>
              <w:top w:val="single" w:color="auto" w:sz="12" w:space="0"/>
              <w:left w:val="nil"/>
              <w:bottom w:val="nil"/>
              <w:right w:val="nil"/>
            </w:tcBorders>
            <w:vAlign w:val="center"/>
          </w:tcPr>
          <w:p w14:paraId="1EA4DFD7">
            <w:pPr>
              <w:autoSpaceDE w:val="0"/>
              <w:autoSpaceDN w:val="0"/>
              <w:adjustRightInd w:val="0"/>
              <w:spacing w:line="312" w:lineRule="auto"/>
              <w:jc w:val="center"/>
              <w:rPr>
                <w:kern w:val="0"/>
                <w:szCs w:val="21"/>
              </w:rPr>
            </w:pPr>
            <w:r>
              <w:rPr>
                <w:kern w:val="0"/>
                <w:szCs w:val="21"/>
              </w:rPr>
              <w:t>339</w:t>
            </w:r>
          </w:p>
        </w:tc>
      </w:tr>
      <w:tr w14:paraId="36CA0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top w:val="single" w:color="auto" w:sz="12" w:space="0"/>
              <w:left w:val="nil"/>
              <w:bottom w:val="nil"/>
              <w:right w:val="nil"/>
            </w:tcBorders>
            <w:vAlign w:val="center"/>
          </w:tcPr>
          <w:p w14:paraId="50BFA108">
            <w:pPr>
              <w:widowControl/>
              <w:jc w:val="left"/>
              <w:rPr>
                <w:kern w:val="0"/>
                <w:szCs w:val="21"/>
              </w:rPr>
            </w:pPr>
          </w:p>
        </w:tc>
        <w:tc>
          <w:tcPr>
            <w:tcW w:w="1474" w:type="dxa"/>
            <w:tcBorders>
              <w:top w:val="nil"/>
              <w:left w:val="nil"/>
              <w:bottom w:val="nil"/>
              <w:right w:val="nil"/>
            </w:tcBorders>
            <w:vAlign w:val="center"/>
          </w:tcPr>
          <w:p w14:paraId="6291803A">
            <w:pPr>
              <w:autoSpaceDE w:val="0"/>
              <w:autoSpaceDN w:val="0"/>
              <w:adjustRightInd w:val="0"/>
              <w:spacing w:line="312" w:lineRule="auto"/>
              <w:jc w:val="center"/>
              <w:rPr>
                <w:kern w:val="0"/>
                <w:szCs w:val="21"/>
              </w:rPr>
            </w:pPr>
            <w:r>
              <w:rPr>
                <w:kern w:val="0"/>
                <w:szCs w:val="21"/>
              </w:rPr>
              <w:t>94.0</w:t>
            </w:r>
          </w:p>
        </w:tc>
        <w:tc>
          <w:tcPr>
            <w:tcW w:w="1396" w:type="dxa"/>
            <w:gridSpan w:val="2"/>
            <w:tcBorders>
              <w:top w:val="nil"/>
              <w:left w:val="nil"/>
              <w:bottom w:val="nil"/>
              <w:right w:val="nil"/>
            </w:tcBorders>
            <w:vAlign w:val="center"/>
          </w:tcPr>
          <w:p w14:paraId="02F1267D">
            <w:pPr>
              <w:autoSpaceDE w:val="0"/>
              <w:autoSpaceDN w:val="0"/>
              <w:adjustRightInd w:val="0"/>
              <w:spacing w:line="312" w:lineRule="auto"/>
              <w:jc w:val="center"/>
              <w:rPr>
                <w:kern w:val="0"/>
                <w:szCs w:val="21"/>
              </w:rPr>
            </w:pPr>
            <w:r>
              <w:rPr>
                <w:kern w:val="0"/>
                <w:szCs w:val="21"/>
              </w:rPr>
              <w:t>120.0</w:t>
            </w:r>
          </w:p>
        </w:tc>
        <w:tc>
          <w:tcPr>
            <w:tcW w:w="1222" w:type="dxa"/>
            <w:tcBorders>
              <w:top w:val="nil"/>
              <w:left w:val="nil"/>
              <w:bottom w:val="nil"/>
              <w:right w:val="nil"/>
            </w:tcBorders>
            <w:vAlign w:val="center"/>
          </w:tcPr>
          <w:p w14:paraId="785E2EB9">
            <w:pPr>
              <w:autoSpaceDE w:val="0"/>
              <w:autoSpaceDN w:val="0"/>
              <w:adjustRightInd w:val="0"/>
              <w:spacing w:line="312" w:lineRule="auto"/>
              <w:jc w:val="center"/>
              <w:rPr>
                <w:kern w:val="0"/>
                <w:szCs w:val="21"/>
              </w:rPr>
            </w:pPr>
            <w:r>
              <w:rPr>
                <w:kern w:val="0"/>
                <w:szCs w:val="21"/>
              </w:rPr>
              <w:t>67.0</w:t>
            </w:r>
          </w:p>
        </w:tc>
        <w:tc>
          <w:tcPr>
            <w:tcW w:w="1101" w:type="dxa"/>
            <w:tcBorders>
              <w:top w:val="nil"/>
              <w:left w:val="nil"/>
              <w:bottom w:val="nil"/>
              <w:right w:val="nil"/>
            </w:tcBorders>
            <w:vAlign w:val="center"/>
          </w:tcPr>
          <w:p w14:paraId="50335A95">
            <w:pPr>
              <w:autoSpaceDE w:val="0"/>
              <w:autoSpaceDN w:val="0"/>
              <w:adjustRightInd w:val="0"/>
              <w:spacing w:line="312" w:lineRule="auto"/>
              <w:jc w:val="center"/>
              <w:rPr>
                <w:kern w:val="0"/>
                <w:szCs w:val="21"/>
              </w:rPr>
            </w:pPr>
            <w:r>
              <w:rPr>
                <w:kern w:val="0"/>
                <w:szCs w:val="21"/>
              </w:rPr>
              <w:t>78.0</w:t>
            </w:r>
          </w:p>
        </w:tc>
        <w:tc>
          <w:tcPr>
            <w:tcW w:w="1379" w:type="dxa"/>
            <w:tcBorders>
              <w:top w:val="nil"/>
              <w:left w:val="nil"/>
              <w:bottom w:val="nil"/>
              <w:right w:val="nil"/>
            </w:tcBorders>
            <w:vAlign w:val="center"/>
          </w:tcPr>
          <w:p w14:paraId="5D26DBC5">
            <w:pPr>
              <w:autoSpaceDE w:val="0"/>
              <w:autoSpaceDN w:val="0"/>
              <w:adjustRightInd w:val="0"/>
              <w:spacing w:line="312" w:lineRule="auto"/>
              <w:jc w:val="center"/>
              <w:rPr>
                <w:kern w:val="0"/>
                <w:szCs w:val="21"/>
              </w:rPr>
            </w:pPr>
            <w:r>
              <w:rPr>
                <w:kern w:val="0"/>
                <w:szCs w:val="21"/>
              </w:rPr>
              <w:t>339</w:t>
            </w:r>
          </w:p>
        </w:tc>
      </w:tr>
      <w:tr w14:paraId="615CB1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top w:val="single" w:color="auto" w:sz="12" w:space="0"/>
              <w:left w:val="nil"/>
              <w:bottom w:val="nil"/>
              <w:right w:val="nil"/>
            </w:tcBorders>
            <w:vAlign w:val="center"/>
          </w:tcPr>
          <w:p w14:paraId="7F5554B6">
            <w:pPr>
              <w:widowControl/>
              <w:jc w:val="left"/>
              <w:rPr>
                <w:kern w:val="0"/>
                <w:szCs w:val="21"/>
              </w:rPr>
            </w:pPr>
          </w:p>
        </w:tc>
        <w:tc>
          <w:tcPr>
            <w:tcW w:w="1474" w:type="dxa"/>
            <w:tcBorders>
              <w:top w:val="nil"/>
              <w:left w:val="nil"/>
              <w:bottom w:val="nil"/>
              <w:right w:val="nil"/>
            </w:tcBorders>
            <w:vAlign w:val="center"/>
          </w:tcPr>
          <w:p w14:paraId="079FD018">
            <w:pPr>
              <w:autoSpaceDE w:val="0"/>
              <w:autoSpaceDN w:val="0"/>
              <w:adjustRightInd w:val="0"/>
              <w:spacing w:line="312" w:lineRule="auto"/>
              <w:jc w:val="center"/>
              <w:rPr>
                <w:kern w:val="0"/>
                <w:szCs w:val="21"/>
              </w:rPr>
            </w:pPr>
            <w:r>
              <w:rPr>
                <w:kern w:val="0"/>
                <w:szCs w:val="21"/>
              </w:rPr>
              <w:t>59.0</w:t>
            </w:r>
          </w:p>
        </w:tc>
        <w:tc>
          <w:tcPr>
            <w:tcW w:w="1396" w:type="dxa"/>
            <w:gridSpan w:val="2"/>
            <w:tcBorders>
              <w:top w:val="nil"/>
              <w:left w:val="nil"/>
              <w:bottom w:val="nil"/>
              <w:right w:val="nil"/>
            </w:tcBorders>
            <w:vAlign w:val="center"/>
          </w:tcPr>
          <w:p w14:paraId="18FED381">
            <w:pPr>
              <w:autoSpaceDE w:val="0"/>
              <w:autoSpaceDN w:val="0"/>
              <w:adjustRightInd w:val="0"/>
              <w:spacing w:line="312" w:lineRule="auto"/>
              <w:jc w:val="center"/>
              <w:rPr>
                <w:kern w:val="0"/>
                <w:szCs w:val="21"/>
              </w:rPr>
            </w:pPr>
            <w:r>
              <w:rPr>
                <w:kern w:val="0"/>
                <w:szCs w:val="21"/>
              </w:rPr>
              <w:t>122.0</w:t>
            </w:r>
          </w:p>
        </w:tc>
        <w:tc>
          <w:tcPr>
            <w:tcW w:w="1222" w:type="dxa"/>
            <w:tcBorders>
              <w:top w:val="nil"/>
              <w:left w:val="nil"/>
              <w:bottom w:val="nil"/>
              <w:right w:val="nil"/>
            </w:tcBorders>
            <w:vAlign w:val="center"/>
          </w:tcPr>
          <w:p w14:paraId="0304CAD7">
            <w:pPr>
              <w:autoSpaceDE w:val="0"/>
              <w:autoSpaceDN w:val="0"/>
              <w:adjustRightInd w:val="0"/>
              <w:spacing w:line="312" w:lineRule="auto"/>
              <w:jc w:val="center"/>
              <w:rPr>
                <w:kern w:val="0"/>
                <w:szCs w:val="21"/>
              </w:rPr>
            </w:pPr>
            <w:r>
              <w:rPr>
                <w:kern w:val="0"/>
                <w:szCs w:val="21"/>
              </w:rPr>
              <w:t>58.0</w:t>
            </w:r>
          </w:p>
        </w:tc>
        <w:tc>
          <w:tcPr>
            <w:tcW w:w="1101" w:type="dxa"/>
            <w:tcBorders>
              <w:top w:val="nil"/>
              <w:left w:val="nil"/>
              <w:bottom w:val="nil"/>
              <w:right w:val="nil"/>
            </w:tcBorders>
            <w:vAlign w:val="center"/>
          </w:tcPr>
          <w:p w14:paraId="69E65ED0">
            <w:pPr>
              <w:autoSpaceDE w:val="0"/>
              <w:autoSpaceDN w:val="0"/>
              <w:adjustRightInd w:val="0"/>
              <w:spacing w:line="312" w:lineRule="auto"/>
              <w:jc w:val="center"/>
              <w:rPr>
                <w:kern w:val="0"/>
                <w:szCs w:val="21"/>
              </w:rPr>
            </w:pPr>
            <w:r>
              <w:rPr>
                <w:kern w:val="0"/>
                <w:szCs w:val="21"/>
              </w:rPr>
              <w:t>76.0</w:t>
            </w:r>
          </w:p>
        </w:tc>
        <w:tc>
          <w:tcPr>
            <w:tcW w:w="1379" w:type="dxa"/>
            <w:tcBorders>
              <w:top w:val="nil"/>
              <w:left w:val="nil"/>
              <w:bottom w:val="nil"/>
              <w:right w:val="nil"/>
            </w:tcBorders>
            <w:vAlign w:val="center"/>
          </w:tcPr>
          <w:p w14:paraId="45D0410F">
            <w:pPr>
              <w:autoSpaceDE w:val="0"/>
              <w:autoSpaceDN w:val="0"/>
              <w:adjustRightInd w:val="0"/>
              <w:spacing w:line="312" w:lineRule="auto"/>
              <w:jc w:val="center"/>
              <w:rPr>
                <w:kern w:val="0"/>
                <w:szCs w:val="21"/>
              </w:rPr>
            </w:pPr>
            <w:r>
              <w:rPr>
                <w:kern w:val="0"/>
                <w:szCs w:val="21"/>
              </w:rPr>
              <w:t>337</w:t>
            </w:r>
          </w:p>
        </w:tc>
      </w:tr>
      <w:tr w14:paraId="0F0FC3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1" w:type="dxa"/>
            <w:tcBorders>
              <w:top w:val="nil"/>
              <w:left w:val="nil"/>
              <w:bottom w:val="nil"/>
              <w:right w:val="nil"/>
            </w:tcBorders>
            <w:vAlign w:val="center"/>
          </w:tcPr>
          <w:p w14:paraId="3C1AAE72">
            <w:pPr>
              <w:autoSpaceDE w:val="0"/>
              <w:autoSpaceDN w:val="0"/>
              <w:adjustRightInd w:val="0"/>
              <w:spacing w:line="312" w:lineRule="auto"/>
              <w:jc w:val="center"/>
              <w:rPr>
                <w:kern w:val="0"/>
                <w:szCs w:val="21"/>
              </w:rPr>
            </w:pPr>
            <w:r>
              <w:t>Average Value</w:t>
            </w:r>
          </w:p>
        </w:tc>
        <w:tc>
          <w:tcPr>
            <w:tcW w:w="1474" w:type="dxa"/>
            <w:tcBorders>
              <w:top w:val="nil"/>
              <w:left w:val="nil"/>
              <w:bottom w:val="nil"/>
              <w:right w:val="nil"/>
            </w:tcBorders>
            <w:vAlign w:val="center"/>
          </w:tcPr>
          <w:p w14:paraId="66A313A5">
            <w:pPr>
              <w:autoSpaceDE w:val="0"/>
              <w:autoSpaceDN w:val="0"/>
              <w:adjustRightInd w:val="0"/>
              <w:spacing w:line="312" w:lineRule="auto"/>
              <w:jc w:val="center"/>
              <w:rPr>
                <w:kern w:val="0"/>
                <w:szCs w:val="21"/>
              </w:rPr>
            </w:pPr>
            <w:r>
              <w:rPr>
                <w:kern w:val="0"/>
                <w:szCs w:val="21"/>
              </w:rPr>
              <w:t>84.0</w:t>
            </w:r>
          </w:p>
        </w:tc>
        <w:tc>
          <w:tcPr>
            <w:tcW w:w="1396" w:type="dxa"/>
            <w:gridSpan w:val="2"/>
            <w:tcBorders>
              <w:top w:val="nil"/>
              <w:left w:val="nil"/>
              <w:bottom w:val="nil"/>
              <w:right w:val="nil"/>
            </w:tcBorders>
            <w:vAlign w:val="center"/>
          </w:tcPr>
          <w:p w14:paraId="19357EAE">
            <w:pPr>
              <w:autoSpaceDE w:val="0"/>
              <w:autoSpaceDN w:val="0"/>
              <w:adjustRightInd w:val="0"/>
              <w:spacing w:line="312" w:lineRule="auto"/>
              <w:jc w:val="center"/>
              <w:rPr>
                <w:kern w:val="0"/>
                <w:szCs w:val="21"/>
              </w:rPr>
            </w:pPr>
            <w:r>
              <w:rPr>
                <w:kern w:val="0"/>
                <w:szCs w:val="21"/>
              </w:rPr>
              <w:t>122.0</w:t>
            </w:r>
          </w:p>
        </w:tc>
        <w:tc>
          <w:tcPr>
            <w:tcW w:w="1222" w:type="dxa"/>
            <w:tcBorders>
              <w:top w:val="nil"/>
              <w:left w:val="nil"/>
              <w:bottom w:val="nil"/>
              <w:right w:val="nil"/>
            </w:tcBorders>
            <w:vAlign w:val="center"/>
          </w:tcPr>
          <w:p w14:paraId="3449959B">
            <w:pPr>
              <w:autoSpaceDE w:val="0"/>
              <w:autoSpaceDN w:val="0"/>
              <w:adjustRightInd w:val="0"/>
              <w:spacing w:line="312" w:lineRule="auto"/>
              <w:jc w:val="center"/>
              <w:rPr>
                <w:kern w:val="0"/>
                <w:szCs w:val="21"/>
              </w:rPr>
            </w:pPr>
            <w:r>
              <w:rPr>
                <w:kern w:val="0"/>
                <w:szCs w:val="21"/>
              </w:rPr>
              <w:t>60.0</w:t>
            </w:r>
          </w:p>
        </w:tc>
        <w:tc>
          <w:tcPr>
            <w:tcW w:w="1101" w:type="dxa"/>
            <w:tcBorders>
              <w:top w:val="nil"/>
              <w:left w:val="nil"/>
              <w:bottom w:val="nil"/>
              <w:right w:val="nil"/>
            </w:tcBorders>
            <w:vAlign w:val="center"/>
          </w:tcPr>
          <w:p w14:paraId="05FD1E39">
            <w:pPr>
              <w:autoSpaceDE w:val="0"/>
              <w:autoSpaceDN w:val="0"/>
              <w:adjustRightInd w:val="0"/>
              <w:spacing w:line="312" w:lineRule="auto"/>
              <w:jc w:val="center"/>
              <w:rPr>
                <w:kern w:val="0"/>
                <w:szCs w:val="21"/>
              </w:rPr>
            </w:pPr>
            <w:r>
              <w:rPr>
                <w:kern w:val="0"/>
                <w:szCs w:val="21"/>
              </w:rPr>
              <w:t>78.0</w:t>
            </w:r>
          </w:p>
        </w:tc>
        <w:tc>
          <w:tcPr>
            <w:tcW w:w="1379" w:type="dxa"/>
            <w:tcBorders>
              <w:top w:val="nil"/>
              <w:left w:val="nil"/>
              <w:bottom w:val="nil"/>
              <w:right w:val="nil"/>
            </w:tcBorders>
            <w:vAlign w:val="center"/>
          </w:tcPr>
          <w:p w14:paraId="5A7D2C0D">
            <w:pPr>
              <w:autoSpaceDE w:val="0"/>
              <w:autoSpaceDN w:val="0"/>
              <w:adjustRightInd w:val="0"/>
              <w:spacing w:line="312" w:lineRule="auto"/>
              <w:jc w:val="center"/>
              <w:rPr>
                <w:kern w:val="0"/>
                <w:szCs w:val="21"/>
              </w:rPr>
            </w:pPr>
            <w:r>
              <w:rPr>
                <w:kern w:val="0"/>
                <w:szCs w:val="21"/>
              </w:rPr>
              <w:t>338</w:t>
            </w:r>
          </w:p>
        </w:tc>
      </w:tr>
      <w:tr w14:paraId="30B76E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1" w:type="dxa"/>
            <w:tcBorders>
              <w:top w:val="nil"/>
              <w:left w:val="nil"/>
              <w:bottom w:val="single" w:color="auto" w:sz="12" w:space="0"/>
              <w:right w:val="nil"/>
            </w:tcBorders>
            <w:vAlign w:val="center"/>
          </w:tcPr>
          <w:p w14:paraId="6ABF174B">
            <w:pPr>
              <w:autoSpaceDE w:val="0"/>
              <w:autoSpaceDN w:val="0"/>
              <w:adjustRightInd w:val="0"/>
              <w:spacing w:line="312" w:lineRule="auto"/>
              <w:jc w:val="center"/>
              <w:rPr>
                <w:kern w:val="0"/>
                <w:szCs w:val="21"/>
              </w:rPr>
            </w:pPr>
            <w:r>
              <w:rPr>
                <w:kern w:val="0"/>
                <w:szCs w:val="21"/>
              </w:rPr>
              <w:t>SY/T6288-2007</w:t>
            </w:r>
          </w:p>
        </w:tc>
        <w:tc>
          <w:tcPr>
            <w:tcW w:w="1474" w:type="dxa"/>
            <w:tcBorders>
              <w:top w:val="nil"/>
              <w:left w:val="nil"/>
              <w:bottom w:val="single" w:color="auto" w:sz="12" w:space="0"/>
              <w:right w:val="nil"/>
            </w:tcBorders>
            <w:vAlign w:val="center"/>
          </w:tcPr>
          <w:p w14:paraId="3FED8DCF">
            <w:pPr>
              <w:autoSpaceDE w:val="0"/>
              <w:autoSpaceDN w:val="0"/>
              <w:adjustRightInd w:val="0"/>
              <w:spacing w:line="312" w:lineRule="auto"/>
              <w:jc w:val="center"/>
              <w:rPr>
                <w:kern w:val="0"/>
                <w:szCs w:val="21"/>
              </w:rPr>
            </w:pPr>
            <w:r>
              <w:rPr>
                <w:kern w:val="0"/>
                <w:szCs w:val="21"/>
              </w:rPr>
              <w:t>≥54</w:t>
            </w:r>
          </w:p>
        </w:tc>
        <w:tc>
          <w:tcPr>
            <w:tcW w:w="1396" w:type="dxa"/>
            <w:gridSpan w:val="2"/>
            <w:tcBorders>
              <w:top w:val="nil"/>
              <w:left w:val="nil"/>
              <w:bottom w:val="single" w:color="auto" w:sz="12" w:space="0"/>
              <w:right w:val="nil"/>
            </w:tcBorders>
            <w:vAlign w:val="center"/>
          </w:tcPr>
          <w:p w14:paraId="176617D1">
            <w:pPr>
              <w:autoSpaceDE w:val="0"/>
              <w:autoSpaceDN w:val="0"/>
              <w:adjustRightInd w:val="0"/>
              <w:spacing w:line="312" w:lineRule="auto"/>
              <w:jc w:val="center"/>
              <w:rPr>
                <w:kern w:val="0"/>
                <w:szCs w:val="21"/>
              </w:rPr>
            </w:pPr>
            <w:r>
              <w:rPr>
                <w:kern w:val="0"/>
                <w:szCs w:val="21"/>
              </w:rPr>
              <w:t>/</w:t>
            </w:r>
          </w:p>
        </w:tc>
        <w:tc>
          <w:tcPr>
            <w:tcW w:w="1222" w:type="dxa"/>
            <w:tcBorders>
              <w:top w:val="nil"/>
              <w:left w:val="nil"/>
              <w:bottom w:val="single" w:color="auto" w:sz="12" w:space="0"/>
              <w:right w:val="nil"/>
            </w:tcBorders>
            <w:vAlign w:val="center"/>
          </w:tcPr>
          <w:p w14:paraId="42AC69B1">
            <w:pPr>
              <w:autoSpaceDE w:val="0"/>
              <w:autoSpaceDN w:val="0"/>
              <w:adjustRightInd w:val="0"/>
              <w:spacing w:line="312" w:lineRule="auto"/>
              <w:jc w:val="center"/>
              <w:rPr>
                <w:kern w:val="0"/>
                <w:szCs w:val="21"/>
              </w:rPr>
            </w:pPr>
            <w:r>
              <w:rPr>
                <w:kern w:val="0"/>
                <w:szCs w:val="21"/>
              </w:rPr>
              <w:t>A</w:t>
            </w:r>
          </w:p>
        </w:tc>
        <w:tc>
          <w:tcPr>
            <w:tcW w:w="1101" w:type="dxa"/>
            <w:tcBorders>
              <w:top w:val="nil"/>
              <w:left w:val="nil"/>
              <w:bottom w:val="single" w:color="auto" w:sz="12" w:space="0"/>
              <w:right w:val="nil"/>
            </w:tcBorders>
            <w:vAlign w:val="center"/>
          </w:tcPr>
          <w:p w14:paraId="6B5F910D">
            <w:pPr>
              <w:autoSpaceDE w:val="0"/>
              <w:autoSpaceDN w:val="0"/>
              <w:adjustRightInd w:val="0"/>
              <w:spacing w:line="312" w:lineRule="auto"/>
              <w:jc w:val="center"/>
              <w:rPr>
                <w:kern w:val="0"/>
                <w:szCs w:val="21"/>
              </w:rPr>
            </w:pPr>
            <w:r>
              <w:rPr>
                <w:kern w:val="0"/>
                <w:szCs w:val="21"/>
              </w:rPr>
              <w:t>/</w:t>
            </w:r>
          </w:p>
        </w:tc>
        <w:tc>
          <w:tcPr>
            <w:tcW w:w="1379" w:type="dxa"/>
            <w:tcBorders>
              <w:top w:val="nil"/>
              <w:left w:val="nil"/>
              <w:bottom w:val="single" w:color="auto" w:sz="12" w:space="0"/>
              <w:right w:val="nil"/>
            </w:tcBorders>
            <w:vAlign w:val="center"/>
          </w:tcPr>
          <w:p w14:paraId="4C4C9330">
            <w:pPr>
              <w:autoSpaceDE w:val="0"/>
              <w:autoSpaceDN w:val="0"/>
              <w:adjustRightInd w:val="0"/>
              <w:spacing w:line="312" w:lineRule="auto"/>
              <w:jc w:val="center"/>
              <w:rPr>
                <w:kern w:val="0"/>
                <w:szCs w:val="21"/>
              </w:rPr>
            </w:pPr>
            <w:r>
              <w:rPr>
                <w:kern w:val="0"/>
                <w:szCs w:val="21"/>
              </w:rPr>
              <w:t>≥285</w:t>
            </w:r>
          </w:p>
        </w:tc>
      </w:tr>
    </w:tbl>
    <w:p w14:paraId="76BD3164">
      <w:pPr>
        <w:pStyle w:val="16"/>
        <w:spacing w:before="31" w:after="31"/>
        <w:ind w:firstLine="0" w:firstLineChars="0"/>
        <w:jc w:val="left"/>
        <w:rPr>
          <w:szCs w:val="24"/>
        </w:rPr>
      </w:pPr>
      <w:r>
        <w:rPr>
          <w:szCs w:val="24"/>
        </w:rPr>
        <w:t>(5) Component Failure Morphology</w:t>
      </w:r>
    </w:p>
    <w:p w14:paraId="531CBDEA">
      <w:pPr>
        <w:pStyle w:val="16"/>
        <w:spacing w:before="31" w:after="31"/>
        <w:ind w:firstLine="480"/>
        <w:jc w:val="left"/>
        <w:rPr>
          <w:szCs w:val="24"/>
        </w:rPr>
      </w:pPr>
      <w:r>
        <w:rPr>
          <w:szCs w:val="24"/>
        </w:rPr>
        <w:t>Ultrasonic testing on the outer surface of the joint revealed a longitudinally extending crack, as shown in Figure 5-12.2. The corresponding internal wall also exhibited a longer crack. Upon cutting the joint open and cleaning the internal threaded surface, deformation and wear were found on threads 2 to 10 near the sealing shoulder, with the copper plating layer peeling off from the thread crests. Magnetic particle testing on the thread surface revealed six longitudinally extending cracks, with the longest one extending from the sealing shoulder to the last thread, and the remaining five distributed within threads 2 to 10 near the sealing shoulder, as numbered in Figures 5-12.3 and 5-12.4.</w:t>
      </w:r>
    </w:p>
    <w:p w14:paraId="180E139B">
      <w:pPr>
        <w:pStyle w:val="16"/>
        <w:spacing w:before="31" w:after="31"/>
        <w:ind w:firstLine="482"/>
        <w:jc w:val="center"/>
        <w:rPr>
          <w:b/>
          <w:bCs/>
          <w:szCs w:val="24"/>
        </w:rPr>
      </w:pPr>
      <w:r>
        <w:rPr>
          <w:b/>
          <w:bCs/>
          <w:szCs w:val="24"/>
        </w:rPr>
        <w:t>Figure 5-12.2 Cracking morphology on the outer surface of the drill pipe joint</w:t>
      </w:r>
    </w:p>
    <w:p w14:paraId="41882889">
      <w:pPr>
        <w:pStyle w:val="16"/>
        <w:spacing w:before="31" w:after="31"/>
        <w:ind w:firstLine="482"/>
        <w:jc w:val="center"/>
        <w:rPr>
          <w:b/>
          <w:bCs/>
          <w:szCs w:val="24"/>
        </w:rPr>
      </w:pPr>
      <w:r>
        <w:rPr>
          <w:b/>
          <w:bCs/>
          <w:szCs w:val="24"/>
        </w:rPr>
        <w:t>Figures 5-12.3 and 5-12.4 Crack numbering on the inner surface of the drill pipe joint</w:t>
      </w:r>
    </w:p>
    <w:p w14:paraId="1F87E56A">
      <w:pPr>
        <w:pStyle w:val="16"/>
        <w:spacing w:before="31" w:after="31"/>
        <w:ind w:firstLine="480"/>
        <w:jc w:val="left"/>
        <w:rPr>
          <w:szCs w:val="24"/>
        </w:rPr>
      </w:pPr>
    </w:p>
    <w:p w14:paraId="3B78DE96">
      <w:pPr>
        <w:pStyle w:val="16"/>
        <w:spacing w:before="31" w:after="31"/>
        <w:ind w:firstLine="480"/>
        <w:jc w:val="left"/>
        <w:rPr>
          <w:szCs w:val="24"/>
        </w:rPr>
      </w:pPr>
      <w:r>
        <w:rPr>
          <w:szCs w:val="24"/>
        </w:rPr>
        <w:t>Based on non-destructive testing results, transverse and longitudinal samples were taken from the end and adjacent areas of crack #3 for microscopic analysis of structure and cracks. The non-metallic inclusions grade of the longitudinal sample was A0.5, B1.0e, D0.5, and the grain size was 9.0. The thread crest of the longitudinal sample showed clear signs of damage, with the outer surface near the thread bottom intact, and the copper plating layer undamaged. The thread crest exhibited a noticeable "martensite" bright layer and microstructure deformation, as shown in Figure 5-12.5.</w:t>
      </w:r>
    </w:p>
    <w:p w14:paraId="4539204B">
      <w:pPr>
        <w:pStyle w:val="16"/>
        <w:spacing w:before="31" w:after="31"/>
        <w:ind w:firstLine="480"/>
        <w:jc w:val="left"/>
        <w:rPr>
          <w:szCs w:val="24"/>
        </w:rPr>
      </w:pPr>
      <w:r>
        <w:rPr>
          <w:szCs w:val="24"/>
        </w:rPr>
        <w:t>The thread crest of the transverse sample had two long cracks extending outward on the surface, with thick "martensite" bright layer structures on the thread crest. The roots of the long cracks in the thread crest extended in the same direction as the microstructure deformation below the bright layer, as shown in Figure 5-12.6.</w:t>
      </w:r>
    </w:p>
    <w:p w14:paraId="6B6727AA">
      <w:pPr>
        <w:pStyle w:val="16"/>
        <w:spacing w:before="31" w:after="31"/>
        <w:ind w:firstLine="480"/>
        <w:jc w:val="left"/>
        <w:rPr>
          <w:szCs w:val="24"/>
        </w:rPr>
      </w:pPr>
      <w:r>
        <w:rPr>
          <w:szCs w:val="24"/>
        </w:rPr>
        <w:t>The crack propagation process included both transgranular and intergranular extensions, as depicted in the morphology of the crack tip and surrounding structures in Figure 5-12.7. Microcracks perpendicular to the bright layer were observed within the bright layer, as shown in Figure 5-12.8. The analysis suggested that the cracks originated from the "martensite" bright layer structure on the inner threaded crest, propagated from the inside out, and exhibited clear characteristics of multi-origin.</w:t>
      </w:r>
    </w:p>
    <w:p w14:paraId="3FBFA796">
      <w:pPr>
        <w:pStyle w:val="16"/>
        <w:spacing w:before="31" w:after="31"/>
        <w:ind w:firstLine="482"/>
        <w:jc w:val="center"/>
        <w:rPr>
          <w:b/>
          <w:bCs/>
          <w:szCs w:val="24"/>
        </w:rPr>
      </w:pPr>
      <w:r>
        <w:rPr>
          <w:b/>
          <w:bCs/>
          <w:szCs w:val="24"/>
        </w:rPr>
        <w:t>Figure 5-12.5 "Martensite" bright layer structure on the thread crest</w:t>
      </w:r>
    </w:p>
    <w:p w14:paraId="571894FC">
      <w:pPr>
        <w:pStyle w:val="16"/>
        <w:spacing w:before="31" w:after="31"/>
        <w:ind w:firstLine="482"/>
        <w:jc w:val="center"/>
        <w:rPr>
          <w:b/>
          <w:bCs/>
          <w:szCs w:val="24"/>
        </w:rPr>
      </w:pPr>
      <w:r>
        <w:rPr>
          <w:b/>
          <w:bCs/>
          <w:szCs w:val="24"/>
        </w:rPr>
        <w:t>Figure 5-12.6 Thread crest crack and bright layer structure</w:t>
      </w:r>
    </w:p>
    <w:p w14:paraId="75C9C8B3">
      <w:pPr>
        <w:pStyle w:val="16"/>
        <w:spacing w:before="31" w:after="31"/>
        <w:ind w:firstLine="482"/>
        <w:jc w:val="center"/>
        <w:rPr>
          <w:b/>
          <w:bCs/>
          <w:szCs w:val="24"/>
        </w:rPr>
      </w:pPr>
      <w:r>
        <w:rPr>
          <w:b/>
          <w:bCs/>
          <w:szCs w:val="24"/>
        </w:rPr>
        <w:t>Figures 5-12.7 Crack tip expansion morphology</w:t>
      </w:r>
    </w:p>
    <w:p w14:paraId="0CB92669">
      <w:pPr>
        <w:pStyle w:val="16"/>
        <w:spacing w:before="31" w:after="31"/>
        <w:ind w:firstLine="482"/>
        <w:jc w:val="center"/>
        <w:rPr>
          <w:b/>
          <w:bCs/>
          <w:szCs w:val="24"/>
        </w:rPr>
      </w:pPr>
      <w:r>
        <w:rPr>
          <w:b/>
          <w:bCs/>
          <w:szCs w:val="24"/>
        </w:rPr>
        <w:t>Figure 5-12.8 Microcracks within the bright layer</w:t>
      </w:r>
    </w:p>
    <w:p w14:paraId="36033D19">
      <w:pPr>
        <w:pStyle w:val="16"/>
        <w:spacing w:before="31" w:after="31"/>
        <w:ind w:firstLine="480"/>
        <w:jc w:val="left"/>
        <w:rPr>
          <w:szCs w:val="24"/>
        </w:rPr>
      </w:pPr>
    </w:p>
    <w:p w14:paraId="354BAF57">
      <w:pPr>
        <w:pStyle w:val="16"/>
        <w:spacing w:before="31" w:after="31"/>
        <w:ind w:firstLine="480"/>
        <w:jc w:val="left"/>
        <w:rPr>
          <w:szCs w:val="24"/>
        </w:rPr>
      </w:pPr>
      <w:r>
        <w:rPr>
          <w:szCs w:val="24"/>
        </w:rPr>
        <w:t>Upon opening the expansion surface of crack #3, three different crack extension surfaces were observed, as shown in Figure 5-12.9. Observation of the fracture surface along the main crack revealed a radial morphology converging to the thread crest and the microstructure deformation of the thread crest, as shown in Figure 5-12.10, indicating that the crack originated from the thread crest. The crack extension surface contained a large amount of white material, identified through energy spectrum analysis as barite (BaSO4), an additive component in the drilling mud. This suggested that mud had entered the thread helical surfaces. The microstructures of the crack source and expansion areas are shown in Figures 5-12.11 to 5-12.12, mainly exhibiting intergranular fracture characteristics with numerous secondary intergranular cracks and obvious corrosion on the grain surfaces. Based on the crack extension morphology and the composition of the gray material inside the crack, it was inferred that Cl- corrosion was present during the crack propagation process.</w:t>
      </w:r>
    </w:p>
    <w:p w14:paraId="1358764A">
      <w:pPr>
        <w:pStyle w:val="16"/>
        <w:spacing w:before="31" w:after="31"/>
        <w:ind w:firstLine="482"/>
        <w:jc w:val="center"/>
        <w:rPr>
          <w:b/>
          <w:bCs/>
          <w:szCs w:val="24"/>
        </w:rPr>
      </w:pPr>
      <w:r>
        <w:rPr>
          <w:b/>
          <w:bCs/>
          <w:szCs w:val="24"/>
        </w:rPr>
        <w:t>Figure 5-12.9 Crack extension surface morphology</w:t>
      </w:r>
    </w:p>
    <w:p w14:paraId="05E2F0DD">
      <w:pPr>
        <w:pStyle w:val="16"/>
        <w:spacing w:before="31" w:after="31"/>
        <w:ind w:firstLine="482"/>
        <w:jc w:val="center"/>
        <w:rPr>
          <w:b/>
          <w:bCs/>
          <w:szCs w:val="24"/>
        </w:rPr>
      </w:pPr>
      <w:r>
        <w:rPr>
          <w:b/>
          <w:bCs/>
          <w:szCs w:val="24"/>
        </w:rPr>
        <w:t>Figure 5-12.10 Radial morphology in the crack source area</w:t>
      </w:r>
    </w:p>
    <w:p w14:paraId="014A91FE">
      <w:pPr>
        <w:pStyle w:val="16"/>
        <w:spacing w:before="31" w:after="31"/>
        <w:ind w:firstLine="482"/>
        <w:jc w:val="center"/>
        <w:rPr>
          <w:b/>
          <w:bCs/>
          <w:szCs w:val="24"/>
        </w:rPr>
      </w:pPr>
      <w:r>
        <w:rPr>
          <w:b/>
          <w:bCs/>
          <w:szCs w:val="24"/>
        </w:rPr>
        <w:t>Figures 5-12.11 Microstructure in the crack source area</w:t>
      </w:r>
    </w:p>
    <w:p w14:paraId="435F1BDB">
      <w:pPr>
        <w:pStyle w:val="16"/>
        <w:spacing w:before="31" w:after="31"/>
        <w:ind w:firstLine="482"/>
        <w:jc w:val="center"/>
        <w:rPr>
          <w:b/>
          <w:bCs/>
          <w:szCs w:val="24"/>
        </w:rPr>
      </w:pPr>
      <w:r>
        <w:rPr>
          <w:b/>
          <w:bCs/>
          <w:szCs w:val="24"/>
        </w:rPr>
        <w:t>Figure 5-12.12 Microstructure in the crack expansion area</w:t>
      </w:r>
    </w:p>
    <w:p w14:paraId="05302B81">
      <w:pPr>
        <w:pStyle w:val="16"/>
        <w:spacing w:before="31" w:after="31"/>
        <w:ind w:firstLine="0" w:firstLineChars="0"/>
        <w:jc w:val="left"/>
        <w:rPr>
          <w:szCs w:val="24"/>
        </w:rPr>
      </w:pPr>
      <w:r>
        <w:rPr>
          <w:szCs w:val="24"/>
        </w:rPr>
        <w:t>(6) Failure Cause Analysis</w:t>
      </w:r>
    </w:p>
    <w:p w14:paraId="24019D4D">
      <w:pPr>
        <w:pStyle w:val="16"/>
        <w:spacing w:before="31" w:after="31"/>
        <w:ind w:firstLine="480"/>
        <w:jc w:val="left"/>
        <w:rPr>
          <w:szCs w:val="24"/>
        </w:rPr>
      </w:pPr>
      <w:r>
        <w:rPr>
          <w:szCs w:val="24"/>
        </w:rPr>
        <w:t>Chemical composition, tensile properties, hardness, and impact energy of the failed drill pipe joint met the SY/T</w:t>
      </w:r>
    </w:p>
    <w:p w14:paraId="27B9BDD6">
      <w:pPr>
        <w:pStyle w:val="16"/>
        <w:spacing w:before="31" w:after="31"/>
        <w:ind w:firstLine="480"/>
        <w:jc w:val="left"/>
        <w:rPr>
          <w:szCs w:val="24"/>
        </w:rPr>
      </w:pPr>
      <w:r>
        <w:rPr>
          <w:szCs w:val="24"/>
        </w:rPr>
        <w:t>6288-2007 standard requirements, and the material was within the acceptable range. Therefore, the material itself was not the direct cause of the failure. The failure analysis focused on the crack initiation and propagation mechanisms, considering factors such as service environment, stress state, and thread structure.</w:t>
      </w:r>
    </w:p>
    <w:p w14:paraId="76341226">
      <w:pPr>
        <w:pStyle w:val="16"/>
        <w:spacing w:before="31" w:after="31"/>
        <w:ind w:firstLine="480"/>
        <w:jc w:val="left"/>
        <w:rPr>
          <w:szCs w:val="24"/>
        </w:rPr>
      </w:pPr>
      <w:r>
        <w:rPr>
          <w:szCs w:val="24"/>
        </w:rPr>
        <w:t>The cracked thread crest exhibited a "martensite" bright layer structure, and cracks originated from this layer. The bright layer is formed during the copper plating process, which is intended to improve wear resistance. However, excessive hardness of the "martensite" bright layer makes it susceptible to cracking. The cracking mechanism involves hydrogen embrittlement, stress corrosion, and Cl- corrosion during the drilling process. The cracks initiated from the thread crest and propagated longitudinally under the combined action of stress, hydrogen embrittlement, and Cl- corrosion. Mud invaded the thread helical surfaces, causing Cl- corrosion during crack propagation. The cracks expanded continuously, eventually leading to the longitudinal cracking failure of the drill pipe inner threaded joint.</w:t>
      </w:r>
    </w:p>
    <w:p w14:paraId="0E1857C6">
      <w:pPr>
        <w:pStyle w:val="16"/>
        <w:spacing w:before="31" w:after="31"/>
        <w:ind w:firstLine="0" w:firstLineChars="0"/>
        <w:rPr>
          <w:szCs w:val="24"/>
        </w:rPr>
      </w:pPr>
      <w:r>
        <w:rPr>
          <w:szCs w:val="24"/>
        </w:rPr>
        <w:t>(7) Impact and Harm Caused</w:t>
      </w:r>
    </w:p>
    <w:p w14:paraId="05940D6A">
      <w:pPr>
        <w:pStyle w:val="16"/>
        <w:spacing w:before="31" w:after="31"/>
        <w:ind w:firstLine="420" w:firstLineChars="0"/>
        <w:rPr>
          <w:rFonts w:hint="eastAsia"/>
          <w:szCs w:val="24"/>
        </w:rPr>
      </w:pPr>
      <w:r>
        <w:rPr>
          <w:szCs w:val="24"/>
        </w:rPr>
        <w:t>Null</w:t>
      </w:r>
    </w:p>
    <w:p w14:paraId="6295CB52">
      <w:pPr>
        <w:pStyle w:val="16"/>
        <w:spacing w:before="31" w:after="31"/>
        <w:ind w:firstLine="0" w:firstLineChars="0"/>
        <w:jc w:val="left"/>
        <w:rPr>
          <w:szCs w:val="24"/>
        </w:rPr>
      </w:pPr>
      <w:r>
        <w:rPr>
          <w:szCs w:val="24"/>
        </w:rPr>
        <w:t xml:space="preserve">(8) </w:t>
      </w:r>
      <w:r>
        <w:rPr>
          <w:kern w:val="0"/>
          <w:szCs w:val="24"/>
        </w:rPr>
        <w:t>Conclusion and Improvement Measures</w:t>
      </w:r>
    </w:p>
    <w:p w14:paraId="27A5F417">
      <w:pPr>
        <w:pStyle w:val="16"/>
        <w:spacing w:before="31" w:after="31"/>
        <w:ind w:firstLine="480"/>
        <w:jc w:val="left"/>
        <w:rPr>
          <w:szCs w:val="24"/>
        </w:rPr>
      </w:pPr>
      <w:r>
        <w:rPr>
          <w:szCs w:val="24"/>
        </w:rPr>
        <w:t>To prevent longitudinal cracking failures in drill pipe inner threaded joints, the following measures were recommended:</w:t>
      </w:r>
    </w:p>
    <w:p w14:paraId="0899BAD0">
      <w:pPr>
        <w:pStyle w:val="16"/>
        <w:spacing w:before="31" w:after="31"/>
        <w:ind w:firstLine="480"/>
        <w:jc w:val="left"/>
        <w:rPr>
          <w:szCs w:val="24"/>
        </w:rPr>
      </w:pPr>
      <w:r>
        <w:rPr>
          <w:szCs w:val="24"/>
        </w:rPr>
        <w:t>1. Optimize the copper plating process to ensure a reasonable thickness and hardness of the "martensite" bright layer on the thread crest, reducing susceptibility to cracking.</w:t>
      </w:r>
    </w:p>
    <w:p w14:paraId="0CA06FFE">
      <w:pPr>
        <w:pStyle w:val="16"/>
        <w:spacing w:before="31" w:after="31"/>
        <w:ind w:firstLine="480"/>
        <w:jc w:val="left"/>
        <w:rPr>
          <w:szCs w:val="24"/>
        </w:rPr>
      </w:pPr>
      <w:r>
        <w:rPr>
          <w:szCs w:val="24"/>
        </w:rPr>
        <w:t>2. Strengthen the control of Cl- content in the drilling mud to minimize the risk of Cl- corrosion during the drilling process.</w:t>
      </w:r>
    </w:p>
    <w:p w14:paraId="01F5201F">
      <w:pPr>
        <w:pStyle w:val="16"/>
        <w:spacing w:before="31" w:after="31"/>
        <w:ind w:firstLine="480"/>
        <w:jc w:val="left"/>
        <w:rPr>
          <w:szCs w:val="24"/>
        </w:rPr>
      </w:pPr>
      <w:r>
        <w:rPr>
          <w:szCs w:val="24"/>
        </w:rPr>
        <w:t>3. Enhance the inspection and monitoring of drill pipe inner threaded joints during drilling operations, especially focusing on early detection of cracks or deformations on the thread crests.</w:t>
      </w:r>
    </w:p>
    <w:p w14:paraId="33DDE542">
      <w:pPr>
        <w:pStyle w:val="16"/>
        <w:spacing w:before="31" w:after="31"/>
        <w:ind w:firstLine="480"/>
        <w:jc w:val="left"/>
        <w:rPr>
          <w:szCs w:val="24"/>
        </w:rPr>
      </w:pPr>
      <w:r>
        <w:rPr>
          <w:szCs w:val="24"/>
        </w:rPr>
        <w:t>4. Implement regular maintenance and cleaning of drill pipe inner threaded joints to remove any accumulated mud or debris that may contribute to corrosion.</w:t>
      </w:r>
    </w:p>
    <w:p w14:paraId="632091BC">
      <w:pPr>
        <w:pStyle w:val="16"/>
        <w:spacing w:before="31" w:after="31"/>
        <w:ind w:firstLine="480"/>
        <w:jc w:val="left"/>
        <w:rPr>
          <w:szCs w:val="24"/>
        </w:rPr>
      </w:pPr>
      <w:r>
        <w:rPr>
          <w:szCs w:val="24"/>
        </w:rPr>
        <w:t>These preventive measures aimed to address the identified failure mechanisms and minimize the risk of longitudinal cracking in drill pipe inner threaded joints during drilling operations.</w:t>
      </w:r>
    </w:p>
    <w:p w14:paraId="4F6E78D8">
      <w:pPr>
        <w:pStyle w:val="16"/>
        <w:spacing w:before="31" w:after="31"/>
        <w:ind w:firstLine="0" w:firstLineChars="0"/>
        <w:jc w:val="left"/>
        <w:rPr>
          <w:szCs w:val="24"/>
        </w:rPr>
      </w:pPr>
      <w:r>
        <w:rPr>
          <w:b/>
          <w:bCs/>
          <w:szCs w:val="24"/>
        </w:rPr>
        <w:t>5.2.13 Case 5-13: Fracture and Bending of 73.0mm×5.51mm J55 Plain Oil Pipe</w:t>
      </w:r>
    </w:p>
    <w:p w14:paraId="5C1EDBB2">
      <w:pPr>
        <w:pStyle w:val="16"/>
        <w:spacing w:before="31" w:after="31"/>
        <w:ind w:firstLine="0" w:firstLineChars="0"/>
        <w:jc w:val="left"/>
        <w:rPr>
          <w:szCs w:val="24"/>
        </w:rPr>
      </w:pPr>
      <w:r>
        <w:rPr>
          <w:szCs w:val="24"/>
        </w:rPr>
        <w:t>(1) Case Name</w:t>
      </w:r>
    </w:p>
    <w:p w14:paraId="26DF24B7">
      <w:pPr>
        <w:pStyle w:val="16"/>
        <w:spacing w:before="31" w:after="31"/>
        <w:ind w:firstLine="480"/>
        <w:jc w:val="left"/>
        <w:rPr>
          <w:szCs w:val="24"/>
        </w:rPr>
      </w:pPr>
      <w:r>
        <w:rPr>
          <w:szCs w:val="24"/>
        </w:rPr>
        <w:t>Fracture and Bending of 73.0mm×5.51mm J55 Plain Oil Pipe [15]</w:t>
      </w:r>
    </w:p>
    <w:p w14:paraId="59904D48">
      <w:pPr>
        <w:pStyle w:val="16"/>
        <w:spacing w:before="31" w:after="31"/>
        <w:ind w:firstLine="0" w:firstLineChars="0"/>
        <w:jc w:val="left"/>
        <w:rPr>
          <w:szCs w:val="24"/>
        </w:rPr>
      </w:pPr>
      <w:r>
        <w:rPr>
          <w:szCs w:val="24"/>
        </w:rPr>
        <w:t>(2) Description of Failure Process</w:t>
      </w:r>
    </w:p>
    <w:p w14:paraId="0FF1A3F8">
      <w:pPr>
        <w:pStyle w:val="16"/>
        <w:spacing w:before="31" w:after="31"/>
        <w:ind w:firstLine="480"/>
        <w:jc w:val="left"/>
        <w:rPr>
          <w:szCs w:val="24"/>
        </w:rPr>
      </w:pPr>
      <w:r>
        <w:rPr>
          <w:szCs w:val="24"/>
        </w:rPr>
        <w:t>In 2005, during the well workover operation of a certain oil well, the pipe hanger descended to approximately 1m from the wellhead during the lowering of the 131st oil pipe. Suddenly, the suspended pipe broke, and the pipe column fell into the well. The fracture of the pipe was approximately 200mm away from the coupling bearing surface. During the subsequent recovery process, one pipe was found to be bent, and the bending location was essentially the same as the fracture location.</w:t>
      </w:r>
    </w:p>
    <w:p w14:paraId="5D58B485">
      <w:pPr>
        <w:pStyle w:val="16"/>
        <w:spacing w:before="31" w:after="31"/>
        <w:ind w:firstLine="0" w:firstLineChars="0"/>
        <w:rPr>
          <w:szCs w:val="24"/>
        </w:rPr>
      </w:pPr>
      <w:r>
        <w:rPr>
          <w:szCs w:val="24"/>
        </w:rPr>
        <w:t>(3) Service Environment:</w:t>
      </w:r>
    </w:p>
    <w:p w14:paraId="06C6441B">
      <w:pPr>
        <w:pStyle w:val="16"/>
        <w:spacing w:before="31" w:after="31"/>
        <w:ind w:firstLine="420" w:firstLineChars="0"/>
        <w:rPr>
          <w:rFonts w:hint="eastAsia"/>
          <w:szCs w:val="24"/>
        </w:rPr>
      </w:pPr>
      <w:r>
        <w:rPr>
          <w:szCs w:val="24"/>
        </w:rPr>
        <w:t>Null</w:t>
      </w:r>
    </w:p>
    <w:p w14:paraId="442C0848">
      <w:pPr>
        <w:pStyle w:val="16"/>
        <w:spacing w:before="31" w:after="31"/>
        <w:ind w:firstLine="0" w:firstLineChars="0"/>
        <w:jc w:val="left"/>
        <w:rPr>
          <w:szCs w:val="24"/>
        </w:rPr>
      </w:pPr>
      <w:r>
        <w:rPr>
          <w:szCs w:val="24"/>
        </w:rPr>
        <w:t>(4) Failed Components and Materials</w:t>
      </w:r>
    </w:p>
    <w:p w14:paraId="68468BEB">
      <w:pPr>
        <w:pStyle w:val="16"/>
        <w:spacing w:before="31" w:after="31"/>
        <w:ind w:firstLine="480"/>
        <w:jc w:val="left"/>
        <w:rPr>
          <w:szCs w:val="24"/>
        </w:rPr>
      </w:pPr>
      <w:r>
        <w:rPr>
          <w:rFonts w:hint="eastAsia"/>
          <w:szCs w:val="24"/>
        </w:rPr>
        <w:t> </w:t>
      </w:r>
      <w:r>
        <w:rPr>
          <w:szCs w:val="24"/>
        </w:rPr>
        <w:t xml:space="preserve">  Material Testing and Analysis</w:t>
      </w:r>
    </w:p>
    <w:p w14:paraId="7572A76F">
      <w:pPr>
        <w:pStyle w:val="16"/>
        <w:spacing w:before="31" w:after="31"/>
        <w:ind w:firstLine="480"/>
        <w:jc w:val="left"/>
        <w:rPr>
          <w:szCs w:val="24"/>
        </w:rPr>
      </w:pPr>
      <w:r>
        <w:rPr>
          <w:rFonts w:hint="eastAsia"/>
          <w:szCs w:val="24"/>
        </w:rPr>
        <w:t> </w:t>
      </w:r>
      <w:r>
        <w:rPr>
          <w:szCs w:val="24"/>
        </w:rPr>
        <w:t xml:space="preserve">   The oil pipe used in the well was a 73.0mm×5.51mm J55 plain new oil pipe. Chemical composition analysis results indicated that the fractured and bent pipes' chemical compositions complied with API SPEC 5CT regulations. Mechanical properties are shown in Table 5-26, and metallographic test results are in Table 5-27.</w:t>
      </w:r>
    </w:p>
    <w:p w14:paraId="4A8E5133">
      <w:pPr>
        <w:pStyle w:val="16"/>
        <w:spacing w:before="31" w:after="31"/>
        <w:ind w:firstLine="480"/>
        <w:jc w:val="left"/>
        <w:rPr>
          <w:szCs w:val="24"/>
        </w:rPr>
      </w:pPr>
    </w:p>
    <w:p w14:paraId="50CDDF61">
      <w:pPr>
        <w:pStyle w:val="16"/>
        <w:spacing w:before="31" w:after="31"/>
        <w:ind w:firstLine="482"/>
        <w:jc w:val="center"/>
        <w:rPr>
          <w:b/>
          <w:bCs/>
          <w:szCs w:val="24"/>
        </w:rPr>
      </w:pPr>
      <w:r>
        <w:rPr>
          <w:b/>
          <w:bCs/>
          <w:szCs w:val="24"/>
        </w:rPr>
        <w:t>Table 5-26 Mechanical Performance Test Results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6283E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0359C950">
            <w:pPr>
              <w:pStyle w:val="16"/>
              <w:spacing w:before="31" w:after="31"/>
              <w:ind w:firstLine="0" w:firstLineChars="0"/>
              <w:jc w:val="left"/>
              <w:rPr>
                <w:szCs w:val="24"/>
              </w:rPr>
            </w:pPr>
            <w:r>
              <w:rPr>
                <w:rFonts w:hint="eastAsia"/>
                <w:szCs w:val="24"/>
              </w:rPr>
              <w:t> </w:t>
            </w:r>
            <w:r>
              <w:rPr>
                <w:szCs w:val="24"/>
              </w:rPr>
              <w:t xml:space="preserve">  Specimen</w:t>
            </w:r>
          </w:p>
        </w:tc>
        <w:tc>
          <w:tcPr>
            <w:tcW w:w="1420" w:type="dxa"/>
          </w:tcPr>
          <w:p w14:paraId="268CB205">
            <w:pPr>
              <w:pStyle w:val="16"/>
              <w:spacing w:before="31" w:after="31"/>
              <w:ind w:firstLine="0" w:firstLineChars="0"/>
              <w:jc w:val="left"/>
              <w:rPr>
                <w:szCs w:val="24"/>
              </w:rPr>
            </w:pPr>
            <w:r>
              <w:rPr>
                <w:szCs w:val="24"/>
              </w:rPr>
              <w:t>Tensile Strength Rm/MPa</w:t>
            </w:r>
          </w:p>
        </w:tc>
        <w:tc>
          <w:tcPr>
            <w:tcW w:w="1420" w:type="dxa"/>
          </w:tcPr>
          <w:p w14:paraId="7E9626E1">
            <w:pPr>
              <w:pStyle w:val="16"/>
              <w:spacing w:before="31" w:after="31"/>
              <w:ind w:firstLine="0" w:firstLineChars="0"/>
              <w:jc w:val="left"/>
              <w:rPr>
                <w:szCs w:val="24"/>
              </w:rPr>
            </w:pPr>
            <w:r>
              <w:rPr>
                <w:szCs w:val="24"/>
              </w:rPr>
              <w:t>Yield Strength Rt0.5/MPa</w:t>
            </w:r>
          </w:p>
        </w:tc>
        <w:tc>
          <w:tcPr>
            <w:tcW w:w="1420" w:type="dxa"/>
          </w:tcPr>
          <w:p w14:paraId="615E875D">
            <w:pPr>
              <w:pStyle w:val="16"/>
              <w:spacing w:before="31" w:after="31"/>
              <w:ind w:firstLine="0" w:firstLineChars="0"/>
              <w:jc w:val="left"/>
              <w:rPr>
                <w:szCs w:val="24"/>
              </w:rPr>
            </w:pPr>
            <w:r>
              <w:rPr>
                <w:szCs w:val="24"/>
              </w:rPr>
              <w:t>Elongation A/%</w:t>
            </w:r>
          </w:p>
        </w:tc>
        <w:tc>
          <w:tcPr>
            <w:tcW w:w="1421" w:type="dxa"/>
          </w:tcPr>
          <w:p w14:paraId="027BDDEB">
            <w:pPr>
              <w:pStyle w:val="16"/>
              <w:spacing w:before="31" w:after="31"/>
              <w:ind w:firstLine="0" w:firstLineChars="0"/>
              <w:jc w:val="left"/>
              <w:rPr>
                <w:szCs w:val="24"/>
              </w:rPr>
            </w:pPr>
            <w:r>
              <w:rPr>
                <w:szCs w:val="24"/>
              </w:rPr>
              <w:t>Hardness /HRB</w:t>
            </w:r>
          </w:p>
        </w:tc>
        <w:tc>
          <w:tcPr>
            <w:tcW w:w="1421" w:type="dxa"/>
          </w:tcPr>
          <w:p w14:paraId="64FD3FC2">
            <w:pPr>
              <w:pStyle w:val="16"/>
              <w:spacing w:before="31" w:after="31"/>
              <w:ind w:firstLine="0" w:firstLineChars="0"/>
              <w:jc w:val="left"/>
              <w:rPr>
                <w:szCs w:val="24"/>
              </w:rPr>
            </w:pPr>
            <w:r>
              <w:rPr>
                <w:szCs w:val="24"/>
              </w:rPr>
              <w:t>Impact Energy /J</w:t>
            </w:r>
          </w:p>
        </w:tc>
      </w:tr>
      <w:tr w14:paraId="2B4F4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98C52DE">
            <w:pPr>
              <w:pStyle w:val="16"/>
              <w:spacing w:before="31" w:after="31"/>
              <w:ind w:firstLine="0" w:firstLineChars="0"/>
              <w:jc w:val="left"/>
              <w:rPr>
                <w:szCs w:val="24"/>
              </w:rPr>
            </w:pPr>
            <w:r>
              <w:rPr>
                <w:rFonts w:hint="eastAsia"/>
                <w:szCs w:val="24"/>
              </w:rPr>
              <w:t> </w:t>
            </w:r>
            <w:r>
              <w:rPr>
                <w:szCs w:val="24"/>
              </w:rPr>
              <w:t xml:space="preserve">  Fractured Pipe</w:t>
            </w:r>
          </w:p>
        </w:tc>
        <w:tc>
          <w:tcPr>
            <w:tcW w:w="1420" w:type="dxa"/>
          </w:tcPr>
          <w:p w14:paraId="17540F61">
            <w:pPr>
              <w:pStyle w:val="16"/>
              <w:spacing w:before="31" w:after="31"/>
              <w:ind w:firstLine="0" w:firstLineChars="0"/>
              <w:jc w:val="left"/>
              <w:rPr>
                <w:szCs w:val="24"/>
              </w:rPr>
            </w:pPr>
            <w:r>
              <w:rPr>
                <w:szCs w:val="24"/>
              </w:rPr>
              <w:t>727</w:t>
            </w:r>
          </w:p>
        </w:tc>
        <w:tc>
          <w:tcPr>
            <w:tcW w:w="1420" w:type="dxa"/>
          </w:tcPr>
          <w:p w14:paraId="0EDEB21D">
            <w:pPr>
              <w:pStyle w:val="16"/>
              <w:spacing w:before="31" w:after="31"/>
              <w:ind w:firstLine="0" w:firstLineChars="0"/>
              <w:jc w:val="left"/>
              <w:rPr>
                <w:szCs w:val="24"/>
              </w:rPr>
            </w:pPr>
            <w:r>
              <w:rPr>
                <w:szCs w:val="24"/>
              </w:rPr>
              <w:t>435</w:t>
            </w:r>
          </w:p>
        </w:tc>
        <w:tc>
          <w:tcPr>
            <w:tcW w:w="1420" w:type="dxa"/>
          </w:tcPr>
          <w:p w14:paraId="1063CD04">
            <w:pPr>
              <w:pStyle w:val="16"/>
              <w:spacing w:before="31" w:after="31"/>
              <w:ind w:firstLine="0" w:firstLineChars="0"/>
              <w:jc w:val="left"/>
              <w:rPr>
                <w:szCs w:val="24"/>
              </w:rPr>
            </w:pPr>
            <w:r>
              <w:rPr>
                <w:szCs w:val="24"/>
              </w:rPr>
              <w:t>26.5</w:t>
            </w:r>
          </w:p>
        </w:tc>
        <w:tc>
          <w:tcPr>
            <w:tcW w:w="1421" w:type="dxa"/>
          </w:tcPr>
          <w:p w14:paraId="5FBCDB0F">
            <w:pPr>
              <w:pStyle w:val="16"/>
              <w:spacing w:before="31" w:after="31"/>
              <w:ind w:firstLine="0" w:firstLineChars="0"/>
              <w:jc w:val="left"/>
              <w:rPr>
                <w:szCs w:val="24"/>
              </w:rPr>
            </w:pPr>
            <w:r>
              <w:rPr>
                <w:szCs w:val="24"/>
              </w:rPr>
              <w:t>93.5</w:t>
            </w:r>
          </w:p>
        </w:tc>
        <w:tc>
          <w:tcPr>
            <w:tcW w:w="1421" w:type="dxa"/>
          </w:tcPr>
          <w:p w14:paraId="6B2CA8A9">
            <w:pPr>
              <w:pStyle w:val="16"/>
              <w:spacing w:before="31" w:after="31"/>
              <w:ind w:firstLine="0" w:firstLineChars="0"/>
              <w:jc w:val="left"/>
              <w:rPr>
                <w:szCs w:val="24"/>
              </w:rPr>
            </w:pPr>
            <w:r>
              <w:rPr>
                <w:szCs w:val="24"/>
              </w:rPr>
              <w:t>52.3</w:t>
            </w:r>
          </w:p>
        </w:tc>
      </w:tr>
      <w:tr w14:paraId="6FC12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CB96282">
            <w:pPr>
              <w:pStyle w:val="16"/>
              <w:spacing w:before="31" w:after="31"/>
              <w:ind w:firstLine="0" w:firstLineChars="0"/>
              <w:jc w:val="left"/>
              <w:rPr>
                <w:szCs w:val="24"/>
              </w:rPr>
            </w:pPr>
            <w:r>
              <w:rPr>
                <w:rFonts w:hint="eastAsia"/>
                <w:szCs w:val="24"/>
              </w:rPr>
              <w:t> </w:t>
            </w:r>
            <w:r>
              <w:rPr>
                <w:szCs w:val="24"/>
              </w:rPr>
              <w:t xml:space="preserve">  Bent Pipe</w:t>
            </w:r>
          </w:p>
        </w:tc>
        <w:tc>
          <w:tcPr>
            <w:tcW w:w="1420" w:type="dxa"/>
          </w:tcPr>
          <w:p w14:paraId="0F04C5EF">
            <w:pPr>
              <w:pStyle w:val="16"/>
              <w:spacing w:before="31" w:after="31"/>
              <w:ind w:firstLine="0" w:firstLineChars="0"/>
              <w:jc w:val="left"/>
              <w:rPr>
                <w:szCs w:val="24"/>
              </w:rPr>
            </w:pPr>
            <w:r>
              <w:rPr>
                <w:szCs w:val="24"/>
              </w:rPr>
              <w:t>714</w:t>
            </w:r>
          </w:p>
        </w:tc>
        <w:tc>
          <w:tcPr>
            <w:tcW w:w="1420" w:type="dxa"/>
          </w:tcPr>
          <w:p w14:paraId="452A17D9">
            <w:pPr>
              <w:pStyle w:val="16"/>
              <w:spacing w:before="31" w:after="31"/>
              <w:ind w:firstLine="0" w:firstLineChars="0"/>
              <w:jc w:val="left"/>
              <w:rPr>
                <w:szCs w:val="24"/>
              </w:rPr>
            </w:pPr>
            <w:r>
              <w:rPr>
                <w:szCs w:val="24"/>
              </w:rPr>
              <w:t>473</w:t>
            </w:r>
          </w:p>
        </w:tc>
        <w:tc>
          <w:tcPr>
            <w:tcW w:w="1420" w:type="dxa"/>
          </w:tcPr>
          <w:p w14:paraId="7AE1B83F">
            <w:pPr>
              <w:pStyle w:val="16"/>
              <w:spacing w:before="31" w:after="31"/>
              <w:ind w:firstLine="0" w:firstLineChars="0"/>
              <w:jc w:val="left"/>
              <w:rPr>
                <w:szCs w:val="24"/>
              </w:rPr>
            </w:pPr>
            <w:r>
              <w:rPr>
                <w:szCs w:val="24"/>
              </w:rPr>
              <w:t>24.0</w:t>
            </w:r>
          </w:p>
        </w:tc>
        <w:tc>
          <w:tcPr>
            <w:tcW w:w="1421" w:type="dxa"/>
          </w:tcPr>
          <w:p w14:paraId="40662F9D">
            <w:pPr>
              <w:pStyle w:val="16"/>
              <w:spacing w:before="31" w:after="31"/>
              <w:ind w:firstLine="0" w:firstLineChars="0"/>
              <w:jc w:val="left"/>
              <w:rPr>
                <w:szCs w:val="24"/>
              </w:rPr>
            </w:pPr>
            <w:r>
              <w:rPr>
                <w:szCs w:val="24"/>
              </w:rPr>
              <w:t>94.0</w:t>
            </w:r>
          </w:p>
        </w:tc>
        <w:tc>
          <w:tcPr>
            <w:tcW w:w="1421" w:type="dxa"/>
          </w:tcPr>
          <w:p w14:paraId="2B3D7513">
            <w:pPr>
              <w:pStyle w:val="16"/>
              <w:spacing w:before="31" w:after="31"/>
              <w:ind w:firstLine="0" w:firstLineChars="0"/>
              <w:jc w:val="left"/>
              <w:rPr>
                <w:szCs w:val="24"/>
              </w:rPr>
            </w:pPr>
            <w:r>
              <w:rPr>
                <w:szCs w:val="24"/>
              </w:rPr>
              <w:t>21.7</w:t>
            </w:r>
          </w:p>
        </w:tc>
      </w:tr>
      <w:tr w14:paraId="1ED0A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02785FF">
            <w:pPr>
              <w:pStyle w:val="16"/>
              <w:spacing w:before="31" w:after="31"/>
              <w:ind w:firstLine="0" w:firstLineChars="0"/>
              <w:jc w:val="left"/>
              <w:rPr>
                <w:rFonts w:hint="eastAsia"/>
                <w:szCs w:val="24"/>
              </w:rPr>
            </w:pPr>
            <w:r>
              <w:rPr>
                <w:rFonts w:hint="eastAsia"/>
                <w:szCs w:val="24"/>
              </w:rPr>
              <w:t>   API SPEC 5CT</w:t>
            </w:r>
          </w:p>
        </w:tc>
        <w:tc>
          <w:tcPr>
            <w:tcW w:w="1420" w:type="dxa"/>
          </w:tcPr>
          <w:p w14:paraId="674C824B">
            <w:pPr>
              <w:pStyle w:val="16"/>
              <w:spacing w:before="31" w:after="31"/>
              <w:ind w:firstLine="0" w:firstLineChars="0"/>
              <w:jc w:val="left"/>
              <w:rPr>
                <w:rFonts w:hint="eastAsia"/>
                <w:szCs w:val="24"/>
              </w:rPr>
            </w:pPr>
            <w:r>
              <w:rPr>
                <w:rFonts w:hint="eastAsia"/>
                <w:szCs w:val="24"/>
              </w:rPr>
              <w:t>≥517</w:t>
            </w:r>
          </w:p>
        </w:tc>
        <w:tc>
          <w:tcPr>
            <w:tcW w:w="1420" w:type="dxa"/>
          </w:tcPr>
          <w:p w14:paraId="7D2F5E58">
            <w:pPr>
              <w:pStyle w:val="16"/>
              <w:spacing w:before="31" w:after="31"/>
              <w:ind w:firstLine="0" w:firstLineChars="0"/>
              <w:jc w:val="left"/>
              <w:rPr>
                <w:rFonts w:hint="eastAsia"/>
                <w:szCs w:val="24"/>
              </w:rPr>
            </w:pPr>
            <w:r>
              <w:rPr>
                <w:rFonts w:hint="eastAsia"/>
                <w:szCs w:val="24"/>
              </w:rPr>
              <w:t>379~552</w:t>
            </w:r>
          </w:p>
        </w:tc>
        <w:tc>
          <w:tcPr>
            <w:tcW w:w="1420" w:type="dxa"/>
          </w:tcPr>
          <w:p w14:paraId="1D4353C7">
            <w:pPr>
              <w:pStyle w:val="16"/>
              <w:spacing w:before="31" w:after="31"/>
              <w:ind w:firstLine="0" w:firstLineChars="0"/>
              <w:jc w:val="left"/>
              <w:rPr>
                <w:rFonts w:hint="eastAsia"/>
                <w:szCs w:val="24"/>
              </w:rPr>
            </w:pPr>
            <w:r>
              <w:rPr>
                <w:rFonts w:hint="eastAsia"/>
                <w:szCs w:val="24"/>
              </w:rPr>
              <w:t>≥18.0</w:t>
            </w:r>
          </w:p>
        </w:tc>
        <w:tc>
          <w:tcPr>
            <w:tcW w:w="1421" w:type="dxa"/>
          </w:tcPr>
          <w:p w14:paraId="3AF1ABDF">
            <w:pPr>
              <w:pStyle w:val="16"/>
              <w:spacing w:before="31" w:after="31"/>
              <w:ind w:firstLine="0" w:firstLineChars="0"/>
              <w:jc w:val="left"/>
              <w:rPr>
                <w:rFonts w:hint="eastAsia"/>
                <w:szCs w:val="24"/>
              </w:rPr>
            </w:pPr>
            <w:r>
              <w:rPr>
                <w:rFonts w:hint="eastAsia"/>
                <w:szCs w:val="24"/>
              </w:rPr>
              <w:t>—</w:t>
            </w:r>
          </w:p>
        </w:tc>
        <w:tc>
          <w:tcPr>
            <w:tcW w:w="1421" w:type="dxa"/>
          </w:tcPr>
          <w:p w14:paraId="645B54CA">
            <w:pPr>
              <w:pStyle w:val="16"/>
              <w:spacing w:before="31" w:after="31"/>
              <w:ind w:firstLine="0" w:firstLineChars="0"/>
              <w:jc w:val="left"/>
              <w:rPr>
                <w:rFonts w:hint="eastAsia"/>
                <w:szCs w:val="24"/>
              </w:rPr>
            </w:pPr>
            <w:r>
              <w:rPr>
                <w:rFonts w:hint="eastAsia"/>
                <w:szCs w:val="24"/>
              </w:rPr>
              <w:t>—</w:t>
            </w:r>
          </w:p>
        </w:tc>
      </w:tr>
    </w:tbl>
    <w:p w14:paraId="7CD211FF">
      <w:pPr>
        <w:pStyle w:val="16"/>
        <w:spacing w:before="31" w:after="31"/>
        <w:ind w:firstLine="480"/>
        <w:jc w:val="left"/>
        <w:rPr>
          <w:szCs w:val="24"/>
        </w:rPr>
      </w:pPr>
    </w:p>
    <w:p w14:paraId="22094BB7">
      <w:pPr>
        <w:pStyle w:val="16"/>
        <w:spacing w:before="31" w:after="31"/>
        <w:ind w:firstLine="480"/>
        <w:jc w:val="center"/>
        <w:rPr>
          <w:szCs w:val="24"/>
        </w:rPr>
      </w:pPr>
      <w:r>
        <w:rPr>
          <w:rFonts w:hint="eastAsia"/>
          <w:szCs w:val="24"/>
        </w:rPr>
        <w:t> </w:t>
      </w:r>
      <w:r>
        <w:rPr>
          <w:szCs w:val="24"/>
        </w:rPr>
        <w:t xml:space="preserve"> </w:t>
      </w:r>
      <w:r>
        <w:rPr>
          <w:b/>
          <w:bCs/>
          <w:szCs w:val="24"/>
        </w:rPr>
        <w:t> Table 5-27 Metallographic Test Results</w:t>
      </w:r>
    </w:p>
    <w:p w14:paraId="09FFE120">
      <w:pPr>
        <w:pStyle w:val="16"/>
        <w:spacing w:before="31" w:after="31"/>
        <w:ind w:firstLine="480"/>
        <w:jc w:val="left"/>
        <w:rPr>
          <w:szCs w:val="24"/>
        </w:rPr>
      </w:pPr>
      <w:r>
        <w:rPr>
          <w:rFonts w:hint="eastAsia"/>
          <w:szCs w:val="24"/>
        </w:rPr>
        <w:t>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6C0A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1B0A94F">
            <w:pPr>
              <w:pStyle w:val="16"/>
              <w:spacing w:before="31" w:after="31"/>
              <w:ind w:firstLine="0" w:firstLineChars="0"/>
              <w:jc w:val="left"/>
              <w:rPr>
                <w:szCs w:val="24"/>
              </w:rPr>
            </w:pPr>
            <w:r>
              <w:rPr>
                <w:szCs w:val="24"/>
              </w:rPr>
              <w:t xml:space="preserve">  Specimen</w:t>
            </w:r>
          </w:p>
        </w:tc>
        <w:tc>
          <w:tcPr>
            <w:tcW w:w="2130" w:type="dxa"/>
          </w:tcPr>
          <w:p w14:paraId="315C0234">
            <w:pPr>
              <w:pStyle w:val="16"/>
              <w:spacing w:before="31" w:after="31"/>
              <w:ind w:firstLine="0" w:firstLineChars="0"/>
              <w:jc w:val="left"/>
              <w:rPr>
                <w:szCs w:val="24"/>
              </w:rPr>
            </w:pPr>
            <w:r>
              <w:rPr>
                <w:szCs w:val="24"/>
              </w:rPr>
              <w:t>Inclusions</w:t>
            </w:r>
          </w:p>
        </w:tc>
        <w:tc>
          <w:tcPr>
            <w:tcW w:w="2131" w:type="dxa"/>
          </w:tcPr>
          <w:p w14:paraId="31CD542A">
            <w:pPr>
              <w:pStyle w:val="16"/>
              <w:spacing w:before="31" w:after="31"/>
              <w:ind w:firstLine="0" w:firstLineChars="0"/>
              <w:jc w:val="left"/>
              <w:rPr>
                <w:szCs w:val="24"/>
              </w:rPr>
            </w:pPr>
            <w:r>
              <w:rPr>
                <w:szCs w:val="24"/>
              </w:rPr>
              <w:t>Grain Size</w:t>
            </w:r>
          </w:p>
        </w:tc>
        <w:tc>
          <w:tcPr>
            <w:tcW w:w="2131" w:type="dxa"/>
          </w:tcPr>
          <w:p w14:paraId="2D22AFD8">
            <w:pPr>
              <w:pStyle w:val="16"/>
              <w:spacing w:before="31" w:after="31"/>
              <w:ind w:firstLine="0" w:firstLineChars="0"/>
              <w:jc w:val="left"/>
              <w:rPr>
                <w:szCs w:val="24"/>
              </w:rPr>
            </w:pPr>
            <w:r>
              <w:rPr>
                <w:szCs w:val="24"/>
              </w:rPr>
              <w:t>Structure</w:t>
            </w:r>
          </w:p>
        </w:tc>
      </w:tr>
      <w:tr w14:paraId="48E27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84B00AA">
            <w:pPr>
              <w:pStyle w:val="16"/>
              <w:spacing w:before="31" w:after="31"/>
              <w:ind w:firstLine="0" w:firstLineChars="0"/>
              <w:jc w:val="left"/>
              <w:rPr>
                <w:szCs w:val="24"/>
              </w:rPr>
            </w:pPr>
            <w:r>
              <w:rPr>
                <w:rFonts w:hint="eastAsia"/>
                <w:szCs w:val="24"/>
              </w:rPr>
              <w:t> </w:t>
            </w:r>
            <w:r>
              <w:rPr>
                <w:szCs w:val="24"/>
              </w:rPr>
              <w:t xml:space="preserve">  Fractured Pipe</w:t>
            </w:r>
          </w:p>
        </w:tc>
        <w:tc>
          <w:tcPr>
            <w:tcW w:w="2130" w:type="dxa"/>
          </w:tcPr>
          <w:p w14:paraId="00654357">
            <w:pPr>
              <w:pStyle w:val="16"/>
              <w:spacing w:before="31" w:after="31"/>
              <w:ind w:firstLine="0" w:firstLineChars="0"/>
              <w:jc w:val="left"/>
              <w:rPr>
                <w:szCs w:val="24"/>
              </w:rPr>
            </w:pPr>
            <w:r>
              <w:rPr>
                <w:szCs w:val="24"/>
              </w:rPr>
              <w:t>A1.0; B1.0; D0.5</w:t>
            </w:r>
          </w:p>
        </w:tc>
        <w:tc>
          <w:tcPr>
            <w:tcW w:w="2131" w:type="dxa"/>
          </w:tcPr>
          <w:p w14:paraId="47D52251">
            <w:pPr>
              <w:pStyle w:val="16"/>
              <w:spacing w:before="31" w:after="31"/>
              <w:ind w:firstLine="0" w:firstLineChars="0"/>
              <w:jc w:val="left"/>
              <w:rPr>
                <w:szCs w:val="24"/>
              </w:rPr>
            </w:pPr>
            <w:r>
              <w:rPr>
                <w:szCs w:val="24"/>
              </w:rPr>
              <w:t>8.0 grade 80%</w:t>
            </w:r>
          </w:p>
        </w:tc>
        <w:tc>
          <w:tcPr>
            <w:tcW w:w="2131" w:type="dxa"/>
          </w:tcPr>
          <w:p w14:paraId="569262BB">
            <w:pPr>
              <w:pStyle w:val="16"/>
              <w:spacing w:before="31" w:after="31"/>
              <w:ind w:firstLine="0" w:firstLineChars="0"/>
              <w:jc w:val="left"/>
              <w:rPr>
                <w:szCs w:val="24"/>
              </w:rPr>
            </w:pPr>
            <w:r>
              <w:rPr>
                <w:szCs w:val="24"/>
              </w:rPr>
              <w:t>Perlite + Ferrite</w:t>
            </w:r>
          </w:p>
        </w:tc>
      </w:tr>
      <w:tr w14:paraId="6971D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32175B5">
            <w:pPr>
              <w:pStyle w:val="16"/>
              <w:spacing w:before="31" w:after="31"/>
              <w:ind w:firstLine="0" w:firstLineChars="0"/>
              <w:jc w:val="left"/>
              <w:rPr>
                <w:szCs w:val="24"/>
              </w:rPr>
            </w:pPr>
            <w:r>
              <w:rPr>
                <w:rFonts w:hint="eastAsia"/>
                <w:szCs w:val="24"/>
              </w:rPr>
              <w:t> </w:t>
            </w:r>
            <w:r>
              <w:rPr>
                <w:szCs w:val="24"/>
              </w:rPr>
              <w:t xml:space="preserve">  Bent Pipe</w:t>
            </w:r>
          </w:p>
        </w:tc>
        <w:tc>
          <w:tcPr>
            <w:tcW w:w="2130" w:type="dxa"/>
          </w:tcPr>
          <w:p w14:paraId="25AD69F6">
            <w:pPr>
              <w:pStyle w:val="16"/>
              <w:spacing w:before="31" w:after="31"/>
              <w:ind w:firstLine="0" w:firstLineChars="0"/>
              <w:jc w:val="left"/>
              <w:rPr>
                <w:szCs w:val="24"/>
              </w:rPr>
            </w:pPr>
            <w:r>
              <w:rPr>
                <w:szCs w:val="24"/>
              </w:rPr>
              <w:t>A1.5; B1.0; D0.5</w:t>
            </w:r>
          </w:p>
        </w:tc>
        <w:tc>
          <w:tcPr>
            <w:tcW w:w="2131" w:type="dxa"/>
          </w:tcPr>
          <w:p w14:paraId="08C6C79B">
            <w:pPr>
              <w:pStyle w:val="16"/>
              <w:spacing w:before="31" w:after="31"/>
              <w:ind w:firstLine="0" w:firstLineChars="0"/>
              <w:jc w:val="left"/>
              <w:rPr>
                <w:szCs w:val="24"/>
              </w:rPr>
            </w:pPr>
            <w:r>
              <w:rPr>
                <w:szCs w:val="24"/>
              </w:rPr>
              <w:t>9 grade</w:t>
            </w:r>
          </w:p>
        </w:tc>
        <w:tc>
          <w:tcPr>
            <w:tcW w:w="2131" w:type="dxa"/>
          </w:tcPr>
          <w:p w14:paraId="4CE4327D">
            <w:pPr>
              <w:pStyle w:val="16"/>
              <w:spacing w:before="31" w:after="31"/>
              <w:ind w:firstLine="0" w:firstLineChars="0"/>
              <w:jc w:val="left"/>
              <w:rPr>
                <w:szCs w:val="24"/>
              </w:rPr>
            </w:pPr>
            <w:r>
              <w:rPr>
                <w:szCs w:val="24"/>
              </w:rPr>
              <w:t>Perlite + Ferrite</w:t>
            </w:r>
          </w:p>
        </w:tc>
      </w:tr>
    </w:tbl>
    <w:p w14:paraId="2E84D67D">
      <w:pPr>
        <w:pStyle w:val="16"/>
        <w:spacing w:before="31" w:after="31"/>
        <w:ind w:firstLine="0" w:firstLineChars="0"/>
        <w:jc w:val="left"/>
        <w:rPr>
          <w:szCs w:val="24"/>
        </w:rPr>
      </w:pPr>
      <w:r>
        <w:rPr>
          <w:szCs w:val="24"/>
        </w:rPr>
        <w:t>(5) Component Failure Morphology</w:t>
      </w:r>
    </w:p>
    <w:p w14:paraId="39255340">
      <w:pPr>
        <w:pStyle w:val="16"/>
        <w:spacing w:before="31" w:after="31"/>
        <w:ind w:firstLine="480"/>
        <w:jc w:val="left"/>
        <w:rPr>
          <w:szCs w:val="24"/>
        </w:rPr>
      </w:pPr>
      <w:r>
        <w:rPr>
          <w:szCs w:val="24"/>
        </w:rPr>
        <w:t>The distance from the pipe fracture to the coupling bearing surface was 197-209mm, as shown in Figure 5-13.1. The fracture section had an elliptical shape, as seen in Figure 5-13.2, displaying characteristics of a one-time bending fracture. On the side of the pipe where it bent, there were sliding friction deformation marks on the coupling bearing surface, an elliptical friction-shiny mark, and a transverse mark on the pipe body. The elliptical mark was 28mm from the coupling bearing surface, with a major axis of 30mm and a minor axis of 5mm. The transverse mark was 53mm from the coupling bearing surface, with a circumferential length of 55mm. On the side where the pipe bent upwards, there was a sloping deformation on the coupling bearing surface. The fracture of the pipe showed features of overload shear and bending fracture. From the deformation marks on the coupling bearing surface and the pipe body, it was inferred that the pipe fracture was related to the state of coordination between the hanger and the pipe.</w:t>
      </w:r>
    </w:p>
    <w:p w14:paraId="1F592A20">
      <w:pPr>
        <w:pStyle w:val="16"/>
        <w:spacing w:before="31" w:after="31"/>
        <w:ind w:firstLine="482"/>
        <w:jc w:val="both"/>
        <w:rPr>
          <w:b/>
          <w:bCs/>
          <w:szCs w:val="24"/>
        </w:rPr>
      </w:pPr>
      <w:r>
        <w:rPr>
          <w:b/>
          <w:bCs/>
          <w:szCs w:val="24"/>
        </w:rPr>
        <w:t>Figure 5-13.1: Location of the pipe fracture and nearby bending morphology</w:t>
      </w:r>
    </w:p>
    <w:p w14:paraId="3AB1DBDA">
      <w:pPr>
        <w:pStyle w:val="16"/>
        <w:spacing w:before="31" w:after="31"/>
        <w:ind w:firstLine="482"/>
        <w:jc w:val="center"/>
        <w:rPr>
          <w:b/>
          <w:bCs/>
          <w:szCs w:val="24"/>
        </w:rPr>
      </w:pPr>
      <w:r>
        <w:rPr>
          <w:b/>
          <w:bCs/>
          <w:szCs w:val="24"/>
        </w:rPr>
        <w:t>Figure 5-13.2: Pipe fracture morphology</w:t>
      </w:r>
    </w:p>
    <w:p w14:paraId="544C05F2">
      <w:pPr>
        <w:pStyle w:val="16"/>
        <w:spacing w:before="31" w:after="31"/>
        <w:ind w:firstLine="480"/>
        <w:jc w:val="left"/>
        <w:rPr>
          <w:szCs w:val="24"/>
        </w:rPr>
      </w:pPr>
      <w:r>
        <w:rPr>
          <w:szCs w:val="24"/>
        </w:rPr>
        <w:t>The bending point of the pipe was about 200mm from the coupling bearing surface, as shown in Figure 5-13.3, and there were obvious signs of damage and deformation on the coupling bearing surface.</w:t>
      </w:r>
    </w:p>
    <w:p w14:paraId="545C297F">
      <w:pPr>
        <w:pStyle w:val="16"/>
        <w:spacing w:before="31" w:after="31"/>
        <w:ind w:firstLine="482"/>
        <w:jc w:val="center"/>
        <w:rPr>
          <w:b/>
          <w:bCs/>
          <w:szCs w:val="24"/>
        </w:rPr>
      </w:pPr>
      <w:r>
        <w:rPr>
          <w:b/>
          <w:bCs/>
          <w:szCs w:val="24"/>
        </w:rPr>
        <w:t>Figure 5-13.3: Bending morphology of the pipe</w:t>
      </w:r>
    </w:p>
    <w:p w14:paraId="6EB0C1A7">
      <w:pPr>
        <w:pStyle w:val="16"/>
        <w:spacing w:before="31" w:after="31"/>
        <w:ind w:firstLine="480"/>
        <w:jc w:val="left"/>
        <w:rPr>
          <w:szCs w:val="24"/>
        </w:rPr>
      </w:pPr>
      <w:r>
        <w:rPr>
          <w:szCs w:val="24"/>
        </w:rPr>
        <w:t>The hanger used in the well was severely worn, as shown in Figure 5-13.4. The main dimensions of the pipe and hanger are shown in Figure 5-13.5. The hanger aperture was Ф75.0mm, and the pipe outer diameter was Ф73.0mm. When the outer surface of the pipe contacted the inner surface of the hanger on one side, on the other side, the wear cone distance from the hanger bearing surface to the outer surface of the pipe was S=88.0-73.7-(88.0-75.0)/2=7.8mm, and the distance from the outer wall of the coupling to the outer wall of the pipe was (88.9-73.7)/2=7.6mm.</w:t>
      </w:r>
    </w:p>
    <w:p w14:paraId="0285FB01">
      <w:pPr>
        <w:pStyle w:val="16"/>
        <w:spacing w:before="31" w:after="31"/>
        <w:ind w:firstLine="482"/>
        <w:jc w:val="center"/>
        <w:rPr>
          <w:b/>
          <w:bCs/>
          <w:szCs w:val="24"/>
        </w:rPr>
      </w:pPr>
      <w:r>
        <w:rPr>
          <w:b/>
          <w:bCs/>
          <w:szCs w:val="24"/>
        </w:rPr>
        <w:t>Figure 5-13.4: Main dimensions of the pipe and hanger measurement results</w:t>
      </w:r>
    </w:p>
    <w:p w14:paraId="68FB0FF4">
      <w:pPr>
        <w:pStyle w:val="16"/>
        <w:spacing w:before="31" w:after="31"/>
        <w:ind w:firstLine="482"/>
        <w:jc w:val="center"/>
        <w:rPr>
          <w:b/>
          <w:bCs/>
          <w:szCs w:val="24"/>
        </w:rPr>
      </w:pPr>
      <w:r>
        <w:rPr>
          <w:b/>
          <w:bCs/>
          <w:szCs w:val="24"/>
        </w:rPr>
        <w:t>Figure 5-13.5: Hanger wear morphology</w:t>
      </w:r>
    </w:p>
    <w:p w14:paraId="02A0057F">
      <w:pPr>
        <w:pStyle w:val="16"/>
        <w:spacing w:before="31" w:after="31"/>
        <w:ind w:firstLine="480"/>
        <w:jc w:val="left"/>
        <w:rPr>
          <w:szCs w:val="24"/>
        </w:rPr>
      </w:pPr>
      <w:r>
        <w:rPr>
          <w:szCs w:val="24"/>
        </w:rPr>
        <w:t>From the above calculations, it can be deduced that due to the wear on the hanger bearing surface forming a cone, when the outer surface of the pipe contacts one side of the inner surface of the hanger during the lowering of the pipe, the distance from the outer wall of the coupling to the outer wall of the pipe on the other side has already become less than the gap between the worn cone surface of the hanger bearing surface and the outer wall of the pipe. In other words, the coupling bearing surface on that side has slid into the worn cone hole of the hanger, and the coupling and the hanger are in an abnormal coordination state. The side of the coupling that slid into the hanger aperture left severe sliding friction deformation marks on the bearing surface, and the other side's deformation was the result of matching with the worn hanger bearing slope.</w:t>
      </w:r>
    </w:p>
    <w:p w14:paraId="1BF59B5D">
      <w:pPr>
        <w:pStyle w:val="16"/>
        <w:spacing w:before="31" w:after="31"/>
        <w:ind w:firstLine="0" w:firstLineChars="0"/>
        <w:jc w:val="left"/>
        <w:rPr>
          <w:szCs w:val="24"/>
        </w:rPr>
      </w:pPr>
      <w:r>
        <w:rPr>
          <w:szCs w:val="24"/>
        </w:rPr>
        <w:t>(6) Analysis of Failure Causes</w:t>
      </w:r>
    </w:p>
    <w:p w14:paraId="385606B8">
      <w:pPr>
        <w:pStyle w:val="16"/>
        <w:spacing w:before="31" w:after="31"/>
        <w:ind w:firstLine="480"/>
        <w:jc w:val="left"/>
        <w:rPr>
          <w:szCs w:val="24"/>
        </w:rPr>
      </w:pPr>
      <w:r>
        <w:rPr>
          <w:szCs w:val="24"/>
        </w:rPr>
        <w:t>The results of testing and investigation indicated that the material of the fractured and bent pipes met standard requirements. The pipes fractured and bent due to abnormal contact with the hanger.</w:t>
      </w:r>
    </w:p>
    <w:p w14:paraId="2D3F26A2">
      <w:pPr>
        <w:pStyle w:val="16"/>
        <w:spacing w:before="31" w:after="31"/>
        <w:ind w:firstLine="480"/>
        <w:jc w:val="left"/>
        <w:rPr>
          <w:szCs w:val="24"/>
        </w:rPr>
      </w:pPr>
      <w:r>
        <w:rPr>
          <w:szCs w:val="24"/>
        </w:rPr>
        <w:t>The hanger used in the well was severely worn, and there were signs of impact in the area where the coupling bearing surface slid into the hanger aperture during use. This indicates that the pipe slid into the hanger aperture on one side of the coupling, and the pipe body underwent rapid bending stress and shear stress upon the rapid impact of the hanger's lower end with the rounded corner. As shown in Figure 5-13.6, the sliding friction deformation marks on one side of the coupling bearing surface left clear evidence. The side of the coupling bearing surface that slid into the hanger aperture showed severe sliding friction deformation marks, while the other side's deformation was the result of matching with the worn hanger bearing slope.</w:t>
      </w:r>
    </w:p>
    <w:p w14:paraId="765DB821">
      <w:pPr>
        <w:pStyle w:val="16"/>
        <w:spacing w:before="31" w:after="31"/>
        <w:ind w:firstLine="482"/>
        <w:jc w:val="center"/>
        <w:rPr>
          <w:b/>
          <w:bCs/>
          <w:szCs w:val="24"/>
        </w:rPr>
      </w:pPr>
      <w:r>
        <w:rPr>
          <w:b/>
          <w:bCs/>
          <w:szCs w:val="24"/>
        </w:rPr>
        <w:t>Figure 5-13.6: Relative coordination position of the coupling and hanger circumferentially during pipe fracture and bending</w:t>
      </w:r>
    </w:p>
    <w:p w14:paraId="046DCA7F">
      <w:pPr>
        <w:pStyle w:val="16"/>
        <w:spacing w:before="31" w:after="31"/>
        <w:ind w:firstLine="480"/>
        <w:jc w:val="left"/>
        <w:rPr>
          <w:szCs w:val="24"/>
        </w:rPr>
      </w:pPr>
      <w:r>
        <w:rPr>
          <w:szCs w:val="24"/>
        </w:rPr>
        <w:t>During the recovery of the fish, one pipe underwent bending deformation, and the bending location was identical to the fracture location. If the load borne by the bent pipe exceeds its material strength, a fracture incident may also occur. This indicates that the reasons for the bending failure and fracture failure of the pipe are the same, both caused by the severe wear of the hanger.</w:t>
      </w:r>
    </w:p>
    <w:p w14:paraId="20526D38">
      <w:pPr>
        <w:pStyle w:val="16"/>
        <w:spacing w:before="31" w:after="31"/>
        <w:ind w:firstLine="0" w:firstLineChars="0"/>
        <w:rPr>
          <w:szCs w:val="24"/>
        </w:rPr>
      </w:pPr>
      <w:r>
        <w:rPr>
          <w:szCs w:val="24"/>
        </w:rPr>
        <w:t>(7) Impact and Harm Caused</w:t>
      </w:r>
    </w:p>
    <w:p w14:paraId="1534C175">
      <w:pPr>
        <w:pStyle w:val="16"/>
        <w:spacing w:before="31" w:after="31"/>
        <w:ind w:firstLine="420" w:firstLineChars="0"/>
        <w:rPr>
          <w:szCs w:val="24"/>
        </w:rPr>
      </w:pPr>
      <w:r>
        <w:rPr>
          <w:szCs w:val="24"/>
        </w:rPr>
        <w:t>Null</w:t>
      </w:r>
    </w:p>
    <w:p w14:paraId="66FA01C7">
      <w:pPr>
        <w:pStyle w:val="16"/>
        <w:spacing w:before="31" w:after="31"/>
        <w:ind w:firstLine="0" w:firstLineChars="0"/>
        <w:jc w:val="left"/>
        <w:rPr>
          <w:szCs w:val="24"/>
        </w:rPr>
      </w:pPr>
      <w:r>
        <w:rPr>
          <w:szCs w:val="24"/>
        </w:rPr>
        <w:t>(8) Conclusion and Improvement Measures</w:t>
      </w:r>
    </w:p>
    <w:p w14:paraId="20232143">
      <w:pPr>
        <w:pStyle w:val="16"/>
        <w:spacing w:before="31" w:after="31"/>
        <w:ind w:firstLine="480"/>
        <w:jc w:val="left"/>
        <w:rPr>
          <w:szCs w:val="24"/>
        </w:rPr>
      </w:pPr>
      <w:r>
        <w:rPr>
          <w:szCs w:val="24"/>
        </w:rPr>
        <w:t>(a) The main cause of the fracture and bending of the pipe is the severe wear of the hanger. During the process of lowering the pipe into the well, one side of the</w:t>
      </w:r>
    </w:p>
    <w:p w14:paraId="21767BA9">
      <w:pPr>
        <w:pStyle w:val="16"/>
        <w:spacing w:before="31" w:after="31"/>
        <w:ind w:firstLine="480"/>
        <w:jc w:val="left"/>
        <w:rPr>
          <w:szCs w:val="24"/>
        </w:rPr>
      </w:pPr>
      <w:r>
        <w:rPr>
          <w:szCs w:val="24"/>
        </w:rPr>
        <w:t>coupling bearing surface slid into the hanger aperture, experiencing abnormal loads.</w:t>
      </w:r>
    </w:p>
    <w:p w14:paraId="5972D723">
      <w:pPr>
        <w:pStyle w:val="16"/>
        <w:spacing w:before="31" w:after="31"/>
        <w:ind w:firstLine="480"/>
        <w:jc w:val="left"/>
        <w:rPr>
          <w:szCs w:val="24"/>
        </w:rPr>
      </w:pPr>
      <w:r>
        <w:rPr>
          <w:szCs w:val="24"/>
        </w:rPr>
        <w:t>(b) It is recommended to change the current situation of using worn hangers, scrap the worn hangers, and replace them with new hangers.</w:t>
      </w:r>
    </w:p>
    <w:p w14:paraId="25B44444">
      <w:pPr>
        <w:pStyle w:val="16"/>
        <w:spacing w:before="31" w:after="31"/>
        <w:ind w:firstLine="480"/>
        <w:jc w:val="left"/>
        <w:rPr>
          <w:szCs w:val="24"/>
        </w:rPr>
      </w:pPr>
    </w:p>
    <w:p w14:paraId="0FABA36C">
      <w:pPr>
        <w:pStyle w:val="16"/>
        <w:spacing w:before="31" w:after="31"/>
        <w:ind w:firstLine="0" w:firstLineChars="0"/>
        <w:jc w:val="left"/>
        <w:rPr>
          <w:b/>
          <w:bCs/>
          <w:szCs w:val="24"/>
        </w:rPr>
      </w:pPr>
      <w:r>
        <w:rPr>
          <w:b/>
          <w:bCs/>
          <w:szCs w:val="24"/>
        </w:rPr>
        <w:t>5.2.14 Case 5-14: Fracture Failure of Drill String Conversion Joint</w:t>
      </w:r>
    </w:p>
    <w:p w14:paraId="46A91AFC">
      <w:pPr>
        <w:pStyle w:val="16"/>
        <w:spacing w:before="31" w:after="31"/>
        <w:ind w:firstLine="0" w:firstLineChars="0"/>
        <w:jc w:val="left"/>
        <w:rPr>
          <w:szCs w:val="24"/>
        </w:rPr>
      </w:pPr>
      <w:r>
        <w:rPr>
          <w:szCs w:val="24"/>
        </w:rPr>
        <w:t>(1) Case Name</w:t>
      </w:r>
    </w:p>
    <w:p w14:paraId="607D0A97">
      <w:pPr>
        <w:pStyle w:val="16"/>
        <w:spacing w:before="31" w:after="31"/>
        <w:ind w:firstLine="480"/>
        <w:jc w:val="left"/>
        <w:rPr>
          <w:szCs w:val="24"/>
        </w:rPr>
      </w:pPr>
      <w:r>
        <w:rPr>
          <w:szCs w:val="24"/>
        </w:rPr>
        <w:t>Fracture Failure of Drill String Conversion Joint [16]</w:t>
      </w:r>
    </w:p>
    <w:p w14:paraId="380C22EA">
      <w:pPr>
        <w:pStyle w:val="16"/>
        <w:spacing w:before="31" w:after="31"/>
        <w:ind w:firstLine="0" w:firstLineChars="0"/>
        <w:jc w:val="left"/>
        <w:rPr>
          <w:szCs w:val="24"/>
        </w:rPr>
      </w:pPr>
      <w:r>
        <w:rPr>
          <w:szCs w:val="24"/>
        </w:rPr>
        <w:t>(2) Description of Failure Process</w:t>
      </w:r>
    </w:p>
    <w:p w14:paraId="44A43F9A">
      <w:pPr>
        <w:pStyle w:val="16"/>
        <w:spacing w:before="31" w:after="31"/>
        <w:ind w:firstLine="480"/>
        <w:jc w:val="left"/>
        <w:rPr>
          <w:szCs w:val="24"/>
        </w:rPr>
      </w:pPr>
      <w:r>
        <w:rPr>
          <w:szCs w:val="24"/>
        </w:rPr>
        <w:t>At a depth of 5317.23m in a well, the suspended load suddenly dropped from 2020kN to 1730kN. Torque increased from 3154N·m to 3865N·m. Inspection revealed that the joint 631 × 410 at 5203mm, between the drilling shock absorber and the Ф177.8mm drill bit, fractured. The fracture surface was approximately 100mm from the internal threaded end of the joint. The joint had undergone non-destructive testing before entering the well, and no defects were found. The pure drilling time was 244 hours and 20 minutes.</w:t>
      </w:r>
    </w:p>
    <w:p w14:paraId="162C021A">
      <w:pPr>
        <w:pStyle w:val="16"/>
        <w:spacing w:before="31" w:after="31"/>
        <w:ind w:firstLine="0" w:firstLineChars="0"/>
        <w:rPr>
          <w:szCs w:val="24"/>
        </w:rPr>
      </w:pPr>
      <w:r>
        <w:rPr>
          <w:szCs w:val="24"/>
        </w:rPr>
        <w:t>(3) Service Environment:</w:t>
      </w:r>
    </w:p>
    <w:p w14:paraId="31595C83">
      <w:pPr>
        <w:pStyle w:val="16"/>
        <w:spacing w:before="31" w:after="31"/>
        <w:ind w:firstLine="420" w:firstLineChars="0"/>
        <w:rPr>
          <w:szCs w:val="24"/>
        </w:rPr>
      </w:pPr>
      <w:r>
        <w:rPr>
          <w:szCs w:val="24"/>
        </w:rPr>
        <w:t>Null</w:t>
      </w:r>
    </w:p>
    <w:p w14:paraId="6C28D38E">
      <w:pPr>
        <w:pStyle w:val="16"/>
        <w:spacing w:before="31" w:after="31"/>
        <w:ind w:firstLine="0" w:firstLineChars="0"/>
        <w:jc w:val="left"/>
        <w:rPr>
          <w:szCs w:val="24"/>
        </w:rPr>
      </w:pPr>
      <w:r>
        <w:rPr>
          <w:szCs w:val="24"/>
        </w:rPr>
        <w:t>(4) Failed Components and Materials</w:t>
      </w:r>
    </w:p>
    <w:p w14:paraId="7548DBE7">
      <w:pPr>
        <w:pStyle w:val="16"/>
        <w:spacing w:before="31" w:after="31"/>
        <w:ind w:firstLine="480"/>
        <w:jc w:val="left"/>
        <w:rPr>
          <w:szCs w:val="24"/>
        </w:rPr>
      </w:pPr>
      <w:r>
        <w:rPr>
          <w:rFonts w:hint="eastAsia"/>
          <w:szCs w:val="24"/>
        </w:rPr>
        <w:t> </w:t>
      </w:r>
      <w:r>
        <w:rPr>
          <w:szCs w:val="24"/>
        </w:rPr>
        <w:t xml:space="preserve"> Chemical composition analysis of the conversion joint met SY/T5200-2002 regulations. Metallographic analysis of the fracture surfaces at both ends of the conversion joint along the axial direction revealed tempered martensite as the matrix structure with a grain size of 7 levels, indicating good microstructure. Multiple cracks were found at the root of the threads, with a maximum crack depth of 1.6mm, as shown in Figure 5-14.1. This result was consistent with the magnetic particle non-destructive testing results. The damaged area at the root of the thread showed deformation and cracking, with the same structure on both sides of the crack. Mechanical properties of the conversion joint are listed in Table 5-28.</w:t>
      </w:r>
    </w:p>
    <w:p w14:paraId="51CBCEF9">
      <w:pPr>
        <w:pStyle w:val="16"/>
        <w:spacing w:before="31" w:after="31"/>
        <w:ind w:firstLine="482"/>
        <w:jc w:val="center"/>
        <w:rPr>
          <w:b/>
          <w:bCs/>
          <w:szCs w:val="24"/>
        </w:rPr>
      </w:pPr>
      <w:r>
        <w:rPr>
          <w:b/>
          <w:bCs/>
          <w:szCs w:val="24"/>
        </w:rPr>
        <w:t>Figure 5-14.1: Crack morphology observed in metallographic analysis</w:t>
      </w:r>
    </w:p>
    <w:p w14:paraId="12D00C36">
      <w:pPr>
        <w:pStyle w:val="16"/>
        <w:spacing w:before="31" w:after="31"/>
        <w:ind w:firstLine="482"/>
        <w:jc w:val="center"/>
        <w:rPr>
          <w:b/>
          <w:bCs/>
          <w:szCs w:val="24"/>
        </w:rPr>
      </w:pPr>
      <w:r>
        <w:rPr>
          <w:b/>
          <w:bCs/>
          <w:szCs w:val="24"/>
        </w:rPr>
        <w:t>Table 5-28: Mechanical Performance Test Results of Conversion Joint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9"/>
        <w:gridCol w:w="1126"/>
        <w:gridCol w:w="1493"/>
        <w:gridCol w:w="1480"/>
        <w:gridCol w:w="1029"/>
        <w:gridCol w:w="1455"/>
      </w:tblGrid>
      <w:tr w14:paraId="3B614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7ED23C6">
            <w:pPr>
              <w:pStyle w:val="16"/>
              <w:spacing w:before="31" w:after="31"/>
              <w:ind w:firstLine="0" w:firstLineChars="0"/>
              <w:jc w:val="left"/>
              <w:rPr>
                <w:szCs w:val="24"/>
              </w:rPr>
            </w:pPr>
            <w:r>
              <w:rPr>
                <w:rFonts w:hint="eastAsia"/>
                <w:szCs w:val="24"/>
              </w:rPr>
              <w:t> </w:t>
            </w:r>
            <w:r>
              <w:rPr>
                <w:szCs w:val="24"/>
              </w:rPr>
              <w:t xml:space="preserve">  Test Value</w:t>
            </w:r>
          </w:p>
        </w:tc>
        <w:tc>
          <w:tcPr>
            <w:tcW w:w="1420" w:type="dxa"/>
          </w:tcPr>
          <w:p w14:paraId="5F826AD9">
            <w:pPr>
              <w:pStyle w:val="16"/>
              <w:spacing w:before="31" w:after="31"/>
              <w:ind w:firstLine="0" w:firstLineChars="0"/>
              <w:jc w:val="left"/>
              <w:rPr>
                <w:szCs w:val="24"/>
              </w:rPr>
            </w:pPr>
            <w:r>
              <w:rPr>
                <w:szCs w:val="24"/>
              </w:rPr>
              <w:t>Yield Strength σ0.2/MPa</w:t>
            </w:r>
          </w:p>
        </w:tc>
        <w:tc>
          <w:tcPr>
            <w:tcW w:w="1420" w:type="dxa"/>
          </w:tcPr>
          <w:p w14:paraId="2949F3DB">
            <w:pPr>
              <w:pStyle w:val="16"/>
              <w:spacing w:before="31" w:after="31"/>
              <w:ind w:firstLine="0" w:firstLineChars="0"/>
              <w:jc w:val="left"/>
              <w:rPr>
                <w:szCs w:val="24"/>
              </w:rPr>
            </w:pPr>
            <w:r>
              <w:rPr>
                <w:szCs w:val="24"/>
              </w:rPr>
              <w:t>Tensile Strength/MPa</w:t>
            </w:r>
          </w:p>
        </w:tc>
        <w:tc>
          <w:tcPr>
            <w:tcW w:w="1420" w:type="dxa"/>
          </w:tcPr>
          <w:p w14:paraId="151CD70D">
            <w:pPr>
              <w:pStyle w:val="16"/>
              <w:spacing w:before="31" w:after="31"/>
              <w:ind w:firstLine="0" w:firstLineChars="0"/>
              <w:jc w:val="left"/>
              <w:rPr>
                <w:szCs w:val="24"/>
              </w:rPr>
            </w:pPr>
            <w:r>
              <w:rPr>
                <w:szCs w:val="24"/>
              </w:rPr>
              <w:t>Elongation/%</w:t>
            </w:r>
          </w:p>
        </w:tc>
        <w:tc>
          <w:tcPr>
            <w:tcW w:w="1421" w:type="dxa"/>
          </w:tcPr>
          <w:p w14:paraId="0E72D3EF">
            <w:pPr>
              <w:pStyle w:val="16"/>
              <w:spacing w:before="31" w:after="31"/>
              <w:ind w:firstLine="0" w:firstLineChars="0"/>
              <w:jc w:val="left"/>
              <w:rPr>
                <w:szCs w:val="24"/>
              </w:rPr>
            </w:pPr>
            <w:r>
              <w:rPr>
                <w:szCs w:val="24"/>
              </w:rPr>
              <w:t>Impact Energy/J</w:t>
            </w:r>
          </w:p>
        </w:tc>
        <w:tc>
          <w:tcPr>
            <w:tcW w:w="1421" w:type="dxa"/>
          </w:tcPr>
          <w:p w14:paraId="663932DE">
            <w:pPr>
              <w:pStyle w:val="16"/>
              <w:spacing w:before="31" w:after="31"/>
              <w:ind w:firstLine="0" w:firstLineChars="0"/>
              <w:jc w:val="left"/>
              <w:rPr>
                <w:szCs w:val="24"/>
              </w:rPr>
            </w:pPr>
            <w:r>
              <w:rPr>
                <w:szCs w:val="24"/>
              </w:rPr>
              <w:t>Hardness/HB</w:t>
            </w:r>
          </w:p>
        </w:tc>
      </w:tr>
      <w:tr w14:paraId="603A0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EEA2C4A">
            <w:pPr>
              <w:pStyle w:val="16"/>
              <w:spacing w:before="31" w:after="31"/>
              <w:ind w:firstLine="0" w:firstLineChars="0"/>
              <w:jc w:val="left"/>
              <w:rPr>
                <w:szCs w:val="24"/>
              </w:rPr>
            </w:pPr>
            <w:r>
              <w:rPr>
                <w:rFonts w:hint="eastAsia"/>
                <w:szCs w:val="24"/>
              </w:rPr>
              <w:t> </w:t>
            </w:r>
            <w:r>
              <w:rPr>
                <w:szCs w:val="24"/>
              </w:rPr>
              <w:t xml:space="preserve">  Measured Values</w:t>
            </w:r>
          </w:p>
        </w:tc>
        <w:tc>
          <w:tcPr>
            <w:tcW w:w="1420" w:type="dxa"/>
          </w:tcPr>
          <w:p w14:paraId="18B1E096">
            <w:pPr>
              <w:pStyle w:val="16"/>
              <w:spacing w:before="31" w:after="31"/>
              <w:ind w:firstLine="0" w:firstLineChars="0"/>
              <w:jc w:val="left"/>
              <w:rPr>
                <w:szCs w:val="24"/>
              </w:rPr>
            </w:pPr>
            <w:r>
              <w:rPr>
                <w:szCs w:val="24"/>
              </w:rPr>
              <w:t>994</w:t>
            </w:r>
          </w:p>
        </w:tc>
        <w:tc>
          <w:tcPr>
            <w:tcW w:w="1420" w:type="dxa"/>
          </w:tcPr>
          <w:p w14:paraId="7B019BD4">
            <w:pPr>
              <w:pStyle w:val="16"/>
              <w:spacing w:before="31" w:after="31"/>
              <w:ind w:firstLine="0" w:firstLineChars="0"/>
              <w:jc w:val="left"/>
              <w:rPr>
                <w:szCs w:val="24"/>
              </w:rPr>
            </w:pPr>
            <w:r>
              <w:rPr>
                <w:szCs w:val="24"/>
              </w:rPr>
              <w:t>1076</w:t>
            </w:r>
          </w:p>
        </w:tc>
        <w:tc>
          <w:tcPr>
            <w:tcW w:w="1420" w:type="dxa"/>
          </w:tcPr>
          <w:p w14:paraId="07C3FCD8">
            <w:pPr>
              <w:pStyle w:val="16"/>
              <w:spacing w:before="31" w:after="31"/>
              <w:ind w:firstLine="0" w:firstLineChars="0"/>
              <w:jc w:val="left"/>
              <w:rPr>
                <w:szCs w:val="24"/>
              </w:rPr>
            </w:pPr>
            <w:r>
              <w:rPr>
                <w:szCs w:val="24"/>
              </w:rPr>
              <w:t>17.0</w:t>
            </w:r>
          </w:p>
        </w:tc>
        <w:tc>
          <w:tcPr>
            <w:tcW w:w="1421" w:type="dxa"/>
          </w:tcPr>
          <w:p w14:paraId="04C7A272">
            <w:pPr>
              <w:pStyle w:val="16"/>
              <w:spacing w:before="31" w:after="31"/>
              <w:ind w:firstLine="0" w:firstLineChars="0"/>
              <w:jc w:val="left"/>
              <w:rPr>
                <w:szCs w:val="24"/>
              </w:rPr>
            </w:pPr>
            <w:r>
              <w:rPr>
                <w:szCs w:val="24"/>
              </w:rPr>
              <w:t>71</w:t>
            </w:r>
          </w:p>
        </w:tc>
        <w:tc>
          <w:tcPr>
            <w:tcW w:w="1421" w:type="dxa"/>
          </w:tcPr>
          <w:p w14:paraId="79AF96D3">
            <w:pPr>
              <w:pStyle w:val="16"/>
              <w:spacing w:before="31" w:after="31"/>
              <w:ind w:firstLine="0" w:firstLineChars="0"/>
              <w:jc w:val="left"/>
              <w:rPr>
                <w:szCs w:val="24"/>
              </w:rPr>
            </w:pPr>
            <w:r>
              <w:rPr>
                <w:szCs w:val="24"/>
              </w:rPr>
              <w:t>313</w:t>
            </w:r>
          </w:p>
        </w:tc>
      </w:tr>
      <w:tr w14:paraId="0CDCD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DD12D92">
            <w:pPr>
              <w:pStyle w:val="16"/>
              <w:spacing w:before="31" w:after="31"/>
              <w:ind w:firstLine="0" w:firstLineChars="0"/>
              <w:jc w:val="left"/>
              <w:rPr>
                <w:szCs w:val="24"/>
              </w:rPr>
            </w:pPr>
            <w:r>
              <w:rPr>
                <w:rFonts w:hint="eastAsia"/>
                <w:szCs w:val="24"/>
              </w:rPr>
              <w:t> </w:t>
            </w:r>
            <w:r>
              <w:rPr>
                <w:szCs w:val="24"/>
              </w:rPr>
              <w:t xml:space="preserve">   976</w:t>
            </w:r>
          </w:p>
        </w:tc>
        <w:tc>
          <w:tcPr>
            <w:tcW w:w="1420" w:type="dxa"/>
          </w:tcPr>
          <w:p w14:paraId="4CCDF947">
            <w:pPr>
              <w:pStyle w:val="16"/>
              <w:spacing w:before="31" w:after="31"/>
              <w:ind w:firstLine="0" w:firstLineChars="0"/>
              <w:jc w:val="left"/>
              <w:rPr>
                <w:szCs w:val="24"/>
              </w:rPr>
            </w:pPr>
            <w:r>
              <w:rPr>
                <w:szCs w:val="24"/>
              </w:rPr>
              <w:t>1074</w:t>
            </w:r>
          </w:p>
        </w:tc>
        <w:tc>
          <w:tcPr>
            <w:tcW w:w="1420" w:type="dxa"/>
          </w:tcPr>
          <w:p w14:paraId="14E0FE53">
            <w:pPr>
              <w:pStyle w:val="16"/>
              <w:spacing w:before="31" w:after="31"/>
              <w:ind w:firstLine="0" w:firstLineChars="0"/>
              <w:jc w:val="left"/>
              <w:rPr>
                <w:szCs w:val="24"/>
              </w:rPr>
            </w:pPr>
            <w:r>
              <w:rPr>
                <w:szCs w:val="24"/>
              </w:rPr>
              <w:t>18.0</w:t>
            </w:r>
          </w:p>
        </w:tc>
        <w:tc>
          <w:tcPr>
            <w:tcW w:w="1420" w:type="dxa"/>
          </w:tcPr>
          <w:p w14:paraId="16896E5A">
            <w:pPr>
              <w:pStyle w:val="16"/>
              <w:spacing w:before="31" w:after="31"/>
              <w:ind w:firstLine="0" w:firstLineChars="0"/>
              <w:jc w:val="left"/>
              <w:rPr>
                <w:szCs w:val="24"/>
              </w:rPr>
            </w:pPr>
            <w:r>
              <w:rPr>
                <w:szCs w:val="24"/>
              </w:rPr>
              <w:t>71</w:t>
            </w:r>
          </w:p>
        </w:tc>
        <w:tc>
          <w:tcPr>
            <w:tcW w:w="1421" w:type="dxa"/>
          </w:tcPr>
          <w:p w14:paraId="315B2F04">
            <w:pPr>
              <w:pStyle w:val="16"/>
              <w:spacing w:before="31" w:after="31"/>
              <w:ind w:firstLine="0" w:firstLineChars="0"/>
              <w:jc w:val="left"/>
              <w:rPr>
                <w:szCs w:val="24"/>
              </w:rPr>
            </w:pPr>
            <w:r>
              <w:rPr>
                <w:szCs w:val="24"/>
              </w:rPr>
              <w:t>326</w:t>
            </w:r>
          </w:p>
        </w:tc>
        <w:tc>
          <w:tcPr>
            <w:tcW w:w="1421" w:type="dxa"/>
          </w:tcPr>
          <w:p w14:paraId="12276866">
            <w:pPr>
              <w:pStyle w:val="16"/>
              <w:spacing w:before="31" w:after="31"/>
              <w:ind w:firstLine="0" w:firstLineChars="0"/>
              <w:jc w:val="left"/>
              <w:rPr>
                <w:szCs w:val="24"/>
              </w:rPr>
            </w:pPr>
          </w:p>
        </w:tc>
      </w:tr>
      <w:tr w14:paraId="6CC4C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0E385264">
            <w:pPr>
              <w:pStyle w:val="16"/>
              <w:spacing w:before="31" w:after="31"/>
              <w:ind w:firstLine="0" w:firstLineChars="0"/>
              <w:jc w:val="left"/>
              <w:rPr>
                <w:szCs w:val="24"/>
              </w:rPr>
            </w:pPr>
            <w:r>
              <w:rPr>
                <w:rFonts w:hint="eastAsia"/>
                <w:szCs w:val="24"/>
              </w:rPr>
              <w:t> </w:t>
            </w:r>
            <w:r>
              <w:rPr>
                <w:szCs w:val="24"/>
              </w:rPr>
              <w:t xml:space="preserve">  985</w:t>
            </w:r>
          </w:p>
        </w:tc>
        <w:tc>
          <w:tcPr>
            <w:tcW w:w="1420" w:type="dxa"/>
          </w:tcPr>
          <w:p w14:paraId="21BD722A">
            <w:pPr>
              <w:pStyle w:val="16"/>
              <w:spacing w:before="31" w:after="31"/>
              <w:ind w:firstLine="0" w:firstLineChars="0"/>
              <w:jc w:val="left"/>
              <w:rPr>
                <w:szCs w:val="24"/>
              </w:rPr>
            </w:pPr>
            <w:r>
              <w:rPr>
                <w:szCs w:val="24"/>
              </w:rPr>
              <w:t>1074</w:t>
            </w:r>
          </w:p>
        </w:tc>
        <w:tc>
          <w:tcPr>
            <w:tcW w:w="1420" w:type="dxa"/>
          </w:tcPr>
          <w:p w14:paraId="7BD172B2">
            <w:pPr>
              <w:pStyle w:val="16"/>
              <w:spacing w:before="31" w:after="31"/>
              <w:ind w:firstLine="0" w:firstLineChars="0"/>
              <w:jc w:val="left"/>
              <w:rPr>
                <w:szCs w:val="24"/>
              </w:rPr>
            </w:pPr>
            <w:r>
              <w:rPr>
                <w:szCs w:val="24"/>
              </w:rPr>
              <w:t>17.4</w:t>
            </w:r>
          </w:p>
        </w:tc>
        <w:tc>
          <w:tcPr>
            <w:tcW w:w="1420" w:type="dxa"/>
          </w:tcPr>
          <w:p w14:paraId="2D2A14C5">
            <w:pPr>
              <w:pStyle w:val="16"/>
              <w:spacing w:before="31" w:after="31"/>
              <w:ind w:firstLine="0" w:firstLineChars="0"/>
              <w:jc w:val="left"/>
              <w:rPr>
                <w:szCs w:val="24"/>
              </w:rPr>
            </w:pPr>
            <w:r>
              <w:rPr>
                <w:szCs w:val="24"/>
              </w:rPr>
              <w:t>72</w:t>
            </w:r>
          </w:p>
        </w:tc>
        <w:tc>
          <w:tcPr>
            <w:tcW w:w="1421" w:type="dxa"/>
          </w:tcPr>
          <w:p w14:paraId="426B9804">
            <w:pPr>
              <w:pStyle w:val="16"/>
              <w:spacing w:before="31" w:after="31"/>
              <w:ind w:firstLine="0" w:firstLineChars="0"/>
              <w:jc w:val="left"/>
              <w:rPr>
                <w:szCs w:val="24"/>
              </w:rPr>
            </w:pPr>
            <w:r>
              <w:rPr>
                <w:szCs w:val="24"/>
              </w:rPr>
              <w:t>319</w:t>
            </w:r>
          </w:p>
        </w:tc>
        <w:tc>
          <w:tcPr>
            <w:tcW w:w="1421" w:type="dxa"/>
          </w:tcPr>
          <w:p w14:paraId="34B3B21D">
            <w:pPr>
              <w:pStyle w:val="16"/>
              <w:spacing w:before="31" w:after="31"/>
              <w:ind w:firstLine="0" w:firstLineChars="0"/>
              <w:jc w:val="left"/>
              <w:rPr>
                <w:szCs w:val="24"/>
              </w:rPr>
            </w:pPr>
          </w:p>
        </w:tc>
      </w:tr>
      <w:tr w14:paraId="76A97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3590DCF">
            <w:pPr>
              <w:pStyle w:val="16"/>
              <w:spacing w:before="31" w:after="31"/>
              <w:ind w:firstLine="0" w:firstLineChars="0"/>
              <w:jc w:val="left"/>
              <w:rPr>
                <w:szCs w:val="24"/>
              </w:rPr>
            </w:pPr>
            <w:r>
              <w:rPr>
                <w:rFonts w:hint="eastAsia"/>
                <w:szCs w:val="24"/>
              </w:rPr>
              <w:t> </w:t>
            </w:r>
            <w:r>
              <w:rPr>
                <w:szCs w:val="24"/>
              </w:rPr>
              <w:t xml:space="preserve">  Average Value</w:t>
            </w:r>
          </w:p>
        </w:tc>
        <w:tc>
          <w:tcPr>
            <w:tcW w:w="1420" w:type="dxa"/>
          </w:tcPr>
          <w:p w14:paraId="1A73AE85">
            <w:pPr>
              <w:pStyle w:val="16"/>
              <w:spacing w:before="31" w:after="31"/>
              <w:ind w:firstLine="0" w:firstLineChars="0"/>
              <w:jc w:val="left"/>
              <w:rPr>
                <w:szCs w:val="24"/>
              </w:rPr>
            </w:pPr>
            <w:r>
              <w:rPr>
                <w:szCs w:val="24"/>
              </w:rPr>
              <w:t>985</w:t>
            </w:r>
          </w:p>
        </w:tc>
        <w:tc>
          <w:tcPr>
            <w:tcW w:w="1420" w:type="dxa"/>
          </w:tcPr>
          <w:p w14:paraId="62FAE281">
            <w:pPr>
              <w:pStyle w:val="16"/>
              <w:spacing w:before="31" w:after="31"/>
              <w:ind w:firstLine="0" w:firstLineChars="0"/>
              <w:jc w:val="left"/>
              <w:rPr>
                <w:szCs w:val="24"/>
              </w:rPr>
            </w:pPr>
            <w:r>
              <w:rPr>
                <w:szCs w:val="24"/>
              </w:rPr>
              <w:t>1075</w:t>
            </w:r>
          </w:p>
        </w:tc>
        <w:tc>
          <w:tcPr>
            <w:tcW w:w="1420" w:type="dxa"/>
          </w:tcPr>
          <w:p w14:paraId="4DD065EC">
            <w:pPr>
              <w:pStyle w:val="16"/>
              <w:spacing w:before="31" w:after="31"/>
              <w:ind w:firstLine="0" w:firstLineChars="0"/>
              <w:jc w:val="left"/>
              <w:rPr>
                <w:szCs w:val="24"/>
              </w:rPr>
            </w:pPr>
            <w:r>
              <w:rPr>
                <w:szCs w:val="24"/>
              </w:rPr>
              <w:t>17.5</w:t>
            </w:r>
          </w:p>
        </w:tc>
        <w:tc>
          <w:tcPr>
            <w:tcW w:w="1421" w:type="dxa"/>
          </w:tcPr>
          <w:p w14:paraId="4EE300A0">
            <w:pPr>
              <w:pStyle w:val="16"/>
              <w:spacing w:before="31" w:after="31"/>
              <w:ind w:firstLine="0" w:firstLineChars="0"/>
              <w:jc w:val="left"/>
              <w:rPr>
                <w:szCs w:val="24"/>
              </w:rPr>
            </w:pPr>
            <w:r>
              <w:rPr>
                <w:szCs w:val="24"/>
              </w:rPr>
              <w:t>71</w:t>
            </w:r>
          </w:p>
        </w:tc>
        <w:tc>
          <w:tcPr>
            <w:tcW w:w="1421" w:type="dxa"/>
          </w:tcPr>
          <w:p w14:paraId="759BD78F">
            <w:pPr>
              <w:pStyle w:val="16"/>
              <w:spacing w:before="31" w:after="31"/>
              <w:ind w:firstLine="0" w:firstLineChars="0"/>
              <w:jc w:val="left"/>
              <w:rPr>
                <w:szCs w:val="24"/>
              </w:rPr>
            </w:pPr>
            <w:r>
              <w:rPr>
                <w:szCs w:val="24"/>
              </w:rPr>
              <w:t>319</w:t>
            </w:r>
          </w:p>
        </w:tc>
      </w:tr>
      <w:tr w14:paraId="49BD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E282FB5">
            <w:pPr>
              <w:pStyle w:val="16"/>
              <w:spacing w:before="31" w:after="31"/>
              <w:ind w:firstLine="0" w:firstLineChars="0"/>
              <w:jc w:val="left"/>
              <w:rPr>
                <w:rFonts w:hint="eastAsia"/>
                <w:szCs w:val="24"/>
              </w:rPr>
            </w:pPr>
            <w:r>
              <w:rPr>
                <w:rFonts w:hint="eastAsia"/>
                <w:szCs w:val="24"/>
              </w:rPr>
              <w:t>   SY/T5200-2002</w:t>
            </w:r>
          </w:p>
        </w:tc>
        <w:tc>
          <w:tcPr>
            <w:tcW w:w="1420" w:type="dxa"/>
          </w:tcPr>
          <w:p w14:paraId="46BB20F9">
            <w:pPr>
              <w:pStyle w:val="16"/>
              <w:spacing w:before="31" w:after="31"/>
              <w:ind w:firstLine="0" w:firstLineChars="0"/>
              <w:jc w:val="left"/>
              <w:rPr>
                <w:rFonts w:hint="eastAsia"/>
                <w:szCs w:val="24"/>
              </w:rPr>
            </w:pPr>
            <w:r>
              <w:rPr>
                <w:rFonts w:hint="eastAsia"/>
                <w:szCs w:val="24"/>
              </w:rPr>
              <w:t>≥690</w:t>
            </w:r>
          </w:p>
        </w:tc>
        <w:tc>
          <w:tcPr>
            <w:tcW w:w="1420" w:type="dxa"/>
          </w:tcPr>
          <w:p w14:paraId="13ECD1B8">
            <w:pPr>
              <w:pStyle w:val="16"/>
              <w:spacing w:before="31" w:after="31"/>
              <w:ind w:firstLine="0" w:firstLineChars="0"/>
              <w:jc w:val="left"/>
              <w:rPr>
                <w:rFonts w:hint="eastAsia"/>
                <w:szCs w:val="24"/>
              </w:rPr>
            </w:pPr>
            <w:r>
              <w:rPr>
                <w:rFonts w:hint="eastAsia"/>
                <w:szCs w:val="24"/>
              </w:rPr>
              <w:t>≥930</w:t>
            </w:r>
          </w:p>
        </w:tc>
        <w:tc>
          <w:tcPr>
            <w:tcW w:w="1420" w:type="dxa"/>
          </w:tcPr>
          <w:p w14:paraId="7F362A79">
            <w:pPr>
              <w:pStyle w:val="16"/>
              <w:spacing w:before="31" w:after="31"/>
              <w:ind w:firstLine="0" w:firstLineChars="0"/>
              <w:jc w:val="left"/>
              <w:rPr>
                <w:rFonts w:hint="eastAsia"/>
                <w:szCs w:val="24"/>
              </w:rPr>
            </w:pPr>
            <w:r>
              <w:rPr>
                <w:rFonts w:hint="eastAsia"/>
                <w:szCs w:val="24"/>
              </w:rPr>
              <w:t>≥13</w:t>
            </w:r>
          </w:p>
        </w:tc>
        <w:tc>
          <w:tcPr>
            <w:tcW w:w="1421" w:type="dxa"/>
          </w:tcPr>
          <w:p w14:paraId="5C0871B8">
            <w:pPr>
              <w:pStyle w:val="16"/>
              <w:spacing w:before="31" w:after="31"/>
              <w:ind w:firstLine="0" w:firstLineChars="0"/>
              <w:jc w:val="left"/>
              <w:rPr>
                <w:rFonts w:hint="eastAsia"/>
                <w:szCs w:val="24"/>
              </w:rPr>
            </w:pPr>
            <w:r>
              <w:rPr>
                <w:rFonts w:hint="eastAsia"/>
                <w:szCs w:val="24"/>
              </w:rPr>
              <w:t>/</w:t>
            </w:r>
          </w:p>
        </w:tc>
        <w:tc>
          <w:tcPr>
            <w:tcW w:w="1421" w:type="dxa"/>
          </w:tcPr>
          <w:p w14:paraId="4AFF9328">
            <w:pPr>
              <w:pStyle w:val="16"/>
              <w:spacing w:before="31" w:after="31"/>
              <w:ind w:firstLine="0" w:firstLineChars="0"/>
              <w:jc w:val="left"/>
              <w:rPr>
                <w:rFonts w:hint="eastAsia"/>
                <w:szCs w:val="24"/>
              </w:rPr>
            </w:pPr>
            <w:r>
              <w:rPr>
                <w:rFonts w:hint="eastAsia"/>
                <w:szCs w:val="24"/>
              </w:rPr>
              <w:t>≥277</w:t>
            </w:r>
          </w:p>
        </w:tc>
      </w:tr>
    </w:tbl>
    <w:p w14:paraId="3339CE14">
      <w:pPr>
        <w:pStyle w:val="16"/>
        <w:spacing w:before="31" w:after="31"/>
        <w:ind w:firstLine="0" w:firstLineChars="0"/>
        <w:jc w:val="left"/>
        <w:rPr>
          <w:szCs w:val="24"/>
        </w:rPr>
      </w:pPr>
      <w:r>
        <w:rPr>
          <w:szCs w:val="24"/>
        </w:rPr>
        <w:t>(4) Component Failure Morphology</w:t>
      </w:r>
    </w:p>
    <w:p w14:paraId="4BA39960">
      <w:pPr>
        <w:pStyle w:val="16"/>
        <w:spacing w:before="31" w:after="31"/>
        <w:ind w:firstLine="480"/>
        <w:jc w:val="left"/>
        <w:rPr>
          <w:szCs w:val="24"/>
        </w:rPr>
      </w:pPr>
      <w:r>
        <w:rPr>
          <w:szCs w:val="24"/>
        </w:rPr>
        <w:t>The conversion joint was a B-type drill string conversion joint of the second category length, and the fracture location was 100mm from the internal threaded end of the joint. Two intact internal threads were present at the residual end of the internal threaded joint, indicating evident wear during the use of the conversion joint. The macroscopic morphology of the fracture surface is shown in Figure 5-14.2, displaying typical features of multiple fatigue sources, with distinct crack propagation zones and instantaneous fracture zones. Three large fatigue crack propagation zones were observed, originating from the root of the same threaded tooth and extending outward radially. Notably, in crack propagation zone 1, the crack had penetrated the entire wall thickness, and the area of crack expansion had exceeded half of the entire cross-section. The crack propagation of the three sources exhibited a clockwise deviation along the circumferential direction, consistent with the rotational direction of the conversion joint during operation. The area of the instantaneous fracture zone was very small, and the total area of the crack propagation zone had reached 80% of the entire cross-section. Along the circumferential direction of the thread root, multiple fatigue crack sources were present on the entire fracture surface, exhibiting typical features of rotating bending fatigue.</w:t>
      </w:r>
    </w:p>
    <w:p w14:paraId="520103C8">
      <w:pPr>
        <w:pStyle w:val="16"/>
        <w:spacing w:before="31" w:after="31"/>
        <w:ind w:firstLine="482"/>
        <w:jc w:val="center"/>
        <w:rPr>
          <w:b/>
          <w:bCs/>
          <w:szCs w:val="24"/>
        </w:rPr>
      </w:pPr>
      <w:r>
        <w:rPr>
          <w:b/>
          <w:bCs/>
          <w:szCs w:val="24"/>
        </w:rPr>
        <w:t>Figure 5-14.2: Macroscopic morphology of the fracture of the conversion joint</w:t>
      </w:r>
    </w:p>
    <w:p w14:paraId="0BFAE454">
      <w:pPr>
        <w:pStyle w:val="16"/>
        <w:spacing w:before="31" w:after="31"/>
        <w:ind w:firstLine="480"/>
        <w:jc w:val="left"/>
        <w:rPr>
          <w:szCs w:val="24"/>
        </w:rPr>
      </w:pPr>
      <w:r>
        <w:rPr>
          <w:szCs w:val="24"/>
        </w:rPr>
        <w:t>Near the fracture of specimen 1, it was clear that two thread teeth engaging with the external thread at the end of the drill bit were severely worn, with the top thickness of the thread teeth being ground into a blade shape, as shown in Figure 5-14.3. This indicated that before the fracture, due to the presence of cracks on the joint, under the repeated action of bending load, the thread engaged with the external thread end underwent relative slip, causing significant wear on the two sides of the thread.</w:t>
      </w:r>
    </w:p>
    <w:p w14:paraId="73FF1A21">
      <w:pPr>
        <w:pStyle w:val="16"/>
        <w:spacing w:before="31" w:after="31"/>
        <w:ind w:firstLine="482"/>
        <w:jc w:val="center"/>
        <w:rPr>
          <w:b/>
          <w:bCs/>
          <w:szCs w:val="24"/>
        </w:rPr>
      </w:pPr>
      <w:r>
        <w:rPr>
          <w:b/>
          <w:bCs/>
          <w:szCs w:val="24"/>
        </w:rPr>
        <w:t>Figure 5-14.3: Thread wear condition at the fracture site</w:t>
      </w:r>
    </w:p>
    <w:p w14:paraId="1C9A6518">
      <w:pPr>
        <w:pStyle w:val="16"/>
        <w:spacing w:before="31" w:after="31"/>
        <w:ind w:firstLine="480"/>
        <w:jc w:val="left"/>
        <w:rPr>
          <w:szCs w:val="24"/>
        </w:rPr>
      </w:pPr>
      <w:r>
        <w:rPr>
          <w:szCs w:val="24"/>
        </w:rPr>
        <w:t>During the magnetic particle non-destructive testing of the remnants of the conversion joint, multiple microcracks were found at the thread root at the internal threaded end. These microcracks were almost all concentrated at the root of the two thread teeth shown in Figure 5-14.3, and they extended along the circumferential direction of the thread root, with some reaching lengths of up to 70mm. Obvious fatigue striations were observed on the fracture morphology in Figure 5-14.4.</w:t>
      </w:r>
    </w:p>
    <w:p w14:paraId="082A51AC">
      <w:pPr>
        <w:pStyle w:val="16"/>
        <w:spacing w:before="31" w:after="31"/>
        <w:ind w:firstLine="482"/>
        <w:jc w:val="center"/>
        <w:rPr>
          <w:b/>
          <w:bCs/>
          <w:szCs w:val="24"/>
        </w:rPr>
      </w:pPr>
      <w:r>
        <w:rPr>
          <w:b/>
          <w:bCs/>
          <w:szCs w:val="24"/>
        </w:rPr>
        <w:t>Figure 5-14.4 Fatigue Striation Visible in SEM Scan of the Fractured Surface</w:t>
      </w:r>
    </w:p>
    <w:p w14:paraId="5B2391D2">
      <w:pPr>
        <w:pStyle w:val="16"/>
        <w:spacing w:before="31" w:after="31"/>
        <w:ind w:firstLine="0" w:firstLineChars="0"/>
        <w:rPr>
          <w:b/>
          <w:bCs/>
          <w:szCs w:val="24"/>
        </w:rPr>
      </w:pPr>
      <w:r>
        <w:rPr>
          <w:szCs w:val="24"/>
        </w:rPr>
        <w:t>(5) Analysis of Failure Causes</w:t>
      </w:r>
    </w:p>
    <w:p w14:paraId="7E9E19F3">
      <w:pPr>
        <w:pStyle w:val="16"/>
        <w:spacing w:before="31" w:after="31"/>
        <w:ind w:firstLine="480"/>
        <w:rPr>
          <w:szCs w:val="24"/>
        </w:rPr>
      </w:pPr>
    </w:p>
    <w:p w14:paraId="1256785D">
      <w:pPr>
        <w:pStyle w:val="16"/>
        <w:spacing w:before="31" w:after="31"/>
        <w:ind w:firstLine="480"/>
        <w:rPr>
          <w:szCs w:val="24"/>
        </w:rPr>
      </w:pPr>
      <w:r>
        <w:rPr>
          <w:szCs w:val="24"/>
        </w:rPr>
        <w:t>The macroscopic and microscopic analysis of the fracture surface indicates the presence of a distinct fatigue crack propagation zone on the fractured surface of the crossover sub. Magnetic particle inspection and metallographic analysis also revealed numerous microcracks at the root of the internal threads in the residual sample of the crossover sub, forming individual fatigue crack sources. The chemical composition, mechanical properties, and metallographic structure of the crossover sub all comply with the SY/T5200-2002 standard. The fracture of the crossover sub is identified as fatigue failure, with the failure mode being fatigue failure. The main influencing factors leading to fatigue failure are as follows:</w:t>
      </w:r>
    </w:p>
    <w:p w14:paraId="2F8027D6">
      <w:pPr>
        <w:pStyle w:val="16"/>
        <w:spacing w:before="31" w:after="31"/>
        <w:ind w:firstLine="480"/>
        <w:rPr>
          <w:szCs w:val="24"/>
        </w:rPr>
      </w:pPr>
      <w:r>
        <w:rPr>
          <w:szCs w:val="24"/>
        </w:rPr>
        <w:t>(a) Unreasonable use of the joint: According to SY/T5200-2002, a Class I length (1220±20 mm) should be selected when the well depth exceeds 2000 m, and a Class I or Class II length (610±10 mm) can be chosen when the well depth is less than or equal to 2000 m. Given that the well depth of this well has reached 5000 m, the use of a Class II length crossover sub is not appropriate.</w:t>
      </w:r>
    </w:p>
    <w:p w14:paraId="256CF310">
      <w:pPr>
        <w:pStyle w:val="16"/>
        <w:spacing w:before="31" w:after="31"/>
        <w:ind w:firstLine="480"/>
        <w:rPr>
          <w:szCs w:val="24"/>
        </w:rPr>
      </w:pPr>
      <w:r>
        <w:rPr>
          <w:szCs w:val="24"/>
        </w:rPr>
        <w:t>(b) Drill string structure: The location of the crossover sub is below the neutral point of the entire drill string, and it bears pressure during drilling operations. The working conditions of the drill string in the well are complex and variable, especially for the drill string near the neutral point. Changes in drilling pressure alter the position of the neutral point, subjecting the drill string near the neutral point to alternating tensile and compressive stresses. The cyclical variations in longitudinal vibration, lateral vibration, and torsional vibration caused by the alternating contact of the drill bit with the bottom of the well, changes in the formation, and the rotation of the turntable also subject the drill string components near the neutral point to alternating stresses. The crossover sub is connected to the downhole shock absorber at one end and to the drill bit at the other end, experiencing a combination of bending, compression, torsion, impact, and vibration, constituting the fatigue load on the crossover sub.</w:t>
      </w:r>
    </w:p>
    <w:p w14:paraId="500D1C95">
      <w:pPr>
        <w:pStyle w:val="16"/>
        <w:spacing w:before="31" w:after="31"/>
        <w:ind w:firstLine="480"/>
        <w:rPr>
          <w:szCs w:val="24"/>
        </w:rPr>
      </w:pPr>
      <w:r>
        <w:rPr>
          <w:szCs w:val="24"/>
        </w:rPr>
        <w:t>(c) Crossover sub eccentric wear: In the drilling process of a straight well, achieving an ideal vertical wellbore is impossible. The rotating drill string components in the curved wellbore segment are subjected to alternating bending stresses. Eccentric wear of the crossover sub indicates that the drill string in the position where the crossover sub is located undergoes bending during operation, causing the drill string to simultaneously rotate and revolve around the wellbore axis. When the drill string undergoes both rotational and revolving movements, the frequency of the periodic load it experiences is the sum of the rotational frequency and the revolving frequency. This increases the frequency of alternating stresses on the drill string, prompting the initiation of cracks in the stress concentration area. Under the repeated action of alternating bending stresses, the stress concentration area at the root of the crossover sub's threads initiates crack sources, leading to fatigue failure.</w:t>
      </w:r>
    </w:p>
    <w:p w14:paraId="1E4A71FD">
      <w:pPr>
        <w:pStyle w:val="16"/>
        <w:spacing w:before="31" w:after="31"/>
        <w:ind w:firstLine="480"/>
        <w:rPr>
          <w:szCs w:val="24"/>
        </w:rPr>
      </w:pPr>
      <w:r>
        <w:rPr>
          <w:szCs w:val="24"/>
        </w:rPr>
        <w:t>(d) Fracture surface as the critical section of the crossover sub: Both theory and practice have demonstrated that when threads are engaged and subjected to loads, the load is not evenly distributed among all engaged threads but is higher at the two ends and lower in the middle. Finite element simulation analysis of threaded connections shows that the threads at the second and third teeth from the end of the external thread joint bear the highest load and represent the critical section of the threaded connection. The location of the fracture of the crossover sub is precisely at the position of the second and third teeth from the end of the external threads.</w:t>
      </w:r>
    </w:p>
    <w:p w14:paraId="0F194DB5">
      <w:pPr>
        <w:pStyle w:val="16"/>
        <w:spacing w:before="31" w:after="31"/>
        <w:ind w:firstLine="480"/>
        <w:rPr>
          <w:szCs w:val="24"/>
        </w:rPr>
      </w:pPr>
      <w:r>
        <w:rPr>
          <w:szCs w:val="24"/>
        </w:rPr>
        <w:t>(e) Bending strength ratio of the crossover sub: The low bending strength ratio at the threaded connection makes the internal thread joint of the crossover sub prone to early failure.</w:t>
      </w:r>
    </w:p>
    <w:p w14:paraId="6AACBDC5">
      <w:pPr>
        <w:pStyle w:val="16"/>
        <w:spacing w:before="31" w:after="31"/>
        <w:ind w:firstLine="0" w:firstLineChars="0"/>
        <w:rPr>
          <w:szCs w:val="24"/>
        </w:rPr>
      </w:pPr>
      <w:r>
        <w:rPr>
          <w:szCs w:val="24"/>
        </w:rPr>
        <w:t>(7) Impact and Harm Caused</w:t>
      </w:r>
    </w:p>
    <w:p w14:paraId="2A545BCF">
      <w:pPr>
        <w:pStyle w:val="16"/>
        <w:spacing w:before="31" w:after="31"/>
        <w:ind w:firstLine="420" w:firstLineChars="0"/>
        <w:rPr>
          <w:rFonts w:hint="eastAsia"/>
          <w:szCs w:val="24"/>
        </w:rPr>
      </w:pPr>
      <w:r>
        <w:rPr>
          <w:szCs w:val="24"/>
        </w:rPr>
        <w:t>Null</w:t>
      </w:r>
    </w:p>
    <w:p w14:paraId="5C599354">
      <w:pPr>
        <w:pStyle w:val="16"/>
        <w:spacing w:before="31" w:after="31"/>
        <w:ind w:firstLine="0" w:firstLineChars="0"/>
        <w:rPr>
          <w:szCs w:val="24"/>
        </w:rPr>
      </w:pPr>
      <w:r>
        <w:rPr>
          <w:szCs w:val="24"/>
        </w:rPr>
        <w:t>(8) Conclusion and Improvement Measures</w:t>
      </w:r>
    </w:p>
    <w:p w14:paraId="3A7509C2">
      <w:pPr>
        <w:pStyle w:val="16"/>
        <w:spacing w:before="31" w:after="31"/>
        <w:ind w:firstLine="480"/>
        <w:rPr>
          <w:szCs w:val="24"/>
        </w:rPr>
      </w:pPr>
      <w:r>
        <w:rPr>
          <w:szCs w:val="24"/>
        </w:rPr>
        <w:t>(a) The fracture of the crossover sub is due to the action of alternating bending stress during its operation, forming a fatigue source on the critical section of the joint and resulting in joint fracture. The failure mode is fatigue failure due to rotational bending fatigue.</w:t>
      </w:r>
    </w:p>
    <w:p w14:paraId="7E32FDD0">
      <w:pPr>
        <w:pStyle w:val="16"/>
        <w:spacing w:before="31" w:after="31"/>
        <w:ind w:firstLine="480"/>
        <w:rPr>
          <w:szCs w:val="24"/>
        </w:rPr>
      </w:pPr>
      <w:r>
        <w:rPr>
          <w:szCs w:val="24"/>
        </w:rPr>
        <w:t>(b) The reasons for the fatigue failure of the crossover sub include the inappropriate use of the crossover sub, which does not comply with the SY/T5200-2002 standard; the actual bending strength ratio of the internal thread joint of the crossover sub is much lower than the reference value specified by the standard, forming a stiffness transition point in the drill string assembly and becoming a weak link in the drill string assembly; stress concentration at the root of the threads causes the threaded joint of the crossover sub to become a critical section; under the action of alternating bending loads, the crossover sub initiates fatigue cracks during use, resulting in early failure.</w:t>
      </w:r>
    </w:p>
    <w:p w14:paraId="574645EF">
      <w:pPr>
        <w:pStyle w:val="16"/>
        <w:spacing w:before="31" w:after="31"/>
        <w:ind w:firstLine="0" w:firstLineChars="0"/>
        <w:rPr>
          <w:b/>
          <w:bCs/>
          <w:szCs w:val="24"/>
        </w:rPr>
      </w:pPr>
      <w:r>
        <w:rPr>
          <w:b/>
          <w:bCs/>
          <w:szCs w:val="24"/>
        </w:rPr>
        <w:t>5.2.15 Case 5-157: Fracture of Sloping Elevator Valve</w:t>
      </w:r>
    </w:p>
    <w:p w14:paraId="180A9079">
      <w:pPr>
        <w:pStyle w:val="16"/>
        <w:spacing w:before="31" w:after="31"/>
        <w:ind w:firstLine="0" w:firstLineChars="0"/>
        <w:rPr>
          <w:szCs w:val="24"/>
        </w:rPr>
      </w:pPr>
      <w:r>
        <w:rPr>
          <w:szCs w:val="24"/>
        </w:rPr>
        <w:t>(1) Case Name</w:t>
      </w:r>
    </w:p>
    <w:p w14:paraId="685540EE">
      <w:pPr>
        <w:pStyle w:val="16"/>
        <w:spacing w:before="31" w:after="31"/>
        <w:ind w:firstLine="480"/>
        <w:rPr>
          <w:szCs w:val="24"/>
        </w:rPr>
      </w:pPr>
      <w:r>
        <w:rPr>
          <w:szCs w:val="24"/>
        </w:rPr>
        <w:t>Fracture of sloping elevator valve [17]</w:t>
      </w:r>
    </w:p>
    <w:p w14:paraId="4D14B1E6">
      <w:pPr>
        <w:pStyle w:val="16"/>
        <w:spacing w:before="31" w:after="31"/>
        <w:ind w:firstLine="0" w:firstLineChars="0"/>
        <w:rPr>
          <w:szCs w:val="24"/>
        </w:rPr>
      </w:pPr>
      <w:r>
        <w:rPr>
          <w:szCs w:val="24"/>
        </w:rPr>
        <w:t>(2) Description of Failure Process</w:t>
      </w:r>
    </w:p>
    <w:p w14:paraId="2DF9A92F">
      <w:pPr>
        <w:pStyle w:val="16"/>
        <w:spacing w:before="31" w:after="31"/>
        <w:ind w:firstLine="480"/>
        <w:rPr>
          <w:szCs w:val="24"/>
        </w:rPr>
      </w:pPr>
      <w:r>
        <w:rPr>
          <w:szCs w:val="24"/>
        </w:rPr>
        <w:t>In 2003, the sloping elevator valves used in a certain oil field fractured after 180 days of service.</w:t>
      </w:r>
    </w:p>
    <w:p w14:paraId="1A25D202">
      <w:pPr>
        <w:pStyle w:val="16"/>
        <w:spacing w:before="31" w:after="31"/>
        <w:ind w:firstLine="0" w:firstLineChars="0"/>
        <w:rPr>
          <w:szCs w:val="24"/>
        </w:rPr>
      </w:pPr>
      <w:r>
        <w:rPr>
          <w:szCs w:val="24"/>
        </w:rPr>
        <w:t>(3) Service Environment:</w:t>
      </w:r>
    </w:p>
    <w:p w14:paraId="37F652AC">
      <w:pPr>
        <w:pStyle w:val="16"/>
        <w:spacing w:before="31" w:after="31"/>
        <w:ind w:firstLine="420" w:firstLineChars="0"/>
        <w:rPr>
          <w:szCs w:val="24"/>
        </w:rPr>
      </w:pPr>
      <w:r>
        <w:rPr>
          <w:szCs w:val="24"/>
        </w:rPr>
        <w:t>Null</w:t>
      </w:r>
    </w:p>
    <w:p w14:paraId="6A9A74F6">
      <w:pPr>
        <w:pStyle w:val="16"/>
        <w:spacing w:before="31" w:after="31"/>
        <w:ind w:firstLine="480"/>
        <w:rPr>
          <w:szCs w:val="24"/>
        </w:rPr>
      </w:pPr>
    </w:p>
    <w:p w14:paraId="66B90B6E">
      <w:pPr>
        <w:pStyle w:val="16"/>
        <w:spacing w:before="31" w:after="31"/>
        <w:ind w:firstLine="0" w:firstLineChars="0"/>
        <w:rPr>
          <w:szCs w:val="24"/>
        </w:rPr>
      </w:pPr>
      <w:r>
        <w:rPr>
          <w:szCs w:val="24"/>
        </w:rPr>
        <w:t>(4) Failed Component and Material</w:t>
      </w:r>
    </w:p>
    <w:p w14:paraId="63F858C5">
      <w:pPr>
        <w:pStyle w:val="16"/>
        <w:spacing w:before="31" w:after="31"/>
        <w:ind w:firstLine="480"/>
        <w:rPr>
          <w:szCs w:val="24"/>
        </w:rPr>
      </w:pPr>
      <w:r>
        <w:rPr>
          <w:szCs w:val="24"/>
        </w:rPr>
        <w:t>Chemical composition results for the valve are provided in Table 5-29. The material is 40CrMo. Mechanical properties are shown in Table 5-30. The σb value of the valve is relatively high, but the elongation after fracture (δ) and impact work are significantly lower than the requirements of the SY5041-92 standard.</w:t>
      </w:r>
    </w:p>
    <w:p w14:paraId="4972674A">
      <w:pPr>
        <w:pStyle w:val="16"/>
        <w:spacing w:before="31" w:after="31"/>
        <w:ind w:firstLine="480"/>
        <w:rPr>
          <w:szCs w:val="24"/>
        </w:rPr>
      </w:pPr>
    </w:p>
    <w:p w14:paraId="44F16709">
      <w:pPr>
        <w:pStyle w:val="16"/>
        <w:spacing w:before="31" w:after="31"/>
        <w:ind w:firstLine="482"/>
        <w:jc w:val="center"/>
        <w:rPr>
          <w:b/>
          <w:bCs/>
          <w:szCs w:val="24"/>
        </w:rPr>
      </w:pPr>
      <w:r>
        <w:rPr>
          <w:b/>
          <w:bCs/>
          <w:szCs w:val="24"/>
        </w:rPr>
        <w:t>Table 5-29: Chemical Composition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621"/>
        <w:gridCol w:w="621"/>
        <w:gridCol w:w="621"/>
        <w:gridCol w:w="737"/>
        <w:gridCol w:w="738"/>
        <w:gridCol w:w="622"/>
        <w:gridCol w:w="622"/>
        <w:gridCol w:w="738"/>
        <w:gridCol w:w="738"/>
        <w:gridCol w:w="738"/>
        <w:gridCol w:w="738"/>
      </w:tblGrid>
      <w:tr w14:paraId="40FC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54958727">
            <w:pPr>
              <w:pStyle w:val="16"/>
              <w:spacing w:before="31" w:after="31"/>
              <w:ind w:firstLine="0" w:firstLineChars="0"/>
              <w:rPr>
                <w:szCs w:val="24"/>
              </w:rPr>
            </w:pPr>
            <w:r>
              <w:rPr>
                <w:szCs w:val="24"/>
              </w:rPr>
              <w:t>Element</w:t>
            </w:r>
          </w:p>
        </w:tc>
        <w:tc>
          <w:tcPr>
            <w:tcW w:w="710" w:type="dxa"/>
          </w:tcPr>
          <w:p w14:paraId="076EC075">
            <w:pPr>
              <w:pStyle w:val="16"/>
              <w:spacing w:before="31" w:after="31"/>
              <w:ind w:firstLine="0" w:firstLineChars="0"/>
              <w:rPr>
                <w:szCs w:val="24"/>
              </w:rPr>
            </w:pPr>
            <w:r>
              <w:rPr>
                <w:szCs w:val="24"/>
              </w:rPr>
              <w:t>C</w:t>
            </w:r>
          </w:p>
        </w:tc>
        <w:tc>
          <w:tcPr>
            <w:tcW w:w="710" w:type="dxa"/>
          </w:tcPr>
          <w:p w14:paraId="3EDA0173">
            <w:pPr>
              <w:pStyle w:val="16"/>
              <w:spacing w:before="31" w:after="31"/>
              <w:ind w:firstLine="0" w:firstLineChars="0"/>
              <w:rPr>
                <w:szCs w:val="24"/>
              </w:rPr>
            </w:pPr>
            <w:r>
              <w:rPr>
                <w:szCs w:val="24"/>
              </w:rPr>
              <w:t>Si</w:t>
            </w:r>
          </w:p>
        </w:tc>
        <w:tc>
          <w:tcPr>
            <w:tcW w:w="710" w:type="dxa"/>
          </w:tcPr>
          <w:p w14:paraId="4C76746A">
            <w:pPr>
              <w:pStyle w:val="16"/>
              <w:spacing w:before="31" w:after="31"/>
              <w:ind w:firstLine="0" w:firstLineChars="0"/>
              <w:rPr>
                <w:szCs w:val="24"/>
              </w:rPr>
            </w:pPr>
            <w:r>
              <w:rPr>
                <w:szCs w:val="24"/>
              </w:rPr>
              <w:t>Mn</w:t>
            </w:r>
          </w:p>
        </w:tc>
        <w:tc>
          <w:tcPr>
            <w:tcW w:w="710" w:type="dxa"/>
          </w:tcPr>
          <w:p w14:paraId="775CE5F7">
            <w:pPr>
              <w:pStyle w:val="16"/>
              <w:spacing w:before="31" w:after="31"/>
              <w:ind w:firstLine="0" w:firstLineChars="0"/>
              <w:rPr>
                <w:szCs w:val="24"/>
              </w:rPr>
            </w:pPr>
            <w:r>
              <w:rPr>
                <w:szCs w:val="24"/>
              </w:rPr>
              <w:t>P</w:t>
            </w:r>
          </w:p>
        </w:tc>
        <w:tc>
          <w:tcPr>
            <w:tcW w:w="710" w:type="dxa"/>
          </w:tcPr>
          <w:p w14:paraId="41EF1E4E">
            <w:pPr>
              <w:pStyle w:val="16"/>
              <w:spacing w:before="31" w:after="31"/>
              <w:ind w:firstLine="0" w:firstLineChars="0"/>
              <w:rPr>
                <w:szCs w:val="24"/>
              </w:rPr>
            </w:pPr>
            <w:r>
              <w:rPr>
                <w:szCs w:val="24"/>
              </w:rPr>
              <w:t>S</w:t>
            </w:r>
          </w:p>
        </w:tc>
        <w:tc>
          <w:tcPr>
            <w:tcW w:w="710" w:type="dxa"/>
          </w:tcPr>
          <w:p w14:paraId="0D6A6DA1">
            <w:pPr>
              <w:pStyle w:val="16"/>
              <w:spacing w:before="31" w:after="31"/>
              <w:ind w:firstLine="0" w:firstLineChars="0"/>
              <w:rPr>
                <w:szCs w:val="24"/>
              </w:rPr>
            </w:pPr>
            <w:r>
              <w:rPr>
                <w:szCs w:val="24"/>
              </w:rPr>
              <w:t>Cr</w:t>
            </w:r>
          </w:p>
        </w:tc>
        <w:tc>
          <w:tcPr>
            <w:tcW w:w="710" w:type="dxa"/>
          </w:tcPr>
          <w:p w14:paraId="46FC846B">
            <w:pPr>
              <w:pStyle w:val="16"/>
              <w:spacing w:before="31" w:after="31"/>
              <w:ind w:firstLine="0" w:firstLineChars="0"/>
              <w:rPr>
                <w:szCs w:val="24"/>
              </w:rPr>
            </w:pPr>
            <w:r>
              <w:rPr>
                <w:szCs w:val="24"/>
              </w:rPr>
              <w:t>Mo</w:t>
            </w:r>
          </w:p>
        </w:tc>
        <w:tc>
          <w:tcPr>
            <w:tcW w:w="710" w:type="dxa"/>
          </w:tcPr>
          <w:p w14:paraId="6070C8EC">
            <w:pPr>
              <w:pStyle w:val="16"/>
              <w:spacing w:before="31" w:after="31"/>
              <w:ind w:firstLine="0" w:firstLineChars="0"/>
              <w:rPr>
                <w:szCs w:val="24"/>
              </w:rPr>
            </w:pPr>
            <w:r>
              <w:rPr>
                <w:szCs w:val="24"/>
              </w:rPr>
              <w:t>Ni</w:t>
            </w:r>
          </w:p>
        </w:tc>
        <w:tc>
          <w:tcPr>
            <w:tcW w:w="710" w:type="dxa"/>
          </w:tcPr>
          <w:p w14:paraId="61D8ED95">
            <w:pPr>
              <w:pStyle w:val="16"/>
              <w:spacing w:before="31" w:after="31"/>
              <w:ind w:firstLine="0" w:firstLineChars="0"/>
              <w:rPr>
                <w:szCs w:val="24"/>
              </w:rPr>
            </w:pPr>
            <w:r>
              <w:rPr>
                <w:szCs w:val="24"/>
              </w:rPr>
              <w:t>V</w:t>
            </w:r>
          </w:p>
        </w:tc>
        <w:tc>
          <w:tcPr>
            <w:tcW w:w="711" w:type="dxa"/>
          </w:tcPr>
          <w:p w14:paraId="5A1F63E4">
            <w:pPr>
              <w:pStyle w:val="16"/>
              <w:spacing w:before="31" w:after="31"/>
              <w:ind w:firstLine="0" w:firstLineChars="0"/>
              <w:rPr>
                <w:szCs w:val="24"/>
              </w:rPr>
            </w:pPr>
            <w:r>
              <w:rPr>
                <w:szCs w:val="24"/>
              </w:rPr>
              <w:t>Ti</w:t>
            </w:r>
          </w:p>
        </w:tc>
        <w:tc>
          <w:tcPr>
            <w:tcW w:w="711" w:type="dxa"/>
          </w:tcPr>
          <w:p w14:paraId="0147F7DA">
            <w:pPr>
              <w:pStyle w:val="16"/>
              <w:spacing w:before="31" w:after="31"/>
              <w:ind w:firstLine="0" w:firstLineChars="0"/>
              <w:rPr>
                <w:szCs w:val="24"/>
              </w:rPr>
            </w:pPr>
            <w:r>
              <w:rPr>
                <w:szCs w:val="24"/>
              </w:rPr>
              <w:t>Cu</w:t>
            </w:r>
          </w:p>
        </w:tc>
      </w:tr>
      <w:tr w14:paraId="46EF7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1FB44CB7">
            <w:pPr>
              <w:pStyle w:val="16"/>
              <w:spacing w:before="31" w:after="31"/>
              <w:ind w:firstLine="0" w:firstLineChars="0"/>
              <w:rPr>
                <w:szCs w:val="24"/>
              </w:rPr>
            </w:pPr>
            <w:r>
              <w:rPr>
                <w:szCs w:val="24"/>
              </w:rPr>
              <w:t>Content</w:t>
            </w:r>
          </w:p>
        </w:tc>
        <w:tc>
          <w:tcPr>
            <w:tcW w:w="710" w:type="dxa"/>
          </w:tcPr>
          <w:p w14:paraId="62EFCF10">
            <w:pPr>
              <w:pStyle w:val="16"/>
              <w:spacing w:before="31" w:after="31"/>
              <w:ind w:firstLine="0" w:firstLineChars="0"/>
              <w:rPr>
                <w:szCs w:val="24"/>
              </w:rPr>
            </w:pPr>
            <w:r>
              <w:rPr>
                <w:szCs w:val="24"/>
              </w:rPr>
              <w:t>0.43</w:t>
            </w:r>
          </w:p>
        </w:tc>
        <w:tc>
          <w:tcPr>
            <w:tcW w:w="710" w:type="dxa"/>
          </w:tcPr>
          <w:p w14:paraId="24E776B3">
            <w:pPr>
              <w:pStyle w:val="16"/>
              <w:spacing w:before="31" w:after="31"/>
              <w:ind w:firstLine="0" w:firstLineChars="0"/>
              <w:rPr>
                <w:szCs w:val="24"/>
              </w:rPr>
            </w:pPr>
            <w:r>
              <w:rPr>
                <w:szCs w:val="24"/>
              </w:rPr>
              <w:t>0.20</w:t>
            </w:r>
          </w:p>
        </w:tc>
        <w:tc>
          <w:tcPr>
            <w:tcW w:w="710" w:type="dxa"/>
          </w:tcPr>
          <w:p w14:paraId="5EC17B5B">
            <w:pPr>
              <w:pStyle w:val="16"/>
              <w:spacing w:before="31" w:after="31"/>
              <w:ind w:firstLine="0" w:firstLineChars="0"/>
              <w:rPr>
                <w:szCs w:val="24"/>
              </w:rPr>
            </w:pPr>
            <w:r>
              <w:rPr>
                <w:szCs w:val="24"/>
              </w:rPr>
              <w:t>0.46</w:t>
            </w:r>
          </w:p>
        </w:tc>
        <w:tc>
          <w:tcPr>
            <w:tcW w:w="710" w:type="dxa"/>
          </w:tcPr>
          <w:p w14:paraId="3FA63317">
            <w:pPr>
              <w:pStyle w:val="16"/>
              <w:spacing w:before="31" w:after="31"/>
              <w:ind w:firstLine="0" w:firstLineChars="0"/>
              <w:rPr>
                <w:szCs w:val="24"/>
              </w:rPr>
            </w:pPr>
            <w:r>
              <w:rPr>
                <w:szCs w:val="24"/>
              </w:rPr>
              <w:t>0.018</w:t>
            </w:r>
          </w:p>
        </w:tc>
        <w:tc>
          <w:tcPr>
            <w:tcW w:w="710" w:type="dxa"/>
          </w:tcPr>
          <w:p w14:paraId="6602DBCF">
            <w:pPr>
              <w:pStyle w:val="16"/>
              <w:spacing w:before="31" w:after="31"/>
              <w:ind w:firstLine="0" w:firstLineChars="0"/>
              <w:rPr>
                <w:szCs w:val="24"/>
              </w:rPr>
            </w:pPr>
            <w:r>
              <w:rPr>
                <w:szCs w:val="24"/>
              </w:rPr>
              <w:t>0.021</w:t>
            </w:r>
          </w:p>
        </w:tc>
        <w:tc>
          <w:tcPr>
            <w:tcW w:w="710" w:type="dxa"/>
          </w:tcPr>
          <w:p w14:paraId="16B787F7">
            <w:pPr>
              <w:pStyle w:val="16"/>
              <w:spacing w:before="31" w:after="31"/>
              <w:ind w:firstLine="0" w:firstLineChars="0"/>
              <w:rPr>
                <w:szCs w:val="24"/>
              </w:rPr>
            </w:pPr>
            <w:r>
              <w:rPr>
                <w:szCs w:val="24"/>
              </w:rPr>
              <w:t>1.12</w:t>
            </w:r>
          </w:p>
        </w:tc>
        <w:tc>
          <w:tcPr>
            <w:tcW w:w="710" w:type="dxa"/>
          </w:tcPr>
          <w:p w14:paraId="19E7DA90">
            <w:pPr>
              <w:pStyle w:val="16"/>
              <w:spacing w:before="31" w:after="31"/>
              <w:ind w:firstLine="0" w:firstLineChars="0"/>
              <w:rPr>
                <w:szCs w:val="24"/>
              </w:rPr>
            </w:pPr>
            <w:r>
              <w:rPr>
                <w:szCs w:val="24"/>
              </w:rPr>
              <w:t>0.32</w:t>
            </w:r>
          </w:p>
        </w:tc>
        <w:tc>
          <w:tcPr>
            <w:tcW w:w="710" w:type="dxa"/>
          </w:tcPr>
          <w:p w14:paraId="6EB872E4">
            <w:pPr>
              <w:pStyle w:val="16"/>
              <w:spacing w:before="31" w:after="31"/>
              <w:ind w:firstLine="0" w:firstLineChars="0"/>
              <w:rPr>
                <w:szCs w:val="24"/>
              </w:rPr>
            </w:pPr>
            <w:r>
              <w:rPr>
                <w:szCs w:val="24"/>
              </w:rPr>
              <w:t>0.066</w:t>
            </w:r>
          </w:p>
        </w:tc>
        <w:tc>
          <w:tcPr>
            <w:tcW w:w="710" w:type="dxa"/>
          </w:tcPr>
          <w:p w14:paraId="351C97F4">
            <w:pPr>
              <w:pStyle w:val="16"/>
              <w:spacing w:before="31" w:after="31"/>
              <w:ind w:firstLine="0" w:firstLineChars="0"/>
              <w:rPr>
                <w:szCs w:val="24"/>
              </w:rPr>
            </w:pPr>
            <w:r>
              <w:rPr>
                <w:szCs w:val="24"/>
              </w:rPr>
              <w:t>0.012</w:t>
            </w:r>
          </w:p>
        </w:tc>
        <w:tc>
          <w:tcPr>
            <w:tcW w:w="711" w:type="dxa"/>
          </w:tcPr>
          <w:p w14:paraId="24FE40B0">
            <w:pPr>
              <w:pStyle w:val="16"/>
              <w:spacing w:before="31" w:after="31"/>
              <w:ind w:firstLine="0" w:firstLineChars="0"/>
              <w:rPr>
                <w:szCs w:val="24"/>
              </w:rPr>
            </w:pPr>
            <w:r>
              <w:rPr>
                <w:szCs w:val="24"/>
              </w:rPr>
              <w:t>0.008</w:t>
            </w:r>
          </w:p>
        </w:tc>
        <w:tc>
          <w:tcPr>
            <w:tcW w:w="711" w:type="dxa"/>
          </w:tcPr>
          <w:p w14:paraId="490459A2">
            <w:pPr>
              <w:pStyle w:val="16"/>
              <w:spacing w:before="31" w:after="31"/>
              <w:ind w:firstLine="0" w:firstLineChars="0"/>
              <w:rPr>
                <w:szCs w:val="24"/>
              </w:rPr>
            </w:pPr>
            <w:r>
              <w:rPr>
                <w:szCs w:val="24"/>
              </w:rPr>
              <w:t>0.004</w:t>
            </w:r>
          </w:p>
        </w:tc>
      </w:tr>
    </w:tbl>
    <w:p w14:paraId="760ADCD4">
      <w:pPr>
        <w:pStyle w:val="16"/>
        <w:spacing w:before="31" w:after="31"/>
        <w:ind w:firstLine="482"/>
        <w:jc w:val="center"/>
        <w:rPr>
          <w:b/>
          <w:bCs/>
          <w:szCs w:val="24"/>
        </w:rPr>
      </w:pPr>
    </w:p>
    <w:p w14:paraId="19C6A874">
      <w:pPr>
        <w:pStyle w:val="16"/>
        <w:spacing w:before="31" w:after="31"/>
        <w:ind w:firstLine="482"/>
        <w:jc w:val="center"/>
        <w:rPr>
          <w:b/>
          <w:bCs/>
          <w:szCs w:val="24"/>
        </w:rPr>
      </w:pPr>
      <w:r>
        <w:rPr>
          <w:b/>
          <w:bCs/>
          <w:szCs w:val="24"/>
        </w:rPr>
        <w:t>Table 5-30: Mechanical Properties Test Results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4"/>
        <w:gridCol w:w="585"/>
        <w:gridCol w:w="613"/>
        <w:gridCol w:w="685"/>
        <w:gridCol w:w="744"/>
        <w:gridCol w:w="823"/>
        <w:gridCol w:w="469"/>
        <w:gridCol w:w="677"/>
        <w:gridCol w:w="527"/>
        <w:gridCol w:w="600"/>
        <w:gridCol w:w="520"/>
        <w:gridCol w:w="594"/>
        <w:gridCol w:w="501"/>
      </w:tblGrid>
      <w:tr w14:paraId="15450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5" w:type="dxa"/>
          </w:tcPr>
          <w:p w14:paraId="00A16280">
            <w:pPr>
              <w:pStyle w:val="16"/>
              <w:spacing w:before="31" w:after="31"/>
              <w:ind w:firstLine="0" w:firstLineChars="0"/>
              <w:rPr>
                <w:szCs w:val="24"/>
              </w:rPr>
            </w:pPr>
            <w:r>
              <w:rPr>
                <w:szCs w:val="24"/>
              </w:rPr>
              <w:t>Test</w:t>
            </w:r>
          </w:p>
        </w:tc>
        <w:tc>
          <w:tcPr>
            <w:tcW w:w="655" w:type="dxa"/>
          </w:tcPr>
          <w:p w14:paraId="4A4C8771">
            <w:pPr>
              <w:pStyle w:val="16"/>
              <w:spacing w:before="31" w:after="31"/>
              <w:ind w:firstLine="0" w:firstLineChars="0"/>
              <w:rPr>
                <w:szCs w:val="24"/>
              </w:rPr>
            </w:pPr>
            <w:r>
              <w:rPr>
                <w:szCs w:val="24"/>
              </w:rPr>
              <w:t>Values</w:t>
            </w:r>
          </w:p>
        </w:tc>
        <w:tc>
          <w:tcPr>
            <w:tcW w:w="655" w:type="dxa"/>
          </w:tcPr>
          <w:p w14:paraId="74F4DAB3">
            <w:pPr>
              <w:pStyle w:val="16"/>
              <w:spacing w:before="31" w:after="31"/>
              <w:ind w:firstLine="0" w:firstLineChars="0"/>
              <w:rPr>
                <w:szCs w:val="24"/>
              </w:rPr>
            </w:pPr>
            <w:r>
              <w:rPr>
                <w:szCs w:val="24"/>
              </w:rPr>
              <w:t>Tensile</w:t>
            </w:r>
          </w:p>
        </w:tc>
        <w:tc>
          <w:tcPr>
            <w:tcW w:w="655" w:type="dxa"/>
          </w:tcPr>
          <w:p w14:paraId="7076FE42">
            <w:pPr>
              <w:pStyle w:val="16"/>
              <w:spacing w:before="31" w:after="31"/>
              <w:ind w:firstLine="0" w:firstLineChars="0"/>
              <w:rPr>
                <w:szCs w:val="24"/>
              </w:rPr>
            </w:pPr>
            <w:r>
              <w:rPr>
                <w:szCs w:val="24"/>
              </w:rPr>
              <w:t>Strength</w:t>
            </w:r>
          </w:p>
        </w:tc>
        <w:tc>
          <w:tcPr>
            <w:tcW w:w="655" w:type="dxa"/>
          </w:tcPr>
          <w:p w14:paraId="20052649">
            <w:pPr>
              <w:pStyle w:val="16"/>
              <w:spacing w:before="31" w:after="31"/>
              <w:ind w:firstLine="0" w:firstLineChars="0"/>
              <w:rPr>
                <w:szCs w:val="24"/>
              </w:rPr>
            </w:pPr>
            <w:r>
              <w:rPr>
                <w:szCs w:val="24"/>
              </w:rPr>
              <w:t>(σb/Mpa)</w:t>
            </w:r>
          </w:p>
        </w:tc>
        <w:tc>
          <w:tcPr>
            <w:tcW w:w="655" w:type="dxa"/>
          </w:tcPr>
          <w:p w14:paraId="009A7F30">
            <w:pPr>
              <w:pStyle w:val="16"/>
              <w:spacing w:before="31" w:after="31"/>
              <w:ind w:firstLine="0" w:firstLineChars="0"/>
              <w:rPr>
                <w:szCs w:val="24"/>
              </w:rPr>
            </w:pPr>
            <w:r>
              <w:rPr>
                <w:szCs w:val="24"/>
              </w:rPr>
              <w:t>Elongation</w:t>
            </w:r>
          </w:p>
        </w:tc>
        <w:tc>
          <w:tcPr>
            <w:tcW w:w="656" w:type="dxa"/>
          </w:tcPr>
          <w:p w14:paraId="420DFE8C">
            <w:pPr>
              <w:pStyle w:val="16"/>
              <w:spacing w:before="31" w:after="31"/>
              <w:ind w:firstLine="0" w:firstLineChars="0"/>
              <w:rPr>
                <w:szCs w:val="24"/>
              </w:rPr>
            </w:pPr>
            <w:r>
              <w:rPr>
                <w:szCs w:val="24"/>
              </w:rPr>
              <w:t>after</w:t>
            </w:r>
          </w:p>
        </w:tc>
        <w:tc>
          <w:tcPr>
            <w:tcW w:w="656" w:type="dxa"/>
          </w:tcPr>
          <w:p w14:paraId="2DEB1DD9">
            <w:pPr>
              <w:pStyle w:val="16"/>
              <w:spacing w:before="31" w:after="31"/>
              <w:ind w:firstLine="0" w:firstLineChars="0"/>
              <w:rPr>
                <w:szCs w:val="24"/>
              </w:rPr>
            </w:pPr>
            <w:r>
              <w:rPr>
                <w:szCs w:val="24"/>
              </w:rPr>
              <w:t>Fracture</w:t>
            </w:r>
          </w:p>
        </w:tc>
        <w:tc>
          <w:tcPr>
            <w:tcW w:w="656" w:type="dxa"/>
          </w:tcPr>
          <w:p w14:paraId="2FE4DCBC">
            <w:pPr>
              <w:pStyle w:val="16"/>
              <w:spacing w:before="31" w:after="31"/>
              <w:ind w:firstLine="0" w:firstLineChars="0"/>
              <w:rPr>
                <w:szCs w:val="24"/>
              </w:rPr>
            </w:pPr>
            <w:r>
              <w:rPr>
                <w:szCs w:val="24"/>
              </w:rPr>
              <w:t>(δ/%)</w:t>
            </w:r>
          </w:p>
        </w:tc>
        <w:tc>
          <w:tcPr>
            <w:tcW w:w="656" w:type="dxa"/>
          </w:tcPr>
          <w:p w14:paraId="79F4D609">
            <w:pPr>
              <w:pStyle w:val="16"/>
              <w:spacing w:before="31" w:after="31"/>
              <w:ind w:firstLine="0" w:firstLineChars="0"/>
              <w:rPr>
                <w:szCs w:val="24"/>
              </w:rPr>
            </w:pPr>
            <w:r>
              <w:rPr>
                <w:szCs w:val="24"/>
              </w:rPr>
              <w:t>Impact</w:t>
            </w:r>
          </w:p>
        </w:tc>
        <w:tc>
          <w:tcPr>
            <w:tcW w:w="656" w:type="dxa"/>
          </w:tcPr>
          <w:p w14:paraId="40C40AE2">
            <w:pPr>
              <w:pStyle w:val="16"/>
              <w:spacing w:before="31" w:after="31"/>
              <w:ind w:firstLine="0" w:firstLineChars="0"/>
              <w:rPr>
                <w:szCs w:val="24"/>
              </w:rPr>
            </w:pPr>
            <w:r>
              <w:rPr>
                <w:szCs w:val="24"/>
              </w:rPr>
              <w:t>Work</w:t>
            </w:r>
          </w:p>
        </w:tc>
        <w:tc>
          <w:tcPr>
            <w:tcW w:w="656" w:type="dxa"/>
          </w:tcPr>
          <w:p w14:paraId="3BE2646E">
            <w:pPr>
              <w:pStyle w:val="16"/>
              <w:spacing w:before="31" w:after="31"/>
              <w:ind w:firstLine="0" w:firstLineChars="0"/>
              <w:rPr>
                <w:szCs w:val="24"/>
              </w:rPr>
            </w:pPr>
            <w:r>
              <w:rPr>
                <w:szCs w:val="24"/>
              </w:rPr>
              <w:t>(20°C)</w:t>
            </w:r>
          </w:p>
        </w:tc>
        <w:tc>
          <w:tcPr>
            <w:tcW w:w="656" w:type="dxa"/>
          </w:tcPr>
          <w:p w14:paraId="7733B21D">
            <w:pPr>
              <w:pStyle w:val="16"/>
              <w:spacing w:before="31" w:after="31"/>
              <w:ind w:firstLine="0" w:firstLineChars="0"/>
              <w:rPr>
                <w:szCs w:val="24"/>
              </w:rPr>
            </w:pPr>
            <w:r>
              <w:rPr>
                <w:szCs w:val="24"/>
              </w:rPr>
              <w:t>(A/J)</w:t>
            </w:r>
          </w:p>
        </w:tc>
      </w:tr>
      <w:tr w14:paraId="25FED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5" w:type="dxa"/>
          </w:tcPr>
          <w:p w14:paraId="133C21C6">
            <w:pPr>
              <w:pStyle w:val="16"/>
              <w:spacing w:before="31" w:after="31"/>
              <w:ind w:firstLine="0" w:firstLineChars="0"/>
              <w:rPr>
                <w:szCs w:val="24"/>
              </w:rPr>
            </w:pPr>
            <w:r>
              <w:rPr>
                <w:szCs w:val="24"/>
              </w:rPr>
              <w:t>Measured</w:t>
            </w:r>
          </w:p>
        </w:tc>
        <w:tc>
          <w:tcPr>
            <w:tcW w:w="655" w:type="dxa"/>
          </w:tcPr>
          <w:p w14:paraId="04E85AFC">
            <w:pPr>
              <w:pStyle w:val="16"/>
              <w:spacing w:before="31" w:after="31"/>
              <w:ind w:firstLine="0" w:firstLineChars="0"/>
              <w:rPr>
                <w:szCs w:val="24"/>
              </w:rPr>
            </w:pPr>
            <w:r>
              <w:rPr>
                <w:szCs w:val="24"/>
              </w:rPr>
              <w:t>Values</w:t>
            </w:r>
          </w:p>
        </w:tc>
        <w:tc>
          <w:tcPr>
            <w:tcW w:w="655" w:type="dxa"/>
          </w:tcPr>
          <w:p w14:paraId="60F735E9">
            <w:pPr>
              <w:pStyle w:val="16"/>
              <w:spacing w:before="31" w:after="31"/>
              <w:ind w:firstLine="0" w:firstLineChars="0"/>
              <w:rPr>
                <w:szCs w:val="24"/>
              </w:rPr>
            </w:pPr>
            <w:r>
              <w:rPr>
                <w:szCs w:val="24"/>
              </w:rPr>
              <w:t>857</w:t>
            </w:r>
          </w:p>
        </w:tc>
        <w:tc>
          <w:tcPr>
            <w:tcW w:w="655" w:type="dxa"/>
          </w:tcPr>
          <w:p w14:paraId="06DC069C">
            <w:pPr>
              <w:pStyle w:val="16"/>
              <w:spacing w:before="31" w:after="31"/>
              <w:ind w:firstLine="0" w:firstLineChars="0"/>
              <w:rPr>
                <w:szCs w:val="24"/>
              </w:rPr>
            </w:pPr>
            <w:r>
              <w:rPr>
                <w:szCs w:val="24"/>
              </w:rPr>
              <w:t>5.2</w:t>
            </w:r>
          </w:p>
        </w:tc>
        <w:tc>
          <w:tcPr>
            <w:tcW w:w="655" w:type="dxa"/>
          </w:tcPr>
          <w:p w14:paraId="41F655C7">
            <w:pPr>
              <w:pStyle w:val="16"/>
              <w:spacing w:before="31" w:after="31"/>
              <w:ind w:firstLine="0" w:firstLineChars="0"/>
              <w:rPr>
                <w:szCs w:val="24"/>
              </w:rPr>
            </w:pPr>
            <w:r>
              <w:rPr>
                <w:szCs w:val="24"/>
              </w:rPr>
              <w:t>8.0</w:t>
            </w:r>
          </w:p>
        </w:tc>
        <w:tc>
          <w:tcPr>
            <w:tcW w:w="655" w:type="dxa"/>
          </w:tcPr>
          <w:p w14:paraId="22459B98">
            <w:pPr>
              <w:pStyle w:val="16"/>
              <w:spacing w:before="31" w:after="31"/>
              <w:ind w:firstLine="0" w:firstLineChars="0"/>
              <w:rPr>
                <w:szCs w:val="24"/>
              </w:rPr>
            </w:pPr>
          </w:p>
        </w:tc>
        <w:tc>
          <w:tcPr>
            <w:tcW w:w="656" w:type="dxa"/>
          </w:tcPr>
          <w:p w14:paraId="636EEA10">
            <w:pPr>
              <w:pStyle w:val="16"/>
              <w:spacing w:before="31" w:after="31"/>
              <w:ind w:firstLine="0" w:firstLineChars="0"/>
              <w:rPr>
                <w:szCs w:val="24"/>
              </w:rPr>
            </w:pPr>
          </w:p>
        </w:tc>
        <w:tc>
          <w:tcPr>
            <w:tcW w:w="656" w:type="dxa"/>
          </w:tcPr>
          <w:p w14:paraId="31164B78">
            <w:pPr>
              <w:pStyle w:val="16"/>
              <w:spacing w:before="31" w:after="31"/>
              <w:ind w:firstLine="0" w:firstLineChars="0"/>
              <w:rPr>
                <w:szCs w:val="24"/>
              </w:rPr>
            </w:pPr>
          </w:p>
        </w:tc>
        <w:tc>
          <w:tcPr>
            <w:tcW w:w="656" w:type="dxa"/>
          </w:tcPr>
          <w:p w14:paraId="3F5A0466">
            <w:pPr>
              <w:pStyle w:val="16"/>
              <w:spacing w:before="31" w:after="31"/>
              <w:ind w:firstLine="0" w:firstLineChars="0"/>
              <w:rPr>
                <w:szCs w:val="24"/>
              </w:rPr>
            </w:pPr>
          </w:p>
        </w:tc>
        <w:tc>
          <w:tcPr>
            <w:tcW w:w="656" w:type="dxa"/>
          </w:tcPr>
          <w:p w14:paraId="7B6793AB">
            <w:pPr>
              <w:pStyle w:val="16"/>
              <w:spacing w:before="31" w:after="31"/>
              <w:ind w:firstLine="0" w:firstLineChars="0"/>
              <w:rPr>
                <w:szCs w:val="24"/>
              </w:rPr>
            </w:pPr>
          </w:p>
        </w:tc>
        <w:tc>
          <w:tcPr>
            <w:tcW w:w="656" w:type="dxa"/>
          </w:tcPr>
          <w:p w14:paraId="4F99066C">
            <w:pPr>
              <w:pStyle w:val="16"/>
              <w:spacing w:before="31" w:after="31"/>
              <w:ind w:firstLine="0" w:firstLineChars="0"/>
              <w:rPr>
                <w:szCs w:val="24"/>
              </w:rPr>
            </w:pPr>
          </w:p>
        </w:tc>
        <w:tc>
          <w:tcPr>
            <w:tcW w:w="656" w:type="dxa"/>
          </w:tcPr>
          <w:p w14:paraId="3C984E74">
            <w:pPr>
              <w:pStyle w:val="16"/>
              <w:spacing w:before="31" w:after="31"/>
              <w:ind w:firstLine="0" w:firstLineChars="0"/>
              <w:rPr>
                <w:szCs w:val="24"/>
              </w:rPr>
            </w:pPr>
          </w:p>
        </w:tc>
        <w:tc>
          <w:tcPr>
            <w:tcW w:w="656" w:type="dxa"/>
          </w:tcPr>
          <w:p w14:paraId="3A067D3A">
            <w:pPr>
              <w:pStyle w:val="16"/>
              <w:spacing w:before="31" w:after="31"/>
              <w:ind w:firstLine="0" w:firstLineChars="0"/>
              <w:rPr>
                <w:szCs w:val="24"/>
              </w:rPr>
            </w:pPr>
          </w:p>
        </w:tc>
      </w:tr>
      <w:tr w14:paraId="2BA74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5" w:type="dxa"/>
          </w:tcPr>
          <w:p w14:paraId="3DD7E63C">
            <w:pPr>
              <w:pStyle w:val="16"/>
              <w:spacing w:before="31" w:after="31"/>
              <w:ind w:firstLine="0" w:firstLineChars="0"/>
              <w:rPr>
                <w:szCs w:val="24"/>
              </w:rPr>
            </w:pPr>
          </w:p>
        </w:tc>
        <w:tc>
          <w:tcPr>
            <w:tcW w:w="655" w:type="dxa"/>
          </w:tcPr>
          <w:p w14:paraId="1EA86557">
            <w:pPr>
              <w:pStyle w:val="16"/>
              <w:spacing w:before="31" w:after="31"/>
              <w:ind w:firstLine="0" w:firstLineChars="0"/>
              <w:rPr>
                <w:szCs w:val="24"/>
              </w:rPr>
            </w:pPr>
            <w:r>
              <w:rPr>
                <w:szCs w:val="24"/>
              </w:rPr>
              <w:t>947</w:t>
            </w:r>
          </w:p>
        </w:tc>
        <w:tc>
          <w:tcPr>
            <w:tcW w:w="655" w:type="dxa"/>
          </w:tcPr>
          <w:p w14:paraId="3D447068">
            <w:pPr>
              <w:pStyle w:val="16"/>
              <w:spacing w:before="31" w:after="31"/>
              <w:ind w:firstLine="0" w:firstLineChars="0"/>
              <w:rPr>
                <w:szCs w:val="24"/>
              </w:rPr>
            </w:pPr>
            <w:r>
              <w:rPr>
                <w:szCs w:val="24"/>
              </w:rPr>
              <w:t>6.8</w:t>
            </w:r>
          </w:p>
        </w:tc>
        <w:tc>
          <w:tcPr>
            <w:tcW w:w="655" w:type="dxa"/>
          </w:tcPr>
          <w:p w14:paraId="0599094C">
            <w:pPr>
              <w:pStyle w:val="16"/>
              <w:spacing w:before="31" w:after="31"/>
              <w:ind w:firstLine="0" w:firstLineChars="0"/>
              <w:rPr>
                <w:szCs w:val="24"/>
              </w:rPr>
            </w:pPr>
            <w:r>
              <w:rPr>
                <w:szCs w:val="24"/>
              </w:rPr>
              <w:t>8.0</w:t>
            </w:r>
          </w:p>
        </w:tc>
        <w:tc>
          <w:tcPr>
            <w:tcW w:w="655" w:type="dxa"/>
          </w:tcPr>
          <w:p w14:paraId="5B064EF9">
            <w:pPr>
              <w:pStyle w:val="16"/>
              <w:spacing w:before="31" w:after="31"/>
              <w:ind w:firstLine="0" w:firstLineChars="0"/>
              <w:rPr>
                <w:szCs w:val="24"/>
              </w:rPr>
            </w:pPr>
          </w:p>
        </w:tc>
        <w:tc>
          <w:tcPr>
            <w:tcW w:w="655" w:type="dxa"/>
          </w:tcPr>
          <w:p w14:paraId="1C10804C">
            <w:pPr>
              <w:pStyle w:val="16"/>
              <w:spacing w:before="31" w:after="31"/>
              <w:ind w:firstLine="0" w:firstLineChars="0"/>
              <w:rPr>
                <w:szCs w:val="24"/>
              </w:rPr>
            </w:pPr>
          </w:p>
        </w:tc>
        <w:tc>
          <w:tcPr>
            <w:tcW w:w="656" w:type="dxa"/>
          </w:tcPr>
          <w:p w14:paraId="4016B548">
            <w:pPr>
              <w:pStyle w:val="16"/>
              <w:spacing w:before="31" w:after="31"/>
              <w:ind w:firstLine="0" w:firstLineChars="0"/>
              <w:rPr>
                <w:szCs w:val="24"/>
              </w:rPr>
            </w:pPr>
          </w:p>
        </w:tc>
        <w:tc>
          <w:tcPr>
            <w:tcW w:w="656" w:type="dxa"/>
          </w:tcPr>
          <w:p w14:paraId="4235648C">
            <w:pPr>
              <w:pStyle w:val="16"/>
              <w:spacing w:before="31" w:after="31"/>
              <w:ind w:firstLine="0" w:firstLineChars="0"/>
              <w:rPr>
                <w:szCs w:val="24"/>
              </w:rPr>
            </w:pPr>
          </w:p>
        </w:tc>
        <w:tc>
          <w:tcPr>
            <w:tcW w:w="656" w:type="dxa"/>
          </w:tcPr>
          <w:p w14:paraId="155F1D16">
            <w:pPr>
              <w:pStyle w:val="16"/>
              <w:spacing w:before="31" w:after="31"/>
              <w:ind w:firstLine="0" w:firstLineChars="0"/>
              <w:rPr>
                <w:szCs w:val="24"/>
              </w:rPr>
            </w:pPr>
          </w:p>
        </w:tc>
        <w:tc>
          <w:tcPr>
            <w:tcW w:w="656" w:type="dxa"/>
          </w:tcPr>
          <w:p w14:paraId="7CEBA0BE">
            <w:pPr>
              <w:pStyle w:val="16"/>
              <w:spacing w:before="31" w:after="31"/>
              <w:ind w:firstLine="0" w:firstLineChars="0"/>
              <w:rPr>
                <w:szCs w:val="24"/>
              </w:rPr>
            </w:pPr>
          </w:p>
        </w:tc>
        <w:tc>
          <w:tcPr>
            <w:tcW w:w="656" w:type="dxa"/>
          </w:tcPr>
          <w:p w14:paraId="76828B5C">
            <w:pPr>
              <w:pStyle w:val="16"/>
              <w:spacing w:before="31" w:after="31"/>
              <w:ind w:firstLine="0" w:firstLineChars="0"/>
              <w:rPr>
                <w:szCs w:val="24"/>
              </w:rPr>
            </w:pPr>
          </w:p>
        </w:tc>
        <w:tc>
          <w:tcPr>
            <w:tcW w:w="656" w:type="dxa"/>
          </w:tcPr>
          <w:p w14:paraId="09294FD2">
            <w:pPr>
              <w:pStyle w:val="16"/>
              <w:spacing w:before="31" w:after="31"/>
              <w:ind w:firstLine="0" w:firstLineChars="0"/>
              <w:rPr>
                <w:szCs w:val="24"/>
              </w:rPr>
            </w:pPr>
          </w:p>
        </w:tc>
        <w:tc>
          <w:tcPr>
            <w:tcW w:w="656" w:type="dxa"/>
          </w:tcPr>
          <w:p w14:paraId="10E7E776">
            <w:pPr>
              <w:pStyle w:val="16"/>
              <w:spacing w:before="31" w:after="31"/>
              <w:ind w:firstLine="0" w:firstLineChars="0"/>
              <w:rPr>
                <w:szCs w:val="24"/>
              </w:rPr>
            </w:pPr>
          </w:p>
        </w:tc>
      </w:tr>
      <w:tr w14:paraId="73BD4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5" w:type="dxa"/>
          </w:tcPr>
          <w:p w14:paraId="4B7D2415">
            <w:pPr>
              <w:pStyle w:val="16"/>
              <w:spacing w:before="31" w:after="31"/>
              <w:ind w:firstLine="0" w:firstLineChars="0"/>
              <w:rPr>
                <w:szCs w:val="24"/>
              </w:rPr>
            </w:pPr>
          </w:p>
        </w:tc>
        <w:tc>
          <w:tcPr>
            <w:tcW w:w="655" w:type="dxa"/>
          </w:tcPr>
          <w:p w14:paraId="1ADE0CF4">
            <w:pPr>
              <w:pStyle w:val="16"/>
              <w:spacing w:before="31" w:after="31"/>
              <w:ind w:firstLine="0" w:firstLineChars="0"/>
              <w:rPr>
                <w:szCs w:val="24"/>
              </w:rPr>
            </w:pPr>
            <w:r>
              <w:rPr>
                <w:szCs w:val="24"/>
              </w:rPr>
              <w:t>892</w:t>
            </w:r>
          </w:p>
        </w:tc>
        <w:tc>
          <w:tcPr>
            <w:tcW w:w="655" w:type="dxa"/>
          </w:tcPr>
          <w:p w14:paraId="53A39F84">
            <w:pPr>
              <w:pStyle w:val="16"/>
              <w:spacing w:before="31" w:after="31"/>
              <w:ind w:firstLine="0" w:firstLineChars="0"/>
              <w:rPr>
                <w:szCs w:val="24"/>
              </w:rPr>
            </w:pPr>
            <w:r>
              <w:rPr>
                <w:szCs w:val="24"/>
              </w:rPr>
              <w:t>5.2</w:t>
            </w:r>
          </w:p>
        </w:tc>
        <w:tc>
          <w:tcPr>
            <w:tcW w:w="655" w:type="dxa"/>
          </w:tcPr>
          <w:p w14:paraId="472B719B">
            <w:pPr>
              <w:pStyle w:val="16"/>
              <w:spacing w:before="31" w:after="31"/>
              <w:ind w:firstLine="0" w:firstLineChars="0"/>
              <w:rPr>
                <w:szCs w:val="24"/>
              </w:rPr>
            </w:pPr>
            <w:r>
              <w:rPr>
                <w:szCs w:val="24"/>
              </w:rPr>
              <w:t>13.0</w:t>
            </w:r>
          </w:p>
        </w:tc>
        <w:tc>
          <w:tcPr>
            <w:tcW w:w="655" w:type="dxa"/>
          </w:tcPr>
          <w:p w14:paraId="68B21B4D">
            <w:pPr>
              <w:pStyle w:val="16"/>
              <w:spacing w:before="31" w:after="31"/>
              <w:ind w:firstLine="0" w:firstLineChars="0"/>
              <w:rPr>
                <w:szCs w:val="24"/>
              </w:rPr>
            </w:pPr>
          </w:p>
        </w:tc>
        <w:tc>
          <w:tcPr>
            <w:tcW w:w="655" w:type="dxa"/>
          </w:tcPr>
          <w:p w14:paraId="13CE4A91">
            <w:pPr>
              <w:pStyle w:val="16"/>
              <w:spacing w:before="31" w:after="31"/>
              <w:ind w:firstLine="0" w:firstLineChars="0"/>
              <w:rPr>
                <w:szCs w:val="24"/>
              </w:rPr>
            </w:pPr>
          </w:p>
        </w:tc>
        <w:tc>
          <w:tcPr>
            <w:tcW w:w="656" w:type="dxa"/>
          </w:tcPr>
          <w:p w14:paraId="6C0F5E3C">
            <w:pPr>
              <w:pStyle w:val="16"/>
              <w:spacing w:before="31" w:after="31"/>
              <w:ind w:firstLine="0" w:firstLineChars="0"/>
              <w:rPr>
                <w:szCs w:val="24"/>
              </w:rPr>
            </w:pPr>
          </w:p>
        </w:tc>
        <w:tc>
          <w:tcPr>
            <w:tcW w:w="656" w:type="dxa"/>
          </w:tcPr>
          <w:p w14:paraId="249F2187">
            <w:pPr>
              <w:pStyle w:val="16"/>
              <w:spacing w:before="31" w:after="31"/>
              <w:ind w:firstLine="0" w:firstLineChars="0"/>
              <w:rPr>
                <w:szCs w:val="24"/>
              </w:rPr>
            </w:pPr>
          </w:p>
        </w:tc>
        <w:tc>
          <w:tcPr>
            <w:tcW w:w="656" w:type="dxa"/>
          </w:tcPr>
          <w:p w14:paraId="07D60A18">
            <w:pPr>
              <w:pStyle w:val="16"/>
              <w:spacing w:before="31" w:after="31"/>
              <w:ind w:firstLine="0" w:firstLineChars="0"/>
              <w:rPr>
                <w:szCs w:val="24"/>
              </w:rPr>
            </w:pPr>
          </w:p>
        </w:tc>
        <w:tc>
          <w:tcPr>
            <w:tcW w:w="656" w:type="dxa"/>
          </w:tcPr>
          <w:p w14:paraId="394DEA39">
            <w:pPr>
              <w:pStyle w:val="16"/>
              <w:spacing w:before="31" w:after="31"/>
              <w:ind w:firstLine="0" w:firstLineChars="0"/>
              <w:rPr>
                <w:szCs w:val="24"/>
              </w:rPr>
            </w:pPr>
          </w:p>
        </w:tc>
        <w:tc>
          <w:tcPr>
            <w:tcW w:w="656" w:type="dxa"/>
          </w:tcPr>
          <w:p w14:paraId="7D1F6CB0">
            <w:pPr>
              <w:pStyle w:val="16"/>
              <w:spacing w:before="31" w:after="31"/>
              <w:ind w:firstLine="0" w:firstLineChars="0"/>
              <w:rPr>
                <w:szCs w:val="24"/>
              </w:rPr>
            </w:pPr>
          </w:p>
        </w:tc>
        <w:tc>
          <w:tcPr>
            <w:tcW w:w="656" w:type="dxa"/>
          </w:tcPr>
          <w:p w14:paraId="39998FED">
            <w:pPr>
              <w:pStyle w:val="16"/>
              <w:spacing w:before="31" w:after="31"/>
              <w:ind w:firstLine="0" w:firstLineChars="0"/>
              <w:rPr>
                <w:szCs w:val="24"/>
              </w:rPr>
            </w:pPr>
          </w:p>
        </w:tc>
        <w:tc>
          <w:tcPr>
            <w:tcW w:w="656" w:type="dxa"/>
          </w:tcPr>
          <w:p w14:paraId="533357D4">
            <w:pPr>
              <w:pStyle w:val="16"/>
              <w:spacing w:before="31" w:after="31"/>
              <w:ind w:firstLine="0" w:firstLineChars="0"/>
              <w:rPr>
                <w:szCs w:val="24"/>
              </w:rPr>
            </w:pPr>
          </w:p>
        </w:tc>
      </w:tr>
      <w:tr w14:paraId="76DF6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5" w:type="dxa"/>
          </w:tcPr>
          <w:p w14:paraId="403E5741">
            <w:pPr>
              <w:pStyle w:val="16"/>
              <w:spacing w:before="31" w:after="31"/>
              <w:ind w:firstLine="0" w:firstLineChars="0"/>
              <w:rPr>
                <w:rFonts w:hint="eastAsia"/>
                <w:szCs w:val="24"/>
              </w:rPr>
            </w:pPr>
            <w:r>
              <w:rPr>
                <w:rFonts w:hint="eastAsia"/>
                <w:szCs w:val="24"/>
              </w:rPr>
              <w:t>SY/T5041-19922</w:t>
            </w:r>
          </w:p>
        </w:tc>
        <w:tc>
          <w:tcPr>
            <w:tcW w:w="655" w:type="dxa"/>
          </w:tcPr>
          <w:p w14:paraId="32A62305">
            <w:pPr>
              <w:pStyle w:val="16"/>
              <w:spacing w:before="31" w:after="31"/>
              <w:ind w:firstLine="0" w:firstLineChars="0"/>
              <w:rPr>
                <w:rFonts w:hint="eastAsia"/>
                <w:szCs w:val="24"/>
              </w:rPr>
            </w:pPr>
            <w:r>
              <w:rPr>
                <w:rFonts w:hint="eastAsia"/>
                <w:szCs w:val="24"/>
              </w:rPr>
              <w:t>≥638</w:t>
            </w:r>
          </w:p>
        </w:tc>
        <w:tc>
          <w:tcPr>
            <w:tcW w:w="655" w:type="dxa"/>
          </w:tcPr>
          <w:p w14:paraId="2A9A3875">
            <w:pPr>
              <w:pStyle w:val="16"/>
              <w:spacing w:before="31" w:after="31"/>
              <w:ind w:firstLine="0" w:firstLineChars="0"/>
              <w:rPr>
                <w:rFonts w:hint="eastAsia"/>
                <w:szCs w:val="24"/>
              </w:rPr>
            </w:pPr>
            <w:r>
              <w:rPr>
                <w:rFonts w:hint="eastAsia"/>
                <w:szCs w:val="24"/>
              </w:rPr>
              <w:t>≥12</w:t>
            </w:r>
          </w:p>
        </w:tc>
        <w:tc>
          <w:tcPr>
            <w:tcW w:w="655" w:type="dxa"/>
          </w:tcPr>
          <w:p w14:paraId="79749879">
            <w:pPr>
              <w:pStyle w:val="16"/>
              <w:spacing w:before="31" w:after="31"/>
              <w:ind w:firstLine="0" w:firstLineChars="0"/>
              <w:rPr>
                <w:rFonts w:hint="eastAsia"/>
                <w:szCs w:val="24"/>
              </w:rPr>
            </w:pPr>
            <w:r>
              <w:rPr>
                <w:rFonts w:hint="eastAsia"/>
                <w:szCs w:val="24"/>
              </w:rPr>
              <w:t>≥39.0</w:t>
            </w:r>
          </w:p>
        </w:tc>
        <w:tc>
          <w:tcPr>
            <w:tcW w:w="655" w:type="dxa"/>
          </w:tcPr>
          <w:p w14:paraId="090A4E19">
            <w:pPr>
              <w:pStyle w:val="16"/>
              <w:spacing w:before="31" w:after="31"/>
              <w:ind w:firstLine="0" w:firstLineChars="0"/>
              <w:rPr>
                <w:rFonts w:hint="eastAsia"/>
                <w:szCs w:val="24"/>
              </w:rPr>
            </w:pPr>
          </w:p>
        </w:tc>
        <w:tc>
          <w:tcPr>
            <w:tcW w:w="655" w:type="dxa"/>
          </w:tcPr>
          <w:p w14:paraId="6B62DD89">
            <w:pPr>
              <w:pStyle w:val="16"/>
              <w:spacing w:before="31" w:after="31"/>
              <w:ind w:firstLine="0" w:firstLineChars="0"/>
              <w:rPr>
                <w:rFonts w:hint="eastAsia"/>
                <w:szCs w:val="24"/>
              </w:rPr>
            </w:pPr>
          </w:p>
        </w:tc>
        <w:tc>
          <w:tcPr>
            <w:tcW w:w="656" w:type="dxa"/>
          </w:tcPr>
          <w:p w14:paraId="4AD9C369">
            <w:pPr>
              <w:pStyle w:val="16"/>
              <w:spacing w:before="31" w:after="31"/>
              <w:ind w:firstLine="0" w:firstLineChars="0"/>
              <w:rPr>
                <w:rFonts w:hint="eastAsia"/>
                <w:szCs w:val="24"/>
              </w:rPr>
            </w:pPr>
          </w:p>
        </w:tc>
        <w:tc>
          <w:tcPr>
            <w:tcW w:w="656" w:type="dxa"/>
          </w:tcPr>
          <w:p w14:paraId="1F2A69B0">
            <w:pPr>
              <w:pStyle w:val="16"/>
              <w:spacing w:before="31" w:after="31"/>
              <w:ind w:firstLine="0" w:firstLineChars="0"/>
              <w:rPr>
                <w:rFonts w:hint="eastAsia"/>
                <w:szCs w:val="24"/>
              </w:rPr>
            </w:pPr>
          </w:p>
        </w:tc>
        <w:tc>
          <w:tcPr>
            <w:tcW w:w="656" w:type="dxa"/>
          </w:tcPr>
          <w:p w14:paraId="392556E9">
            <w:pPr>
              <w:pStyle w:val="16"/>
              <w:spacing w:before="31" w:after="31"/>
              <w:ind w:firstLine="0" w:firstLineChars="0"/>
              <w:rPr>
                <w:rFonts w:hint="eastAsia"/>
                <w:szCs w:val="24"/>
              </w:rPr>
            </w:pPr>
          </w:p>
        </w:tc>
        <w:tc>
          <w:tcPr>
            <w:tcW w:w="656" w:type="dxa"/>
          </w:tcPr>
          <w:p w14:paraId="6883F78B">
            <w:pPr>
              <w:pStyle w:val="16"/>
              <w:spacing w:before="31" w:after="31"/>
              <w:ind w:firstLine="0" w:firstLineChars="0"/>
              <w:rPr>
                <w:rFonts w:hint="eastAsia"/>
                <w:szCs w:val="24"/>
              </w:rPr>
            </w:pPr>
          </w:p>
        </w:tc>
        <w:tc>
          <w:tcPr>
            <w:tcW w:w="656" w:type="dxa"/>
          </w:tcPr>
          <w:p w14:paraId="29BC739A">
            <w:pPr>
              <w:pStyle w:val="16"/>
              <w:spacing w:before="31" w:after="31"/>
              <w:ind w:firstLine="0" w:firstLineChars="0"/>
              <w:rPr>
                <w:rFonts w:hint="eastAsia"/>
                <w:szCs w:val="24"/>
              </w:rPr>
            </w:pPr>
          </w:p>
        </w:tc>
        <w:tc>
          <w:tcPr>
            <w:tcW w:w="656" w:type="dxa"/>
          </w:tcPr>
          <w:p w14:paraId="3DABA832">
            <w:pPr>
              <w:pStyle w:val="16"/>
              <w:spacing w:before="31" w:after="31"/>
              <w:ind w:firstLine="0" w:firstLineChars="0"/>
              <w:rPr>
                <w:rFonts w:hint="eastAsia"/>
                <w:szCs w:val="24"/>
              </w:rPr>
            </w:pPr>
          </w:p>
        </w:tc>
        <w:tc>
          <w:tcPr>
            <w:tcW w:w="656" w:type="dxa"/>
          </w:tcPr>
          <w:p w14:paraId="7D606A6A">
            <w:pPr>
              <w:pStyle w:val="16"/>
              <w:spacing w:before="31" w:after="31"/>
              <w:ind w:firstLine="0" w:firstLineChars="0"/>
              <w:rPr>
                <w:rFonts w:hint="eastAsia"/>
                <w:szCs w:val="24"/>
              </w:rPr>
            </w:pPr>
          </w:p>
        </w:tc>
      </w:tr>
    </w:tbl>
    <w:p w14:paraId="29392ADD">
      <w:pPr>
        <w:pStyle w:val="16"/>
        <w:spacing w:before="31" w:after="31"/>
        <w:ind w:firstLine="480"/>
        <w:rPr>
          <w:szCs w:val="24"/>
        </w:rPr>
      </w:pPr>
    </w:p>
    <w:p w14:paraId="112E260C">
      <w:pPr>
        <w:pStyle w:val="16"/>
        <w:spacing w:before="31" w:after="31"/>
        <w:ind w:firstLine="0" w:firstLineChars="0"/>
        <w:rPr>
          <w:szCs w:val="24"/>
        </w:rPr>
      </w:pPr>
      <w:r>
        <w:rPr>
          <w:szCs w:val="24"/>
        </w:rPr>
        <w:t>(5) Failure Morphology of the Component</w:t>
      </w:r>
    </w:p>
    <w:p w14:paraId="327651F5">
      <w:pPr>
        <w:pStyle w:val="16"/>
        <w:spacing w:before="31" w:after="31"/>
        <w:ind w:firstLine="480"/>
        <w:rPr>
          <w:szCs w:val="24"/>
        </w:rPr>
      </w:pPr>
      <w:r>
        <w:rPr>
          <w:szCs w:val="24"/>
        </w:rPr>
        <w:t>The fracture occurred at the connection of the elevator valve and the elevator body, specifically at the axis hole, as shown in Figure 5-15.1. The fracture surface is roughly perpendicular to the diameter of the axis hole. The upper half of the axis hole has an internal thread hole, and the fracture surface is on the diameter section of this thread hole, as shown in Figure 5-15.2. The fracture location is where the bearing area of the valve is the smallest.</w:t>
      </w:r>
    </w:p>
    <w:p w14:paraId="3DF967E2">
      <w:pPr>
        <w:pStyle w:val="16"/>
        <w:spacing w:before="31" w:after="31"/>
        <w:ind w:firstLine="482"/>
        <w:jc w:val="center"/>
        <w:rPr>
          <w:b/>
          <w:bCs/>
          <w:szCs w:val="24"/>
        </w:rPr>
      </w:pPr>
      <w:r>
        <w:rPr>
          <w:b/>
          <w:bCs/>
          <w:szCs w:val="24"/>
        </w:rPr>
        <w:t>Figure 5-15.1: Fracture location of the elevator valve</w:t>
      </w:r>
    </w:p>
    <w:p w14:paraId="24132BEF">
      <w:pPr>
        <w:pStyle w:val="16"/>
        <w:spacing w:before="31" w:after="31"/>
        <w:ind w:firstLine="482"/>
        <w:jc w:val="center"/>
        <w:rPr>
          <w:b/>
          <w:bCs/>
          <w:szCs w:val="24"/>
        </w:rPr>
      </w:pPr>
      <w:r>
        <w:rPr>
          <w:b/>
          <w:bCs/>
          <w:szCs w:val="24"/>
        </w:rPr>
        <w:t>Figure 5-15.2: Macroscopic morphology of the elevator valve fracture</w:t>
      </w:r>
    </w:p>
    <w:p w14:paraId="0E894818">
      <w:pPr>
        <w:pStyle w:val="16"/>
        <w:spacing w:before="31" w:after="31"/>
        <w:ind w:firstLine="480"/>
        <w:rPr>
          <w:szCs w:val="24"/>
        </w:rPr>
      </w:pPr>
    </w:p>
    <w:p w14:paraId="439F7325">
      <w:pPr>
        <w:pStyle w:val="16"/>
        <w:spacing w:before="31" w:after="31"/>
        <w:ind w:firstLine="480"/>
        <w:rPr>
          <w:szCs w:val="24"/>
        </w:rPr>
      </w:pPr>
      <w:r>
        <w:rPr>
          <w:szCs w:val="24"/>
        </w:rPr>
        <w:t>Metallographic analysis of the fracture section reveals numerous porous holes with a triangular shape, forming a network. The microstructure consists of distinct dendritic crystals, and a decarburization layer is present on the fracture surface, as seen in Figure 5-15.3.</w:t>
      </w:r>
    </w:p>
    <w:p w14:paraId="6FB68259">
      <w:pPr>
        <w:pStyle w:val="16"/>
        <w:spacing w:before="31" w:after="31"/>
        <w:ind w:firstLine="480"/>
        <w:rPr>
          <w:szCs w:val="24"/>
        </w:rPr>
      </w:pPr>
      <w:r>
        <w:rPr>
          <w:szCs w:val="24"/>
        </w:rPr>
        <w:t>Samples were taken from the threaded hole area and the outer surface of the fracture for microscopic analysis. The microscopic morphology of the threaded hole is shown in Figure 5-15.4, indicating brittle fracture. The morphology of the outer surface near the crack initiation site shows corrosion.</w:t>
      </w:r>
    </w:p>
    <w:p w14:paraId="03870F66">
      <w:pPr>
        <w:pStyle w:val="16"/>
        <w:spacing w:before="31" w:after="31"/>
        <w:ind w:firstLine="480"/>
        <w:rPr>
          <w:kern w:val="0"/>
          <w:szCs w:val="16"/>
        </w:rPr>
      </w:pPr>
    </w:p>
    <w:p w14:paraId="4FA57EF7">
      <w:pPr>
        <w:pStyle w:val="16"/>
        <w:spacing w:before="31" w:after="31"/>
        <w:ind w:firstLine="482"/>
        <w:jc w:val="center"/>
        <w:rPr>
          <w:b/>
          <w:bCs/>
          <w:szCs w:val="24"/>
        </w:rPr>
      </w:pPr>
      <w:r>
        <w:rPr>
          <w:b/>
          <w:bCs/>
          <w:szCs w:val="24"/>
        </w:rPr>
        <w:t>Figure 5-15.4: Microstructure morphology of the fracture surface (820×)</w:t>
      </w:r>
    </w:p>
    <w:p w14:paraId="1DAA76B4">
      <w:pPr>
        <w:pStyle w:val="16"/>
        <w:spacing w:before="31" w:after="31"/>
        <w:ind w:firstLine="0" w:firstLineChars="0"/>
        <w:rPr>
          <w:szCs w:val="24"/>
        </w:rPr>
      </w:pPr>
      <w:r>
        <w:rPr>
          <w:szCs w:val="24"/>
        </w:rPr>
        <w:t>(6) Analysis of Failure Causes</w:t>
      </w:r>
    </w:p>
    <w:p w14:paraId="2F98926F">
      <w:pPr>
        <w:pStyle w:val="16"/>
        <w:spacing w:before="31" w:after="31"/>
        <w:ind w:firstLine="480"/>
        <w:rPr>
          <w:szCs w:val="24"/>
        </w:rPr>
      </w:pPr>
      <w:r>
        <w:rPr>
          <w:szCs w:val="24"/>
        </w:rPr>
        <w:t>(a) From the mechanical properties, it can be observed that the impact toughness and elongation after fracture of the elevator valve material are significantly lower than the specified values in the SY5041—92 standard. This is a major contributor to the fracture.</w:t>
      </w:r>
    </w:p>
    <w:p w14:paraId="46894223">
      <w:pPr>
        <w:pStyle w:val="16"/>
        <w:spacing w:before="31" w:after="31"/>
        <w:ind w:firstLine="480"/>
        <w:rPr>
          <w:szCs w:val="24"/>
        </w:rPr>
      </w:pPr>
      <w:r>
        <w:rPr>
          <w:szCs w:val="24"/>
        </w:rPr>
        <w:t>(b) The presence of upper bainite in the elevator valve's microstructure significantly reduces the material's plasticity and toughness, making it more brittle. Additionally, the decarburization layer on the outer surface further diminishes the load-bearing capacity.</w:t>
      </w:r>
    </w:p>
    <w:p w14:paraId="13F1F836">
      <w:pPr>
        <w:pStyle w:val="16"/>
        <w:spacing w:before="31" w:after="31"/>
        <w:ind w:firstLine="480"/>
        <w:rPr>
          <w:szCs w:val="24"/>
        </w:rPr>
      </w:pPr>
      <w:r>
        <w:rPr>
          <w:szCs w:val="24"/>
        </w:rPr>
        <w:t>(c) Macroscopic analysis reveals a radial pattern, converging at the dark area on the fracture surface. The dark area exhibits typical corrosion morphology, indicating that it was exposed to the atmosphere before the fracture occurred. The slight scratches found on both sides of the thread are likely caused by hard impurities during the screw and thread mating process. The material of the elevator valve is brittle, and even minor scratches can lead to stress concentration, initiating fatigue cracks and causing early failure.</w:t>
      </w:r>
    </w:p>
    <w:p w14:paraId="5F12C786">
      <w:pPr>
        <w:pStyle w:val="16"/>
        <w:spacing w:before="31" w:after="31"/>
        <w:ind w:firstLine="480"/>
        <w:rPr>
          <w:szCs w:val="24"/>
        </w:rPr>
      </w:pPr>
      <w:r>
        <w:rPr>
          <w:szCs w:val="24"/>
        </w:rPr>
        <w:t>(d) Considering the loads on the elevator, each time it is lifted or lowered from the turntable, it experiences significant impact loads. The fracture surface location suggests that the elevator valve fractured at the point of minimum bearing area.</w:t>
      </w:r>
    </w:p>
    <w:p w14:paraId="77A1194F">
      <w:pPr>
        <w:pStyle w:val="16"/>
        <w:spacing w:before="31" w:after="31"/>
        <w:ind w:firstLine="0" w:firstLineChars="0"/>
        <w:rPr>
          <w:szCs w:val="24"/>
        </w:rPr>
      </w:pPr>
      <w:r>
        <w:rPr>
          <w:szCs w:val="24"/>
        </w:rPr>
        <w:t>(7) Impact and Harm Caused</w:t>
      </w:r>
    </w:p>
    <w:p w14:paraId="7A54F39E">
      <w:pPr>
        <w:pStyle w:val="16"/>
        <w:spacing w:before="31" w:after="31"/>
        <w:ind w:firstLine="420" w:firstLineChars="0"/>
        <w:rPr>
          <w:szCs w:val="24"/>
        </w:rPr>
      </w:pPr>
      <w:r>
        <w:rPr>
          <w:szCs w:val="24"/>
        </w:rPr>
        <w:t>Null</w:t>
      </w:r>
    </w:p>
    <w:p w14:paraId="57FA139F">
      <w:pPr>
        <w:pStyle w:val="16"/>
        <w:spacing w:before="31" w:after="31"/>
        <w:ind w:firstLine="0" w:firstLineChars="0"/>
        <w:rPr>
          <w:szCs w:val="24"/>
        </w:rPr>
      </w:pPr>
      <w:r>
        <w:rPr>
          <w:szCs w:val="24"/>
        </w:rPr>
        <w:t>(8) Conclusion and Improvement Measures</w:t>
      </w:r>
    </w:p>
    <w:p w14:paraId="2FCF9F18">
      <w:pPr>
        <w:pStyle w:val="16"/>
        <w:spacing w:before="31" w:after="31"/>
        <w:ind w:firstLine="480"/>
        <w:rPr>
          <w:szCs w:val="24"/>
        </w:rPr>
      </w:pPr>
      <w:r>
        <w:rPr>
          <w:szCs w:val="24"/>
        </w:rPr>
        <w:t>(a) The fracture of the elevator valve is attributed to fatigue failure, with cracks originating at stress concentration points in the transition area of the geometric structure of the keyway.</w:t>
      </w:r>
    </w:p>
    <w:p w14:paraId="4B171783">
      <w:pPr>
        <w:pStyle w:val="16"/>
        <w:spacing w:before="31" w:after="31"/>
        <w:ind w:firstLine="480"/>
        <w:rPr>
          <w:szCs w:val="24"/>
        </w:rPr>
      </w:pPr>
    </w:p>
    <w:p w14:paraId="4FEDD47B">
      <w:pPr>
        <w:pStyle w:val="16"/>
        <w:spacing w:before="31" w:after="31"/>
        <w:ind w:firstLine="480"/>
        <w:rPr>
          <w:szCs w:val="24"/>
        </w:rPr>
      </w:pPr>
      <w:r>
        <w:rPr>
          <w:szCs w:val="24"/>
        </w:rPr>
        <w:t>(b) The sharp structure at the root of the keyway contributes to significant stress concentration. The presence of longitudinal machining marks on the key tooth side and low lateral impact toughness at this location result in the initiation of longitudinal cracks, leading to fatigue cracks.</w:t>
      </w:r>
    </w:p>
    <w:p w14:paraId="1DCC5E16">
      <w:pPr>
        <w:pStyle w:val="16"/>
        <w:spacing w:before="31" w:after="31"/>
        <w:ind w:firstLine="480"/>
        <w:rPr>
          <w:szCs w:val="24"/>
        </w:rPr>
      </w:pPr>
      <w:r>
        <w:rPr>
          <w:szCs w:val="24"/>
        </w:rPr>
        <w:t>(c) The extension of longitudinal cracks at stress concentration points in the transition area of the keyway structure leads to the generation and rapid expansion of transverse cracks. Under complex stress conditions such as tension, compression, bending, and torsion, transverse cracks propagate quickly, causing the elevator valve to fracture.</w:t>
      </w:r>
    </w:p>
    <w:p w14:paraId="3B33A0C8">
      <w:pPr>
        <w:pStyle w:val="16"/>
        <w:spacing w:before="31" w:after="31"/>
        <w:ind w:firstLine="480"/>
        <w:rPr>
          <w:szCs w:val="24"/>
        </w:rPr>
      </w:pPr>
      <w:r>
        <w:rPr>
          <w:szCs w:val="24"/>
        </w:rPr>
        <w:t>To address the causes of elevator valve failure, the following improvement measures are recommended:</w:t>
      </w:r>
    </w:p>
    <w:p w14:paraId="4A9D252D">
      <w:pPr>
        <w:pStyle w:val="16"/>
        <w:spacing w:before="31" w:after="31"/>
        <w:ind w:firstLine="480"/>
        <w:rPr>
          <w:szCs w:val="24"/>
        </w:rPr>
      </w:pPr>
      <w:r>
        <w:rPr>
          <w:szCs w:val="24"/>
        </w:rPr>
        <w:t>(a) Enhance heat treatment processes to eliminate upper bainite and achieve a uniform tempered martensite microstructure in the elevator valve.</w:t>
      </w:r>
    </w:p>
    <w:p w14:paraId="0CC05BC5">
      <w:pPr>
        <w:pStyle w:val="16"/>
        <w:spacing w:before="31" w:after="31"/>
        <w:ind w:firstLine="480"/>
        <w:rPr>
          <w:szCs w:val="24"/>
        </w:rPr>
      </w:pPr>
      <w:r>
        <w:rPr>
          <w:szCs w:val="24"/>
        </w:rPr>
        <w:t>(b) Improve machining processes and quality to eliminate or reduce stress concentration on the key tooth surface and side, improving the load-bearing conditions of the elevator valve.</w:t>
      </w:r>
    </w:p>
    <w:p w14:paraId="334CEB7C">
      <w:pPr>
        <w:pStyle w:val="16"/>
        <w:spacing w:before="31" w:after="31"/>
        <w:ind w:firstLine="480"/>
        <w:rPr>
          <w:szCs w:val="24"/>
        </w:rPr>
      </w:pPr>
      <w:r>
        <w:rPr>
          <w:szCs w:val="24"/>
        </w:rPr>
        <w:t>(c) Introduce a specification for the transverse impact absorption capacity of the elevator valve in technical terms.</w:t>
      </w:r>
    </w:p>
    <w:p w14:paraId="6EEBFB25">
      <w:pPr>
        <w:pStyle w:val="16"/>
        <w:spacing w:before="31" w:after="31"/>
        <w:ind w:firstLine="0" w:firstLineChars="0"/>
        <w:rPr>
          <w:b/>
          <w:bCs/>
          <w:szCs w:val="24"/>
        </w:rPr>
      </w:pPr>
      <w:r>
        <w:rPr>
          <w:b/>
          <w:bCs/>
          <w:szCs w:val="24"/>
        </w:rPr>
        <w:t>5.2.16 Case 5-16: Fracture of Keyed Shaft in Impactor</w:t>
      </w:r>
    </w:p>
    <w:p w14:paraId="6E0EB971">
      <w:pPr>
        <w:pStyle w:val="16"/>
        <w:spacing w:before="31" w:after="31"/>
        <w:ind w:firstLine="0" w:firstLineChars="0"/>
        <w:rPr>
          <w:szCs w:val="24"/>
        </w:rPr>
      </w:pPr>
      <w:r>
        <w:rPr>
          <w:szCs w:val="24"/>
        </w:rPr>
        <w:t>(1) Case Name</w:t>
      </w:r>
    </w:p>
    <w:p w14:paraId="45ED1FC2">
      <w:pPr>
        <w:pStyle w:val="16"/>
        <w:spacing w:before="31" w:after="31"/>
        <w:ind w:firstLine="480"/>
        <w:rPr>
          <w:szCs w:val="24"/>
        </w:rPr>
      </w:pPr>
      <w:r>
        <w:rPr>
          <w:szCs w:val="24"/>
        </w:rPr>
        <w:t>Fracture of keyed shaft in impactor [18]</w:t>
      </w:r>
    </w:p>
    <w:p w14:paraId="34E82B1F">
      <w:pPr>
        <w:pStyle w:val="16"/>
        <w:spacing w:before="31" w:after="31"/>
        <w:ind w:firstLine="0" w:firstLineChars="0"/>
        <w:rPr>
          <w:szCs w:val="24"/>
        </w:rPr>
      </w:pPr>
      <w:r>
        <w:rPr>
          <w:szCs w:val="24"/>
        </w:rPr>
        <w:t>(2) Description of Failure Process</w:t>
      </w:r>
    </w:p>
    <w:p w14:paraId="49CB0F57">
      <w:pPr>
        <w:pStyle w:val="16"/>
        <w:spacing w:before="31" w:after="31"/>
        <w:ind w:firstLine="480"/>
        <w:rPr>
          <w:szCs w:val="24"/>
        </w:rPr>
      </w:pPr>
      <w:r>
        <w:rPr>
          <w:szCs w:val="24"/>
        </w:rPr>
        <w:t>Two incidents of keyed shaft fractures occurred within a short period in the operation of downhole shock absorbers produced by a certain factory in the oil field. The on-site data at the time of the fracture incidents are presented in Table 5-31.</w:t>
      </w:r>
    </w:p>
    <w:p w14:paraId="0E185699">
      <w:pPr>
        <w:pStyle w:val="16"/>
        <w:spacing w:before="31" w:after="31"/>
        <w:ind w:firstLine="482"/>
        <w:jc w:val="center"/>
        <w:rPr>
          <w:b/>
          <w:bCs/>
          <w:szCs w:val="24"/>
        </w:rPr>
      </w:pPr>
      <w:r>
        <w:rPr>
          <w:b/>
          <w:bCs/>
          <w:szCs w:val="24"/>
        </w:rPr>
        <w:t>Table 5-31 On-site Data for Two Keyed Shaft Fractures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1923"/>
        <w:gridCol w:w="1629"/>
        <w:gridCol w:w="1687"/>
        <w:gridCol w:w="1644"/>
      </w:tblGrid>
      <w:tr w14:paraId="3FFEF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5B7A8E3">
            <w:pPr>
              <w:pStyle w:val="16"/>
              <w:spacing w:before="31" w:after="31"/>
              <w:ind w:firstLine="0" w:firstLineChars="0"/>
              <w:rPr>
                <w:szCs w:val="24"/>
              </w:rPr>
            </w:pPr>
            <w:r>
              <w:rPr>
                <w:szCs w:val="24"/>
              </w:rPr>
              <w:t>Fractured Shaft Number</w:t>
            </w:r>
          </w:p>
        </w:tc>
        <w:tc>
          <w:tcPr>
            <w:tcW w:w="1704" w:type="dxa"/>
          </w:tcPr>
          <w:p w14:paraId="61D6DC43">
            <w:pPr>
              <w:pStyle w:val="16"/>
              <w:spacing w:before="31" w:after="31"/>
              <w:ind w:firstLine="0" w:firstLineChars="0"/>
              <w:rPr>
                <w:szCs w:val="24"/>
              </w:rPr>
            </w:pPr>
            <w:r>
              <w:rPr>
                <w:szCs w:val="24"/>
              </w:rPr>
              <w:t>Downhole Shock Absorber Specification/mm (inches)</w:t>
            </w:r>
          </w:p>
        </w:tc>
        <w:tc>
          <w:tcPr>
            <w:tcW w:w="1704" w:type="dxa"/>
          </w:tcPr>
          <w:p w14:paraId="0ACCE157">
            <w:pPr>
              <w:pStyle w:val="16"/>
              <w:spacing w:before="31" w:after="31"/>
              <w:ind w:firstLine="0" w:firstLineChars="0"/>
              <w:rPr>
                <w:szCs w:val="24"/>
              </w:rPr>
            </w:pPr>
            <w:r>
              <w:rPr>
                <w:szCs w:val="24"/>
              </w:rPr>
              <w:t>Well Depth/m</w:t>
            </w:r>
          </w:p>
        </w:tc>
        <w:tc>
          <w:tcPr>
            <w:tcW w:w="1705" w:type="dxa"/>
          </w:tcPr>
          <w:p w14:paraId="70ED88C4">
            <w:pPr>
              <w:pStyle w:val="16"/>
              <w:spacing w:before="31" w:after="31"/>
              <w:ind w:firstLine="0" w:firstLineChars="0"/>
              <w:rPr>
                <w:szCs w:val="24"/>
              </w:rPr>
            </w:pPr>
            <w:r>
              <w:rPr>
                <w:szCs w:val="24"/>
              </w:rPr>
              <w:t>Pump Pressure/MPa</w:t>
            </w:r>
          </w:p>
        </w:tc>
        <w:tc>
          <w:tcPr>
            <w:tcW w:w="1705" w:type="dxa"/>
          </w:tcPr>
          <w:p w14:paraId="63A4AFF3">
            <w:pPr>
              <w:pStyle w:val="16"/>
              <w:spacing w:before="31" w:after="31"/>
              <w:ind w:firstLine="0" w:firstLineChars="0"/>
              <w:rPr>
                <w:szCs w:val="24"/>
              </w:rPr>
            </w:pPr>
            <w:r>
              <w:rPr>
                <w:szCs w:val="24"/>
              </w:rPr>
              <w:t>Operating Time/h</w:t>
            </w:r>
          </w:p>
        </w:tc>
      </w:tr>
      <w:tr w14:paraId="6BFCB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3F32D7F">
            <w:pPr>
              <w:pStyle w:val="16"/>
              <w:spacing w:before="31" w:after="31"/>
              <w:ind w:firstLine="0" w:firstLineChars="0"/>
              <w:rPr>
                <w:szCs w:val="24"/>
              </w:rPr>
            </w:pPr>
            <w:r>
              <w:rPr>
                <w:szCs w:val="24"/>
              </w:rPr>
              <w:t>1</w:t>
            </w:r>
          </w:p>
        </w:tc>
        <w:tc>
          <w:tcPr>
            <w:tcW w:w="1704" w:type="dxa"/>
          </w:tcPr>
          <w:p w14:paraId="132524F3">
            <w:pPr>
              <w:pStyle w:val="16"/>
              <w:spacing w:before="31" w:after="31"/>
              <w:ind w:firstLine="0" w:firstLineChars="0"/>
              <w:rPr>
                <w:szCs w:val="24"/>
              </w:rPr>
            </w:pPr>
            <w:r>
              <w:rPr>
                <w:szCs w:val="24"/>
              </w:rPr>
              <w:t>203.2(8)</w:t>
            </w:r>
          </w:p>
        </w:tc>
        <w:tc>
          <w:tcPr>
            <w:tcW w:w="1704" w:type="dxa"/>
          </w:tcPr>
          <w:p w14:paraId="13074084">
            <w:pPr>
              <w:pStyle w:val="16"/>
              <w:spacing w:before="31" w:after="31"/>
              <w:ind w:firstLine="0" w:firstLineChars="0"/>
              <w:rPr>
                <w:szCs w:val="24"/>
              </w:rPr>
            </w:pPr>
            <w:r>
              <w:rPr>
                <w:szCs w:val="24"/>
              </w:rPr>
              <w:t>3684.71</w:t>
            </w:r>
          </w:p>
        </w:tc>
        <w:tc>
          <w:tcPr>
            <w:tcW w:w="1705" w:type="dxa"/>
          </w:tcPr>
          <w:p w14:paraId="1842D150">
            <w:pPr>
              <w:pStyle w:val="16"/>
              <w:spacing w:before="31" w:after="31"/>
              <w:ind w:firstLine="0" w:firstLineChars="0"/>
              <w:rPr>
                <w:szCs w:val="24"/>
              </w:rPr>
            </w:pPr>
            <w:r>
              <w:rPr>
                <w:szCs w:val="24"/>
              </w:rPr>
              <w:t>20</w:t>
            </w:r>
          </w:p>
        </w:tc>
        <w:tc>
          <w:tcPr>
            <w:tcW w:w="1705" w:type="dxa"/>
          </w:tcPr>
          <w:p w14:paraId="566496DE">
            <w:pPr>
              <w:pStyle w:val="16"/>
              <w:spacing w:before="31" w:after="31"/>
              <w:ind w:firstLine="0" w:firstLineChars="0"/>
              <w:rPr>
                <w:szCs w:val="24"/>
              </w:rPr>
            </w:pPr>
            <w:r>
              <w:rPr>
                <w:szCs w:val="24"/>
              </w:rPr>
              <w:t>2208</w:t>
            </w:r>
          </w:p>
        </w:tc>
      </w:tr>
      <w:tr w14:paraId="435B9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89E4FF5">
            <w:pPr>
              <w:pStyle w:val="16"/>
              <w:spacing w:before="31" w:after="31"/>
              <w:ind w:firstLine="0" w:firstLineChars="0"/>
              <w:rPr>
                <w:szCs w:val="24"/>
              </w:rPr>
            </w:pPr>
            <w:r>
              <w:rPr>
                <w:szCs w:val="24"/>
              </w:rPr>
              <w:t>2</w:t>
            </w:r>
          </w:p>
        </w:tc>
        <w:tc>
          <w:tcPr>
            <w:tcW w:w="1704" w:type="dxa"/>
          </w:tcPr>
          <w:p w14:paraId="4C6E3D40">
            <w:pPr>
              <w:pStyle w:val="16"/>
              <w:spacing w:before="31" w:after="31"/>
              <w:ind w:firstLine="0" w:firstLineChars="0"/>
              <w:rPr>
                <w:szCs w:val="24"/>
              </w:rPr>
            </w:pPr>
            <w:r>
              <w:rPr>
                <w:szCs w:val="24"/>
              </w:rPr>
              <w:t>203.2(8)</w:t>
            </w:r>
          </w:p>
        </w:tc>
        <w:tc>
          <w:tcPr>
            <w:tcW w:w="1704" w:type="dxa"/>
          </w:tcPr>
          <w:p w14:paraId="3C309286">
            <w:pPr>
              <w:pStyle w:val="16"/>
              <w:spacing w:before="31" w:after="31"/>
              <w:ind w:firstLine="0" w:firstLineChars="0"/>
              <w:rPr>
                <w:szCs w:val="24"/>
              </w:rPr>
            </w:pPr>
            <w:r>
              <w:rPr>
                <w:szCs w:val="24"/>
              </w:rPr>
              <w:t>2155.95</w:t>
            </w:r>
          </w:p>
        </w:tc>
        <w:tc>
          <w:tcPr>
            <w:tcW w:w="1705" w:type="dxa"/>
          </w:tcPr>
          <w:p w14:paraId="2E71E317">
            <w:pPr>
              <w:pStyle w:val="16"/>
              <w:spacing w:before="31" w:after="31"/>
              <w:ind w:firstLine="0" w:firstLineChars="0"/>
              <w:rPr>
                <w:szCs w:val="24"/>
              </w:rPr>
            </w:pPr>
            <w:r>
              <w:rPr>
                <w:szCs w:val="24"/>
              </w:rPr>
              <w:t>16</w:t>
            </w:r>
          </w:p>
        </w:tc>
        <w:tc>
          <w:tcPr>
            <w:tcW w:w="1705" w:type="dxa"/>
          </w:tcPr>
          <w:p w14:paraId="6221BCF9">
            <w:pPr>
              <w:pStyle w:val="16"/>
              <w:spacing w:before="31" w:after="31"/>
              <w:ind w:firstLine="0" w:firstLineChars="0"/>
              <w:rPr>
                <w:szCs w:val="24"/>
              </w:rPr>
            </w:pPr>
            <w:r>
              <w:rPr>
                <w:szCs w:val="24"/>
              </w:rPr>
              <w:t>260</w:t>
            </w:r>
          </w:p>
        </w:tc>
      </w:tr>
    </w:tbl>
    <w:p w14:paraId="182E15FF">
      <w:pPr>
        <w:pStyle w:val="16"/>
        <w:spacing w:before="31" w:after="31"/>
        <w:ind w:firstLine="0" w:firstLineChars="0"/>
        <w:rPr>
          <w:szCs w:val="24"/>
        </w:rPr>
      </w:pPr>
      <w:r>
        <w:rPr>
          <w:szCs w:val="24"/>
        </w:rPr>
        <w:t>(3) Service Environment:</w:t>
      </w:r>
    </w:p>
    <w:p w14:paraId="3B0E93A8">
      <w:pPr>
        <w:pStyle w:val="16"/>
        <w:spacing w:before="31" w:after="31"/>
        <w:ind w:firstLine="420" w:firstLineChars="0"/>
        <w:rPr>
          <w:szCs w:val="24"/>
        </w:rPr>
      </w:pPr>
      <w:r>
        <w:rPr>
          <w:szCs w:val="24"/>
        </w:rPr>
        <w:t>Null</w:t>
      </w:r>
    </w:p>
    <w:p w14:paraId="317C6EA8">
      <w:pPr>
        <w:pStyle w:val="16"/>
        <w:spacing w:before="31" w:after="31"/>
        <w:ind w:firstLine="480"/>
        <w:rPr>
          <w:szCs w:val="24"/>
        </w:rPr>
      </w:pPr>
    </w:p>
    <w:p w14:paraId="0DADFA1A">
      <w:pPr>
        <w:pStyle w:val="16"/>
        <w:spacing w:before="31" w:after="31"/>
        <w:ind w:firstLine="0" w:firstLineChars="0"/>
        <w:rPr>
          <w:szCs w:val="24"/>
        </w:rPr>
      </w:pPr>
      <w:r>
        <w:rPr>
          <w:szCs w:val="24"/>
        </w:rPr>
        <w:t>(4) Failed Components and Materials</w:t>
      </w:r>
    </w:p>
    <w:p w14:paraId="66606D77">
      <w:pPr>
        <w:pStyle w:val="16"/>
        <w:spacing w:before="31" w:after="31"/>
        <w:ind w:firstLine="480"/>
        <w:rPr>
          <w:szCs w:val="24"/>
        </w:rPr>
      </w:pPr>
      <w:r>
        <w:rPr>
          <w:szCs w:val="24"/>
        </w:rPr>
        <w:t>The chemical compositions of the two shafts comply with the SY/T5496-2000 standard requirements, and their mechanical properties are shown in Table 5-32. It can be seen that the mechanical properties of shaft 1 meet the requirements of the SY/T5496-2000 standard. The average tensile strength of shaft 2 meets the standard requirements, but the tensile strength of sample 2-3 is 910 MPa, below the standard value. The hardness average and individual values of shaft 2 are below the requirements of the SY/T5496-2000 standard. The transverse impact absorption energy of shafts 1 and 2 is low, not reaching 25% of the longitudinal impact absorption energy.</w:t>
      </w:r>
    </w:p>
    <w:p w14:paraId="1C546D03">
      <w:pPr>
        <w:pStyle w:val="16"/>
        <w:spacing w:before="31" w:after="31"/>
        <w:ind w:firstLine="482"/>
        <w:jc w:val="center"/>
        <w:rPr>
          <w:b/>
          <w:bCs/>
          <w:szCs w:val="24"/>
        </w:rPr>
      </w:pPr>
      <w:r>
        <w:rPr>
          <w:b/>
          <w:bCs/>
          <w:szCs w:val="24"/>
        </w:rPr>
        <w:t>Table 5-32 Mechanical Performance Test Results</w:t>
      </w:r>
    </w:p>
    <w:tbl>
      <w:tblPr>
        <w:tblStyle w:val="9"/>
        <w:tblW w:w="852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3"/>
        <w:gridCol w:w="834"/>
        <w:gridCol w:w="880"/>
        <w:gridCol w:w="1030"/>
        <w:gridCol w:w="911"/>
        <w:gridCol w:w="1097"/>
        <w:gridCol w:w="1304"/>
        <w:gridCol w:w="1152"/>
        <w:gridCol w:w="911"/>
      </w:tblGrid>
      <w:tr w14:paraId="72BB08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gridSpan w:val="2"/>
            <w:vMerge w:val="restart"/>
            <w:tcBorders>
              <w:top w:val="single" w:color="auto" w:sz="12" w:space="0"/>
              <w:left w:val="nil"/>
              <w:bottom w:val="single" w:color="auto" w:sz="12" w:space="0"/>
              <w:right w:val="nil"/>
            </w:tcBorders>
            <w:vAlign w:val="center"/>
          </w:tcPr>
          <w:p w14:paraId="081291B5">
            <w:pPr>
              <w:autoSpaceDE w:val="0"/>
              <w:autoSpaceDN w:val="0"/>
              <w:adjustRightInd w:val="0"/>
              <w:spacing w:line="312" w:lineRule="auto"/>
              <w:jc w:val="center"/>
              <w:rPr>
                <w:szCs w:val="21"/>
              </w:rPr>
            </w:pPr>
            <w:r>
              <w:rPr>
                <w:szCs w:val="21"/>
              </w:rPr>
              <w:t>Sample number</w:t>
            </w:r>
          </w:p>
        </w:tc>
        <w:tc>
          <w:tcPr>
            <w:tcW w:w="4361" w:type="dxa"/>
            <w:gridSpan w:val="4"/>
            <w:tcBorders>
              <w:top w:val="single" w:color="auto" w:sz="12" w:space="0"/>
              <w:left w:val="nil"/>
              <w:bottom w:val="single" w:color="auto" w:sz="12" w:space="0"/>
              <w:right w:val="nil"/>
            </w:tcBorders>
            <w:vAlign w:val="center"/>
          </w:tcPr>
          <w:p w14:paraId="4B6C6E9F">
            <w:pPr>
              <w:autoSpaceDE w:val="0"/>
              <w:autoSpaceDN w:val="0"/>
              <w:adjustRightInd w:val="0"/>
              <w:spacing w:line="312" w:lineRule="auto"/>
              <w:jc w:val="center"/>
              <w:rPr>
                <w:szCs w:val="21"/>
              </w:rPr>
            </w:pPr>
            <w:r>
              <w:t>Tensile Test</w:t>
            </w:r>
          </w:p>
        </w:tc>
        <w:tc>
          <w:tcPr>
            <w:tcW w:w="2545" w:type="dxa"/>
            <w:gridSpan w:val="2"/>
            <w:tcBorders>
              <w:top w:val="single" w:color="auto" w:sz="12" w:space="0"/>
              <w:left w:val="nil"/>
              <w:bottom w:val="single" w:color="auto" w:sz="12" w:space="0"/>
              <w:right w:val="nil"/>
            </w:tcBorders>
            <w:vAlign w:val="center"/>
          </w:tcPr>
          <w:p w14:paraId="19DCA780">
            <w:pPr>
              <w:autoSpaceDE w:val="0"/>
              <w:autoSpaceDN w:val="0"/>
              <w:adjustRightInd w:val="0"/>
              <w:spacing w:line="312" w:lineRule="auto"/>
              <w:jc w:val="center"/>
              <w:rPr>
                <w:szCs w:val="21"/>
              </w:rPr>
            </w:pPr>
            <w:r>
              <w:t>Impact Test Akv/J</w:t>
            </w:r>
          </w:p>
        </w:tc>
        <w:tc>
          <w:tcPr>
            <w:tcW w:w="941" w:type="dxa"/>
            <w:vMerge w:val="restart"/>
            <w:tcBorders>
              <w:top w:val="single" w:color="auto" w:sz="12" w:space="0"/>
              <w:left w:val="nil"/>
              <w:bottom w:val="single" w:color="auto" w:sz="12" w:space="0"/>
              <w:right w:val="nil"/>
            </w:tcBorders>
          </w:tcPr>
          <w:p w14:paraId="010D351B">
            <w:pPr>
              <w:autoSpaceDE w:val="0"/>
              <w:autoSpaceDN w:val="0"/>
              <w:adjustRightInd w:val="0"/>
              <w:spacing w:line="312" w:lineRule="auto"/>
              <w:jc w:val="center"/>
              <w:rPr>
                <w:szCs w:val="21"/>
              </w:rPr>
            </w:pPr>
            <w:r>
              <w:t>Hardness Test/HB</w:t>
            </w:r>
          </w:p>
        </w:tc>
      </w:tr>
      <w:tr w14:paraId="24BE9B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gridSpan w:val="2"/>
            <w:vMerge w:val="continue"/>
            <w:tcBorders>
              <w:top w:val="single" w:color="auto" w:sz="12" w:space="0"/>
              <w:left w:val="nil"/>
              <w:bottom w:val="single" w:color="auto" w:sz="12" w:space="0"/>
              <w:right w:val="nil"/>
            </w:tcBorders>
            <w:vAlign w:val="center"/>
          </w:tcPr>
          <w:p w14:paraId="0C34949E">
            <w:pPr>
              <w:widowControl/>
              <w:jc w:val="left"/>
              <w:rPr>
                <w:szCs w:val="21"/>
              </w:rPr>
            </w:pPr>
          </w:p>
        </w:tc>
        <w:tc>
          <w:tcPr>
            <w:tcW w:w="1219" w:type="dxa"/>
            <w:tcBorders>
              <w:top w:val="single" w:color="auto" w:sz="12" w:space="0"/>
              <w:left w:val="nil"/>
              <w:bottom w:val="single" w:color="auto" w:sz="12" w:space="0"/>
              <w:right w:val="nil"/>
            </w:tcBorders>
            <w:vAlign w:val="center"/>
          </w:tcPr>
          <w:p w14:paraId="3042B646">
            <w:pPr>
              <w:autoSpaceDE w:val="0"/>
              <w:autoSpaceDN w:val="0"/>
              <w:adjustRightInd w:val="0"/>
              <w:spacing w:line="312" w:lineRule="auto"/>
              <w:jc w:val="center"/>
              <w:rPr>
                <w:kern w:val="0"/>
                <w:szCs w:val="21"/>
              </w:rPr>
            </w:pPr>
            <w:r>
              <w:t>Tensile Strength Rm/Mpa</w:t>
            </w:r>
            <w:r>
              <w:tab/>
            </w:r>
          </w:p>
        </w:tc>
        <w:tc>
          <w:tcPr>
            <w:tcW w:w="1065" w:type="dxa"/>
            <w:tcBorders>
              <w:top w:val="single" w:color="auto" w:sz="12" w:space="0"/>
              <w:left w:val="nil"/>
              <w:bottom w:val="single" w:color="auto" w:sz="12" w:space="0"/>
              <w:right w:val="nil"/>
            </w:tcBorders>
            <w:vAlign w:val="center"/>
          </w:tcPr>
          <w:p w14:paraId="5474D531">
            <w:pPr>
              <w:autoSpaceDE w:val="0"/>
              <w:autoSpaceDN w:val="0"/>
              <w:adjustRightInd w:val="0"/>
              <w:spacing w:line="312" w:lineRule="auto"/>
              <w:jc w:val="center"/>
              <w:rPr>
                <w:kern w:val="0"/>
                <w:szCs w:val="21"/>
              </w:rPr>
            </w:pPr>
            <w:r>
              <w:t>Yield Strength Rr0.2/Mpa</w:t>
            </w:r>
            <w:r>
              <w:tab/>
            </w:r>
            <w:r>
              <w:tab/>
            </w:r>
          </w:p>
        </w:tc>
        <w:tc>
          <w:tcPr>
            <w:tcW w:w="941" w:type="dxa"/>
            <w:tcBorders>
              <w:top w:val="single" w:color="auto" w:sz="12" w:space="0"/>
              <w:left w:val="nil"/>
              <w:bottom w:val="single" w:color="auto" w:sz="12" w:space="0"/>
              <w:right w:val="nil"/>
            </w:tcBorders>
          </w:tcPr>
          <w:p w14:paraId="6D3629D1">
            <w:pPr>
              <w:autoSpaceDE w:val="0"/>
              <w:autoSpaceDN w:val="0"/>
              <w:adjustRightInd w:val="0"/>
              <w:spacing w:line="312" w:lineRule="auto"/>
              <w:jc w:val="center"/>
              <w:rPr>
                <w:kern w:val="0"/>
                <w:szCs w:val="21"/>
              </w:rPr>
            </w:pPr>
            <w:r>
              <w:t>Hardness Test/HB</w:t>
            </w:r>
          </w:p>
        </w:tc>
        <w:tc>
          <w:tcPr>
            <w:tcW w:w="1136" w:type="dxa"/>
            <w:tcBorders>
              <w:top w:val="single" w:color="auto" w:sz="12" w:space="0"/>
              <w:left w:val="nil"/>
              <w:bottom w:val="single" w:color="auto" w:sz="12" w:space="0"/>
              <w:right w:val="nil"/>
            </w:tcBorders>
            <w:vAlign w:val="center"/>
          </w:tcPr>
          <w:p w14:paraId="5E206165">
            <w:pPr>
              <w:autoSpaceDE w:val="0"/>
              <w:autoSpaceDN w:val="0"/>
              <w:adjustRightInd w:val="0"/>
              <w:spacing w:line="312" w:lineRule="auto"/>
              <w:jc w:val="center"/>
              <w:rPr>
                <w:szCs w:val="21"/>
              </w:rPr>
            </w:pPr>
            <w:r>
              <w:t>Contraction Z/%</w:t>
            </w:r>
            <w:r>
              <w:tab/>
            </w:r>
          </w:p>
        </w:tc>
        <w:tc>
          <w:tcPr>
            <w:tcW w:w="1352" w:type="dxa"/>
            <w:tcBorders>
              <w:top w:val="single" w:color="auto" w:sz="12" w:space="0"/>
              <w:left w:val="nil"/>
              <w:bottom w:val="single" w:color="auto" w:sz="12" w:space="0"/>
              <w:right w:val="nil"/>
            </w:tcBorders>
            <w:vAlign w:val="center"/>
          </w:tcPr>
          <w:p w14:paraId="49808ACB">
            <w:pPr>
              <w:autoSpaceDE w:val="0"/>
              <w:autoSpaceDN w:val="0"/>
              <w:adjustRightInd w:val="0"/>
              <w:spacing w:line="312" w:lineRule="auto"/>
              <w:jc w:val="center"/>
              <w:rPr>
                <w:szCs w:val="21"/>
              </w:rPr>
            </w:pPr>
            <w:r>
              <w:t>Longitudinal/J</w:t>
            </w:r>
          </w:p>
        </w:tc>
        <w:tc>
          <w:tcPr>
            <w:tcW w:w="1193" w:type="dxa"/>
            <w:tcBorders>
              <w:top w:val="single" w:color="auto" w:sz="12" w:space="0"/>
              <w:left w:val="nil"/>
              <w:bottom w:val="single" w:color="auto" w:sz="12" w:space="0"/>
              <w:right w:val="nil"/>
            </w:tcBorders>
            <w:vAlign w:val="center"/>
          </w:tcPr>
          <w:p w14:paraId="794F06FF">
            <w:pPr>
              <w:autoSpaceDE w:val="0"/>
              <w:autoSpaceDN w:val="0"/>
              <w:adjustRightInd w:val="0"/>
              <w:spacing w:line="312" w:lineRule="auto"/>
              <w:jc w:val="center"/>
              <w:rPr>
                <w:szCs w:val="21"/>
              </w:rPr>
            </w:pPr>
            <w:r>
              <w:t>Transverse/J</w:t>
            </w:r>
          </w:p>
        </w:tc>
        <w:tc>
          <w:tcPr>
            <w:tcW w:w="0" w:type="auto"/>
            <w:vMerge w:val="continue"/>
            <w:tcBorders>
              <w:top w:val="single" w:color="auto" w:sz="12" w:space="0"/>
              <w:left w:val="nil"/>
              <w:bottom w:val="single" w:color="auto" w:sz="12" w:space="0"/>
              <w:right w:val="nil"/>
            </w:tcBorders>
            <w:vAlign w:val="center"/>
          </w:tcPr>
          <w:p w14:paraId="67CC53FA">
            <w:pPr>
              <w:widowControl/>
              <w:jc w:val="left"/>
              <w:rPr>
                <w:szCs w:val="21"/>
              </w:rPr>
            </w:pPr>
          </w:p>
        </w:tc>
      </w:tr>
      <w:tr w14:paraId="2B5AC8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2" w:type="dxa"/>
            <w:vMerge w:val="restart"/>
            <w:tcBorders>
              <w:top w:val="single" w:color="auto" w:sz="12" w:space="0"/>
              <w:left w:val="nil"/>
              <w:bottom w:val="nil"/>
              <w:right w:val="nil"/>
            </w:tcBorders>
            <w:vAlign w:val="center"/>
          </w:tcPr>
          <w:p w14:paraId="3F4E2306">
            <w:pPr>
              <w:autoSpaceDE w:val="0"/>
              <w:autoSpaceDN w:val="0"/>
              <w:adjustRightInd w:val="0"/>
              <w:spacing w:line="312" w:lineRule="auto"/>
              <w:jc w:val="center"/>
              <w:rPr>
                <w:szCs w:val="21"/>
              </w:rPr>
            </w:pPr>
            <w:r>
              <w:rPr>
                <w:szCs w:val="21"/>
              </w:rPr>
              <w:t>1#</w:t>
            </w:r>
          </w:p>
        </w:tc>
        <w:tc>
          <w:tcPr>
            <w:tcW w:w="263" w:type="dxa"/>
            <w:tcBorders>
              <w:top w:val="single" w:color="auto" w:sz="12" w:space="0"/>
              <w:left w:val="nil"/>
              <w:bottom w:val="nil"/>
              <w:right w:val="nil"/>
            </w:tcBorders>
            <w:vAlign w:val="center"/>
          </w:tcPr>
          <w:p w14:paraId="33A281F6">
            <w:pPr>
              <w:autoSpaceDE w:val="0"/>
              <w:autoSpaceDN w:val="0"/>
              <w:adjustRightInd w:val="0"/>
              <w:spacing w:line="312" w:lineRule="auto"/>
              <w:jc w:val="center"/>
              <w:rPr>
                <w:szCs w:val="21"/>
              </w:rPr>
            </w:pPr>
            <w:r>
              <w:rPr>
                <w:szCs w:val="21"/>
              </w:rPr>
              <w:t>1-1#</w:t>
            </w:r>
          </w:p>
        </w:tc>
        <w:tc>
          <w:tcPr>
            <w:tcW w:w="1219" w:type="dxa"/>
            <w:tcBorders>
              <w:top w:val="single" w:color="auto" w:sz="12" w:space="0"/>
              <w:left w:val="nil"/>
              <w:bottom w:val="nil"/>
              <w:right w:val="nil"/>
            </w:tcBorders>
            <w:vAlign w:val="center"/>
          </w:tcPr>
          <w:p w14:paraId="7C60799A">
            <w:pPr>
              <w:autoSpaceDE w:val="0"/>
              <w:autoSpaceDN w:val="0"/>
              <w:adjustRightInd w:val="0"/>
              <w:spacing w:line="312" w:lineRule="auto"/>
              <w:jc w:val="center"/>
              <w:rPr>
                <w:szCs w:val="21"/>
              </w:rPr>
            </w:pPr>
            <w:r>
              <w:rPr>
                <w:szCs w:val="21"/>
              </w:rPr>
              <w:t>1010</w:t>
            </w:r>
          </w:p>
        </w:tc>
        <w:tc>
          <w:tcPr>
            <w:tcW w:w="1065" w:type="dxa"/>
            <w:tcBorders>
              <w:top w:val="single" w:color="auto" w:sz="12" w:space="0"/>
              <w:left w:val="nil"/>
              <w:bottom w:val="nil"/>
              <w:right w:val="nil"/>
            </w:tcBorders>
            <w:vAlign w:val="center"/>
          </w:tcPr>
          <w:p w14:paraId="1C2614D7">
            <w:pPr>
              <w:autoSpaceDE w:val="0"/>
              <w:autoSpaceDN w:val="0"/>
              <w:adjustRightInd w:val="0"/>
              <w:spacing w:line="312" w:lineRule="auto"/>
              <w:jc w:val="center"/>
              <w:rPr>
                <w:szCs w:val="21"/>
              </w:rPr>
            </w:pPr>
            <w:r>
              <w:rPr>
                <w:szCs w:val="21"/>
              </w:rPr>
              <w:t>820</w:t>
            </w:r>
          </w:p>
        </w:tc>
        <w:tc>
          <w:tcPr>
            <w:tcW w:w="941" w:type="dxa"/>
            <w:tcBorders>
              <w:top w:val="single" w:color="auto" w:sz="12" w:space="0"/>
              <w:left w:val="nil"/>
              <w:bottom w:val="nil"/>
              <w:right w:val="nil"/>
            </w:tcBorders>
            <w:vAlign w:val="center"/>
          </w:tcPr>
          <w:p w14:paraId="7BFA3460">
            <w:pPr>
              <w:autoSpaceDE w:val="0"/>
              <w:autoSpaceDN w:val="0"/>
              <w:adjustRightInd w:val="0"/>
              <w:spacing w:line="312" w:lineRule="auto"/>
              <w:jc w:val="center"/>
              <w:rPr>
                <w:szCs w:val="21"/>
              </w:rPr>
            </w:pPr>
            <w:r>
              <w:rPr>
                <w:szCs w:val="21"/>
              </w:rPr>
              <w:t>17.5</w:t>
            </w:r>
          </w:p>
        </w:tc>
        <w:tc>
          <w:tcPr>
            <w:tcW w:w="1136" w:type="dxa"/>
            <w:tcBorders>
              <w:top w:val="single" w:color="auto" w:sz="12" w:space="0"/>
              <w:left w:val="nil"/>
              <w:bottom w:val="nil"/>
              <w:right w:val="nil"/>
            </w:tcBorders>
            <w:vAlign w:val="center"/>
          </w:tcPr>
          <w:p w14:paraId="48B83086">
            <w:pPr>
              <w:autoSpaceDE w:val="0"/>
              <w:autoSpaceDN w:val="0"/>
              <w:adjustRightInd w:val="0"/>
              <w:spacing w:line="312" w:lineRule="auto"/>
              <w:jc w:val="center"/>
              <w:rPr>
                <w:szCs w:val="21"/>
              </w:rPr>
            </w:pPr>
            <w:r>
              <w:rPr>
                <w:szCs w:val="21"/>
              </w:rPr>
              <w:t>57.5</w:t>
            </w:r>
          </w:p>
        </w:tc>
        <w:tc>
          <w:tcPr>
            <w:tcW w:w="1352" w:type="dxa"/>
            <w:tcBorders>
              <w:top w:val="single" w:color="auto" w:sz="12" w:space="0"/>
              <w:left w:val="nil"/>
              <w:bottom w:val="nil"/>
              <w:right w:val="nil"/>
            </w:tcBorders>
            <w:vAlign w:val="center"/>
          </w:tcPr>
          <w:p w14:paraId="5D2A6303">
            <w:pPr>
              <w:autoSpaceDE w:val="0"/>
              <w:autoSpaceDN w:val="0"/>
              <w:adjustRightInd w:val="0"/>
              <w:spacing w:line="312" w:lineRule="auto"/>
              <w:jc w:val="center"/>
              <w:rPr>
                <w:szCs w:val="21"/>
              </w:rPr>
            </w:pPr>
            <w:r>
              <w:rPr>
                <w:szCs w:val="21"/>
              </w:rPr>
              <w:t>84.0</w:t>
            </w:r>
          </w:p>
        </w:tc>
        <w:tc>
          <w:tcPr>
            <w:tcW w:w="1193" w:type="dxa"/>
            <w:tcBorders>
              <w:top w:val="single" w:color="auto" w:sz="12" w:space="0"/>
              <w:left w:val="nil"/>
              <w:bottom w:val="nil"/>
              <w:right w:val="nil"/>
            </w:tcBorders>
            <w:vAlign w:val="center"/>
          </w:tcPr>
          <w:p w14:paraId="3E255E3B">
            <w:pPr>
              <w:autoSpaceDE w:val="0"/>
              <w:autoSpaceDN w:val="0"/>
              <w:adjustRightInd w:val="0"/>
              <w:spacing w:line="312" w:lineRule="auto"/>
              <w:jc w:val="center"/>
              <w:rPr>
                <w:szCs w:val="21"/>
              </w:rPr>
            </w:pPr>
            <w:r>
              <w:rPr>
                <w:szCs w:val="21"/>
              </w:rPr>
              <w:t>18.0</w:t>
            </w:r>
          </w:p>
        </w:tc>
        <w:tc>
          <w:tcPr>
            <w:tcW w:w="941" w:type="dxa"/>
            <w:tcBorders>
              <w:top w:val="single" w:color="auto" w:sz="12" w:space="0"/>
              <w:left w:val="nil"/>
              <w:bottom w:val="nil"/>
              <w:right w:val="nil"/>
            </w:tcBorders>
            <w:vAlign w:val="center"/>
          </w:tcPr>
          <w:p w14:paraId="3A9CC5BD">
            <w:pPr>
              <w:autoSpaceDE w:val="0"/>
              <w:autoSpaceDN w:val="0"/>
              <w:adjustRightInd w:val="0"/>
              <w:spacing w:line="312" w:lineRule="auto"/>
              <w:jc w:val="center"/>
              <w:rPr>
                <w:szCs w:val="21"/>
              </w:rPr>
            </w:pPr>
            <w:r>
              <w:rPr>
                <w:szCs w:val="21"/>
              </w:rPr>
              <w:t>311</w:t>
            </w:r>
          </w:p>
        </w:tc>
      </w:tr>
      <w:tr w14:paraId="05698E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op w:val="single" w:color="auto" w:sz="12" w:space="0"/>
              <w:left w:val="nil"/>
              <w:bottom w:val="nil"/>
              <w:right w:val="nil"/>
            </w:tcBorders>
            <w:vAlign w:val="center"/>
          </w:tcPr>
          <w:p w14:paraId="54C5766B">
            <w:pPr>
              <w:widowControl/>
              <w:jc w:val="left"/>
              <w:rPr>
                <w:szCs w:val="21"/>
              </w:rPr>
            </w:pPr>
          </w:p>
        </w:tc>
        <w:tc>
          <w:tcPr>
            <w:tcW w:w="263" w:type="dxa"/>
            <w:tcBorders>
              <w:top w:val="nil"/>
              <w:left w:val="nil"/>
              <w:bottom w:val="nil"/>
              <w:right w:val="nil"/>
            </w:tcBorders>
            <w:vAlign w:val="center"/>
          </w:tcPr>
          <w:p w14:paraId="365CD085">
            <w:pPr>
              <w:jc w:val="center"/>
            </w:pPr>
            <w:r>
              <w:rPr>
                <w:szCs w:val="21"/>
              </w:rPr>
              <w:t>1-2#</w:t>
            </w:r>
          </w:p>
        </w:tc>
        <w:tc>
          <w:tcPr>
            <w:tcW w:w="1219" w:type="dxa"/>
            <w:tcBorders>
              <w:top w:val="nil"/>
              <w:left w:val="nil"/>
              <w:bottom w:val="nil"/>
              <w:right w:val="nil"/>
            </w:tcBorders>
            <w:vAlign w:val="center"/>
          </w:tcPr>
          <w:p w14:paraId="21B85C81">
            <w:pPr>
              <w:autoSpaceDE w:val="0"/>
              <w:autoSpaceDN w:val="0"/>
              <w:adjustRightInd w:val="0"/>
              <w:spacing w:line="312" w:lineRule="auto"/>
              <w:jc w:val="center"/>
              <w:rPr>
                <w:szCs w:val="21"/>
              </w:rPr>
            </w:pPr>
            <w:r>
              <w:rPr>
                <w:szCs w:val="21"/>
              </w:rPr>
              <w:t>1030</w:t>
            </w:r>
          </w:p>
        </w:tc>
        <w:tc>
          <w:tcPr>
            <w:tcW w:w="1065" w:type="dxa"/>
            <w:tcBorders>
              <w:top w:val="nil"/>
              <w:left w:val="nil"/>
              <w:bottom w:val="nil"/>
              <w:right w:val="nil"/>
            </w:tcBorders>
            <w:vAlign w:val="center"/>
          </w:tcPr>
          <w:p w14:paraId="38C180B4">
            <w:pPr>
              <w:autoSpaceDE w:val="0"/>
              <w:autoSpaceDN w:val="0"/>
              <w:adjustRightInd w:val="0"/>
              <w:spacing w:line="312" w:lineRule="auto"/>
              <w:jc w:val="center"/>
              <w:rPr>
                <w:szCs w:val="21"/>
              </w:rPr>
            </w:pPr>
            <w:r>
              <w:rPr>
                <w:szCs w:val="21"/>
              </w:rPr>
              <w:t>855</w:t>
            </w:r>
          </w:p>
        </w:tc>
        <w:tc>
          <w:tcPr>
            <w:tcW w:w="941" w:type="dxa"/>
            <w:tcBorders>
              <w:top w:val="nil"/>
              <w:left w:val="nil"/>
              <w:bottom w:val="nil"/>
              <w:right w:val="nil"/>
            </w:tcBorders>
            <w:vAlign w:val="center"/>
          </w:tcPr>
          <w:p w14:paraId="727349F0">
            <w:pPr>
              <w:autoSpaceDE w:val="0"/>
              <w:autoSpaceDN w:val="0"/>
              <w:adjustRightInd w:val="0"/>
              <w:spacing w:line="312" w:lineRule="auto"/>
              <w:jc w:val="center"/>
              <w:rPr>
                <w:szCs w:val="21"/>
              </w:rPr>
            </w:pPr>
            <w:r>
              <w:rPr>
                <w:szCs w:val="21"/>
              </w:rPr>
              <w:t>17.0</w:t>
            </w:r>
          </w:p>
        </w:tc>
        <w:tc>
          <w:tcPr>
            <w:tcW w:w="1136" w:type="dxa"/>
            <w:tcBorders>
              <w:top w:val="nil"/>
              <w:left w:val="nil"/>
              <w:bottom w:val="nil"/>
              <w:right w:val="nil"/>
            </w:tcBorders>
            <w:vAlign w:val="center"/>
          </w:tcPr>
          <w:p w14:paraId="4BE86024">
            <w:pPr>
              <w:autoSpaceDE w:val="0"/>
              <w:autoSpaceDN w:val="0"/>
              <w:adjustRightInd w:val="0"/>
              <w:spacing w:line="312" w:lineRule="auto"/>
              <w:jc w:val="center"/>
              <w:rPr>
                <w:szCs w:val="21"/>
              </w:rPr>
            </w:pPr>
            <w:r>
              <w:rPr>
                <w:szCs w:val="21"/>
              </w:rPr>
              <w:t>55.0</w:t>
            </w:r>
          </w:p>
        </w:tc>
        <w:tc>
          <w:tcPr>
            <w:tcW w:w="1352" w:type="dxa"/>
            <w:tcBorders>
              <w:top w:val="nil"/>
              <w:left w:val="nil"/>
              <w:bottom w:val="nil"/>
              <w:right w:val="nil"/>
            </w:tcBorders>
            <w:vAlign w:val="center"/>
          </w:tcPr>
          <w:p w14:paraId="2CBD2AE8">
            <w:pPr>
              <w:autoSpaceDE w:val="0"/>
              <w:autoSpaceDN w:val="0"/>
              <w:adjustRightInd w:val="0"/>
              <w:spacing w:line="312" w:lineRule="auto"/>
              <w:jc w:val="center"/>
              <w:rPr>
                <w:szCs w:val="21"/>
              </w:rPr>
            </w:pPr>
            <w:r>
              <w:rPr>
                <w:szCs w:val="21"/>
              </w:rPr>
              <w:t>84.0</w:t>
            </w:r>
          </w:p>
        </w:tc>
        <w:tc>
          <w:tcPr>
            <w:tcW w:w="1193" w:type="dxa"/>
            <w:tcBorders>
              <w:top w:val="nil"/>
              <w:left w:val="nil"/>
              <w:bottom w:val="nil"/>
              <w:right w:val="nil"/>
            </w:tcBorders>
            <w:vAlign w:val="center"/>
          </w:tcPr>
          <w:p w14:paraId="7023DA59">
            <w:pPr>
              <w:autoSpaceDE w:val="0"/>
              <w:autoSpaceDN w:val="0"/>
              <w:adjustRightInd w:val="0"/>
              <w:spacing w:line="312" w:lineRule="auto"/>
              <w:jc w:val="center"/>
              <w:rPr>
                <w:szCs w:val="21"/>
              </w:rPr>
            </w:pPr>
            <w:r>
              <w:rPr>
                <w:szCs w:val="21"/>
              </w:rPr>
              <w:t>18.0</w:t>
            </w:r>
          </w:p>
        </w:tc>
        <w:tc>
          <w:tcPr>
            <w:tcW w:w="941" w:type="dxa"/>
            <w:tcBorders>
              <w:top w:val="nil"/>
              <w:left w:val="nil"/>
              <w:bottom w:val="nil"/>
              <w:right w:val="nil"/>
            </w:tcBorders>
            <w:vAlign w:val="center"/>
          </w:tcPr>
          <w:p w14:paraId="2A7C80E5">
            <w:pPr>
              <w:autoSpaceDE w:val="0"/>
              <w:autoSpaceDN w:val="0"/>
              <w:adjustRightInd w:val="0"/>
              <w:spacing w:line="312" w:lineRule="auto"/>
              <w:jc w:val="center"/>
              <w:rPr>
                <w:szCs w:val="21"/>
              </w:rPr>
            </w:pPr>
            <w:r>
              <w:rPr>
                <w:szCs w:val="21"/>
              </w:rPr>
              <w:t>311</w:t>
            </w:r>
          </w:p>
        </w:tc>
      </w:tr>
      <w:tr w14:paraId="1448B7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op w:val="single" w:color="auto" w:sz="12" w:space="0"/>
              <w:left w:val="nil"/>
              <w:bottom w:val="nil"/>
              <w:right w:val="nil"/>
            </w:tcBorders>
            <w:vAlign w:val="center"/>
          </w:tcPr>
          <w:p w14:paraId="3D949477">
            <w:pPr>
              <w:widowControl/>
              <w:jc w:val="left"/>
              <w:rPr>
                <w:szCs w:val="21"/>
              </w:rPr>
            </w:pPr>
          </w:p>
        </w:tc>
        <w:tc>
          <w:tcPr>
            <w:tcW w:w="263" w:type="dxa"/>
            <w:tcBorders>
              <w:top w:val="nil"/>
              <w:left w:val="nil"/>
              <w:bottom w:val="nil"/>
              <w:right w:val="nil"/>
            </w:tcBorders>
            <w:vAlign w:val="center"/>
          </w:tcPr>
          <w:p w14:paraId="0810637D">
            <w:pPr>
              <w:jc w:val="center"/>
            </w:pPr>
            <w:r>
              <w:rPr>
                <w:szCs w:val="21"/>
              </w:rPr>
              <w:t>1-3#</w:t>
            </w:r>
          </w:p>
        </w:tc>
        <w:tc>
          <w:tcPr>
            <w:tcW w:w="1219" w:type="dxa"/>
            <w:tcBorders>
              <w:top w:val="nil"/>
              <w:left w:val="nil"/>
              <w:bottom w:val="nil"/>
              <w:right w:val="nil"/>
            </w:tcBorders>
            <w:vAlign w:val="center"/>
          </w:tcPr>
          <w:p w14:paraId="77C5661C">
            <w:pPr>
              <w:autoSpaceDE w:val="0"/>
              <w:autoSpaceDN w:val="0"/>
              <w:adjustRightInd w:val="0"/>
              <w:spacing w:line="312" w:lineRule="auto"/>
              <w:jc w:val="center"/>
              <w:rPr>
                <w:szCs w:val="21"/>
              </w:rPr>
            </w:pPr>
            <w:r>
              <w:rPr>
                <w:szCs w:val="21"/>
              </w:rPr>
              <w:t>1010</w:t>
            </w:r>
          </w:p>
        </w:tc>
        <w:tc>
          <w:tcPr>
            <w:tcW w:w="1065" w:type="dxa"/>
            <w:tcBorders>
              <w:top w:val="nil"/>
              <w:left w:val="nil"/>
              <w:bottom w:val="nil"/>
              <w:right w:val="nil"/>
            </w:tcBorders>
            <w:vAlign w:val="center"/>
          </w:tcPr>
          <w:p w14:paraId="6AEB26BF">
            <w:pPr>
              <w:autoSpaceDE w:val="0"/>
              <w:autoSpaceDN w:val="0"/>
              <w:adjustRightInd w:val="0"/>
              <w:spacing w:line="312" w:lineRule="auto"/>
              <w:jc w:val="center"/>
              <w:rPr>
                <w:szCs w:val="21"/>
              </w:rPr>
            </w:pPr>
            <w:r>
              <w:rPr>
                <w:szCs w:val="21"/>
              </w:rPr>
              <w:t>845</w:t>
            </w:r>
          </w:p>
        </w:tc>
        <w:tc>
          <w:tcPr>
            <w:tcW w:w="941" w:type="dxa"/>
            <w:tcBorders>
              <w:top w:val="nil"/>
              <w:left w:val="nil"/>
              <w:bottom w:val="nil"/>
              <w:right w:val="nil"/>
            </w:tcBorders>
            <w:vAlign w:val="center"/>
          </w:tcPr>
          <w:p w14:paraId="5A3A60DA">
            <w:pPr>
              <w:autoSpaceDE w:val="0"/>
              <w:autoSpaceDN w:val="0"/>
              <w:adjustRightInd w:val="0"/>
              <w:spacing w:line="312" w:lineRule="auto"/>
              <w:jc w:val="center"/>
              <w:rPr>
                <w:szCs w:val="21"/>
              </w:rPr>
            </w:pPr>
            <w:r>
              <w:rPr>
                <w:szCs w:val="21"/>
              </w:rPr>
              <w:t>17.5</w:t>
            </w:r>
          </w:p>
        </w:tc>
        <w:tc>
          <w:tcPr>
            <w:tcW w:w="1136" w:type="dxa"/>
            <w:tcBorders>
              <w:top w:val="nil"/>
              <w:left w:val="nil"/>
              <w:bottom w:val="nil"/>
              <w:right w:val="nil"/>
            </w:tcBorders>
            <w:vAlign w:val="center"/>
          </w:tcPr>
          <w:p w14:paraId="0CA26197">
            <w:pPr>
              <w:autoSpaceDE w:val="0"/>
              <w:autoSpaceDN w:val="0"/>
              <w:adjustRightInd w:val="0"/>
              <w:spacing w:line="312" w:lineRule="auto"/>
              <w:jc w:val="center"/>
              <w:rPr>
                <w:szCs w:val="21"/>
              </w:rPr>
            </w:pPr>
            <w:r>
              <w:rPr>
                <w:szCs w:val="21"/>
              </w:rPr>
              <w:t>58.5</w:t>
            </w:r>
          </w:p>
        </w:tc>
        <w:tc>
          <w:tcPr>
            <w:tcW w:w="1352" w:type="dxa"/>
            <w:tcBorders>
              <w:top w:val="nil"/>
              <w:left w:val="nil"/>
              <w:bottom w:val="nil"/>
              <w:right w:val="nil"/>
            </w:tcBorders>
            <w:vAlign w:val="center"/>
          </w:tcPr>
          <w:p w14:paraId="4C86A1E4">
            <w:pPr>
              <w:autoSpaceDE w:val="0"/>
              <w:autoSpaceDN w:val="0"/>
              <w:adjustRightInd w:val="0"/>
              <w:spacing w:line="312" w:lineRule="auto"/>
              <w:jc w:val="center"/>
              <w:rPr>
                <w:szCs w:val="21"/>
              </w:rPr>
            </w:pPr>
            <w:r>
              <w:rPr>
                <w:szCs w:val="21"/>
              </w:rPr>
              <w:t>81.0</w:t>
            </w:r>
          </w:p>
        </w:tc>
        <w:tc>
          <w:tcPr>
            <w:tcW w:w="1193" w:type="dxa"/>
            <w:tcBorders>
              <w:top w:val="nil"/>
              <w:left w:val="nil"/>
              <w:bottom w:val="nil"/>
              <w:right w:val="nil"/>
            </w:tcBorders>
            <w:vAlign w:val="center"/>
          </w:tcPr>
          <w:p w14:paraId="63FD7EF8">
            <w:pPr>
              <w:autoSpaceDE w:val="0"/>
              <w:autoSpaceDN w:val="0"/>
              <w:adjustRightInd w:val="0"/>
              <w:spacing w:line="312" w:lineRule="auto"/>
              <w:jc w:val="center"/>
              <w:rPr>
                <w:szCs w:val="21"/>
              </w:rPr>
            </w:pPr>
            <w:r>
              <w:rPr>
                <w:szCs w:val="21"/>
              </w:rPr>
              <w:t>19.0</w:t>
            </w:r>
          </w:p>
        </w:tc>
        <w:tc>
          <w:tcPr>
            <w:tcW w:w="941" w:type="dxa"/>
            <w:tcBorders>
              <w:top w:val="nil"/>
              <w:left w:val="nil"/>
              <w:bottom w:val="nil"/>
              <w:right w:val="nil"/>
            </w:tcBorders>
            <w:vAlign w:val="center"/>
          </w:tcPr>
          <w:p w14:paraId="0EFCD374">
            <w:pPr>
              <w:autoSpaceDE w:val="0"/>
              <w:autoSpaceDN w:val="0"/>
              <w:adjustRightInd w:val="0"/>
              <w:spacing w:line="312" w:lineRule="auto"/>
              <w:jc w:val="center"/>
              <w:rPr>
                <w:szCs w:val="21"/>
              </w:rPr>
            </w:pPr>
            <w:r>
              <w:rPr>
                <w:szCs w:val="21"/>
              </w:rPr>
              <w:t>304</w:t>
            </w:r>
          </w:p>
        </w:tc>
      </w:tr>
      <w:tr w14:paraId="1CE12A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op w:val="single" w:color="auto" w:sz="12" w:space="0"/>
              <w:left w:val="nil"/>
              <w:bottom w:val="nil"/>
              <w:right w:val="nil"/>
            </w:tcBorders>
            <w:vAlign w:val="center"/>
          </w:tcPr>
          <w:p w14:paraId="44A414A4">
            <w:pPr>
              <w:widowControl/>
              <w:jc w:val="left"/>
              <w:rPr>
                <w:szCs w:val="21"/>
              </w:rPr>
            </w:pPr>
          </w:p>
        </w:tc>
        <w:tc>
          <w:tcPr>
            <w:tcW w:w="263" w:type="dxa"/>
            <w:tcBorders>
              <w:top w:val="nil"/>
              <w:left w:val="nil"/>
              <w:bottom w:val="nil"/>
              <w:right w:val="nil"/>
            </w:tcBorders>
            <w:vAlign w:val="center"/>
          </w:tcPr>
          <w:p w14:paraId="65B8AF04">
            <w:pPr>
              <w:jc w:val="center"/>
            </w:pPr>
            <w:r>
              <w:t>Average</w:t>
            </w:r>
            <w:r>
              <w:tab/>
            </w:r>
          </w:p>
        </w:tc>
        <w:tc>
          <w:tcPr>
            <w:tcW w:w="1219" w:type="dxa"/>
            <w:tcBorders>
              <w:top w:val="nil"/>
              <w:left w:val="nil"/>
              <w:bottom w:val="nil"/>
              <w:right w:val="nil"/>
            </w:tcBorders>
            <w:vAlign w:val="center"/>
          </w:tcPr>
          <w:p w14:paraId="791F2BAE">
            <w:pPr>
              <w:autoSpaceDE w:val="0"/>
              <w:autoSpaceDN w:val="0"/>
              <w:adjustRightInd w:val="0"/>
              <w:spacing w:line="312" w:lineRule="auto"/>
              <w:jc w:val="center"/>
              <w:rPr>
                <w:szCs w:val="21"/>
              </w:rPr>
            </w:pPr>
            <w:r>
              <w:rPr>
                <w:szCs w:val="21"/>
              </w:rPr>
              <w:t>1010</w:t>
            </w:r>
          </w:p>
        </w:tc>
        <w:tc>
          <w:tcPr>
            <w:tcW w:w="1065" w:type="dxa"/>
            <w:tcBorders>
              <w:top w:val="nil"/>
              <w:left w:val="nil"/>
              <w:bottom w:val="nil"/>
              <w:right w:val="nil"/>
            </w:tcBorders>
            <w:vAlign w:val="center"/>
          </w:tcPr>
          <w:p w14:paraId="3BDB9C63">
            <w:pPr>
              <w:autoSpaceDE w:val="0"/>
              <w:autoSpaceDN w:val="0"/>
              <w:adjustRightInd w:val="0"/>
              <w:spacing w:line="312" w:lineRule="auto"/>
              <w:jc w:val="center"/>
              <w:rPr>
                <w:szCs w:val="21"/>
              </w:rPr>
            </w:pPr>
            <w:r>
              <w:rPr>
                <w:szCs w:val="21"/>
              </w:rPr>
              <w:t>840</w:t>
            </w:r>
          </w:p>
        </w:tc>
        <w:tc>
          <w:tcPr>
            <w:tcW w:w="941" w:type="dxa"/>
            <w:tcBorders>
              <w:top w:val="nil"/>
              <w:left w:val="nil"/>
              <w:bottom w:val="nil"/>
              <w:right w:val="nil"/>
            </w:tcBorders>
            <w:vAlign w:val="center"/>
          </w:tcPr>
          <w:p w14:paraId="730B4446">
            <w:pPr>
              <w:autoSpaceDE w:val="0"/>
              <w:autoSpaceDN w:val="0"/>
              <w:adjustRightInd w:val="0"/>
              <w:spacing w:line="312" w:lineRule="auto"/>
              <w:jc w:val="center"/>
              <w:rPr>
                <w:szCs w:val="21"/>
              </w:rPr>
            </w:pPr>
            <w:r>
              <w:rPr>
                <w:szCs w:val="21"/>
              </w:rPr>
              <w:t>17.3</w:t>
            </w:r>
          </w:p>
        </w:tc>
        <w:tc>
          <w:tcPr>
            <w:tcW w:w="1136" w:type="dxa"/>
            <w:tcBorders>
              <w:top w:val="nil"/>
              <w:left w:val="nil"/>
              <w:bottom w:val="nil"/>
              <w:right w:val="nil"/>
            </w:tcBorders>
            <w:vAlign w:val="center"/>
          </w:tcPr>
          <w:p w14:paraId="1247281F">
            <w:pPr>
              <w:autoSpaceDE w:val="0"/>
              <w:autoSpaceDN w:val="0"/>
              <w:adjustRightInd w:val="0"/>
              <w:spacing w:line="312" w:lineRule="auto"/>
              <w:jc w:val="center"/>
              <w:rPr>
                <w:szCs w:val="21"/>
              </w:rPr>
            </w:pPr>
            <w:r>
              <w:rPr>
                <w:szCs w:val="21"/>
              </w:rPr>
              <w:t>57.0</w:t>
            </w:r>
          </w:p>
        </w:tc>
        <w:tc>
          <w:tcPr>
            <w:tcW w:w="1352" w:type="dxa"/>
            <w:tcBorders>
              <w:top w:val="nil"/>
              <w:left w:val="nil"/>
              <w:bottom w:val="nil"/>
              <w:right w:val="nil"/>
            </w:tcBorders>
            <w:vAlign w:val="center"/>
          </w:tcPr>
          <w:p w14:paraId="4EDAD5F2">
            <w:pPr>
              <w:autoSpaceDE w:val="0"/>
              <w:autoSpaceDN w:val="0"/>
              <w:adjustRightInd w:val="0"/>
              <w:spacing w:line="312" w:lineRule="auto"/>
              <w:jc w:val="center"/>
              <w:rPr>
                <w:szCs w:val="21"/>
              </w:rPr>
            </w:pPr>
            <w:r>
              <w:rPr>
                <w:szCs w:val="21"/>
              </w:rPr>
              <w:t>83.0</w:t>
            </w:r>
          </w:p>
        </w:tc>
        <w:tc>
          <w:tcPr>
            <w:tcW w:w="1193" w:type="dxa"/>
            <w:tcBorders>
              <w:top w:val="nil"/>
              <w:left w:val="nil"/>
              <w:bottom w:val="nil"/>
              <w:right w:val="nil"/>
            </w:tcBorders>
            <w:vAlign w:val="center"/>
          </w:tcPr>
          <w:p w14:paraId="3C4E96F5">
            <w:pPr>
              <w:autoSpaceDE w:val="0"/>
              <w:autoSpaceDN w:val="0"/>
              <w:adjustRightInd w:val="0"/>
              <w:spacing w:line="312" w:lineRule="auto"/>
              <w:jc w:val="center"/>
              <w:rPr>
                <w:szCs w:val="21"/>
              </w:rPr>
            </w:pPr>
            <w:r>
              <w:rPr>
                <w:szCs w:val="21"/>
              </w:rPr>
              <w:t>18.0</w:t>
            </w:r>
          </w:p>
        </w:tc>
        <w:tc>
          <w:tcPr>
            <w:tcW w:w="941" w:type="dxa"/>
            <w:tcBorders>
              <w:top w:val="nil"/>
              <w:left w:val="nil"/>
              <w:bottom w:val="nil"/>
              <w:right w:val="nil"/>
            </w:tcBorders>
            <w:vAlign w:val="center"/>
          </w:tcPr>
          <w:p w14:paraId="2E01FA04">
            <w:pPr>
              <w:autoSpaceDE w:val="0"/>
              <w:autoSpaceDN w:val="0"/>
              <w:adjustRightInd w:val="0"/>
              <w:spacing w:line="312" w:lineRule="auto"/>
              <w:jc w:val="center"/>
              <w:rPr>
                <w:szCs w:val="21"/>
              </w:rPr>
            </w:pPr>
            <w:r>
              <w:rPr>
                <w:szCs w:val="21"/>
              </w:rPr>
              <w:t>309</w:t>
            </w:r>
          </w:p>
        </w:tc>
      </w:tr>
      <w:tr w14:paraId="3587B2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2" w:type="dxa"/>
            <w:vMerge w:val="restart"/>
            <w:tcBorders>
              <w:top w:val="nil"/>
              <w:left w:val="nil"/>
              <w:bottom w:val="single" w:color="auto" w:sz="12" w:space="0"/>
              <w:right w:val="nil"/>
            </w:tcBorders>
            <w:vAlign w:val="center"/>
          </w:tcPr>
          <w:p w14:paraId="0518AEDE">
            <w:pPr>
              <w:autoSpaceDE w:val="0"/>
              <w:autoSpaceDN w:val="0"/>
              <w:adjustRightInd w:val="0"/>
              <w:spacing w:line="312" w:lineRule="auto"/>
              <w:jc w:val="center"/>
              <w:rPr>
                <w:szCs w:val="21"/>
              </w:rPr>
            </w:pPr>
            <w:r>
              <w:rPr>
                <w:szCs w:val="21"/>
              </w:rPr>
              <w:t>2#</w:t>
            </w:r>
          </w:p>
        </w:tc>
        <w:tc>
          <w:tcPr>
            <w:tcW w:w="263" w:type="dxa"/>
            <w:tcBorders>
              <w:top w:val="nil"/>
              <w:left w:val="nil"/>
              <w:bottom w:val="nil"/>
              <w:right w:val="nil"/>
            </w:tcBorders>
            <w:vAlign w:val="center"/>
          </w:tcPr>
          <w:p w14:paraId="1EF92D74">
            <w:pPr>
              <w:autoSpaceDE w:val="0"/>
              <w:autoSpaceDN w:val="0"/>
              <w:adjustRightInd w:val="0"/>
              <w:spacing w:line="312" w:lineRule="auto"/>
              <w:jc w:val="center"/>
              <w:rPr>
                <w:szCs w:val="21"/>
              </w:rPr>
            </w:pPr>
            <w:r>
              <w:rPr>
                <w:szCs w:val="21"/>
              </w:rPr>
              <w:t>2-1#</w:t>
            </w:r>
          </w:p>
        </w:tc>
        <w:tc>
          <w:tcPr>
            <w:tcW w:w="1219" w:type="dxa"/>
            <w:tcBorders>
              <w:top w:val="nil"/>
              <w:left w:val="nil"/>
              <w:bottom w:val="nil"/>
              <w:right w:val="nil"/>
            </w:tcBorders>
            <w:vAlign w:val="center"/>
          </w:tcPr>
          <w:p w14:paraId="58517476">
            <w:pPr>
              <w:autoSpaceDE w:val="0"/>
              <w:autoSpaceDN w:val="0"/>
              <w:adjustRightInd w:val="0"/>
              <w:spacing w:line="312" w:lineRule="auto"/>
              <w:jc w:val="center"/>
              <w:rPr>
                <w:szCs w:val="21"/>
              </w:rPr>
            </w:pPr>
            <w:r>
              <w:rPr>
                <w:szCs w:val="21"/>
              </w:rPr>
              <w:t>945</w:t>
            </w:r>
          </w:p>
        </w:tc>
        <w:tc>
          <w:tcPr>
            <w:tcW w:w="1065" w:type="dxa"/>
            <w:tcBorders>
              <w:top w:val="nil"/>
              <w:left w:val="nil"/>
              <w:bottom w:val="nil"/>
              <w:right w:val="nil"/>
            </w:tcBorders>
            <w:vAlign w:val="center"/>
          </w:tcPr>
          <w:p w14:paraId="47EDAAFC">
            <w:pPr>
              <w:autoSpaceDE w:val="0"/>
              <w:autoSpaceDN w:val="0"/>
              <w:adjustRightInd w:val="0"/>
              <w:spacing w:line="312" w:lineRule="auto"/>
              <w:jc w:val="center"/>
              <w:rPr>
                <w:szCs w:val="21"/>
              </w:rPr>
            </w:pPr>
            <w:r>
              <w:rPr>
                <w:szCs w:val="21"/>
              </w:rPr>
              <w:t>745</w:t>
            </w:r>
          </w:p>
        </w:tc>
        <w:tc>
          <w:tcPr>
            <w:tcW w:w="941" w:type="dxa"/>
            <w:tcBorders>
              <w:top w:val="nil"/>
              <w:left w:val="nil"/>
              <w:bottom w:val="nil"/>
              <w:right w:val="nil"/>
            </w:tcBorders>
            <w:vAlign w:val="center"/>
          </w:tcPr>
          <w:p w14:paraId="03C55067">
            <w:pPr>
              <w:autoSpaceDE w:val="0"/>
              <w:autoSpaceDN w:val="0"/>
              <w:adjustRightInd w:val="0"/>
              <w:spacing w:line="312" w:lineRule="auto"/>
              <w:jc w:val="center"/>
              <w:rPr>
                <w:szCs w:val="21"/>
              </w:rPr>
            </w:pPr>
            <w:r>
              <w:rPr>
                <w:szCs w:val="21"/>
              </w:rPr>
              <w:t>18.0</w:t>
            </w:r>
          </w:p>
        </w:tc>
        <w:tc>
          <w:tcPr>
            <w:tcW w:w="1136" w:type="dxa"/>
            <w:tcBorders>
              <w:top w:val="nil"/>
              <w:left w:val="nil"/>
              <w:bottom w:val="nil"/>
              <w:right w:val="nil"/>
            </w:tcBorders>
            <w:vAlign w:val="center"/>
          </w:tcPr>
          <w:p w14:paraId="43AA4481">
            <w:pPr>
              <w:autoSpaceDE w:val="0"/>
              <w:autoSpaceDN w:val="0"/>
              <w:adjustRightInd w:val="0"/>
              <w:spacing w:line="312" w:lineRule="auto"/>
              <w:jc w:val="center"/>
              <w:rPr>
                <w:szCs w:val="21"/>
              </w:rPr>
            </w:pPr>
            <w:r>
              <w:rPr>
                <w:szCs w:val="21"/>
              </w:rPr>
              <w:t>56.8</w:t>
            </w:r>
          </w:p>
        </w:tc>
        <w:tc>
          <w:tcPr>
            <w:tcW w:w="1352" w:type="dxa"/>
            <w:tcBorders>
              <w:top w:val="nil"/>
              <w:left w:val="nil"/>
              <w:bottom w:val="nil"/>
              <w:right w:val="nil"/>
            </w:tcBorders>
            <w:vAlign w:val="center"/>
          </w:tcPr>
          <w:p w14:paraId="7612CE78">
            <w:pPr>
              <w:autoSpaceDE w:val="0"/>
              <w:autoSpaceDN w:val="0"/>
              <w:adjustRightInd w:val="0"/>
              <w:spacing w:line="312" w:lineRule="auto"/>
              <w:jc w:val="center"/>
              <w:rPr>
                <w:szCs w:val="21"/>
              </w:rPr>
            </w:pPr>
            <w:r>
              <w:rPr>
                <w:szCs w:val="21"/>
              </w:rPr>
              <w:t>74.0</w:t>
            </w:r>
          </w:p>
        </w:tc>
        <w:tc>
          <w:tcPr>
            <w:tcW w:w="1193" w:type="dxa"/>
            <w:tcBorders>
              <w:top w:val="nil"/>
              <w:left w:val="nil"/>
              <w:bottom w:val="nil"/>
              <w:right w:val="nil"/>
            </w:tcBorders>
            <w:vAlign w:val="center"/>
          </w:tcPr>
          <w:p w14:paraId="4A87C7FB">
            <w:pPr>
              <w:autoSpaceDE w:val="0"/>
              <w:autoSpaceDN w:val="0"/>
              <w:adjustRightInd w:val="0"/>
              <w:spacing w:line="312" w:lineRule="auto"/>
              <w:jc w:val="center"/>
              <w:rPr>
                <w:szCs w:val="21"/>
              </w:rPr>
            </w:pPr>
            <w:r>
              <w:rPr>
                <w:szCs w:val="21"/>
              </w:rPr>
              <w:t>20.0</w:t>
            </w:r>
          </w:p>
        </w:tc>
        <w:tc>
          <w:tcPr>
            <w:tcW w:w="941" w:type="dxa"/>
            <w:tcBorders>
              <w:top w:val="nil"/>
              <w:left w:val="nil"/>
              <w:bottom w:val="nil"/>
              <w:right w:val="nil"/>
            </w:tcBorders>
            <w:vAlign w:val="center"/>
          </w:tcPr>
          <w:p w14:paraId="560FC1B9">
            <w:pPr>
              <w:autoSpaceDE w:val="0"/>
              <w:autoSpaceDN w:val="0"/>
              <w:adjustRightInd w:val="0"/>
              <w:spacing w:line="312" w:lineRule="auto"/>
              <w:jc w:val="center"/>
              <w:rPr>
                <w:szCs w:val="21"/>
              </w:rPr>
            </w:pPr>
            <w:r>
              <w:rPr>
                <w:szCs w:val="21"/>
              </w:rPr>
              <w:t>262</w:t>
            </w:r>
          </w:p>
        </w:tc>
      </w:tr>
      <w:tr w14:paraId="3CF1EA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op w:val="nil"/>
              <w:left w:val="nil"/>
              <w:bottom w:val="single" w:color="auto" w:sz="12" w:space="0"/>
              <w:right w:val="nil"/>
            </w:tcBorders>
            <w:vAlign w:val="center"/>
          </w:tcPr>
          <w:p w14:paraId="31D2AA06">
            <w:pPr>
              <w:widowControl/>
              <w:jc w:val="left"/>
              <w:rPr>
                <w:szCs w:val="21"/>
              </w:rPr>
            </w:pPr>
          </w:p>
        </w:tc>
        <w:tc>
          <w:tcPr>
            <w:tcW w:w="263" w:type="dxa"/>
            <w:tcBorders>
              <w:top w:val="nil"/>
              <w:left w:val="nil"/>
              <w:bottom w:val="single" w:color="auto" w:sz="12" w:space="0"/>
              <w:right w:val="nil"/>
            </w:tcBorders>
            <w:vAlign w:val="center"/>
          </w:tcPr>
          <w:p w14:paraId="79D174E7">
            <w:pPr>
              <w:jc w:val="center"/>
            </w:pPr>
            <w:r>
              <w:rPr>
                <w:szCs w:val="21"/>
              </w:rPr>
              <w:t>2-2#</w:t>
            </w:r>
          </w:p>
        </w:tc>
        <w:tc>
          <w:tcPr>
            <w:tcW w:w="1219" w:type="dxa"/>
            <w:tcBorders>
              <w:top w:val="nil"/>
              <w:left w:val="nil"/>
              <w:bottom w:val="single" w:color="auto" w:sz="12" w:space="0"/>
              <w:right w:val="nil"/>
            </w:tcBorders>
            <w:vAlign w:val="center"/>
          </w:tcPr>
          <w:p w14:paraId="737EC21E">
            <w:pPr>
              <w:autoSpaceDE w:val="0"/>
              <w:autoSpaceDN w:val="0"/>
              <w:adjustRightInd w:val="0"/>
              <w:spacing w:line="312" w:lineRule="auto"/>
              <w:jc w:val="center"/>
              <w:rPr>
                <w:szCs w:val="21"/>
              </w:rPr>
            </w:pPr>
            <w:r>
              <w:rPr>
                <w:szCs w:val="21"/>
              </w:rPr>
              <w:t>950</w:t>
            </w:r>
          </w:p>
        </w:tc>
        <w:tc>
          <w:tcPr>
            <w:tcW w:w="1065" w:type="dxa"/>
            <w:tcBorders>
              <w:top w:val="nil"/>
              <w:left w:val="nil"/>
              <w:bottom w:val="single" w:color="auto" w:sz="12" w:space="0"/>
              <w:right w:val="nil"/>
            </w:tcBorders>
            <w:vAlign w:val="center"/>
          </w:tcPr>
          <w:p w14:paraId="60E9F102">
            <w:pPr>
              <w:autoSpaceDE w:val="0"/>
              <w:autoSpaceDN w:val="0"/>
              <w:adjustRightInd w:val="0"/>
              <w:spacing w:line="312" w:lineRule="auto"/>
              <w:jc w:val="center"/>
              <w:rPr>
                <w:szCs w:val="21"/>
              </w:rPr>
            </w:pPr>
            <w:r>
              <w:rPr>
                <w:szCs w:val="21"/>
              </w:rPr>
              <w:t>785</w:t>
            </w:r>
          </w:p>
        </w:tc>
        <w:tc>
          <w:tcPr>
            <w:tcW w:w="941" w:type="dxa"/>
            <w:tcBorders>
              <w:top w:val="nil"/>
              <w:left w:val="nil"/>
              <w:bottom w:val="single" w:color="auto" w:sz="12" w:space="0"/>
              <w:right w:val="nil"/>
            </w:tcBorders>
            <w:vAlign w:val="center"/>
          </w:tcPr>
          <w:p w14:paraId="09CFBA2A">
            <w:pPr>
              <w:autoSpaceDE w:val="0"/>
              <w:autoSpaceDN w:val="0"/>
              <w:adjustRightInd w:val="0"/>
              <w:spacing w:line="312" w:lineRule="auto"/>
              <w:jc w:val="center"/>
              <w:rPr>
                <w:szCs w:val="21"/>
              </w:rPr>
            </w:pPr>
            <w:r>
              <w:rPr>
                <w:szCs w:val="21"/>
              </w:rPr>
              <w:t>17.6</w:t>
            </w:r>
          </w:p>
        </w:tc>
        <w:tc>
          <w:tcPr>
            <w:tcW w:w="1136" w:type="dxa"/>
            <w:tcBorders>
              <w:top w:val="nil"/>
              <w:left w:val="nil"/>
              <w:bottom w:val="single" w:color="auto" w:sz="12" w:space="0"/>
              <w:right w:val="nil"/>
            </w:tcBorders>
            <w:vAlign w:val="center"/>
          </w:tcPr>
          <w:p w14:paraId="012587F9">
            <w:pPr>
              <w:autoSpaceDE w:val="0"/>
              <w:autoSpaceDN w:val="0"/>
              <w:adjustRightInd w:val="0"/>
              <w:spacing w:line="312" w:lineRule="auto"/>
              <w:jc w:val="center"/>
              <w:rPr>
                <w:szCs w:val="21"/>
              </w:rPr>
            </w:pPr>
            <w:r>
              <w:rPr>
                <w:szCs w:val="21"/>
              </w:rPr>
              <w:t>58.2</w:t>
            </w:r>
          </w:p>
        </w:tc>
        <w:tc>
          <w:tcPr>
            <w:tcW w:w="1352" w:type="dxa"/>
            <w:tcBorders>
              <w:top w:val="nil"/>
              <w:left w:val="nil"/>
              <w:bottom w:val="single" w:color="auto" w:sz="12" w:space="0"/>
              <w:right w:val="nil"/>
            </w:tcBorders>
            <w:vAlign w:val="center"/>
          </w:tcPr>
          <w:p w14:paraId="17DDFD1A">
            <w:pPr>
              <w:autoSpaceDE w:val="0"/>
              <w:autoSpaceDN w:val="0"/>
              <w:adjustRightInd w:val="0"/>
              <w:spacing w:line="312" w:lineRule="auto"/>
              <w:jc w:val="center"/>
              <w:rPr>
                <w:szCs w:val="21"/>
              </w:rPr>
            </w:pPr>
            <w:r>
              <w:rPr>
                <w:szCs w:val="21"/>
              </w:rPr>
              <w:t>86.0</w:t>
            </w:r>
          </w:p>
        </w:tc>
        <w:tc>
          <w:tcPr>
            <w:tcW w:w="1193" w:type="dxa"/>
            <w:tcBorders>
              <w:top w:val="nil"/>
              <w:left w:val="nil"/>
              <w:bottom w:val="single" w:color="auto" w:sz="12" w:space="0"/>
              <w:right w:val="nil"/>
            </w:tcBorders>
            <w:vAlign w:val="center"/>
          </w:tcPr>
          <w:p w14:paraId="3A439747">
            <w:pPr>
              <w:autoSpaceDE w:val="0"/>
              <w:autoSpaceDN w:val="0"/>
              <w:adjustRightInd w:val="0"/>
              <w:spacing w:line="312" w:lineRule="auto"/>
              <w:jc w:val="center"/>
              <w:rPr>
                <w:b/>
                <w:szCs w:val="21"/>
              </w:rPr>
            </w:pPr>
            <w:r>
              <w:rPr>
                <w:szCs w:val="21"/>
              </w:rPr>
              <w:t>21.0</w:t>
            </w:r>
          </w:p>
        </w:tc>
        <w:tc>
          <w:tcPr>
            <w:tcW w:w="941" w:type="dxa"/>
            <w:tcBorders>
              <w:top w:val="nil"/>
              <w:left w:val="nil"/>
              <w:bottom w:val="single" w:color="auto" w:sz="12" w:space="0"/>
              <w:right w:val="nil"/>
            </w:tcBorders>
            <w:vAlign w:val="center"/>
          </w:tcPr>
          <w:p w14:paraId="4E0F530D">
            <w:pPr>
              <w:autoSpaceDE w:val="0"/>
              <w:autoSpaceDN w:val="0"/>
              <w:adjustRightInd w:val="0"/>
              <w:spacing w:line="312" w:lineRule="auto"/>
              <w:jc w:val="center"/>
              <w:rPr>
                <w:szCs w:val="21"/>
              </w:rPr>
            </w:pPr>
            <w:r>
              <w:rPr>
                <w:szCs w:val="21"/>
              </w:rPr>
              <w:t>268</w:t>
            </w:r>
          </w:p>
        </w:tc>
      </w:tr>
    </w:tbl>
    <w:p w14:paraId="3B7A71D4">
      <w:pPr>
        <w:pStyle w:val="16"/>
        <w:spacing w:before="31" w:after="31"/>
        <w:ind w:firstLine="0" w:firstLineChars="0"/>
        <w:rPr>
          <w:rFonts w:hint="eastAsia"/>
          <w:szCs w:val="24"/>
        </w:rPr>
      </w:pPr>
    </w:p>
    <w:p w14:paraId="636DB166">
      <w:pPr>
        <w:pStyle w:val="16"/>
        <w:spacing w:before="31" w:after="31"/>
        <w:ind w:firstLine="480"/>
        <w:rPr>
          <w:szCs w:val="24"/>
        </w:rPr>
      </w:pPr>
      <w:r>
        <w:rPr>
          <w:szCs w:val="24"/>
        </w:rPr>
        <w:t>Samples were taken near the fracture surface for metallographic observation and analysis. The microstructure of shafts 1 and 2 showed tempered martensite and upper bainite on the inner, outer, and central regions, as depicted in Figure 5-16.1. The grain size was rated at level 7. Shaft 1 contained inclusions A1.0, B1.0e, D0.5, while shaft 2 had inclusions A2.0, A1.5e, B1.0, D0.5.</w:t>
      </w:r>
    </w:p>
    <w:p w14:paraId="3E90C6BC">
      <w:pPr>
        <w:pStyle w:val="16"/>
        <w:spacing w:before="31" w:after="31"/>
        <w:ind w:firstLine="482"/>
        <w:jc w:val="center"/>
        <w:rPr>
          <w:b/>
          <w:bCs/>
          <w:szCs w:val="24"/>
        </w:rPr>
      </w:pPr>
      <w:r>
        <w:rPr>
          <w:b/>
          <w:bCs/>
          <w:szCs w:val="24"/>
        </w:rPr>
        <w:t>Figure 5-16.1 Metallographic Structure</w:t>
      </w:r>
    </w:p>
    <w:p w14:paraId="5324DDE2">
      <w:pPr>
        <w:pStyle w:val="16"/>
        <w:spacing w:before="31" w:after="31"/>
        <w:ind w:firstLine="0" w:firstLineChars="0"/>
        <w:rPr>
          <w:szCs w:val="24"/>
        </w:rPr>
      </w:pPr>
      <w:r>
        <w:rPr>
          <w:szCs w:val="24"/>
        </w:rPr>
        <w:t>(5) Component Failure Morphology</w:t>
      </w:r>
    </w:p>
    <w:p w14:paraId="486111CD">
      <w:pPr>
        <w:pStyle w:val="16"/>
        <w:spacing w:before="31" w:after="31"/>
        <w:ind w:firstLine="480"/>
        <w:rPr>
          <w:szCs w:val="24"/>
        </w:rPr>
      </w:pPr>
      <w:r>
        <w:rPr>
          <w:szCs w:val="24"/>
        </w:rPr>
        <w:t>Both fracture incidents occurred in the middle section of the keyed shaft of the downhole shock absorber, near the deepest point of the keyway structure transition zone. The fracture morphology of the two specimens was essentially the same, as shown in Figure 5-16.2. The fracture exhibited no obvious plastic deformation, with visible compression marks on the surface and numerous noticeable transverse machining marks on the key teeth surface. Magnetic particle testing revealed transverse cracks in the keyway structure transition zone, as shown in Figure 5-16.3, and longitudinal cracks were found on both sides of each keyway root, as shown in Figure 5-16.4. Metallographic observation showed that the main crack at the root of the keyway extended through the sample, with multiple branching cracks, as shown in Figure 5-16.5.</w:t>
      </w:r>
    </w:p>
    <w:p w14:paraId="5B5E6F50">
      <w:pPr>
        <w:pStyle w:val="16"/>
        <w:spacing w:before="31" w:after="31"/>
        <w:ind w:firstLine="482"/>
        <w:jc w:val="center"/>
        <w:rPr>
          <w:b/>
          <w:bCs/>
          <w:szCs w:val="24"/>
        </w:rPr>
      </w:pPr>
      <w:r>
        <w:rPr>
          <w:b/>
          <w:bCs/>
          <w:szCs w:val="24"/>
        </w:rPr>
        <w:t>Figure 5-16.2 Macroscopic Fracture Morphology</w:t>
      </w:r>
    </w:p>
    <w:p w14:paraId="1C624880">
      <w:pPr>
        <w:pStyle w:val="16"/>
        <w:spacing w:before="31" w:after="31"/>
        <w:ind w:firstLine="482"/>
        <w:jc w:val="center"/>
        <w:rPr>
          <w:b/>
          <w:bCs/>
          <w:szCs w:val="24"/>
        </w:rPr>
      </w:pPr>
      <w:r>
        <w:rPr>
          <w:b/>
          <w:bCs/>
          <w:szCs w:val="24"/>
        </w:rPr>
        <w:t>Figure 5-16.3 Transverse Crack Morphology</w:t>
      </w:r>
    </w:p>
    <w:p w14:paraId="2C8B5822">
      <w:pPr>
        <w:pStyle w:val="16"/>
        <w:spacing w:before="31" w:after="31"/>
        <w:ind w:firstLine="482"/>
        <w:jc w:val="center"/>
        <w:rPr>
          <w:rFonts w:hint="eastAsia"/>
          <w:b/>
          <w:bCs/>
          <w:szCs w:val="24"/>
        </w:rPr>
      </w:pPr>
    </w:p>
    <w:p w14:paraId="187E32A9">
      <w:pPr>
        <w:pStyle w:val="16"/>
        <w:spacing w:before="31" w:after="31"/>
        <w:ind w:firstLine="482"/>
        <w:jc w:val="center"/>
        <w:rPr>
          <w:b/>
          <w:bCs/>
          <w:szCs w:val="24"/>
        </w:rPr>
      </w:pPr>
      <w:r>
        <w:rPr>
          <w:b/>
          <w:bCs/>
          <w:szCs w:val="24"/>
        </w:rPr>
        <w:t>Figure 5-16.4 Longitudinal Crack Morphology</w:t>
      </w:r>
    </w:p>
    <w:p w14:paraId="40E4547A">
      <w:pPr>
        <w:pStyle w:val="16"/>
        <w:spacing w:before="31" w:after="31"/>
        <w:ind w:firstLine="482"/>
        <w:jc w:val="center"/>
        <w:rPr>
          <w:b/>
          <w:bCs/>
          <w:szCs w:val="24"/>
        </w:rPr>
      </w:pPr>
      <w:r>
        <w:rPr>
          <w:b/>
          <w:bCs/>
          <w:szCs w:val="24"/>
        </w:rPr>
        <w:t>Figure 5-16.5 Branching Crack</w:t>
      </w:r>
    </w:p>
    <w:p w14:paraId="12899E12">
      <w:pPr>
        <w:pStyle w:val="16"/>
        <w:spacing w:before="31" w:after="31"/>
        <w:ind w:firstLine="480"/>
        <w:rPr>
          <w:szCs w:val="24"/>
        </w:rPr>
      </w:pPr>
      <w:r>
        <w:rPr>
          <w:szCs w:val="24"/>
        </w:rPr>
        <w:t>Scanning electron microscopy (SEM) revealed compression and twisting features at low magnification on the fracture surface, and at high magnification, fatigue striations were observed in localized areas, as shown in Figure 5-16.6. Opening the longitudinal crack at the root of the keyway revealed numerous machining marks parallel to the sides of the keyway, as shown in Figure 5-16.7. Stress concentration occurred at the root of the keyway and at the machining marks, leading to the formation of fatigue steps at high magnification.</w:t>
      </w:r>
    </w:p>
    <w:p w14:paraId="03E3D667">
      <w:pPr>
        <w:pStyle w:val="16"/>
        <w:spacing w:before="31" w:after="31"/>
        <w:ind w:firstLine="482"/>
        <w:jc w:val="center"/>
        <w:rPr>
          <w:b/>
          <w:bCs/>
          <w:szCs w:val="24"/>
        </w:rPr>
      </w:pPr>
      <w:r>
        <w:rPr>
          <w:b/>
          <w:bCs/>
          <w:szCs w:val="24"/>
        </w:rPr>
        <w:t>Figure 5-16.6 Fatigue Striations on Fracture Surface</w:t>
      </w:r>
    </w:p>
    <w:p w14:paraId="452E6816">
      <w:pPr>
        <w:pStyle w:val="16"/>
        <w:spacing w:before="31" w:after="31"/>
        <w:ind w:firstLine="482"/>
        <w:jc w:val="center"/>
        <w:rPr>
          <w:b/>
          <w:bCs/>
          <w:szCs w:val="24"/>
        </w:rPr>
      </w:pPr>
      <w:r>
        <w:rPr>
          <w:b/>
          <w:bCs/>
          <w:szCs w:val="24"/>
        </w:rPr>
        <w:t>Figure 5-18.7 Machining Mark Morphology</w:t>
      </w:r>
    </w:p>
    <w:p w14:paraId="205BF5C7">
      <w:pPr>
        <w:pStyle w:val="16"/>
        <w:spacing w:before="31" w:after="31"/>
        <w:ind w:firstLine="0" w:firstLineChars="0"/>
        <w:rPr>
          <w:szCs w:val="24"/>
        </w:rPr>
      </w:pPr>
      <w:r>
        <w:rPr>
          <w:szCs w:val="24"/>
        </w:rPr>
        <w:t>(6) Analysis of Failure Causes</w:t>
      </w:r>
    </w:p>
    <w:p w14:paraId="02F08859">
      <w:pPr>
        <w:pStyle w:val="16"/>
        <w:spacing w:before="31" w:after="31"/>
        <w:ind w:firstLine="480"/>
        <w:rPr>
          <w:szCs w:val="24"/>
        </w:rPr>
      </w:pPr>
      <w:r>
        <w:rPr>
          <w:szCs w:val="24"/>
        </w:rPr>
        <w:t>(a) The flat area of the fracture, divided into units by keyways or key teeth, showed no obvious plastic deformation upon macroscopic observation, and severe surface compression was evident. Stress concentration existed in the keyway geometric transition zone with thin wall thickness, where machining marks were present on the key teeth surface and key teeth sides. These stress concentration points became potential crack initiation sites. Fracture observation revealed fatigue striations and fatigue steps, and the tissue on both sides of the crack was the same. It was inferred that the transverse fracture of the shaft was a fatigue fracture.</w:t>
      </w:r>
    </w:p>
    <w:p w14:paraId="60AB6285">
      <w:pPr>
        <w:pStyle w:val="16"/>
        <w:spacing w:before="31" w:after="31"/>
        <w:ind w:firstLine="480"/>
        <w:rPr>
          <w:szCs w:val="24"/>
        </w:rPr>
      </w:pPr>
      <w:r>
        <w:rPr>
          <w:szCs w:val="24"/>
        </w:rPr>
        <w:t>(b) There were as many as 12 longitudinal cracks that penetrated the specimen, and secondary branching cracks developed from these longitudinal cracks. Such a large number of longitudinal cracks significantly weakened the shaft's ability to withstand torque. Under combined loads of tension, compression, and bending-torsion, the longitudinal cracks were prone to initiate transverse cracks at weak points. The keyway geometric transition zone was the weakest point in the keyed shaft, making it the danger zone for the initiation and propagation of transverse cracks, which would rapidly lead to fracture.</w:t>
      </w:r>
    </w:p>
    <w:p w14:paraId="29EF7E42">
      <w:pPr>
        <w:pStyle w:val="16"/>
        <w:spacing w:before="31" w:after="31"/>
        <w:ind w:firstLine="480"/>
        <w:rPr>
          <w:szCs w:val="24"/>
        </w:rPr>
      </w:pPr>
      <w:r>
        <w:rPr>
          <w:szCs w:val="24"/>
        </w:rPr>
        <w:t>(c) The metallographic structure of shafts 1 and 2 consisted of tempered martensite and upper bainite, with the upper bainite containing both ferrite and cementite. The ferrite grains in the upper bainite were wide, resulting in low deformation resistance. The distribution of cementite between the ferrite grains made the material prone to brittle fracture. The presence of the upper bainite structure would decrease the strength and toughness of the shaft.</w:t>
      </w:r>
    </w:p>
    <w:p w14:paraId="63CB70B5">
      <w:pPr>
        <w:pStyle w:val="16"/>
        <w:spacing w:before="31" w:after="31"/>
        <w:ind w:firstLine="480"/>
        <w:rPr>
          <w:szCs w:val="24"/>
        </w:rPr>
      </w:pPr>
      <w:r>
        <w:rPr>
          <w:szCs w:val="24"/>
        </w:rPr>
        <w:t>(d) The lower transverse impact absorption energy of shafts 1 and 2 would affect the ability of the specimens to resist longitudinal cracking.</w:t>
      </w:r>
    </w:p>
    <w:p w14:paraId="0CFA2713">
      <w:pPr>
        <w:pStyle w:val="16"/>
        <w:spacing w:before="31" w:after="31"/>
        <w:ind w:firstLine="0" w:firstLineChars="0"/>
        <w:rPr>
          <w:szCs w:val="24"/>
        </w:rPr>
      </w:pPr>
      <w:r>
        <w:rPr>
          <w:szCs w:val="24"/>
        </w:rPr>
        <w:t>(7) Impact and Harm Caused</w:t>
      </w:r>
    </w:p>
    <w:p w14:paraId="73B9C95C">
      <w:pPr>
        <w:pStyle w:val="16"/>
        <w:spacing w:before="31" w:after="31"/>
        <w:ind w:firstLine="420" w:firstLineChars="0"/>
        <w:rPr>
          <w:szCs w:val="24"/>
        </w:rPr>
      </w:pPr>
      <w:r>
        <w:rPr>
          <w:szCs w:val="24"/>
        </w:rPr>
        <w:t>Null</w:t>
      </w:r>
    </w:p>
    <w:p w14:paraId="0EAFBB94">
      <w:pPr>
        <w:pStyle w:val="16"/>
        <w:spacing w:before="31" w:after="31"/>
        <w:ind w:firstLine="0" w:firstLineChars="0"/>
        <w:rPr>
          <w:szCs w:val="24"/>
        </w:rPr>
      </w:pPr>
      <w:r>
        <w:rPr>
          <w:szCs w:val="24"/>
        </w:rPr>
        <w:t>(8) Conclusion and Improvement Measures:</w:t>
      </w:r>
    </w:p>
    <w:p w14:paraId="36228BC6">
      <w:pPr>
        <w:pStyle w:val="16"/>
        <w:spacing w:before="31" w:after="31"/>
        <w:ind w:firstLine="480"/>
        <w:rPr>
          <w:szCs w:val="24"/>
        </w:rPr>
      </w:pPr>
      <w:r>
        <w:rPr>
          <w:szCs w:val="24"/>
        </w:rPr>
        <w:t>(a) Both shafts 1 and 2 experienced fatigue fractures, with cracks originating at stress concentration points in the keyway geometric transition zone.</w:t>
      </w:r>
    </w:p>
    <w:p w14:paraId="6659067D">
      <w:pPr>
        <w:pStyle w:val="16"/>
        <w:spacing w:before="31" w:after="31"/>
        <w:ind w:firstLine="480"/>
        <w:rPr>
          <w:szCs w:val="24"/>
        </w:rPr>
      </w:pPr>
      <w:r>
        <w:rPr>
          <w:szCs w:val="24"/>
        </w:rPr>
        <w:t>(b) The sharp structure at the root of the keyway exhibited significant stress concentration. Due to longitudinal machining marks on the key teeth surface and low material transverse impact toughness, longitudinal cracks initiated in this area under torsional loading, resulting in fatigue cracks.</w:t>
      </w:r>
    </w:p>
    <w:p w14:paraId="005AE845">
      <w:pPr>
        <w:pStyle w:val="16"/>
        <w:spacing w:before="31" w:after="31"/>
        <w:ind w:firstLine="480"/>
        <w:rPr>
          <w:szCs w:val="24"/>
        </w:rPr>
      </w:pPr>
      <w:r>
        <w:rPr>
          <w:szCs w:val="24"/>
        </w:rPr>
        <w:t>(c) The longitudinal cracks at stress concentration points in the keyway geometric transition zone led to the initiation of transverse cracks. Under complex loading conditions such as tension, compression, and bending, transverse cracks rapidly expanded, causing shaft fracture.</w:t>
      </w:r>
    </w:p>
    <w:p w14:paraId="3A8D4009">
      <w:pPr>
        <w:pStyle w:val="16"/>
        <w:spacing w:before="31" w:after="31"/>
        <w:ind w:firstLine="480"/>
        <w:rPr>
          <w:szCs w:val="24"/>
        </w:rPr>
      </w:pPr>
      <w:r>
        <w:rPr>
          <w:szCs w:val="24"/>
        </w:rPr>
        <w:t>To address the causes of shaft fracture, the following improvement measures can be implemented:</w:t>
      </w:r>
    </w:p>
    <w:p w14:paraId="57DE701D">
      <w:pPr>
        <w:pStyle w:val="16"/>
        <w:spacing w:before="31" w:after="31"/>
        <w:ind w:firstLine="480"/>
        <w:rPr>
          <w:szCs w:val="24"/>
        </w:rPr>
      </w:pPr>
      <w:r>
        <w:rPr>
          <w:szCs w:val="24"/>
        </w:rPr>
        <w:t>(a) Improve heat treatment processes to eliminate the upper bainite structure, allowing the shaft to achieve a uniform tempered martensite structure.</w:t>
      </w:r>
    </w:p>
    <w:p w14:paraId="0B7FDE68">
      <w:pPr>
        <w:pStyle w:val="16"/>
        <w:spacing w:before="31" w:after="31"/>
        <w:ind w:firstLine="480"/>
        <w:rPr>
          <w:szCs w:val="24"/>
        </w:rPr>
      </w:pPr>
      <w:r>
        <w:rPr>
          <w:szCs w:val="24"/>
        </w:rPr>
        <w:t>(b) Enhance machining processes and quality to eliminate or reduce stress concentration on the key teeth surface and key teeth sides, improving the loading conditions of the shaft.</w:t>
      </w:r>
    </w:p>
    <w:p w14:paraId="73733759">
      <w:pPr>
        <w:pStyle w:val="16"/>
        <w:spacing w:before="31" w:after="31"/>
        <w:ind w:firstLine="480"/>
        <w:rPr>
          <w:szCs w:val="24"/>
        </w:rPr>
      </w:pPr>
      <w:r>
        <w:rPr>
          <w:szCs w:val="24"/>
        </w:rPr>
        <w:t>(c) Include a specification for transverse impact absorption energy in technical terms for keyed shafts.</w:t>
      </w:r>
    </w:p>
    <w:p w14:paraId="1B065DA7">
      <w:pPr>
        <w:pStyle w:val="16"/>
        <w:spacing w:before="31" w:after="31"/>
        <w:ind w:firstLine="0" w:firstLineChars="0"/>
        <w:rPr>
          <w:b/>
          <w:bCs/>
          <w:szCs w:val="24"/>
        </w:rPr>
      </w:pPr>
      <w:r>
        <w:rPr>
          <w:b/>
          <w:bCs/>
          <w:szCs w:val="24"/>
        </w:rPr>
        <w:t>Case 5-17: Cracking of Double-Shoulder Drill Pipe Joints</w:t>
      </w:r>
    </w:p>
    <w:p w14:paraId="63D93CC3">
      <w:pPr>
        <w:pStyle w:val="16"/>
        <w:spacing w:before="31" w:after="31"/>
        <w:ind w:firstLine="0" w:firstLineChars="0"/>
        <w:rPr>
          <w:szCs w:val="24"/>
        </w:rPr>
      </w:pPr>
      <w:r>
        <w:rPr>
          <w:szCs w:val="24"/>
        </w:rPr>
        <w:t xml:space="preserve">(1) </w:t>
      </w:r>
      <w:r>
        <w:rPr>
          <w:kern w:val="0"/>
          <w:szCs w:val="24"/>
        </w:rPr>
        <w:t>Case Name:</w:t>
      </w:r>
    </w:p>
    <w:p w14:paraId="4308CA1B">
      <w:pPr>
        <w:pStyle w:val="16"/>
        <w:spacing w:before="31" w:after="31"/>
        <w:ind w:firstLine="480"/>
        <w:rPr>
          <w:rFonts w:hint="eastAsia"/>
          <w:szCs w:val="24"/>
        </w:rPr>
      </w:pPr>
      <w:r>
        <w:rPr>
          <w:szCs w:val="24"/>
        </w:rPr>
        <w:t>Cracking of Double-Shoulder Drill Pipe Joints [19]</w:t>
      </w:r>
    </w:p>
    <w:p w14:paraId="433E54D6">
      <w:pPr>
        <w:pStyle w:val="16"/>
        <w:spacing w:before="31" w:after="31"/>
        <w:ind w:firstLine="0" w:firstLineChars="0"/>
        <w:rPr>
          <w:szCs w:val="24"/>
        </w:rPr>
      </w:pPr>
      <w:r>
        <w:rPr>
          <w:szCs w:val="24"/>
        </w:rPr>
        <w:t>(2) Failure Process Description</w:t>
      </w:r>
    </w:p>
    <w:p w14:paraId="49496637">
      <w:pPr>
        <w:pStyle w:val="16"/>
        <w:spacing w:before="31" w:after="31"/>
        <w:ind w:firstLine="480"/>
        <w:rPr>
          <w:szCs w:val="24"/>
        </w:rPr>
      </w:pPr>
      <w:r>
        <w:rPr>
          <w:szCs w:val="24"/>
        </w:rPr>
        <w:t>During the use of Φ101.6 mm×9.65mm S135 double-shoulder threaded drill pipe joints in an oil field, a fracture occurred in the external threaded joint of the drill pipe. The well was designed to a depth of 6950m, and the cracked drill pipe was used for the first time, drilling a total depth of 295m with a pure drilling time of 599.16 hours and a usage period of 254 days. The batch of drill pipes was mainly used for Φ206.4mm casing and the subsequent Φ196.9 mm casing section, with a drilling column length of about 6200m for each well entry. A total of 138.192 tons (529 pieces) of this batch of drill pipes were used. During drilling, a joint of the drill pipe broke, leading to ultrasonic inspection of 220 drill pipes at the wellsite. The results revealed cracks in 37 drill pipes' external threaded joints. Subsequently, the entire batch of 527 drill pipes was recovered in two phases for ultrasonic inspection. In total, 103 drill pipes were found to have damage, with a damage rate of 19.5%. Among them, 92 damaged drill pipes were used during the drilling and completion stages of the accident process, accounting for 89.3% of the total damaged drill pipes. The remaining 11 damaged drill pipes were only used during the completion and oil testing stage, accounting for 10.7% of the total damaged drill pipes.</w:t>
      </w:r>
    </w:p>
    <w:p w14:paraId="231B4AB4">
      <w:pPr>
        <w:pStyle w:val="16"/>
        <w:spacing w:before="31" w:after="31"/>
        <w:ind w:firstLine="0" w:firstLineChars="0"/>
        <w:rPr>
          <w:szCs w:val="24"/>
        </w:rPr>
      </w:pPr>
      <w:r>
        <w:rPr>
          <w:szCs w:val="24"/>
        </w:rPr>
        <w:t>(3) Service Environment</w:t>
      </w:r>
    </w:p>
    <w:p w14:paraId="07ABA33C">
      <w:pPr>
        <w:pStyle w:val="16"/>
        <w:spacing w:before="31" w:after="31"/>
        <w:ind w:firstLine="420" w:firstLineChars="0"/>
        <w:rPr>
          <w:rFonts w:hint="eastAsia"/>
          <w:szCs w:val="24"/>
        </w:rPr>
      </w:pPr>
      <w:r>
        <w:rPr>
          <w:szCs w:val="24"/>
        </w:rPr>
        <w:t>Null</w:t>
      </w:r>
    </w:p>
    <w:p w14:paraId="7930021B">
      <w:pPr>
        <w:pStyle w:val="16"/>
        <w:spacing w:before="31" w:after="31"/>
        <w:ind w:firstLine="0" w:firstLineChars="0"/>
        <w:rPr>
          <w:szCs w:val="24"/>
        </w:rPr>
      </w:pPr>
      <w:r>
        <w:rPr>
          <w:szCs w:val="24"/>
        </w:rPr>
        <w:t>(4) Failed Components and Material</w:t>
      </w:r>
    </w:p>
    <w:p w14:paraId="7B54A829">
      <w:pPr>
        <w:pStyle w:val="16"/>
        <w:spacing w:before="31" w:after="31"/>
        <w:ind w:firstLine="480"/>
        <w:rPr>
          <w:szCs w:val="24"/>
        </w:rPr>
      </w:pPr>
      <w:r>
        <w:rPr>
          <w:szCs w:val="24"/>
        </w:rPr>
        <w:t>The failed component is Φ101.6 mm×9.65mm S135 double-shoulder threaded drill pipe, made of 36CrNiMo4 low-alloy structural steel. The drill string configuration at the time of fracture included various components, such as Φ60mm pilot bit, Φ60.3mm drill pipe, NC26×DS40 joint, Φ101.6mm drill pipe (DS40), DS40×HT40 joint, Φ101.6mm drill pipe (HT40), and Φ88.9mm square drill pipe. Additionally, 90 pieces of Grant Φ101.6mm (4-inch) HT40 drill pipes were used simultaneously, and no cracks were found during ultrasonic inspection.</w:t>
      </w:r>
    </w:p>
    <w:p w14:paraId="76A102CA">
      <w:pPr>
        <w:pStyle w:val="16"/>
        <w:spacing w:before="31" w:after="31"/>
        <w:ind w:firstLine="480"/>
        <w:rPr>
          <w:szCs w:val="24"/>
        </w:rPr>
      </w:pPr>
      <w:r>
        <w:rPr>
          <w:szCs w:val="24"/>
        </w:rPr>
        <w:t>Chemical composition analysis of the joint is provided in Table 5-33, and mechanical properties are presented in Tables 5-34 and 5-35.</w:t>
      </w:r>
    </w:p>
    <w:p w14:paraId="68917865">
      <w:pPr>
        <w:pStyle w:val="16"/>
        <w:spacing w:before="31" w:after="31"/>
        <w:ind w:firstLine="0" w:firstLineChars="0"/>
        <w:rPr>
          <w:szCs w:val="24"/>
        </w:rPr>
      </w:pPr>
      <w:r>
        <w:rPr>
          <w:szCs w:val="24"/>
        </w:rPr>
        <w:t>(5) Failed Component Morphology</w:t>
      </w:r>
    </w:p>
    <w:p w14:paraId="60B25E91">
      <w:pPr>
        <w:pStyle w:val="16"/>
        <w:spacing w:before="31" w:after="31"/>
        <w:ind w:firstLine="480"/>
        <w:rPr>
          <w:szCs w:val="24"/>
        </w:rPr>
      </w:pPr>
      <w:r>
        <w:rPr>
          <w:szCs w:val="24"/>
        </w:rPr>
        <w:t>The failed double-shoulder joint exhibited no obvious damage to the external threads and main shoulder, while the secondary shoulder showed significant depression with slight expansion at the outer diameter. Other drill pipes from the same batch showed severe deformation of the secondary shoulder, and some exhibited repeated compression and cracking during repeated use. The main shoulder showed signs of wear, but no significant deformation. Wet fluorescent magnetic powder testing on the threads and shoulder areas revealed continuous cracks near the root of the external threads and four cracks at the root of the shoulder, ranging in length from 15.5mm to 29.5mm.</w:t>
      </w:r>
    </w:p>
    <w:p w14:paraId="5ACBB591">
      <w:pPr>
        <w:pStyle w:val="16"/>
        <w:spacing w:before="31" w:after="31"/>
        <w:ind w:firstLine="480"/>
        <w:rPr>
          <w:szCs w:val="24"/>
        </w:rPr>
      </w:pPr>
      <w:r>
        <w:rPr>
          <w:szCs w:val="24"/>
        </w:rPr>
        <w:t>The microstructure of the joint, as shown in Figure 5-17.1, appeared normal with tempered martensite and a small amount of bainite, graded at level 8 for grain size. The inclusion content was within the normal range with A0.5, B0.5, D0.5, and DS1.0.</w:t>
      </w:r>
    </w:p>
    <w:p w14:paraId="1E6BB196">
      <w:pPr>
        <w:autoSpaceDE w:val="0"/>
        <w:autoSpaceDN w:val="0"/>
        <w:adjustRightInd w:val="0"/>
        <w:spacing w:before="156" w:beforeLines="50" w:after="468" w:afterLines="150" w:line="312" w:lineRule="auto"/>
        <w:jc w:val="center"/>
        <w:rPr>
          <w:rFonts w:cs="宋体"/>
          <w:b/>
          <w:kern w:val="0"/>
          <w:szCs w:val="21"/>
        </w:rPr>
      </w:pPr>
      <w:r>
        <w:rPr>
          <w:rFonts w:cs="宋体"/>
          <w:b/>
          <w:kern w:val="0"/>
          <w:szCs w:val="21"/>
        </w:rPr>
        <w:t xml:space="preserve">Figure 5-17.1 Metallographic Structure of Joint Material   </w:t>
      </w:r>
      <w:r>
        <w:rPr>
          <w:rFonts w:eastAsia="黑体" w:cs="宋体"/>
          <w:b/>
          <w:szCs w:val="20"/>
        </w:rPr>
        <w:t>Figure 5-17.2 Macroscopic Appearance of External Threaded Joint</w:t>
      </w:r>
    </w:p>
    <w:p w14:paraId="2291D164">
      <w:pPr>
        <w:autoSpaceDE w:val="0"/>
        <w:autoSpaceDN w:val="0"/>
        <w:adjustRightInd w:val="0"/>
        <w:spacing w:before="156" w:beforeLines="50" w:after="468" w:afterLines="150" w:line="312" w:lineRule="auto"/>
        <w:jc w:val="center"/>
        <w:rPr>
          <w:rFonts w:eastAsia="黑体" w:cs="宋体"/>
          <w:b/>
          <w:szCs w:val="20"/>
        </w:rPr>
      </w:pPr>
      <w:r>
        <w:rPr>
          <w:rFonts w:eastAsia="黑体" w:cs="宋体"/>
          <w:b/>
          <w:szCs w:val="20"/>
        </w:rPr>
        <w:t xml:space="preserve">        Figure 5-17.3 Deformation Appearance of Secondary Shoulder   Figure 5-17.4 On-Site Appearance of Repeated Compression Deformation in Drill Rod Secondary Shoulders</w:t>
      </w:r>
    </w:p>
    <w:p w14:paraId="613F3E6D">
      <w:pPr>
        <w:pStyle w:val="16"/>
        <w:spacing w:before="31" w:after="31"/>
        <w:ind w:firstLine="422"/>
        <w:rPr>
          <w:rFonts w:hint="eastAsia" w:eastAsia="黑体"/>
          <w:b/>
          <w:sz w:val="21"/>
        </w:rPr>
      </w:pPr>
      <w:r>
        <w:rPr>
          <w:rFonts w:eastAsia="黑体"/>
          <w:b/>
          <w:sz w:val="21"/>
        </w:rPr>
        <w:t>Figure 5-17.5 Cracks at the Root of External Thread Shoulder and Thread Root</w:t>
      </w:r>
    </w:p>
    <w:p w14:paraId="000331F9">
      <w:pPr>
        <w:pStyle w:val="16"/>
        <w:spacing w:before="31" w:after="31"/>
        <w:ind w:firstLine="480"/>
        <w:rPr>
          <w:szCs w:val="24"/>
        </w:rPr>
      </w:pPr>
      <w:r>
        <w:rPr>
          <w:szCs w:val="24"/>
        </w:rPr>
        <w:t>Metallographic analysis revealed multiple cracks at the root of the shoulder. These cracks originate from the surface of the shoulder root, with one relatively long crack measuring approximately 1.8 mm, as shown in Figures 5-17.6 to 5-17.7. From the root of the shoulder's first thread, three cracks are present, with the longest one measuring about 0.53 mm. From the root of the shoulder's second thread, there are five small cracks with lengths ranging from 0.15 to 0.30 mm, as depicted in Figures 5-17.8 to 5-17.9. These small cracks all originate vertically from the outer surface, exhibiting a dendritic pattern of intergranular cracking. The cracks are filled with gray corrosion products, and small corrosion pits are present at the origins of the cracks. This collection of features clearly indicates the characteristics of stress corrosion cracking.</w:t>
      </w:r>
    </w:p>
    <w:p w14:paraId="6B7D5681">
      <w:pPr>
        <w:pStyle w:val="16"/>
        <w:spacing w:before="31" w:after="31"/>
        <w:ind w:firstLine="0" w:firstLineChars="0"/>
        <w:rPr>
          <w:szCs w:val="24"/>
        </w:rPr>
      </w:pPr>
      <w:bookmarkStart w:id="7" w:name="_Hlk156170196"/>
      <w:r>
        <w:rPr>
          <w:szCs w:val="24"/>
        </w:rPr>
        <w:t>(6) Failure Cause Analysis:</w:t>
      </w:r>
      <w:bookmarkEnd w:id="7"/>
    </w:p>
    <w:p w14:paraId="1C9958B5">
      <w:pPr>
        <w:pStyle w:val="16"/>
        <w:spacing w:before="31" w:after="31"/>
        <w:ind w:firstLine="480"/>
        <w:rPr>
          <w:szCs w:val="24"/>
        </w:rPr>
      </w:pPr>
      <w:r>
        <w:rPr>
          <w:szCs w:val="24"/>
        </w:rPr>
        <w:t>Metallographic analysis, scanning electron microscopy, and energy spectrum analysis suggested that the cracking mechanism was hydrogen sulfide stress corrosion cracking (SSC). SSC is a destructive phenomenon that occurs in metal materials under the combined action of tensile stress and an H2S-corrosive environment. The joint's cracking characteristics, including a flat macroscopic fracture, no plastic deformation, corrosion products on the fracture surface, and crack propagation along the grain boundaries, all indicated features consistent with SSC.</w:t>
      </w:r>
    </w:p>
    <w:p w14:paraId="34F83FB3">
      <w:pPr>
        <w:pStyle w:val="16"/>
        <w:spacing w:before="31" w:after="31"/>
        <w:ind w:firstLine="0" w:firstLineChars="0"/>
        <w:rPr>
          <w:szCs w:val="24"/>
        </w:rPr>
      </w:pPr>
      <w:r>
        <w:rPr>
          <w:szCs w:val="24"/>
        </w:rPr>
        <w:t>Analysis of the stress and torque indicated that the drill pipes met the tensile and torsional strength requirements for normal drilling and accident handling, with a significant margin of safety. The observed severe deformation of the secondary shoulder of the joint indicated that the joint had been subjected to excessive torque beyond its yield strength. Under such conditions, the stress at the failure location (root of the shoulder and the first three teeth threads) was considerable, demonstrating that the local secondary shoulder exceeded the material's yield stress.</w:t>
      </w:r>
    </w:p>
    <w:p w14:paraId="3A94A8EF">
      <w:pPr>
        <w:pStyle w:val="16"/>
        <w:spacing w:before="31" w:after="31"/>
        <w:ind w:firstLine="480"/>
        <w:rPr>
          <w:szCs w:val="24"/>
        </w:rPr>
      </w:pPr>
      <w:r>
        <w:rPr>
          <w:szCs w:val="24"/>
        </w:rPr>
        <w:t>The material of the failed drill pipe joint was 36CrNiMo4 low-alloy structural steel, with a Brinell hardness of 353HB, equivalent to approximately 37 HRC. This hardness significantly exceeded the maximum hardness requirement for resistance to H2S stress corrosion cracking, indicating high sensitivity to stress corrosion. The drilling fluid used did not contain H2S, but the use of polythion drilling fluid could lead to H2S generation during high-temperature decomposition.</w:t>
      </w:r>
    </w:p>
    <w:p w14:paraId="49E46B8B">
      <w:pPr>
        <w:pStyle w:val="16"/>
        <w:spacing w:before="31" w:after="31"/>
        <w:ind w:firstLine="480"/>
        <w:rPr>
          <w:szCs w:val="24"/>
        </w:rPr>
      </w:pPr>
      <w:r>
        <w:rPr>
          <w:szCs w:val="24"/>
        </w:rPr>
        <w:t>The joint's failure was attributed to three factors: inappropriate material selection, excessive torque resulting in localized stress beyond the material's yield strength, and the presence of H2S in the corrosive environment. Recommendations included controlling the strength of drill pipe joint materials, using corrosion inhibitors, and reducing the corrosiveness of the environment.</w:t>
      </w:r>
    </w:p>
    <w:p w14:paraId="2AF546CE">
      <w:pPr>
        <w:pStyle w:val="16"/>
        <w:spacing w:before="31" w:after="31"/>
        <w:ind w:firstLine="0" w:firstLineChars="0"/>
        <w:rPr>
          <w:szCs w:val="24"/>
        </w:rPr>
      </w:pPr>
      <w:r>
        <w:rPr>
          <w:szCs w:val="24"/>
        </w:rPr>
        <w:t>(7) Impact and Harm Caused</w:t>
      </w:r>
    </w:p>
    <w:p w14:paraId="1EAA2554">
      <w:pPr>
        <w:pStyle w:val="16"/>
        <w:spacing w:before="31" w:after="31"/>
        <w:ind w:firstLine="420" w:firstLineChars="0"/>
        <w:rPr>
          <w:szCs w:val="24"/>
        </w:rPr>
      </w:pPr>
      <w:r>
        <w:rPr>
          <w:szCs w:val="24"/>
        </w:rPr>
        <w:t>Null</w:t>
      </w:r>
    </w:p>
    <w:p w14:paraId="7491D61D">
      <w:pPr>
        <w:pStyle w:val="16"/>
        <w:spacing w:before="31" w:after="31"/>
        <w:ind w:firstLine="0" w:firstLineChars="0"/>
        <w:rPr>
          <w:szCs w:val="24"/>
        </w:rPr>
      </w:pPr>
      <w:r>
        <w:rPr>
          <w:szCs w:val="24"/>
        </w:rPr>
        <w:t>(8) Conclusion and Improvement Measures</w:t>
      </w:r>
    </w:p>
    <w:p w14:paraId="19D01F48">
      <w:pPr>
        <w:pStyle w:val="16"/>
        <w:spacing w:before="31" w:after="31"/>
        <w:ind w:firstLine="480"/>
        <w:rPr>
          <w:szCs w:val="24"/>
        </w:rPr>
      </w:pPr>
      <w:r>
        <w:rPr>
          <w:szCs w:val="24"/>
        </w:rPr>
        <w:t>The cracking of the double-shoulder drill pipe joint was identified as H2S stress corrosion cracking, primarily due to inappropriate material selection, excessive torque, and the presence of H2S in the corrosive environment. To prevent such failures, it was suggested to control the material strength, use corrosion inhibitors, and minimize the corrosiveness of the environment.</w:t>
      </w:r>
    </w:p>
    <w:p w14:paraId="690A764C">
      <w:pPr>
        <w:pStyle w:val="16"/>
        <w:spacing w:before="31" w:after="31"/>
        <w:ind w:firstLine="480"/>
        <w:rPr>
          <w:rFonts w:hint="eastAsia"/>
          <w:szCs w:val="24"/>
        </w:rPr>
      </w:pPr>
    </w:p>
    <w:p w14:paraId="51692257">
      <w:pPr>
        <w:pStyle w:val="16"/>
        <w:spacing w:before="31" w:after="31"/>
        <w:ind w:firstLine="0" w:firstLineChars="0"/>
        <w:rPr>
          <w:b/>
          <w:bCs/>
          <w:szCs w:val="24"/>
        </w:rPr>
      </w:pPr>
      <w:r>
        <w:rPr>
          <w:b/>
          <w:bCs/>
          <w:szCs w:val="24"/>
        </w:rPr>
        <w:t>Case 5-18: Longitudinal Cracking of Square Drill Pipe Protective Joints</w:t>
      </w:r>
    </w:p>
    <w:p w14:paraId="4957508D">
      <w:pPr>
        <w:pStyle w:val="16"/>
        <w:spacing w:before="31" w:after="31"/>
        <w:ind w:firstLine="480"/>
        <w:rPr>
          <w:szCs w:val="24"/>
        </w:rPr>
      </w:pPr>
    </w:p>
    <w:p w14:paraId="55A5652C">
      <w:pPr>
        <w:pStyle w:val="16"/>
        <w:spacing w:before="31" w:after="31"/>
        <w:ind w:firstLine="0" w:firstLineChars="0"/>
        <w:rPr>
          <w:szCs w:val="24"/>
        </w:rPr>
      </w:pPr>
      <w:r>
        <w:rPr>
          <w:szCs w:val="24"/>
        </w:rPr>
        <w:t>(1) Case Name:</w:t>
      </w:r>
    </w:p>
    <w:p w14:paraId="3DE26F80">
      <w:pPr>
        <w:pStyle w:val="16"/>
        <w:spacing w:before="31" w:after="31"/>
        <w:ind w:firstLine="480"/>
        <w:rPr>
          <w:szCs w:val="24"/>
        </w:rPr>
      </w:pPr>
      <w:r>
        <w:rPr>
          <w:szCs w:val="24"/>
        </w:rPr>
        <w:t>Longitudinal Cracking of Square Drill Pipe Protective Joints [20]</w:t>
      </w:r>
    </w:p>
    <w:p w14:paraId="4BBCDDDD">
      <w:pPr>
        <w:pStyle w:val="16"/>
        <w:spacing w:before="31" w:after="31"/>
        <w:ind w:firstLine="0" w:firstLineChars="0"/>
        <w:rPr>
          <w:szCs w:val="24"/>
        </w:rPr>
      </w:pPr>
      <w:r>
        <w:rPr>
          <w:szCs w:val="24"/>
        </w:rPr>
        <w:t xml:space="preserve">(2) </w:t>
      </w:r>
      <w:bookmarkStart w:id="8" w:name="_Hlk156170175"/>
      <w:r>
        <w:rPr>
          <w:kern w:val="0"/>
          <w:szCs w:val="24"/>
        </w:rPr>
        <w:t>Failure Process Description</w:t>
      </w:r>
      <w:bookmarkEnd w:id="8"/>
    </w:p>
    <w:p w14:paraId="279834B0">
      <w:pPr>
        <w:pStyle w:val="16"/>
        <w:spacing w:before="31" w:after="31"/>
        <w:ind w:firstLine="480"/>
        <w:rPr>
          <w:szCs w:val="24"/>
        </w:rPr>
      </w:pPr>
      <w:r>
        <w:rPr>
          <w:szCs w:val="24"/>
        </w:rPr>
        <w:t>During drilling in an oil field, the standpipe pressure dropped from 18.2MPa to 17.2MPa at a well depth of 6086.12m. Upon raising the drilling tools, it was discovered that the square drill pipe protective joint was punctured, with a cumulative usage time of 380.15 hours. Investigation revealed that the wellhead was off-center, having been corrected twice before, and there was still eccentricity. Due to wear, the wellhead anti-wear sleeve had been replaced twice.</w:t>
      </w:r>
    </w:p>
    <w:p w14:paraId="754254DF">
      <w:pPr>
        <w:pStyle w:val="16"/>
        <w:spacing w:before="31" w:after="31"/>
        <w:ind w:firstLine="0" w:firstLineChars="0"/>
        <w:rPr>
          <w:szCs w:val="24"/>
        </w:rPr>
      </w:pPr>
      <w:r>
        <w:rPr>
          <w:szCs w:val="24"/>
        </w:rPr>
        <w:t>(3) Service Environment:</w:t>
      </w:r>
    </w:p>
    <w:p w14:paraId="0CBEDE5C">
      <w:pPr>
        <w:pStyle w:val="16"/>
        <w:spacing w:before="31" w:after="31"/>
        <w:ind w:firstLine="420" w:firstLineChars="0"/>
        <w:rPr>
          <w:szCs w:val="24"/>
        </w:rPr>
      </w:pPr>
      <w:r>
        <w:rPr>
          <w:szCs w:val="24"/>
        </w:rPr>
        <w:t>Null</w:t>
      </w:r>
    </w:p>
    <w:p w14:paraId="13C04D14">
      <w:pPr>
        <w:pStyle w:val="16"/>
        <w:spacing w:before="31" w:after="31"/>
        <w:ind w:firstLine="480"/>
        <w:rPr>
          <w:szCs w:val="24"/>
        </w:rPr>
      </w:pPr>
    </w:p>
    <w:p w14:paraId="09ABA527">
      <w:pPr>
        <w:pStyle w:val="16"/>
        <w:spacing w:before="31" w:after="31"/>
        <w:ind w:firstLine="0" w:firstLineChars="0"/>
        <w:rPr>
          <w:szCs w:val="24"/>
        </w:rPr>
      </w:pPr>
      <w:r>
        <w:rPr>
          <w:szCs w:val="24"/>
        </w:rPr>
        <w:t>(4) Failed Components and Materials</w:t>
      </w:r>
    </w:p>
    <w:p w14:paraId="5576DBAB">
      <w:pPr>
        <w:pStyle w:val="16"/>
        <w:spacing w:before="31" w:after="31"/>
        <w:ind w:firstLine="480"/>
        <w:rPr>
          <w:rFonts w:hint="eastAsia"/>
          <w:szCs w:val="24"/>
        </w:rPr>
      </w:pPr>
      <w:r>
        <w:rPr>
          <w:szCs w:val="24"/>
        </w:rPr>
        <w:t>The chemical composition and mechanical properties of the failed component are provided in Tables 5-36 and 5-37, meeting the standards outlined in SY/T5200-2002.</w:t>
      </w:r>
    </w:p>
    <w:p w14:paraId="714526E4">
      <w:pPr>
        <w:autoSpaceDE w:val="0"/>
        <w:autoSpaceDN w:val="0"/>
        <w:adjustRightInd w:val="0"/>
        <w:spacing w:before="468" w:beforeLines="150" w:after="156" w:afterLines="50" w:line="312" w:lineRule="auto"/>
        <w:jc w:val="center"/>
        <w:rPr>
          <w:rFonts w:eastAsia="黑体" w:cs="宋体"/>
          <w:b/>
          <w:szCs w:val="20"/>
        </w:rPr>
      </w:pPr>
      <w:r>
        <w:rPr>
          <w:rFonts w:eastAsia="黑体" w:cs="宋体"/>
          <w:b/>
          <w:szCs w:val="20"/>
        </w:rPr>
        <w:t>Table 5-36: Chemical Composition of the Joint</w:t>
      </w:r>
    </w:p>
    <w:tbl>
      <w:tblPr>
        <w:tblStyle w:val="9"/>
        <w:tblW w:w="0" w:type="auto"/>
        <w:jc w:val="center"/>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1162"/>
        <w:gridCol w:w="591"/>
        <w:gridCol w:w="591"/>
        <w:gridCol w:w="591"/>
        <w:gridCol w:w="689"/>
        <w:gridCol w:w="689"/>
        <w:gridCol w:w="591"/>
        <w:gridCol w:w="591"/>
        <w:gridCol w:w="689"/>
        <w:gridCol w:w="689"/>
        <w:gridCol w:w="689"/>
        <w:gridCol w:w="591"/>
      </w:tblGrid>
      <w:tr w14:paraId="752A744B">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62" w:type="dxa"/>
            <w:tcBorders>
              <w:top w:val="single" w:color="auto" w:sz="12" w:space="0"/>
              <w:left w:val="nil"/>
              <w:bottom w:val="single" w:color="auto" w:sz="12" w:space="0"/>
              <w:right w:val="nil"/>
            </w:tcBorders>
            <w:vAlign w:val="center"/>
          </w:tcPr>
          <w:p w14:paraId="04F1EC85">
            <w:pPr>
              <w:autoSpaceDE w:val="0"/>
              <w:autoSpaceDN w:val="0"/>
              <w:adjustRightInd w:val="0"/>
              <w:spacing w:line="312" w:lineRule="auto"/>
              <w:jc w:val="center"/>
              <w:rPr>
                <w:kern w:val="0"/>
                <w:szCs w:val="21"/>
              </w:rPr>
            </w:pPr>
            <w:r>
              <w:rPr>
                <w:rFonts w:hint="eastAsia"/>
                <w:kern w:val="0"/>
                <w:szCs w:val="21"/>
              </w:rPr>
              <w:t>e</w:t>
            </w:r>
            <w:r>
              <w:rPr>
                <w:kern w:val="0"/>
                <w:szCs w:val="21"/>
              </w:rPr>
              <w:t>lement</w:t>
            </w:r>
          </w:p>
        </w:tc>
        <w:tc>
          <w:tcPr>
            <w:tcW w:w="591" w:type="dxa"/>
            <w:tcBorders>
              <w:top w:val="single" w:color="auto" w:sz="12" w:space="0"/>
              <w:left w:val="nil"/>
              <w:bottom w:val="single" w:color="auto" w:sz="12" w:space="0"/>
              <w:right w:val="nil"/>
            </w:tcBorders>
            <w:vAlign w:val="center"/>
          </w:tcPr>
          <w:p w14:paraId="500B6F2D">
            <w:pPr>
              <w:autoSpaceDE w:val="0"/>
              <w:autoSpaceDN w:val="0"/>
              <w:adjustRightInd w:val="0"/>
              <w:spacing w:line="312" w:lineRule="auto"/>
              <w:jc w:val="center"/>
              <w:rPr>
                <w:kern w:val="0"/>
                <w:szCs w:val="21"/>
              </w:rPr>
            </w:pPr>
            <w:r>
              <w:rPr>
                <w:kern w:val="0"/>
                <w:szCs w:val="21"/>
              </w:rPr>
              <w:t>C</w:t>
            </w:r>
          </w:p>
        </w:tc>
        <w:tc>
          <w:tcPr>
            <w:tcW w:w="591" w:type="dxa"/>
            <w:tcBorders>
              <w:top w:val="single" w:color="auto" w:sz="12" w:space="0"/>
              <w:left w:val="nil"/>
              <w:bottom w:val="single" w:color="auto" w:sz="12" w:space="0"/>
              <w:right w:val="nil"/>
            </w:tcBorders>
            <w:vAlign w:val="center"/>
          </w:tcPr>
          <w:p w14:paraId="61B4E86A">
            <w:pPr>
              <w:autoSpaceDE w:val="0"/>
              <w:autoSpaceDN w:val="0"/>
              <w:adjustRightInd w:val="0"/>
              <w:spacing w:line="312" w:lineRule="auto"/>
              <w:jc w:val="center"/>
              <w:rPr>
                <w:kern w:val="0"/>
                <w:szCs w:val="21"/>
              </w:rPr>
            </w:pPr>
            <w:r>
              <w:rPr>
                <w:kern w:val="0"/>
                <w:szCs w:val="21"/>
              </w:rPr>
              <w:t>Si</w:t>
            </w:r>
          </w:p>
        </w:tc>
        <w:tc>
          <w:tcPr>
            <w:tcW w:w="591" w:type="dxa"/>
            <w:tcBorders>
              <w:top w:val="single" w:color="auto" w:sz="12" w:space="0"/>
              <w:left w:val="nil"/>
              <w:bottom w:val="single" w:color="auto" w:sz="12" w:space="0"/>
              <w:right w:val="nil"/>
            </w:tcBorders>
            <w:vAlign w:val="center"/>
          </w:tcPr>
          <w:p w14:paraId="744506E4">
            <w:pPr>
              <w:autoSpaceDE w:val="0"/>
              <w:autoSpaceDN w:val="0"/>
              <w:adjustRightInd w:val="0"/>
              <w:spacing w:line="312" w:lineRule="auto"/>
              <w:jc w:val="center"/>
              <w:rPr>
                <w:kern w:val="0"/>
                <w:szCs w:val="21"/>
              </w:rPr>
            </w:pPr>
            <w:r>
              <w:rPr>
                <w:kern w:val="0"/>
                <w:szCs w:val="21"/>
              </w:rPr>
              <w:t>Mn</w:t>
            </w:r>
          </w:p>
        </w:tc>
        <w:tc>
          <w:tcPr>
            <w:tcW w:w="689" w:type="dxa"/>
            <w:tcBorders>
              <w:top w:val="single" w:color="auto" w:sz="12" w:space="0"/>
              <w:left w:val="nil"/>
              <w:bottom w:val="single" w:color="auto" w:sz="12" w:space="0"/>
              <w:right w:val="nil"/>
            </w:tcBorders>
            <w:vAlign w:val="center"/>
          </w:tcPr>
          <w:p w14:paraId="1726579C">
            <w:pPr>
              <w:autoSpaceDE w:val="0"/>
              <w:autoSpaceDN w:val="0"/>
              <w:adjustRightInd w:val="0"/>
              <w:spacing w:line="312" w:lineRule="auto"/>
              <w:jc w:val="center"/>
              <w:rPr>
                <w:kern w:val="0"/>
                <w:szCs w:val="21"/>
              </w:rPr>
            </w:pPr>
            <w:r>
              <w:rPr>
                <w:kern w:val="0"/>
                <w:szCs w:val="21"/>
              </w:rPr>
              <w:t>P</w:t>
            </w:r>
          </w:p>
        </w:tc>
        <w:tc>
          <w:tcPr>
            <w:tcW w:w="689" w:type="dxa"/>
            <w:tcBorders>
              <w:top w:val="single" w:color="auto" w:sz="12" w:space="0"/>
              <w:left w:val="nil"/>
              <w:bottom w:val="single" w:color="auto" w:sz="12" w:space="0"/>
              <w:right w:val="nil"/>
            </w:tcBorders>
            <w:vAlign w:val="center"/>
          </w:tcPr>
          <w:p w14:paraId="34FBBC09">
            <w:pPr>
              <w:autoSpaceDE w:val="0"/>
              <w:autoSpaceDN w:val="0"/>
              <w:adjustRightInd w:val="0"/>
              <w:spacing w:line="312" w:lineRule="auto"/>
              <w:jc w:val="center"/>
              <w:rPr>
                <w:kern w:val="0"/>
                <w:szCs w:val="21"/>
              </w:rPr>
            </w:pPr>
            <w:r>
              <w:rPr>
                <w:kern w:val="0"/>
                <w:szCs w:val="21"/>
              </w:rPr>
              <w:t>S</w:t>
            </w:r>
          </w:p>
        </w:tc>
        <w:tc>
          <w:tcPr>
            <w:tcW w:w="591" w:type="dxa"/>
            <w:tcBorders>
              <w:top w:val="single" w:color="auto" w:sz="12" w:space="0"/>
              <w:left w:val="nil"/>
              <w:bottom w:val="single" w:color="auto" w:sz="12" w:space="0"/>
              <w:right w:val="nil"/>
            </w:tcBorders>
            <w:vAlign w:val="center"/>
          </w:tcPr>
          <w:p w14:paraId="3869803C">
            <w:pPr>
              <w:autoSpaceDE w:val="0"/>
              <w:autoSpaceDN w:val="0"/>
              <w:adjustRightInd w:val="0"/>
              <w:spacing w:line="312" w:lineRule="auto"/>
              <w:jc w:val="center"/>
              <w:rPr>
                <w:kern w:val="0"/>
                <w:szCs w:val="21"/>
              </w:rPr>
            </w:pPr>
            <w:r>
              <w:rPr>
                <w:kern w:val="0"/>
                <w:szCs w:val="21"/>
              </w:rPr>
              <w:t>Cr</w:t>
            </w:r>
          </w:p>
        </w:tc>
        <w:tc>
          <w:tcPr>
            <w:tcW w:w="591" w:type="dxa"/>
            <w:tcBorders>
              <w:top w:val="single" w:color="auto" w:sz="12" w:space="0"/>
              <w:left w:val="nil"/>
              <w:bottom w:val="single" w:color="auto" w:sz="12" w:space="0"/>
              <w:right w:val="nil"/>
            </w:tcBorders>
            <w:vAlign w:val="center"/>
          </w:tcPr>
          <w:p w14:paraId="426944E7">
            <w:pPr>
              <w:autoSpaceDE w:val="0"/>
              <w:autoSpaceDN w:val="0"/>
              <w:adjustRightInd w:val="0"/>
              <w:spacing w:line="312" w:lineRule="auto"/>
              <w:jc w:val="center"/>
              <w:rPr>
                <w:kern w:val="0"/>
                <w:szCs w:val="21"/>
              </w:rPr>
            </w:pPr>
            <w:r>
              <w:rPr>
                <w:kern w:val="0"/>
                <w:szCs w:val="21"/>
              </w:rPr>
              <w:t>Mo</w:t>
            </w:r>
          </w:p>
        </w:tc>
        <w:tc>
          <w:tcPr>
            <w:tcW w:w="689" w:type="dxa"/>
            <w:tcBorders>
              <w:top w:val="single" w:color="auto" w:sz="12" w:space="0"/>
              <w:left w:val="nil"/>
              <w:bottom w:val="single" w:color="auto" w:sz="12" w:space="0"/>
              <w:right w:val="nil"/>
            </w:tcBorders>
            <w:vAlign w:val="center"/>
          </w:tcPr>
          <w:p w14:paraId="5B853A37">
            <w:pPr>
              <w:autoSpaceDE w:val="0"/>
              <w:autoSpaceDN w:val="0"/>
              <w:adjustRightInd w:val="0"/>
              <w:spacing w:line="312" w:lineRule="auto"/>
              <w:jc w:val="center"/>
              <w:rPr>
                <w:kern w:val="0"/>
                <w:szCs w:val="21"/>
              </w:rPr>
            </w:pPr>
            <w:r>
              <w:rPr>
                <w:kern w:val="0"/>
                <w:szCs w:val="21"/>
              </w:rPr>
              <w:t>Ni</w:t>
            </w:r>
          </w:p>
        </w:tc>
        <w:tc>
          <w:tcPr>
            <w:tcW w:w="689" w:type="dxa"/>
            <w:tcBorders>
              <w:top w:val="single" w:color="auto" w:sz="12" w:space="0"/>
              <w:left w:val="nil"/>
              <w:bottom w:val="single" w:color="auto" w:sz="12" w:space="0"/>
              <w:right w:val="nil"/>
            </w:tcBorders>
            <w:vAlign w:val="center"/>
          </w:tcPr>
          <w:p w14:paraId="21174A31">
            <w:pPr>
              <w:autoSpaceDE w:val="0"/>
              <w:autoSpaceDN w:val="0"/>
              <w:adjustRightInd w:val="0"/>
              <w:spacing w:line="312" w:lineRule="auto"/>
              <w:jc w:val="center"/>
              <w:rPr>
                <w:kern w:val="0"/>
                <w:szCs w:val="21"/>
              </w:rPr>
            </w:pPr>
            <w:r>
              <w:rPr>
                <w:kern w:val="0"/>
                <w:szCs w:val="21"/>
              </w:rPr>
              <w:t>V</w:t>
            </w:r>
          </w:p>
        </w:tc>
        <w:tc>
          <w:tcPr>
            <w:tcW w:w="689" w:type="dxa"/>
            <w:tcBorders>
              <w:top w:val="single" w:color="auto" w:sz="12" w:space="0"/>
              <w:left w:val="nil"/>
              <w:bottom w:val="single" w:color="auto" w:sz="12" w:space="0"/>
              <w:right w:val="nil"/>
            </w:tcBorders>
            <w:vAlign w:val="center"/>
          </w:tcPr>
          <w:p w14:paraId="1585F718">
            <w:pPr>
              <w:autoSpaceDE w:val="0"/>
              <w:autoSpaceDN w:val="0"/>
              <w:adjustRightInd w:val="0"/>
              <w:spacing w:line="312" w:lineRule="auto"/>
              <w:jc w:val="center"/>
              <w:rPr>
                <w:kern w:val="0"/>
                <w:szCs w:val="21"/>
              </w:rPr>
            </w:pPr>
            <w:r>
              <w:rPr>
                <w:kern w:val="0"/>
                <w:szCs w:val="21"/>
              </w:rPr>
              <w:t>Ti</w:t>
            </w:r>
          </w:p>
        </w:tc>
        <w:tc>
          <w:tcPr>
            <w:tcW w:w="591" w:type="dxa"/>
            <w:tcBorders>
              <w:top w:val="single" w:color="auto" w:sz="12" w:space="0"/>
              <w:left w:val="nil"/>
              <w:bottom w:val="single" w:color="auto" w:sz="12" w:space="0"/>
              <w:right w:val="nil"/>
            </w:tcBorders>
            <w:vAlign w:val="center"/>
          </w:tcPr>
          <w:p w14:paraId="4F651D86">
            <w:pPr>
              <w:autoSpaceDE w:val="0"/>
              <w:autoSpaceDN w:val="0"/>
              <w:adjustRightInd w:val="0"/>
              <w:spacing w:line="312" w:lineRule="auto"/>
              <w:jc w:val="center"/>
              <w:rPr>
                <w:kern w:val="0"/>
                <w:szCs w:val="21"/>
              </w:rPr>
            </w:pPr>
            <w:r>
              <w:rPr>
                <w:kern w:val="0"/>
                <w:szCs w:val="21"/>
              </w:rPr>
              <w:t>Cu</w:t>
            </w:r>
          </w:p>
        </w:tc>
      </w:tr>
      <w:tr w14:paraId="21147379">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62" w:type="dxa"/>
            <w:tcBorders>
              <w:top w:val="single" w:color="auto" w:sz="12" w:space="0"/>
              <w:left w:val="nil"/>
              <w:bottom w:val="nil"/>
              <w:right w:val="nil"/>
            </w:tcBorders>
            <w:vAlign w:val="center"/>
          </w:tcPr>
          <w:p w14:paraId="78BC608C">
            <w:pPr>
              <w:autoSpaceDE w:val="0"/>
              <w:autoSpaceDN w:val="0"/>
              <w:adjustRightInd w:val="0"/>
              <w:spacing w:line="312" w:lineRule="auto"/>
              <w:jc w:val="center"/>
              <w:rPr>
                <w:kern w:val="0"/>
                <w:szCs w:val="21"/>
              </w:rPr>
            </w:pPr>
            <w:r>
              <w:rPr>
                <w:rFonts w:hint="eastAsia"/>
                <w:kern w:val="0"/>
                <w:szCs w:val="21"/>
              </w:rPr>
              <w:t>c</w:t>
            </w:r>
            <w:r>
              <w:rPr>
                <w:kern w:val="0"/>
                <w:szCs w:val="21"/>
              </w:rPr>
              <w:t>intent</w:t>
            </w:r>
          </w:p>
        </w:tc>
        <w:tc>
          <w:tcPr>
            <w:tcW w:w="591" w:type="dxa"/>
            <w:tcBorders>
              <w:top w:val="single" w:color="auto" w:sz="12" w:space="0"/>
              <w:left w:val="nil"/>
              <w:bottom w:val="nil"/>
              <w:right w:val="nil"/>
            </w:tcBorders>
            <w:vAlign w:val="center"/>
          </w:tcPr>
          <w:p w14:paraId="6DD0CC13">
            <w:pPr>
              <w:autoSpaceDE w:val="0"/>
              <w:autoSpaceDN w:val="0"/>
              <w:adjustRightInd w:val="0"/>
              <w:spacing w:line="312" w:lineRule="auto"/>
              <w:jc w:val="center"/>
              <w:rPr>
                <w:kern w:val="0"/>
                <w:szCs w:val="21"/>
              </w:rPr>
            </w:pPr>
            <w:r>
              <w:rPr>
                <w:kern w:val="0"/>
                <w:szCs w:val="21"/>
              </w:rPr>
              <w:t>0.40</w:t>
            </w:r>
          </w:p>
        </w:tc>
        <w:tc>
          <w:tcPr>
            <w:tcW w:w="591" w:type="dxa"/>
            <w:tcBorders>
              <w:top w:val="single" w:color="auto" w:sz="12" w:space="0"/>
              <w:left w:val="nil"/>
              <w:bottom w:val="nil"/>
              <w:right w:val="nil"/>
            </w:tcBorders>
            <w:vAlign w:val="center"/>
          </w:tcPr>
          <w:p w14:paraId="7E31E06C">
            <w:pPr>
              <w:autoSpaceDE w:val="0"/>
              <w:autoSpaceDN w:val="0"/>
              <w:adjustRightInd w:val="0"/>
              <w:spacing w:line="312" w:lineRule="auto"/>
              <w:jc w:val="center"/>
              <w:rPr>
                <w:kern w:val="0"/>
                <w:szCs w:val="21"/>
              </w:rPr>
            </w:pPr>
            <w:r>
              <w:rPr>
                <w:kern w:val="0"/>
                <w:szCs w:val="21"/>
              </w:rPr>
              <w:t>0.34</w:t>
            </w:r>
          </w:p>
        </w:tc>
        <w:tc>
          <w:tcPr>
            <w:tcW w:w="591" w:type="dxa"/>
            <w:tcBorders>
              <w:top w:val="single" w:color="auto" w:sz="12" w:space="0"/>
              <w:left w:val="nil"/>
              <w:bottom w:val="nil"/>
              <w:right w:val="nil"/>
            </w:tcBorders>
            <w:vAlign w:val="center"/>
          </w:tcPr>
          <w:p w14:paraId="5A7B823F">
            <w:pPr>
              <w:autoSpaceDE w:val="0"/>
              <w:autoSpaceDN w:val="0"/>
              <w:adjustRightInd w:val="0"/>
              <w:spacing w:line="312" w:lineRule="auto"/>
              <w:jc w:val="center"/>
              <w:rPr>
                <w:kern w:val="0"/>
                <w:szCs w:val="21"/>
              </w:rPr>
            </w:pPr>
            <w:r>
              <w:rPr>
                <w:kern w:val="0"/>
                <w:szCs w:val="21"/>
              </w:rPr>
              <w:t>0.96</w:t>
            </w:r>
          </w:p>
        </w:tc>
        <w:tc>
          <w:tcPr>
            <w:tcW w:w="689" w:type="dxa"/>
            <w:tcBorders>
              <w:top w:val="single" w:color="auto" w:sz="12" w:space="0"/>
              <w:left w:val="nil"/>
              <w:bottom w:val="nil"/>
              <w:right w:val="nil"/>
            </w:tcBorders>
            <w:vAlign w:val="center"/>
          </w:tcPr>
          <w:p w14:paraId="4F40A432">
            <w:pPr>
              <w:autoSpaceDE w:val="0"/>
              <w:autoSpaceDN w:val="0"/>
              <w:adjustRightInd w:val="0"/>
              <w:spacing w:line="312" w:lineRule="auto"/>
              <w:jc w:val="center"/>
              <w:rPr>
                <w:kern w:val="0"/>
                <w:szCs w:val="21"/>
              </w:rPr>
            </w:pPr>
            <w:r>
              <w:rPr>
                <w:kern w:val="0"/>
                <w:szCs w:val="21"/>
              </w:rPr>
              <w:t>0.014</w:t>
            </w:r>
          </w:p>
        </w:tc>
        <w:tc>
          <w:tcPr>
            <w:tcW w:w="689" w:type="dxa"/>
            <w:tcBorders>
              <w:top w:val="single" w:color="auto" w:sz="12" w:space="0"/>
              <w:left w:val="nil"/>
              <w:bottom w:val="nil"/>
              <w:right w:val="nil"/>
            </w:tcBorders>
            <w:vAlign w:val="center"/>
          </w:tcPr>
          <w:p w14:paraId="7DE7EEEC">
            <w:pPr>
              <w:autoSpaceDE w:val="0"/>
              <w:autoSpaceDN w:val="0"/>
              <w:adjustRightInd w:val="0"/>
              <w:spacing w:line="312" w:lineRule="auto"/>
              <w:jc w:val="center"/>
              <w:rPr>
                <w:kern w:val="0"/>
                <w:szCs w:val="21"/>
              </w:rPr>
            </w:pPr>
            <w:r>
              <w:rPr>
                <w:kern w:val="0"/>
                <w:szCs w:val="21"/>
              </w:rPr>
              <w:t>0.004</w:t>
            </w:r>
          </w:p>
        </w:tc>
        <w:tc>
          <w:tcPr>
            <w:tcW w:w="591" w:type="dxa"/>
            <w:tcBorders>
              <w:top w:val="single" w:color="auto" w:sz="12" w:space="0"/>
              <w:left w:val="nil"/>
              <w:bottom w:val="nil"/>
              <w:right w:val="nil"/>
            </w:tcBorders>
            <w:vAlign w:val="center"/>
          </w:tcPr>
          <w:p w14:paraId="45C5CEFE">
            <w:pPr>
              <w:autoSpaceDE w:val="0"/>
              <w:autoSpaceDN w:val="0"/>
              <w:adjustRightInd w:val="0"/>
              <w:spacing w:line="312" w:lineRule="auto"/>
              <w:jc w:val="center"/>
              <w:rPr>
                <w:kern w:val="0"/>
                <w:szCs w:val="21"/>
              </w:rPr>
            </w:pPr>
            <w:r>
              <w:rPr>
                <w:kern w:val="0"/>
                <w:szCs w:val="21"/>
              </w:rPr>
              <w:t>0.98</w:t>
            </w:r>
          </w:p>
        </w:tc>
        <w:tc>
          <w:tcPr>
            <w:tcW w:w="591" w:type="dxa"/>
            <w:tcBorders>
              <w:top w:val="single" w:color="auto" w:sz="12" w:space="0"/>
              <w:left w:val="nil"/>
              <w:bottom w:val="nil"/>
              <w:right w:val="nil"/>
            </w:tcBorders>
            <w:vAlign w:val="center"/>
          </w:tcPr>
          <w:p w14:paraId="50A2B878">
            <w:pPr>
              <w:autoSpaceDE w:val="0"/>
              <w:autoSpaceDN w:val="0"/>
              <w:adjustRightInd w:val="0"/>
              <w:spacing w:line="312" w:lineRule="auto"/>
              <w:jc w:val="center"/>
              <w:rPr>
                <w:kern w:val="0"/>
                <w:szCs w:val="21"/>
              </w:rPr>
            </w:pPr>
            <w:r>
              <w:rPr>
                <w:kern w:val="0"/>
                <w:szCs w:val="21"/>
              </w:rPr>
              <w:t>0.21</w:t>
            </w:r>
          </w:p>
        </w:tc>
        <w:tc>
          <w:tcPr>
            <w:tcW w:w="689" w:type="dxa"/>
            <w:tcBorders>
              <w:top w:val="single" w:color="auto" w:sz="12" w:space="0"/>
              <w:left w:val="nil"/>
              <w:bottom w:val="nil"/>
              <w:right w:val="nil"/>
            </w:tcBorders>
            <w:vAlign w:val="center"/>
          </w:tcPr>
          <w:p w14:paraId="0D8BB767">
            <w:pPr>
              <w:autoSpaceDE w:val="0"/>
              <w:autoSpaceDN w:val="0"/>
              <w:adjustRightInd w:val="0"/>
              <w:spacing w:line="312" w:lineRule="auto"/>
              <w:jc w:val="center"/>
              <w:rPr>
                <w:kern w:val="0"/>
                <w:szCs w:val="21"/>
              </w:rPr>
            </w:pPr>
            <w:r>
              <w:rPr>
                <w:kern w:val="0"/>
                <w:szCs w:val="21"/>
              </w:rPr>
              <w:t>0.065</w:t>
            </w:r>
          </w:p>
        </w:tc>
        <w:tc>
          <w:tcPr>
            <w:tcW w:w="689" w:type="dxa"/>
            <w:tcBorders>
              <w:top w:val="single" w:color="auto" w:sz="12" w:space="0"/>
              <w:left w:val="nil"/>
              <w:bottom w:val="nil"/>
              <w:right w:val="nil"/>
            </w:tcBorders>
            <w:vAlign w:val="center"/>
          </w:tcPr>
          <w:p w14:paraId="44079BCC">
            <w:pPr>
              <w:autoSpaceDE w:val="0"/>
              <w:autoSpaceDN w:val="0"/>
              <w:adjustRightInd w:val="0"/>
              <w:spacing w:line="312" w:lineRule="auto"/>
              <w:jc w:val="center"/>
              <w:rPr>
                <w:kern w:val="0"/>
                <w:szCs w:val="21"/>
              </w:rPr>
            </w:pPr>
            <w:r>
              <w:rPr>
                <w:kern w:val="0"/>
                <w:szCs w:val="21"/>
              </w:rPr>
              <w:t>0.012</w:t>
            </w:r>
          </w:p>
        </w:tc>
        <w:tc>
          <w:tcPr>
            <w:tcW w:w="689" w:type="dxa"/>
            <w:tcBorders>
              <w:top w:val="single" w:color="auto" w:sz="12" w:space="0"/>
              <w:left w:val="nil"/>
              <w:bottom w:val="nil"/>
              <w:right w:val="nil"/>
            </w:tcBorders>
            <w:vAlign w:val="center"/>
          </w:tcPr>
          <w:p w14:paraId="72F0AF7B">
            <w:pPr>
              <w:autoSpaceDE w:val="0"/>
              <w:autoSpaceDN w:val="0"/>
              <w:adjustRightInd w:val="0"/>
              <w:spacing w:line="312" w:lineRule="auto"/>
              <w:jc w:val="center"/>
              <w:rPr>
                <w:kern w:val="0"/>
                <w:szCs w:val="21"/>
              </w:rPr>
            </w:pPr>
            <w:r>
              <w:rPr>
                <w:kern w:val="0"/>
                <w:szCs w:val="21"/>
              </w:rPr>
              <w:t>0.027</w:t>
            </w:r>
          </w:p>
        </w:tc>
        <w:tc>
          <w:tcPr>
            <w:tcW w:w="591" w:type="dxa"/>
            <w:tcBorders>
              <w:top w:val="single" w:color="auto" w:sz="12" w:space="0"/>
              <w:left w:val="nil"/>
              <w:bottom w:val="nil"/>
              <w:right w:val="nil"/>
            </w:tcBorders>
            <w:vAlign w:val="center"/>
          </w:tcPr>
          <w:p w14:paraId="168901BD">
            <w:pPr>
              <w:autoSpaceDE w:val="0"/>
              <w:autoSpaceDN w:val="0"/>
              <w:adjustRightInd w:val="0"/>
              <w:spacing w:line="312" w:lineRule="auto"/>
              <w:jc w:val="center"/>
              <w:rPr>
                <w:kern w:val="0"/>
                <w:szCs w:val="21"/>
              </w:rPr>
            </w:pPr>
            <w:r>
              <w:rPr>
                <w:kern w:val="0"/>
                <w:szCs w:val="21"/>
              </w:rPr>
              <w:t>0.13</w:t>
            </w:r>
          </w:p>
        </w:tc>
      </w:tr>
      <w:tr w14:paraId="49AC3473">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62" w:type="dxa"/>
            <w:tcBorders>
              <w:top w:val="nil"/>
              <w:left w:val="nil"/>
              <w:bottom w:val="single" w:color="auto" w:sz="12" w:space="0"/>
              <w:right w:val="nil"/>
            </w:tcBorders>
            <w:vAlign w:val="center"/>
          </w:tcPr>
          <w:p w14:paraId="289EAB32">
            <w:pPr>
              <w:autoSpaceDE w:val="0"/>
              <w:autoSpaceDN w:val="0"/>
              <w:adjustRightInd w:val="0"/>
              <w:spacing w:line="312" w:lineRule="auto"/>
              <w:jc w:val="center"/>
              <w:rPr>
                <w:kern w:val="0"/>
                <w:szCs w:val="21"/>
              </w:rPr>
            </w:pPr>
            <w:r>
              <w:rPr>
                <w:kern w:val="0"/>
                <w:szCs w:val="21"/>
              </w:rPr>
              <w:t>SY/T5200-</w:t>
            </w:r>
          </w:p>
          <w:p w14:paraId="6A1A6684">
            <w:pPr>
              <w:autoSpaceDE w:val="0"/>
              <w:autoSpaceDN w:val="0"/>
              <w:adjustRightInd w:val="0"/>
              <w:spacing w:line="312" w:lineRule="auto"/>
              <w:jc w:val="center"/>
              <w:rPr>
                <w:kern w:val="0"/>
                <w:szCs w:val="21"/>
              </w:rPr>
            </w:pPr>
            <w:r>
              <w:rPr>
                <w:kern w:val="0"/>
                <w:szCs w:val="21"/>
              </w:rPr>
              <w:t>2002</w:t>
            </w:r>
          </w:p>
        </w:tc>
        <w:tc>
          <w:tcPr>
            <w:tcW w:w="591" w:type="dxa"/>
            <w:tcBorders>
              <w:top w:val="nil"/>
              <w:left w:val="nil"/>
              <w:bottom w:val="single" w:color="auto" w:sz="12" w:space="0"/>
              <w:right w:val="nil"/>
            </w:tcBorders>
            <w:vAlign w:val="center"/>
          </w:tcPr>
          <w:p w14:paraId="11DBCF7D">
            <w:pPr>
              <w:autoSpaceDE w:val="0"/>
              <w:autoSpaceDN w:val="0"/>
              <w:adjustRightInd w:val="0"/>
              <w:spacing w:line="312" w:lineRule="auto"/>
              <w:jc w:val="center"/>
              <w:rPr>
                <w:kern w:val="0"/>
                <w:szCs w:val="21"/>
              </w:rPr>
            </w:pPr>
          </w:p>
        </w:tc>
        <w:tc>
          <w:tcPr>
            <w:tcW w:w="591" w:type="dxa"/>
            <w:tcBorders>
              <w:top w:val="nil"/>
              <w:left w:val="nil"/>
              <w:bottom w:val="single" w:color="auto" w:sz="12" w:space="0"/>
              <w:right w:val="nil"/>
            </w:tcBorders>
            <w:vAlign w:val="center"/>
          </w:tcPr>
          <w:p w14:paraId="38B3B9B7">
            <w:pPr>
              <w:autoSpaceDE w:val="0"/>
              <w:autoSpaceDN w:val="0"/>
              <w:adjustRightInd w:val="0"/>
              <w:spacing w:line="312" w:lineRule="auto"/>
              <w:jc w:val="center"/>
              <w:rPr>
                <w:kern w:val="0"/>
                <w:szCs w:val="21"/>
              </w:rPr>
            </w:pPr>
          </w:p>
        </w:tc>
        <w:tc>
          <w:tcPr>
            <w:tcW w:w="591" w:type="dxa"/>
            <w:tcBorders>
              <w:top w:val="nil"/>
              <w:left w:val="nil"/>
              <w:bottom w:val="single" w:color="auto" w:sz="12" w:space="0"/>
              <w:right w:val="nil"/>
            </w:tcBorders>
            <w:vAlign w:val="center"/>
          </w:tcPr>
          <w:p w14:paraId="61E86A02">
            <w:pPr>
              <w:autoSpaceDE w:val="0"/>
              <w:autoSpaceDN w:val="0"/>
              <w:adjustRightInd w:val="0"/>
              <w:spacing w:line="312" w:lineRule="auto"/>
              <w:jc w:val="center"/>
              <w:rPr>
                <w:kern w:val="0"/>
                <w:szCs w:val="21"/>
              </w:rPr>
            </w:pPr>
          </w:p>
        </w:tc>
        <w:tc>
          <w:tcPr>
            <w:tcW w:w="689" w:type="dxa"/>
            <w:tcBorders>
              <w:top w:val="nil"/>
              <w:left w:val="nil"/>
              <w:bottom w:val="single" w:color="auto" w:sz="12" w:space="0"/>
              <w:right w:val="nil"/>
            </w:tcBorders>
            <w:vAlign w:val="center"/>
          </w:tcPr>
          <w:p w14:paraId="2C37C856">
            <w:pPr>
              <w:pStyle w:val="16"/>
              <w:spacing w:before="31" w:after="31"/>
              <w:ind w:firstLine="0" w:firstLineChars="0"/>
              <w:jc w:val="center"/>
              <w:rPr>
                <w:rFonts w:cs="Times New Roman"/>
                <w:sz w:val="21"/>
                <w:szCs w:val="21"/>
              </w:rPr>
            </w:pPr>
            <w:r>
              <w:rPr>
                <w:rFonts w:cs="Times New Roman"/>
                <w:sz w:val="21"/>
                <w:szCs w:val="21"/>
              </w:rPr>
              <w:t>≤</w:t>
            </w:r>
          </w:p>
          <w:p w14:paraId="730D5D83">
            <w:pPr>
              <w:pStyle w:val="16"/>
              <w:spacing w:before="31" w:after="31"/>
              <w:ind w:firstLine="0" w:firstLineChars="0"/>
              <w:jc w:val="center"/>
              <w:rPr>
                <w:rFonts w:cs="Times New Roman"/>
                <w:sz w:val="21"/>
                <w:szCs w:val="21"/>
              </w:rPr>
            </w:pPr>
            <w:r>
              <w:rPr>
                <w:rFonts w:cs="Times New Roman"/>
                <w:sz w:val="21"/>
                <w:szCs w:val="21"/>
              </w:rPr>
              <w:t>0.030</w:t>
            </w:r>
          </w:p>
        </w:tc>
        <w:tc>
          <w:tcPr>
            <w:tcW w:w="689" w:type="dxa"/>
            <w:tcBorders>
              <w:top w:val="nil"/>
              <w:left w:val="nil"/>
              <w:bottom w:val="single" w:color="auto" w:sz="12" w:space="0"/>
              <w:right w:val="nil"/>
            </w:tcBorders>
            <w:vAlign w:val="center"/>
          </w:tcPr>
          <w:p w14:paraId="62C9555C">
            <w:pPr>
              <w:pStyle w:val="16"/>
              <w:spacing w:before="31" w:after="31"/>
              <w:ind w:firstLine="0" w:firstLineChars="0"/>
              <w:jc w:val="center"/>
              <w:rPr>
                <w:rFonts w:cs="Times New Roman"/>
                <w:sz w:val="21"/>
                <w:szCs w:val="21"/>
              </w:rPr>
            </w:pPr>
            <w:r>
              <w:rPr>
                <w:rFonts w:cs="Times New Roman"/>
                <w:sz w:val="21"/>
                <w:szCs w:val="21"/>
              </w:rPr>
              <w:t>≤</w:t>
            </w:r>
          </w:p>
          <w:p w14:paraId="60DCA47A">
            <w:pPr>
              <w:pStyle w:val="16"/>
              <w:spacing w:before="31" w:after="31"/>
              <w:ind w:firstLine="0" w:firstLineChars="0"/>
              <w:jc w:val="center"/>
              <w:rPr>
                <w:rFonts w:cs="Times New Roman"/>
                <w:sz w:val="21"/>
                <w:szCs w:val="21"/>
              </w:rPr>
            </w:pPr>
            <w:r>
              <w:rPr>
                <w:rFonts w:cs="Times New Roman"/>
                <w:sz w:val="21"/>
                <w:szCs w:val="21"/>
              </w:rPr>
              <w:t>0.030</w:t>
            </w:r>
          </w:p>
        </w:tc>
        <w:tc>
          <w:tcPr>
            <w:tcW w:w="591" w:type="dxa"/>
            <w:tcBorders>
              <w:top w:val="nil"/>
              <w:left w:val="nil"/>
              <w:bottom w:val="single" w:color="auto" w:sz="12" w:space="0"/>
              <w:right w:val="nil"/>
            </w:tcBorders>
            <w:vAlign w:val="center"/>
          </w:tcPr>
          <w:p w14:paraId="0B9ED868">
            <w:pPr>
              <w:autoSpaceDE w:val="0"/>
              <w:autoSpaceDN w:val="0"/>
              <w:adjustRightInd w:val="0"/>
              <w:spacing w:line="312" w:lineRule="auto"/>
              <w:jc w:val="center"/>
              <w:rPr>
                <w:kern w:val="0"/>
                <w:szCs w:val="21"/>
              </w:rPr>
            </w:pPr>
          </w:p>
        </w:tc>
        <w:tc>
          <w:tcPr>
            <w:tcW w:w="591" w:type="dxa"/>
            <w:tcBorders>
              <w:top w:val="nil"/>
              <w:left w:val="nil"/>
              <w:bottom w:val="single" w:color="auto" w:sz="12" w:space="0"/>
              <w:right w:val="nil"/>
            </w:tcBorders>
            <w:vAlign w:val="center"/>
          </w:tcPr>
          <w:p w14:paraId="67E0B976">
            <w:pPr>
              <w:autoSpaceDE w:val="0"/>
              <w:autoSpaceDN w:val="0"/>
              <w:adjustRightInd w:val="0"/>
              <w:spacing w:line="312" w:lineRule="auto"/>
              <w:jc w:val="center"/>
              <w:rPr>
                <w:kern w:val="0"/>
                <w:szCs w:val="21"/>
              </w:rPr>
            </w:pPr>
          </w:p>
        </w:tc>
        <w:tc>
          <w:tcPr>
            <w:tcW w:w="689" w:type="dxa"/>
            <w:tcBorders>
              <w:top w:val="nil"/>
              <w:left w:val="nil"/>
              <w:bottom w:val="single" w:color="auto" w:sz="12" w:space="0"/>
              <w:right w:val="nil"/>
            </w:tcBorders>
            <w:vAlign w:val="center"/>
          </w:tcPr>
          <w:p w14:paraId="3337E019">
            <w:pPr>
              <w:autoSpaceDE w:val="0"/>
              <w:autoSpaceDN w:val="0"/>
              <w:adjustRightInd w:val="0"/>
              <w:spacing w:line="312" w:lineRule="auto"/>
              <w:jc w:val="center"/>
              <w:rPr>
                <w:kern w:val="0"/>
                <w:szCs w:val="21"/>
              </w:rPr>
            </w:pPr>
          </w:p>
        </w:tc>
        <w:tc>
          <w:tcPr>
            <w:tcW w:w="689" w:type="dxa"/>
            <w:tcBorders>
              <w:top w:val="nil"/>
              <w:left w:val="nil"/>
              <w:bottom w:val="single" w:color="auto" w:sz="12" w:space="0"/>
              <w:right w:val="nil"/>
            </w:tcBorders>
            <w:vAlign w:val="center"/>
          </w:tcPr>
          <w:p w14:paraId="019CFF12">
            <w:pPr>
              <w:autoSpaceDE w:val="0"/>
              <w:autoSpaceDN w:val="0"/>
              <w:adjustRightInd w:val="0"/>
              <w:spacing w:line="312" w:lineRule="auto"/>
              <w:jc w:val="center"/>
              <w:rPr>
                <w:kern w:val="0"/>
                <w:szCs w:val="21"/>
              </w:rPr>
            </w:pPr>
          </w:p>
        </w:tc>
        <w:tc>
          <w:tcPr>
            <w:tcW w:w="689" w:type="dxa"/>
            <w:tcBorders>
              <w:top w:val="nil"/>
              <w:left w:val="nil"/>
              <w:bottom w:val="single" w:color="auto" w:sz="12" w:space="0"/>
              <w:right w:val="nil"/>
            </w:tcBorders>
            <w:vAlign w:val="center"/>
          </w:tcPr>
          <w:p w14:paraId="7EF1FCCC">
            <w:pPr>
              <w:autoSpaceDE w:val="0"/>
              <w:autoSpaceDN w:val="0"/>
              <w:adjustRightInd w:val="0"/>
              <w:spacing w:line="312" w:lineRule="auto"/>
              <w:jc w:val="center"/>
              <w:rPr>
                <w:kern w:val="0"/>
                <w:szCs w:val="21"/>
              </w:rPr>
            </w:pPr>
          </w:p>
        </w:tc>
        <w:tc>
          <w:tcPr>
            <w:tcW w:w="591" w:type="dxa"/>
            <w:tcBorders>
              <w:top w:val="nil"/>
              <w:left w:val="nil"/>
              <w:bottom w:val="single" w:color="auto" w:sz="12" w:space="0"/>
              <w:right w:val="nil"/>
            </w:tcBorders>
            <w:vAlign w:val="center"/>
          </w:tcPr>
          <w:p w14:paraId="247C2535">
            <w:pPr>
              <w:autoSpaceDE w:val="0"/>
              <w:autoSpaceDN w:val="0"/>
              <w:adjustRightInd w:val="0"/>
              <w:spacing w:line="312" w:lineRule="auto"/>
              <w:jc w:val="center"/>
              <w:rPr>
                <w:kern w:val="0"/>
                <w:szCs w:val="21"/>
              </w:rPr>
            </w:pPr>
          </w:p>
        </w:tc>
      </w:tr>
    </w:tbl>
    <w:p w14:paraId="755A2724">
      <w:pPr>
        <w:autoSpaceDE w:val="0"/>
        <w:autoSpaceDN w:val="0"/>
        <w:adjustRightInd w:val="0"/>
        <w:spacing w:before="468" w:beforeLines="150" w:after="156" w:afterLines="50" w:line="312" w:lineRule="auto"/>
        <w:jc w:val="center"/>
        <w:rPr>
          <w:rFonts w:eastAsia="黑体" w:cs="宋体"/>
          <w:b/>
          <w:szCs w:val="20"/>
        </w:rPr>
      </w:pPr>
    </w:p>
    <w:p w14:paraId="6E650394">
      <w:pPr>
        <w:autoSpaceDE w:val="0"/>
        <w:autoSpaceDN w:val="0"/>
        <w:adjustRightInd w:val="0"/>
        <w:spacing w:before="468" w:beforeLines="150" w:after="156" w:afterLines="50" w:line="312" w:lineRule="auto"/>
        <w:jc w:val="center"/>
        <w:rPr>
          <w:rFonts w:eastAsia="黑体" w:cs="宋体"/>
          <w:b/>
          <w:szCs w:val="20"/>
        </w:rPr>
      </w:pPr>
      <w:r>
        <w:rPr>
          <w:rFonts w:eastAsia="黑体" w:cs="宋体"/>
          <w:b/>
          <w:szCs w:val="20"/>
        </w:rPr>
        <w:t>Table 5-37: Mechanical Performance of the Joint</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1"/>
        <w:gridCol w:w="1221"/>
        <w:gridCol w:w="1134"/>
        <w:gridCol w:w="992"/>
        <w:gridCol w:w="850"/>
        <w:gridCol w:w="851"/>
        <w:gridCol w:w="750"/>
      </w:tblGrid>
      <w:tr w14:paraId="1FF827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1" w:type="dxa"/>
            <w:vMerge w:val="restart"/>
            <w:tcBorders>
              <w:top w:val="single" w:color="auto" w:sz="12" w:space="0"/>
              <w:left w:val="nil"/>
              <w:bottom w:val="single" w:color="auto" w:sz="12" w:space="0"/>
              <w:right w:val="nil"/>
            </w:tcBorders>
            <w:vAlign w:val="center"/>
          </w:tcPr>
          <w:p w14:paraId="344742DF">
            <w:pPr>
              <w:autoSpaceDE w:val="0"/>
              <w:autoSpaceDN w:val="0"/>
              <w:adjustRightInd w:val="0"/>
              <w:spacing w:line="312" w:lineRule="auto"/>
              <w:jc w:val="center"/>
              <w:rPr>
                <w:kern w:val="0"/>
                <w:szCs w:val="21"/>
              </w:rPr>
            </w:pPr>
            <w:r>
              <w:rPr>
                <w:kern w:val="0"/>
                <w:szCs w:val="21"/>
              </w:rPr>
              <w:t>Item</w:t>
            </w:r>
          </w:p>
        </w:tc>
        <w:tc>
          <w:tcPr>
            <w:tcW w:w="3347" w:type="dxa"/>
            <w:gridSpan w:val="3"/>
            <w:tcBorders>
              <w:top w:val="single" w:color="auto" w:sz="12" w:space="0"/>
              <w:left w:val="nil"/>
              <w:bottom w:val="single" w:color="auto" w:sz="12" w:space="0"/>
              <w:right w:val="nil"/>
            </w:tcBorders>
          </w:tcPr>
          <w:p w14:paraId="2CDD3377">
            <w:pPr>
              <w:autoSpaceDE w:val="0"/>
              <w:autoSpaceDN w:val="0"/>
              <w:adjustRightInd w:val="0"/>
              <w:spacing w:line="312" w:lineRule="auto"/>
              <w:jc w:val="center"/>
              <w:rPr>
                <w:kern w:val="0"/>
                <w:szCs w:val="21"/>
              </w:rPr>
            </w:pPr>
            <w:r>
              <w:rPr>
                <w:rFonts w:hint="eastAsia" w:hAnsi="宋体"/>
                <w:kern w:val="0"/>
                <w:szCs w:val="21"/>
              </w:rPr>
              <w:t>拉伸试验</w:t>
            </w:r>
          </w:p>
        </w:tc>
        <w:tc>
          <w:tcPr>
            <w:tcW w:w="1701" w:type="dxa"/>
            <w:gridSpan w:val="2"/>
            <w:tcBorders>
              <w:top w:val="single" w:color="auto" w:sz="12" w:space="0"/>
              <w:left w:val="nil"/>
              <w:bottom w:val="single" w:color="auto" w:sz="12" w:space="0"/>
              <w:right w:val="nil"/>
            </w:tcBorders>
            <w:vAlign w:val="center"/>
          </w:tcPr>
          <w:p w14:paraId="3D0C1686">
            <w:pPr>
              <w:autoSpaceDE w:val="0"/>
              <w:autoSpaceDN w:val="0"/>
              <w:adjustRightInd w:val="0"/>
              <w:spacing w:line="312" w:lineRule="auto"/>
              <w:jc w:val="center"/>
              <w:rPr>
                <w:kern w:val="0"/>
                <w:szCs w:val="21"/>
              </w:rPr>
            </w:pPr>
            <w:r>
              <w:rPr>
                <w:rFonts w:hint="eastAsia" w:hAnsi="宋体"/>
                <w:kern w:val="0"/>
                <w:szCs w:val="21"/>
              </w:rPr>
              <w:t>冲击试验</w:t>
            </w:r>
            <w:r>
              <w:rPr>
                <w:rFonts w:hAnsi="宋体"/>
                <w:kern w:val="0"/>
                <w:szCs w:val="21"/>
              </w:rPr>
              <w:t>A</w:t>
            </w:r>
            <w:r>
              <w:rPr>
                <w:rFonts w:hAnsi="宋体"/>
                <w:kern w:val="0"/>
                <w:szCs w:val="21"/>
                <w:vertAlign w:val="subscript"/>
              </w:rPr>
              <w:t>kv</w:t>
            </w:r>
          </w:p>
        </w:tc>
        <w:tc>
          <w:tcPr>
            <w:tcW w:w="750" w:type="dxa"/>
            <w:vMerge w:val="restart"/>
            <w:tcBorders>
              <w:top w:val="single" w:color="auto" w:sz="12" w:space="0"/>
              <w:left w:val="nil"/>
              <w:bottom w:val="single" w:color="auto" w:sz="12" w:space="0"/>
              <w:right w:val="nil"/>
            </w:tcBorders>
            <w:vAlign w:val="center"/>
          </w:tcPr>
          <w:p w14:paraId="13C8F8A9">
            <w:pPr>
              <w:autoSpaceDE w:val="0"/>
              <w:autoSpaceDN w:val="0"/>
              <w:adjustRightInd w:val="0"/>
              <w:spacing w:line="312" w:lineRule="auto"/>
              <w:jc w:val="center"/>
              <w:rPr>
                <w:kern w:val="0"/>
                <w:szCs w:val="21"/>
              </w:rPr>
            </w:pPr>
            <w:r>
              <w:rPr>
                <w:rFonts w:hint="eastAsia" w:hAnsi="宋体"/>
                <w:kern w:val="0"/>
                <w:szCs w:val="21"/>
              </w:rPr>
              <w:t>硬度</w:t>
            </w:r>
            <w:r>
              <w:rPr>
                <w:rFonts w:hAnsi="宋体"/>
                <w:kern w:val="0"/>
                <w:szCs w:val="21"/>
              </w:rPr>
              <w:t>/HB</w:t>
            </w:r>
          </w:p>
        </w:tc>
      </w:tr>
      <w:tr w14:paraId="33C113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op w:val="single" w:color="auto" w:sz="12" w:space="0"/>
              <w:left w:val="nil"/>
              <w:bottom w:val="single" w:color="auto" w:sz="12" w:space="0"/>
              <w:right w:val="nil"/>
            </w:tcBorders>
            <w:vAlign w:val="center"/>
          </w:tcPr>
          <w:p w14:paraId="0DFE7497">
            <w:pPr>
              <w:widowControl/>
              <w:jc w:val="left"/>
              <w:rPr>
                <w:kern w:val="0"/>
                <w:szCs w:val="21"/>
              </w:rPr>
            </w:pPr>
          </w:p>
        </w:tc>
        <w:tc>
          <w:tcPr>
            <w:tcW w:w="1221" w:type="dxa"/>
            <w:tcBorders>
              <w:top w:val="single" w:color="auto" w:sz="12" w:space="0"/>
              <w:left w:val="nil"/>
              <w:bottom w:val="single" w:color="auto" w:sz="12" w:space="0"/>
              <w:right w:val="nil"/>
            </w:tcBorders>
            <w:vAlign w:val="center"/>
          </w:tcPr>
          <w:p w14:paraId="75CB830B">
            <w:pPr>
              <w:autoSpaceDE w:val="0"/>
              <w:autoSpaceDN w:val="0"/>
              <w:adjustRightInd w:val="0"/>
              <w:spacing w:line="312" w:lineRule="auto"/>
              <w:jc w:val="center"/>
              <w:rPr>
                <w:kern w:val="0"/>
                <w:szCs w:val="21"/>
              </w:rPr>
            </w:pPr>
            <w:r>
              <w:rPr>
                <w:rFonts w:hint="eastAsia"/>
                <w:kern w:val="0"/>
                <w:szCs w:val="21"/>
              </w:rPr>
              <w:t>抗拉强度</w:t>
            </w:r>
            <w:r>
              <w:rPr>
                <w:kern w:val="0"/>
                <w:szCs w:val="21"/>
              </w:rPr>
              <w:t>R</w:t>
            </w:r>
            <w:r>
              <w:rPr>
                <w:kern w:val="0"/>
                <w:szCs w:val="21"/>
                <w:vertAlign w:val="subscript"/>
              </w:rPr>
              <w:t>m</w:t>
            </w:r>
            <w:r>
              <w:rPr>
                <w:kern w:val="0"/>
                <w:szCs w:val="21"/>
              </w:rPr>
              <w:t>/Mpa</w:t>
            </w:r>
          </w:p>
        </w:tc>
        <w:tc>
          <w:tcPr>
            <w:tcW w:w="1134" w:type="dxa"/>
            <w:tcBorders>
              <w:top w:val="single" w:color="auto" w:sz="12" w:space="0"/>
              <w:left w:val="nil"/>
              <w:bottom w:val="single" w:color="auto" w:sz="12" w:space="0"/>
              <w:right w:val="nil"/>
            </w:tcBorders>
            <w:vAlign w:val="center"/>
          </w:tcPr>
          <w:p w14:paraId="1B6F340F">
            <w:pPr>
              <w:autoSpaceDE w:val="0"/>
              <w:autoSpaceDN w:val="0"/>
              <w:adjustRightInd w:val="0"/>
              <w:spacing w:line="312" w:lineRule="auto"/>
              <w:jc w:val="center"/>
              <w:rPr>
                <w:kern w:val="0"/>
                <w:szCs w:val="21"/>
              </w:rPr>
            </w:pPr>
            <w:r>
              <w:rPr>
                <w:rFonts w:hint="eastAsia"/>
                <w:kern w:val="0"/>
                <w:szCs w:val="21"/>
              </w:rPr>
              <w:t>屈服强度</w:t>
            </w:r>
            <w:r>
              <w:rPr>
                <w:kern w:val="0"/>
                <w:szCs w:val="21"/>
              </w:rPr>
              <w:t>R</w:t>
            </w:r>
            <w:r>
              <w:rPr>
                <w:kern w:val="0"/>
                <w:szCs w:val="21"/>
                <w:vertAlign w:val="subscript"/>
              </w:rPr>
              <w:t>r0.2</w:t>
            </w:r>
            <w:r>
              <w:rPr>
                <w:kern w:val="0"/>
                <w:szCs w:val="21"/>
              </w:rPr>
              <w:t>/Mpa</w:t>
            </w:r>
          </w:p>
        </w:tc>
        <w:tc>
          <w:tcPr>
            <w:tcW w:w="992" w:type="dxa"/>
            <w:tcBorders>
              <w:top w:val="single" w:color="auto" w:sz="12" w:space="0"/>
              <w:left w:val="nil"/>
              <w:bottom w:val="single" w:color="auto" w:sz="12" w:space="0"/>
              <w:right w:val="nil"/>
            </w:tcBorders>
            <w:vAlign w:val="center"/>
          </w:tcPr>
          <w:p w14:paraId="142CEF0E">
            <w:pPr>
              <w:autoSpaceDE w:val="0"/>
              <w:autoSpaceDN w:val="0"/>
              <w:adjustRightInd w:val="0"/>
              <w:spacing w:line="312" w:lineRule="auto"/>
              <w:jc w:val="center"/>
              <w:rPr>
                <w:kern w:val="0"/>
                <w:szCs w:val="21"/>
              </w:rPr>
            </w:pPr>
            <w:r>
              <w:rPr>
                <w:rFonts w:hint="eastAsia"/>
                <w:kern w:val="0"/>
                <w:szCs w:val="21"/>
              </w:rPr>
              <w:t>伸长率</w:t>
            </w:r>
          </w:p>
          <w:p w14:paraId="1ADBAA21">
            <w:pPr>
              <w:autoSpaceDE w:val="0"/>
              <w:autoSpaceDN w:val="0"/>
              <w:adjustRightInd w:val="0"/>
              <w:spacing w:line="312" w:lineRule="auto"/>
              <w:jc w:val="center"/>
              <w:rPr>
                <w:kern w:val="0"/>
                <w:szCs w:val="21"/>
              </w:rPr>
            </w:pPr>
            <w:r>
              <w:rPr>
                <w:kern w:val="0"/>
                <w:szCs w:val="21"/>
              </w:rPr>
              <w:t>A/%</w:t>
            </w:r>
          </w:p>
        </w:tc>
        <w:tc>
          <w:tcPr>
            <w:tcW w:w="850" w:type="dxa"/>
            <w:tcBorders>
              <w:top w:val="single" w:color="auto" w:sz="12" w:space="0"/>
              <w:left w:val="nil"/>
              <w:bottom w:val="single" w:color="auto" w:sz="12" w:space="0"/>
              <w:right w:val="nil"/>
            </w:tcBorders>
            <w:vAlign w:val="center"/>
          </w:tcPr>
          <w:p w14:paraId="781A76BF">
            <w:pPr>
              <w:autoSpaceDE w:val="0"/>
              <w:autoSpaceDN w:val="0"/>
              <w:adjustRightInd w:val="0"/>
              <w:spacing w:line="312" w:lineRule="auto"/>
              <w:jc w:val="center"/>
              <w:rPr>
                <w:kern w:val="0"/>
                <w:szCs w:val="21"/>
              </w:rPr>
            </w:pPr>
            <w:r>
              <w:rPr>
                <w:rFonts w:hint="eastAsia"/>
                <w:kern w:val="0"/>
                <w:szCs w:val="21"/>
              </w:rPr>
              <w:t>纵向</w:t>
            </w:r>
          </w:p>
          <w:p w14:paraId="2A4A7786">
            <w:pPr>
              <w:autoSpaceDE w:val="0"/>
              <w:autoSpaceDN w:val="0"/>
              <w:adjustRightInd w:val="0"/>
              <w:spacing w:line="312" w:lineRule="auto"/>
              <w:jc w:val="center"/>
              <w:rPr>
                <w:kern w:val="0"/>
                <w:szCs w:val="21"/>
              </w:rPr>
            </w:pPr>
            <w:r>
              <w:rPr>
                <w:kern w:val="0"/>
                <w:szCs w:val="21"/>
              </w:rPr>
              <w:t>/J</w:t>
            </w:r>
          </w:p>
        </w:tc>
        <w:tc>
          <w:tcPr>
            <w:tcW w:w="851" w:type="dxa"/>
            <w:tcBorders>
              <w:top w:val="single" w:color="auto" w:sz="12" w:space="0"/>
              <w:left w:val="nil"/>
              <w:bottom w:val="single" w:color="auto" w:sz="12" w:space="0"/>
              <w:right w:val="nil"/>
            </w:tcBorders>
            <w:vAlign w:val="center"/>
          </w:tcPr>
          <w:p w14:paraId="05D80628">
            <w:pPr>
              <w:autoSpaceDE w:val="0"/>
              <w:autoSpaceDN w:val="0"/>
              <w:adjustRightInd w:val="0"/>
              <w:spacing w:line="312" w:lineRule="auto"/>
              <w:jc w:val="center"/>
              <w:rPr>
                <w:kern w:val="0"/>
                <w:szCs w:val="21"/>
              </w:rPr>
            </w:pPr>
            <w:r>
              <w:rPr>
                <w:rFonts w:hint="eastAsia"/>
                <w:kern w:val="0"/>
                <w:szCs w:val="21"/>
              </w:rPr>
              <w:t>横向</w:t>
            </w:r>
          </w:p>
          <w:p w14:paraId="4B70E208">
            <w:pPr>
              <w:autoSpaceDE w:val="0"/>
              <w:autoSpaceDN w:val="0"/>
              <w:adjustRightInd w:val="0"/>
              <w:spacing w:line="312" w:lineRule="auto"/>
              <w:jc w:val="center"/>
              <w:rPr>
                <w:kern w:val="0"/>
                <w:szCs w:val="21"/>
              </w:rPr>
            </w:pPr>
            <w:r>
              <w:rPr>
                <w:kern w:val="0"/>
                <w:szCs w:val="21"/>
              </w:rPr>
              <w:t>/J</w:t>
            </w:r>
          </w:p>
        </w:tc>
        <w:tc>
          <w:tcPr>
            <w:tcW w:w="0" w:type="auto"/>
            <w:vMerge w:val="continue"/>
            <w:tcBorders>
              <w:top w:val="single" w:color="auto" w:sz="12" w:space="0"/>
              <w:left w:val="nil"/>
              <w:bottom w:val="single" w:color="auto" w:sz="12" w:space="0"/>
              <w:right w:val="nil"/>
            </w:tcBorders>
            <w:vAlign w:val="center"/>
          </w:tcPr>
          <w:p w14:paraId="449C1AE8">
            <w:pPr>
              <w:widowControl/>
              <w:jc w:val="left"/>
              <w:rPr>
                <w:kern w:val="0"/>
                <w:szCs w:val="21"/>
              </w:rPr>
            </w:pPr>
          </w:p>
        </w:tc>
      </w:tr>
      <w:tr w14:paraId="042B74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1" w:type="dxa"/>
            <w:vMerge w:val="restart"/>
            <w:tcBorders>
              <w:top w:val="single" w:color="auto" w:sz="12" w:space="0"/>
              <w:left w:val="nil"/>
              <w:bottom w:val="nil"/>
              <w:right w:val="nil"/>
            </w:tcBorders>
            <w:vAlign w:val="center"/>
          </w:tcPr>
          <w:p w14:paraId="1115A11E">
            <w:pPr>
              <w:autoSpaceDE w:val="0"/>
              <w:autoSpaceDN w:val="0"/>
              <w:adjustRightInd w:val="0"/>
              <w:spacing w:line="312" w:lineRule="auto"/>
              <w:jc w:val="center"/>
              <w:rPr>
                <w:kern w:val="0"/>
                <w:szCs w:val="21"/>
              </w:rPr>
            </w:pPr>
            <w:r>
              <w:rPr>
                <w:kern w:val="0"/>
                <w:szCs w:val="21"/>
              </w:rPr>
              <w:t>Single value</w:t>
            </w:r>
          </w:p>
        </w:tc>
        <w:tc>
          <w:tcPr>
            <w:tcW w:w="1221" w:type="dxa"/>
            <w:tcBorders>
              <w:top w:val="single" w:color="auto" w:sz="12" w:space="0"/>
              <w:left w:val="nil"/>
              <w:bottom w:val="nil"/>
              <w:right w:val="nil"/>
            </w:tcBorders>
            <w:vAlign w:val="center"/>
          </w:tcPr>
          <w:p w14:paraId="05D2B54C">
            <w:pPr>
              <w:autoSpaceDE w:val="0"/>
              <w:autoSpaceDN w:val="0"/>
              <w:adjustRightInd w:val="0"/>
              <w:spacing w:line="312" w:lineRule="auto"/>
              <w:jc w:val="center"/>
              <w:rPr>
                <w:kern w:val="0"/>
                <w:szCs w:val="21"/>
              </w:rPr>
            </w:pPr>
            <w:r>
              <w:rPr>
                <w:kern w:val="0"/>
                <w:szCs w:val="21"/>
              </w:rPr>
              <w:t>1150.0</w:t>
            </w:r>
          </w:p>
        </w:tc>
        <w:tc>
          <w:tcPr>
            <w:tcW w:w="1134" w:type="dxa"/>
            <w:tcBorders>
              <w:top w:val="single" w:color="auto" w:sz="12" w:space="0"/>
              <w:left w:val="nil"/>
              <w:bottom w:val="nil"/>
              <w:right w:val="nil"/>
            </w:tcBorders>
            <w:vAlign w:val="center"/>
          </w:tcPr>
          <w:p w14:paraId="7F81DD54">
            <w:pPr>
              <w:autoSpaceDE w:val="0"/>
              <w:autoSpaceDN w:val="0"/>
              <w:adjustRightInd w:val="0"/>
              <w:spacing w:line="312" w:lineRule="auto"/>
              <w:jc w:val="center"/>
              <w:rPr>
                <w:kern w:val="0"/>
                <w:szCs w:val="21"/>
              </w:rPr>
            </w:pPr>
            <w:r>
              <w:rPr>
                <w:kern w:val="0"/>
                <w:szCs w:val="21"/>
              </w:rPr>
              <w:t>1070</w:t>
            </w:r>
          </w:p>
        </w:tc>
        <w:tc>
          <w:tcPr>
            <w:tcW w:w="992" w:type="dxa"/>
            <w:tcBorders>
              <w:top w:val="single" w:color="auto" w:sz="12" w:space="0"/>
              <w:left w:val="nil"/>
              <w:bottom w:val="nil"/>
              <w:right w:val="nil"/>
            </w:tcBorders>
            <w:vAlign w:val="center"/>
          </w:tcPr>
          <w:p w14:paraId="3414CC9D">
            <w:pPr>
              <w:autoSpaceDE w:val="0"/>
              <w:autoSpaceDN w:val="0"/>
              <w:adjustRightInd w:val="0"/>
              <w:spacing w:line="312" w:lineRule="auto"/>
              <w:jc w:val="center"/>
              <w:rPr>
                <w:kern w:val="0"/>
                <w:szCs w:val="21"/>
              </w:rPr>
            </w:pPr>
            <w:r>
              <w:rPr>
                <w:kern w:val="0"/>
                <w:szCs w:val="21"/>
              </w:rPr>
              <w:t>16.5</w:t>
            </w:r>
          </w:p>
        </w:tc>
        <w:tc>
          <w:tcPr>
            <w:tcW w:w="850" w:type="dxa"/>
            <w:tcBorders>
              <w:top w:val="single" w:color="auto" w:sz="12" w:space="0"/>
              <w:left w:val="nil"/>
              <w:bottom w:val="nil"/>
              <w:right w:val="nil"/>
            </w:tcBorders>
            <w:vAlign w:val="center"/>
          </w:tcPr>
          <w:p w14:paraId="1CFA687F">
            <w:pPr>
              <w:autoSpaceDE w:val="0"/>
              <w:autoSpaceDN w:val="0"/>
              <w:adjustRightInd w:val="0"/>
              <w:spacing w:line="312" w:lineRule="auto"/>
              <w:jc w:val="center"/>
              <w:rPr>
                <w:kern w:val="0"/>
                <w:szCs w:val="21"/>
              </w:rPr>
            </w:pPr>
            <w:r>
              <w:rPr>
                <w:kern w:val="0"/>
                <w:szCs w:val="21"/>
              </w:rPr>
              <w:t>69.0</w:t>
            </w:r>
          </w:p>
        </w:tc>
        <w:tc>
          <w:tcPr>
            <w:tcW w:w="851" w:type="dxa"/>
            <w:tcBorders>
              <w:top w:val="single" w:color="auto" w:sz="12" w:space="0"/>
              <w:left w:val="nil"/>
              <w:bottom w:val="nil"/>
              <w:right w:val="nil"/>
            </w:tcBorders>
            <w:vAlign w:val="center"/>
          </w:tcPr>
          <w:p w14:paraId="4D879239">
            <w:pPr>
              <w:autoSpaceDE w:val="0"/>
              <w:autoSpaceDN w:val="0"/>
              <w:adjustRightInd w:val="0"/>
              <w:spacing w:line="312" w:lineRule="auto"/>
              <w:jc w:val="center"/>
              <w:rPr>
                <w:kern w:val="0"/>
                <w:szCs w:val="21"/>
              </w:rPr>
            </w:pPr>
            <w:r>
              <w:rPr>
                <w:kern w:val="0"/>
                <w:szCs w:val="21"/>
              </w:rPr>
              <w:t>38.0</w:t>
            </w:r>
          </w:p>
        </w:tc>
        <w:tc>
          <w:tcPr>
            <w:tcW w:w="750" w:type="dxa"/>
            <w:tcBorders>
              <w:top w:val="single" w:color="auto" w:sz="12" w:space="0"/>
              <w:left w:val="nil"/>
              <w:bottom w:val="nil"/>
              <w:right w:val="nil"/>
            </w:tcBorders>
            <w:vAlign w:val="center"/>
          </w:tcPr>
          <w:p w14:paraId="6501767D">
            <w:pPr>
              <w:autoSpaceDE w:val="0"/>
              <w:autoSpaceDN w:val="0"/>
              <w:adjustRightInd w:val="0"/>
              <w:spacing w:line="312" w:lineRule="auto"/>
              <w:jc w:val="center"/>
              <w:rPr>
                <w:kern w:val="0"/>
                <w:szCs w:val="21"/>
              </w:rPr>
            </w:pPr>
            <w:r>
              <w:rPr>
                <w:kern w:val="0"/>
                <w:szCs w:val="21"/>
              </w:rPr>
              <w:t>343</w:t>
            </w:r>
          </w:p>
        </w:tc>
      </w:tr>
      <w:tr w14:paraId="0E1BF0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op w:val="single" w:color="auto" w:sz="12" w:space="0"/>
              <w:left w:val="nil"/>
              <w:bottom w:val="nil"/>
              <w:right w:val="nil"/>
            </w:tcBorders>
            <w:vAlign w:val="center"/>
          </w:tcPr>
          <w:p w14:paraId="122D8D36">
            <w:pPr>
              <w:widowControl/>
              <w:jc w:val="left"/>
              <w:rPr>
                <w:kern w:val="0"/>
                <w:szCs w:val="21"/>
              </w:rPr>
            </w:pPr>
          </w:p>
        </w:tc>
        <w:tc>
          <w:tcPr>
            <w:tcW w:w="1221" w:type="dxa"/>
            <w:tcBorders>
              <w:top w:val="nil"/>
              <w:left w:val="nil"/>
              <w:bottom w:val="nil"/>
              <w:right w:val="nil"/>
            </w:tcBorders>
            <w:vAlign w:val="center"/>
          </w:tcPr>
          <w:p w14:paraId="788EF9D3">
            <w:pPr>
              <w:autoSpaceDE w:val="0"/>
              <w:autoSpaceDN w:val="0"/>
              <w:adjustRightInd w:val="0"/>
              <w:spacing w:line="312" w:lineRule="auto"/>
              <w:jc w:val="center"/>
              <w:rPr>
                <w:kern w:val="0"/>
                <w:szCs w:val="21"/>
              </w:rPr>
            </w:pPr>
            <w:r>
              <w:rPr>
                <w:kern w:val="0"/>
                <w:szCs w:val="21"/>
              </w:rPr>
              <w:t>1170.0</w:t>
            </w:r>
          </w:p>
        </w:tc>
        <w:tc>
          <w:tcPr>
            <w:tcW w:w="1134" w:type="dxa"/>
            <w:tcBorders>
              <w:top w:val="nil"/>
              <w:left w:val="nil"/>
              <w:bottom w:val="nil"/>
              <w:right w:val="nil"/>
            </w:tcBorders>
            <w:vAlign w:val="center"/>
          </w:tcPr>
          <w:p w14:paraId="2013101C">
            <w:pPr>
              <w:autoSpaceDE w:val="0"/>
              <w:autoSpaceDN w:val="0"/>
              <w:adjustRightInd w:val="0"/>
              <w:spacing w:line="312" w:lineRule="auto"/>
              <w:jc w:val="center"/>
              <w:rPr>
                <w:kern w:val="0"/>
                <w:szCs w:val="21"/>
              </w:rPr>
            </w:pPr>
            <w:r>
              <w:rPr>
                <w:kern w:val="0"/>
                <w:szCs w:val="21"/>
              </w:rPr>
              <w:t>1070</w:t>
            </w:r>
          </w:p>
        </w:tc>
        <w:tc>
          <w:tcPr>
            <w:tcW w:w="992" w:type="dxa"/>
            <w:tcBorders>
              <w:top w:val="nil"/>
              <w:left w:val="nil"/>
              <w:bottom w:val="nil"/>
              <w:right w:val="nil"/>
            </w:tcBorders>
            <w:vAlign w:val="center"/>
          </w:tcPr>
          <w:p w14:paraId="165DD0C6">
            <w:pPr>
              <w:autoSpaceDE w:val="0"/>
              <w:autoSpaceDN w:val="0"/>
              <w:adjustRightInd w:val="0"/>
              <w:spacing w:line="312" w:lineRule="auto"/>
              <w:jc w:val="center"/>
              <w:rPr>
                <w:kern w:val="0"/>
                <w:szCs w:val="21"/>
              </w:rPr>
            </w:pPr>
            <w:r>
              <w:rPr>
                <w:kern w:val="0"/>
                <w:szCs w:val="21"/>
              </w:rPr>
              <w:t>18.0</w:t>
            </w:r>
          </w:p>
        </w:tc>
        <w:tc>
          <w:tcPr>
            <w:tcW w:w="850" w:type="dxa"/>
            <w:tcBorders>
              <w:top w:val="nil"/>
              <w:left w:val="nil"/>
              <w:bottom w:val="nil"/>
              <w:right w:val="nil"/>
            </w:tcBorders>
            <w:vAlign w:val="center"/>
          </w:tcPr>
          <w:p w14:paraId="281F042A">
            <w:pPr>
              <w:autoSpaceDE w:val="0"/>
              <w:autoSpaceDN w:val="0"/>
              <w:adjustRightInd w:val="0"/>
              <w:spacing w:line="312" w:lineRule="auto"/>
              <w:jc w:val="center"/>
              <w:rPr>
                <w:kern w:val="0"/>
                <w:szCs w:val="21"/>
              </w:rPr>
            </w:pPr>
            <w:r>
              <w:rPr>
                <w:kern w:val="0"/>
                <w:szCs w:val="21"/>
              </w:rPr>
              <w:t>69.0</w:t>
            </w:r>
          </w:p>
        </w:tc>
        <w:tc>
          <w:tcPr>
            <w:tcW w:w="851" w:type="dxa"/>
            <w:tcBorders>
              <w:top w:val="nil"/>
              <w:left w:val="nil"/>
              <w:bottom w:val="nil"/>
              <w:right w:val="nil"/>
            </w:tcBorders>
            <w:vAlign w:val="center"/>
          </w:tcPr>
          <w:p w14:paraId="48EF76A1">
            <w:pPr>
              <w:autoSpaceDE w:val="0"/>
              <w:autoSpaceDN w:val="0"/>
              <w:adjustRightInd w:val="0"/>
              <w:spacing w:line="312" w:lineRule="auto"/>
              <w:jc w:val="center"/>
              <w:rPr>
                <w:kern w:val="0"/>
                <w:szCs w:val="21"/>
              </w:rPr>
            </w:pPr>
            <w:r>
              <w:rPr>
                <w:kern w:val="0"/>
                <w:szCs w:val="21"/>
              </w:rPr>
              <w:t>45.0</w:t>
            </w:r>
          </w:p>
        </w:tc>
        <w:tc>
          <w:tcPr>
            <w:tcW w:w="750" w:type="dxa"/>
            <w:tcBorders>
              <w:top w:val="nil"/>
              <w:left w:val="nil"/>
              <w:bottom w:val="nil"/>
              <w:right w:val="nil"/>
            </w:tcBorders>
            <w:vAlign w:val="center"/>
          </w:tcPr>
          <w:p w14:paraId="25A6E13F">
            <w:pPr>
              <w:autoSpaceDE w:val="0"/>
              <w:autoSpaceDN w:val="0"/>
              <w:adjustRightInd w:val="0"/>
              <w:spacing w:line="312" w:lineRule="auto"/>
              <w:jc w:val="center"/>
              <w:rPr>
                <w:kern w:val="0"/>
                <w:szCs w:val="21"/>
              </w:rPr>
            </w:pPr>
            <w:r>
              <w:rPr>
                <w:kern w:val="0"/>
                <w:szCs w:val="21"/>
              </w:rPr>
              <w:t>347</w:t>
            </w:r>
          </w:p>
        </w:tc>
      </w:tr>
      <w:tr w14:paraId="0AD2C2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op w:val="single" w:color="auto" w:sz="12" w:space="0"/>
              <w:left w:val="nil"/>
              <w:bottom w:val="nil"/>
              <w:right w:val="nil"/>
            </w:tcBorders>
            <w:vAlign w:val="center"/>
          </w:tcPr>
          <w:p w14:paraId="60F1A3D0">
            <w:pPr>
              <w:widowControl/>
              <w:jc w:val="left"/>
              <w:rPr>
                <w:kern w:val="0"/>
                <w:szCs w:val="21"/>
              </w:rPr>
            </w:pPr>
          </w:p>
        </w:tc>
        <w:tc>
          <w:tcPr>
            <w:tcW w:w="1221" w:type="dxa"/>
            <w:tcBorders>
              <w:top w:val="nil"/>
              <w:left w:val="nil"/>
              <w:bottom w:val="nil"/>
              <w:right w:val="nil"/>
            </w:tcBorders>
            <w:vAlign w:val="center"/>
          </w:tcPr>
          <w:p w14:paraId="31265D5F">
            <w:pPr>
              <w:autoSpaceDE w:val="0"/>
              <w:autoSpaceDN w:val="0"/>
              <w:adjustRightInd w:val="0"/>
              <w:spacing w:line="312" w:lineRule="auto"/>
              <w:jc w:val="center"/>
              <w:rPr>
                <w:kern w:val="0"/>
                <w:szCs w:val="21"/>
              </w:rPr>
            </w:pPr>
            <w:r>
              <w:rPr>
                <w:kern w:val="0"/>
                <w:szCs w:val="21"/>
              </w:rPr>
              <w:t>1150.0</w:t>
            </w:r>
          </w:p>
        </w:tc>
        <w:tc>
          <w:tcPr>
            <w:tcW w:w="1134" w:type="dxa"/>
            <w:tcBorders>
              <w:top w:val="nil"/>
              <w:left w:val="nil"/>
              <w:bottom w:val="nil"/>
              <w:right w:val="nil"/>
            </w:tcBorders>
            <w:vAlign w:val="center"/>
          </w:tcPr>
          <w:p w14:paraId="27D8D430">
            <w:pPr>
              <w:autoSpaceDE w:val="0"/>
              <w:autoSpaceDN w:val="0"/>
              <w:adjustRightInd w:val="0"/>
              <w:spacing w:line="312" w:lineRule="auto"/>
              <w:jc w:val="center"/>
              <w:rPr>
                <w:kern w:val="0"/>
                <w:szCs w:val="21"/>
              </w:rPr>
            </w:pPr>
            <w:r>
              <w:rPr>
                <w:kern w:val="0"/>
                <w:szCs w:val="21"/>
              </w:rPr>
              <w:t>1070</w:t>
            </w:r>
          </w:p>
        </w:tc>
        <w:tc>
          <w:tcPr>
            <w:tcW w:w="992" w:type="dxa"/>
            <w:tcBorders>
              <w:top w:val="nil"/>
              <w:left w:val="nil"/>
              <w:bottom w:val="nil"/>
              <w:right w:val="nil"/>
            </w:tcBorders>
            <w:vAlign w:val="center"/>
          </w:tcPr>
          <w:p w14:paraId="445104A3">
            <w:pPr>
              <w:autoSpaceDE w:val="0"/>
              <w:autoSpaceDN w:val="0"/>
              <w:adjustRightInd w:val="0"/>
              <w:spacing w:line="312" w:lineRule="auto"/>
              <w:jc w:val="center"/>
              <w:rPr>
                <w:kern w:val="0"/>
                <w:szCs w:val="21"/>
              </w:rPr>
            </w:pPr>
            <w:r>
              <w:rPr>
                <w:kern w:val="0"/>
                <w:szCs w:val="21"/>
              </w:rPr>
              <w:t>18.0</w:t>
            </w:r>
          </w:p>
        </w:tc>
        <w:tc>
          <w:tcPr>
            <w:tcW w:w="850" w:type="dxa"/>
            <w:tcBorders>
              <w:top w:val="nil"/>
              <w:left w:val="nil"/>
              <w:bottom w:val="nil"/>
              <w:right w:val="nil"/>
            </w:tcBorders>
            <w:vAlign w:val="center"/>
          </w:tcPr>
          <w:p w14:paraId="732BBAD4">
            <w:pPr>
              <w:autoSpaceDE w:val="0"/>
              <w:autoSpaceDN w:val="0"/>
              <w:adjustRightInd w:val="0"/>
              <w:spacing w:line="312" w:lineRule="auto"/>
              <w:jc w:val="center"/>
              <w:rPr>
                <w:kern w:val="0"/>
                <w:szCs w:val="21"/>
              </w:rPr>
            </w:pPr>
            <w:r>
              <w:rPr>
                <w:kern w:val="0"/>
                <w:szCs w:val="21"/>
              </w:rPr>
              <w:t>66.0</w:t>
            </w:r>
          </w:p>
        </w:tc>
        <w:tc>
          <w:tcPr>
            <w:tcW w:w="851" w:type="dxa"/>
            <w:tcBorders>
              <w:top w:val="nil"/>
              <w:left w:val="nil"/>
              <w:bottom w:val="nil"/>
              <w:right w:val="nil"/>
            </w:tcBorders>
            <w:vAlign w:val="center"/>
          </w:tcPr>
          <w:p w14:paraId="6FAB3A25">
            <w:pPr>
              <w:autoSpaceDE w:val="0"/>
              <w:autoSpaceDN w:val="0"/>
              <w:adjustRightInd w:val="0"/>
              <w:spacing w:line="312" w:lineRule="auto"/>
              <w:jc w:val="center"/>
              <w:rPr>
                <w:kern w:val="0"/>
                <w:szCs w:val="21"/>
              </w:rPr>
            </w:pPr>
            <w:r>
              <w:rPr>
                <w:kern w:val="0"/>
                <w:szCs w:val="21"/>
              </w:rPr>
              <w:t>45.0</w:t>
            </w:r>
          </w:p>
        </w:tc>
        <w:tc>
          <w:tcPr>
            <w:tcW w:w="750" w:type="dxa"/>
            <w:tcBorders>
              <w:top w:val="nil"/>
              <w:left w:val="nil"/>
              <w:bottom w:val="nil"/>
              <w:right w:val="nil"/>
            </w:tcBorders>
            <w:vAlign w:val="center"/>
          </w:tcPr>
          <w:p w14:paraId="16E28346">
            <w:pPr>
              <w:autoSpaceDE w:val="0"/>
              <w:autoSpaceDN w:val="0"/>
              <w:adjustRightInd w:val="0"/>
              <w:spacing w:line="312" w:lineRule="auto"/>
              <w:jc w:val="center"/>
              <w:rPr>
                <w:kern w:val="0"/>
                <w:szCs w:val="21"/>
              </w:rPr>
            </w:pPr>
            <w:r>
              <w:rPr>
                <w:kern w:val="0"/>
                <w:szCs w:val="21"/>
              </w:rPr>
              <w:t>350</w:t>
            </w:r>
          </w:p>
        </w:tc>
      </w:tr>
      <w:tr w14:paraId="4DE9B8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1" w:type="dxa"/>
            <w:tcBorders>
              <w:top w:val="nil"/>
              <w:left w:val="nil"/>
              <w:bottom w:val="nil"/>
              <w:right w:val="nil"/>
            </w:tcBorders>
            <w:vAlign w:val="center"/>
          </w:tcPr>
          <w:p w14:paraId="52716AC8">
            <w:pPr>
              <w:autoSpaceDE w:val="0"/>
              <w:autoSpaceDN w:val="0"/>
              <w:adjustRightInd w:val="0"/>
              <w:spacing w:line="312" w:lineRule="auto"/>
              <w:jc w:val="center"/>
              <w:rPr>
                <w:kern w:val="0"/>
                <w:szCs w:val="21"/>
              </w:rPr>
            </w:pPr>
            <w:r>
              <w:rPr>
                <w:kern w:val="0"/>
                <w:szCs w:val="21"/>
              </w:rPr>
              <w:t>Average value</w:t>
            </w:r>
          </w:p>
        </w:tc>
        <w:tc>
          <w:tcPr>
            <w:tcW w:w="1221" w:type="dxa"/>
            <w:tcBorders>
              <w:top w:val="nil"/>
              <w:left w:val="nil"/>
              <w:bottom w:val="nil"/>
              <w:right w:val="nil"/>
            </w:tcBorders>
            <w:vAlign w:val="center"/>
          </w:tcPr>
          <w:p w14:paraId="641A5A56">
            <w:pPr>
              <w:autoSpaceDE w:val="0"/>
              <w:autoSpaceDN w:val="0"/>
              <w:adjustRightInd w:val="0"/>
              <w:spacing w:line="312" w:lineRule="auto"/>
              <w:jc w:val="center"/>
              <w:rPr>
                <w:kern w:val="0"/>
                <w:szCs w:val="21"/>
              </w:rPr>
            </w:pPr>
            <w:r>
              <w:rPr>
                <w:kern w:val="0"/>
                <w:szCs w:val="21"/>
              </w:rPr>
              <w:t>1156.7</w:t>
            </w:r>
          </w:p>
        </w:tc>
        <w:tc>
          <w:tcPr>
            <w:tcW w:w="1134" w:type="dxa"/>
            <w:tcBorders>
              <w:top w:val="nil"/>
              <w:left w:val="nil"/>
              <w:bottom w:val="nil"/>
              <w:right w:val="nil"/>
            </w:tcBorders>
            <w:vAlign w:val="center"/>
          </w:tcPr>
          <w:p w14:paraId="620893B8">
            <w:pPr>
              <w:autoSpaceDE w:val="0"/>
              <w:autoSpaceDN w:val="0"/>
              <w:adjustRightInd w:val="0"/>
              <w:spacing w:line="312" w:lineRule="auto"/>
              <w:jc w:val="center"/>
              <w:rPr>
                <w:kern w:val="0"/>
                <w:szCs w:val="21"/>
              </w:rPr>
            </w:pPr>
            <w:r>
              <w:rPr>
                <w:kern w:val="0"/>
                <w:szCs w:val="21"/>
              </w:rPr>
              <w:t>1070</w:t>
            </w:r>
          </w:p>
        </w:tc>
        <w:tc>
          <w:tcPr>
            <w:tcW w:w="992" w:type="dxa"/>
            <w:tcBorders>
              <w:top w:val="nil"/>
              <w:left w:val="nil"/>
              <w:bottom w:val="nil"/>
              <w:right w:val="nil"/>
            </w:tcBorders>
            <w:vAlign w:val="center"/>
          </w:tcPr>
          <w:p w14:paraId="7E17EB0F">
            <w:pPr>
              <w:autoSpaceDE w:val="0"/>
              <w:autoSpaceDN w:val="0"/>
              <w:adjustRightInd w:val="0"/>
              <w:spacing w:line="312" w:lineRule="auto"/>
              <w:jc w:val="center"/>
              <w:rPr>
                <w:kern w:val="0"/>
                <w:szCs w:val="21"/>
              </w:rPr>
            </w:pPr>
            <w:r>
              <w:rPr>
                <w:kern w:val="0"/>
                <w:szCs w:val="21"/>
              </w:rPr>
              <w:t>17.5</w:t>
            </w:r>
          </w:p>
        </w:tc>
        <w:tc>
          <w:tcPr>
            <w:tcW w:w="850" w:type="dxa"/>
            <w:tcBorders>
              <w:top w:val="nil"/>
              <w:left w:val="nil"/>
              <w:bottom w:val="nil"/>
              <w:right w:val="nil"/>
            </w:tcBorders>
            <w:vAlign w:val="center"/>
          </w:tcPr>
          <w:p w14:paraId="76A189E5">
            <w:pPr>
              <w:autoSpaceDE w:val="0"/>
              <w:autoSpaceDN w:val="0"/>
              <w:adjustRightInd w:val="0"/>
              <w:spacing w:line="312" w:lineRule="auto"/>
              <w:jc w:val="center"/>
              <w:rPr>
                <w:kern w:val="0"/>
                <w:szCs w:val="21"/>
              </w:rPr>
            </w:pPr>
            <w:r>
              <w:rPr>
                <w:kern w:val="0"/>
                <w:szCs w:val="21"/>
              </w:rPr>
              <w:t>68</w:t>
            </w:r>
          </w:p>
        </w:tc>
        <w:tc>
          <w:tcPr>
            <w:tcW w:w="851" w:type="dxa"/>
            <w:tcBorders>
              <w:top w:val="nil"/>
              <w:left w:val="nil"/>
              <w:bottom w:val="nil"/>
              <w:right w:val="nil"/>
            </w:tcBorders>
            <w:vAlign w:val="center"/>
          </w:tcPr>
          <w:p w14:paraId="2E340250">
            <w:pPr>
              <w:autoSpaceDE w:val="0"/>
              <w:autoSpaceDN w:val="0"/>
              <w:adjustRightInd w:val="0"/>
              <w:spacing w:line="312" w:lineRule="auto"/>
              <w:jc w:val="center"/>
              <w:rPr>
                <w:kern w:val="0"/>
                <w:szCs w:val="21"/>
              </w:rPr>
            </w:pPr>
            <w:r>
              <w:rPr>
                <w:kern w:val="0"/>
                <w:szCs w:val="21"/>
              </w:rPr>
              <w:t>42.7</w:t>
            </w:r>
          </w:p>
        </w:tc>
        <w:tc>
          <w:tcPr>
            <w:tcW w:w="750" w:type="dxa"/>
            <w:tcBorders>
              <w:top w:val="nil"/>
              <w:left w:val="nil"/>
              <w:bottom w:val="nil"/>
              <w:right w:val="nil"/>
            </w:tcBorders>
            <w:vAlign w:val="center"/>
          </w:tcPr>
          <w:p w14:paraId="1C49951A">
            <w:pPr>
              <w:autoSpaceDE w:val="0"/>
              <w:autoSpaceDN w:val="0"/>
              <w:adjustRightInd w:val="0"/>
              <w:spacing w:line="312" w:lineRule="auto"/>
              <w:jc w:val="center"/>
              <w:rPr>
                <w:kern w:val="0"/>
                <w:szCs w:val="21"/>
              </w:rPr>
            </w:pPr>
            <w:r>
              <w:rPr>
                <w:kern w:val="0"/>
                <w:szCs w:val="21"/>
              </w:rPr>
              <w:t>346.7</w:t>
            </w:r>
          </w:p>
        </w:tc>
      </w:tr>
      <w:tr w14:paraId="60F358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1" w:type="dxa"/>
            <w:tcBorders>
              <w:top w:val="nil"/>
              <w:left w:val="nil"/>
              <w:bottom w:val="single" w:color="auto" w:sz="12" w:space="0"/>
              <w:right w:val="nil"/>
            </w:tcBorders>
            <w:vAlign w:val="center"/>
          </w:tcPr>
          <w:p w14:paraId="1A520720">
            <w:pPr>
              <w:autoSpaceDE w:val="0"/>
              <w:autoSpaceDN w:val="0"/>
              <w:adjustRightInd w:val="0"/>
              <w:spacing w:line="312" w:lineRule="auto"/>
              <w:jc w:val="center"/>
              <w:rPr>
                <w:kern w:val="0"/>
                <w:szCs w:val="21"/>
              </w:rPr>
            </w:pPr>
            <w:r>
              <w:rPr>
                <w:kern w:val="0"/>
                <w:szCs w:val="21"/>
              </w:rPr>
              <w:t>SY/T6288-2007</w:t>
            </w:r>
          </w:p>
        </w:tc>
        <w:tc>
          <w:tcPr>
            <w:tcW w:w="1221" w:type="dxa"/>
            <w:tcBorders>
              <w:top w:val="nil"/>
              <w:left w:val="nil"/>
              <w:bottom w:val="single" w:color="auto" w:sz="12" w:space="0"/>
              <w:right w:val="nil"/>
            </w:tcBorders>
            <w:vAlign w:val="center"/>
          </w:tcPr>
          <w:p w14:paraId="57E81377">
            <w:pPr>
              <w:autoSpaceDE w:val="0"/>
              <w:autoSpaceDN w:val="0"/>
              <w:adjustRightInd w:val="0"/>
              <w:spacing w:line="312" w:lineRule="auto"/>
              <w:jc w:val="center"/>
              <w:rPr>
                <w:kern w:val="0"/>
                <w:szCs w:val="21"/>
              </w:rPr>
            </w:pPr>
            <w:r>
              <w:rPr>
                <w:kern w:val="0"/>
                <w:szCs w:val="21"/>
              </w:rPr>
              <w:t>≥930</w:t>
            </w:r>
          </w:p>
        </w:tc>
        <w:tc>
          <w:tcPr>
            <w:tcW w:w="1134" w:type="dxa"/>
            <w:tcBorders>
              <w:top w:val="nil"/>
              <w:left w:val="nil"/>
              <w:bottom w:val="single" w:color="auto" w:sz="12" w:space="0"/>
              <w:right w:val="nil"/>
            </w:tcBorders>
            <w:vAlign w:val="center"/>
          </w:tcPr>
          <w:p w14:paraId="7D3FA8F3">
            <w:pPr>
              <w:autoSpaceDE w:val="0"/>
              <w:autoSpaceDN w:val="0"/>
              <w:adjustRightInd w:val="0"/>
              <w:spacing w:line="312" w:lineRule="auto"/>
              <w:jc w:val="center"/>
              <w:rPr>
                <w:kern w:val="0"/>
                <w:szCs w:val="21"/>
              </w:rPr>
            </w:pPr>
            <w:r>
              <w:rPr>
                <w:kern w:val="0"/>
                <w:szCs w:val="21"/>
              </w:rPr>
              <w:t>≥690</w:t>
            </w:r>
          </w:p>
        </w:tc>
        <w:tc>
          <w:tcPr>
            <w:tcW w:w="992" w:type="dxa"/>
            <w:tcBorders>
              <w:top w:val="nil"/>
              <w:left w:val="nil"/>
              <w:bottom w:val="single" w:color="auto" w:sz="12" w:space="0"/>
              <w:right w:val="nil"/>
            </w:tcBorders>
            <w:vAlign w:val="center"/>
          </w:tcPr>
          <w:p w14:paraId="0E4161A0">
            <w:pPr>
              <w:autoSpaceDE w:val="0"/>
              <w:autoSpaceDN w:val="0"/>
              <w:adjustRightInd w:val="0"/>
              <w:spacing w:line="312" w:lineRule="auto"/>
              <w:jc w:val="center"/>
              <w:rPr>
                <w:kern w:val="0"/>
                <w:szCs w:val="21"/>
              </w:rPr>
            </w:pPr>
            <w:r>
              <w:rPr>
                <w:kern w:val="0"/>
                <w:szCs w:val="21"/>
              </w:rPr>
              <w:t>≥13</w:t>
            </w:r>
          </w:p>
        </w:tc>
        <w:tc>
          <w:tcPr>
            <w:tcW w:w="850" w:type="dxa"/>
            <w:tcBorders>
              <w:top w:val="nil"/>
              <w:left w:val="nil"/>
              <w:bottom w:val="single" w:color="auto" w:sz="12" w:space="0"/>
              <w:right w:val="nil"/>
            </w:tcBorders>
            <w:vAlign w:val="center"/>
          </w:tcPr>
          <w:p w14:paraId="7D4AE79A">
            <w:pPr>
              <w:autoSpaceDE w:val="0"/>
              <w:autoSpaceDN w:val="0"/>
              <w:adjustRightInd w:val="0"/>
              <w:spacing w:line="312" w:lineRule="auto"/>
              <w:jc w:val="center"/>
              <w:rPr>
                <w:kern w:val="0"/>
                <w:szCs w:val="21"/>
              </w:rPr>
            </w:pPr>
            <w:r>
              <w:rPr>
                <w:kern w:val="0"/>
                <w:szCs w:val="21"/>
              </w:rPr>
              <w:t>≥54</w:t>
            </w:r>
          </w:p>
        </w:tc>
        <w:tc>
          <w:tcPr>
            <w:tcW w:w="851" w:type="dxa"/>
            <w:tcBorders>
              <w:top w:val="nil"/>
              <w:left w:val="nil"/>
              <w:bottom w:val="single" w:color="auto" w:sz="12" w:space="0"/>
              <w:right w:val="nil"/>
            </w:tcBorders>
            <w:vAlign w:val="center"/>
          </w:tcPr>
          <w:p w14:paraId="3DA3ECCA">
            <w:pPr>
              <w:autoSpaceDE w:val="0"/>
              <w:autoSpaceDN w:val="0"/>
              <w:adjustRightInd w:val="0"/>
              <w:spacing w:line="312" w:lineRule="auto"/>
              <w:jc w:val="center"/>
              <w:rPr>
                <w:kern w:val="0"/>
                <w:szCs w:val="21"/>
              </w:rPr>
            </w:pPr>
            <w:r>
              <w:rPr>
                <w:rFonts w:hint="eastAsia"/>
                <w:kern w:val="0"/>
                <w:szCs w:val="21"/>
              </w:rPr>
              <w:t>—</w:t>
            </w:r>
          </w:p>
        </w:tc>
        <w:tc>
          <w:tcPr>
            <w:tcW w:w="750" w:type="dxa"/>
            <w:tcBorders>
              <w:top w:val="nil"/>
              <w:left w:val="nil"/>
              <w:bottom w:val="single" w:color="auto" w:sz="12" w:space="0"/>
              <w:right w:val="nil"/>
            </w:tcBorders>
            <w:vAlign w:val="center"/>
          </w:tcPr>
          <w:p w14:paraId="54BFE64F">
            <w:pPr>
              <w:autoSpaceDE w:val="0"/>
              <w:autoSpaceDN w:val="0"/>
              <w:adjustRightInd w:val="0"/>
              <w:spacing w:line="312" w:lineRule="auto"/>
              <w:jc w:val="center"/>
              <w:rPr>
                <w:kern w:val="0"/>
                <w:szCs w:val="21"/>
              </w:rPr>
            </w:pPr>
            <w:r>
              <w:rPr>
                <w:kern w:val="0"/>
                <w:szCs w:val="21"/>
              </w:rPr>
              <w:t>≥277</w:t>
            </w:r>
          </w:p>
        </w:tc>
      </w:tr>
    </w:tbl>
    <w:p w14:paraId="0ECBBF18">
      <w:pPr>
        <w:pStyle w:val="16"/>
        <w:spacing w:before="31" w:after="31"/>
        <w:ind w:firstLine="480"/>
        <w:rPr>
          <w:szCs w:val="24"/>
        </w:rPr>
      </w:pPr>
    </w:p>
    <w:p w14:paraId="59DB6D6B">
      <w:pPr>
        <w:pStyle w:val="16"/>
        <w:spacing w:before="31" w:after="31"/>
        <w:ind w:firstLine="0" w:firstLineChars="0"/>
        <w:rPr>
          <w:rFonts w:hint="eastAsia"/>
          <w:szCs w:val="24"/>
        </w:rPr>
      </w:pPr>
      <w:r>
        <w:rPr>
          <w:szCs w:val="24"/>
        </w:rPr>
        <w:t>(5) Failure Component and Material Characteristics</w:t>
      </w:r>
    </w:p>
    <w:p w14:paraId="52018034">
      <w:pPr>
        <w:pStyle w:val="16"/>
        <w:spacing w:before="31" w:after="31"/>
        <w:ind w:firstLine="480"/>
        <w:rPr>
          <w:szCs w:val="24"/>
        </w:rPr>
      </w:pPr>
      <w:r>
        <w:rPr>
          <w:szCs w:val="24"/>
        </w:rPr>
        <w:t>The macroscopic appearance of the damaged directional drilling rod protective joint is shown in Figure 5-18.1. Longitudinal cracks penetrating the wall thickness are observed at the threaded end of the joint, with no evidence of sharp leaks. Cracks on the sealing surface exhibit depressions and protrusions formed by compression, appearing smooth and bright on the outer surface, indicating significant frictional forces.</w:t>
      </w:r>
    </w:p>
    <w:p w14:paraId="049EDE37">
      <w:pPr>
        <w:pStyle w:val="16"/>
        <w:spacing w:before="31" w:after="31"/>
        <w:ind w:firstLine="482"/>
        <w:jc w:val="center"/>
        <w:rPr>
          <w:b/>
          <w:bCs/>
          <w:szCs w:val="24"/>
        </w:rPr>
      </w:pPr>
      <w:r>
        <w:rPr>
          <w:b/>
          <w:bCs/>
          <w:szCs w:val="24"/>
        </w:rPr>
        <w:t>Figure 5-18.1 Macroscopic Appearance of the Joint</w:t>
      </w:r>
    </w:p>
    <w:p w14:paraId="5DBFA252">
      <w:pPr>
        <w:pStyle w:val="16"/>
        <w:spacing w:before="31" w:after="31"/>
        <w:ind w:firstLine="480"/>
        <w:rPr>
          <w:szCs w:val="24"/>
        </w:rPr>
      </w:pPr>
    </w:p>
    <w:p w14:paraId="1BC3026D">
      <w:pPr>
        <w:pStyle w:val="16"/>
        <w:spacing w:before="31" w:after="31"/>
        <w:ind w:firstLine="480"/>
        <w:rPr>
          <w:szCs w:val="24"/>
        </w:rPr>
      </w:pPr>
      <w:r>
        <w:rPr>
          <w:szCs w:val="24"/>
        </w:rPr>
        <w:t>Non-destructive testing of the joint using fluorescent magnetic powder is conducted, and the results are presented in Figure 5-18.2. Numerous longitudinal microcracks are distributed along the outer surface circumference of one side of the joint threads, with increased density near the three main cracks.</w:t>
      </w:r>
    </w:p>
    <w:p w14:paraId="08E7064A">
      <w:pPr>
        <w:pStyle w:val="16"/>
        <w:spacing w:before="31" w:after="31"/>
        <w:ind w:firstLine="482"/>
        <w:jc w:val="center"/>
        <w:rPr>
          <w:b/>
          <w:bCs/>
          <w:szCs w:val="24"/>
        </w:rPr>
      </w:pPr>
      <w:r>
        <w:rPr>
          <w:b/>
          <w:bCs/>
          <w:szCs w:val="24"/>
        </w:rPr>
        <w:t>Figure 5-18.2 Cracks Distributed along the Outer Surface Circumference of the Joint</w:t>
      </w:r>
    </w:p>
    <w:p w14:paraId="21E904B9">
      <w:pPr>
        <w:pStyle w:val="16"/>
        <w:spacing w:before="31" w:after="31"/>
        <w:ind w:firstLine="480"/>
        <w:rPr>
          <w:szCs w:val="24"/>
        </w:rPr>
      </w:pPr>
    </w:p>
    <w:p w14:paraId="0366FDC2">
      <w:pPr>
        <w:pStyle w:val="16"/>
        <w:spacing w:before="31" w:after="31"/>
        <w:ind w:firstLine="480"/>
        <w:rPr>
          <w:szCs w:val="24"/>
        </w:rPr>
      </w:pPr>
      <w:r>
        <w:rPr>
          <w:szCs w:val="24"/>
        </w:rPr>
        <w:t>The fracture morphology at the crack location is shown in Figure 5-18.3. Due to corrosion and damage, the true fracture appearance is not visible. However, a radial tearing ridge converges near the sealing end on the outer surface of the joint, indicating that the crack primarily propagated in a fatigue manner.</w:t>
      </w:r>
    </w:p>
    <w:p w14:paraId="25C5A6DB">
      <w:pPr>
        <w:pStyle w:val="16"/>
        <w:spacing w:before="31" w:after="31"/>
        <w:ind w:firstLine="482"/>
        <w:jc w:val="center"/>
        <w:rPr>
          <w:b/>
          <w:bCs/>
          <w:szCs w:val="24"/>
        </w:rPr>
      </w:pPr>
      <w:r>
        <w:rPr>
          <w:b/>
          <w:bCs/>
          <w:szCs w:val="24"/>
        </w:rPr>
        <w:t>Figure 5-18.3 Microscopic Appearance of the Fracture near the Outer Surface of the Joint</w:t>
      </w:r>
    </w:p>
    <w:p w14:paraId="2A9EE5B1">
      <w:pPr>
        <w:pStyle w:val="16"/>
        <w:spacing w:before="31" w:after="31"/>
        <w:ind w:firstLine="480"/>
        <w:rPr>
          <w:szCs w:val="24"/>
        </w:rPr>
      </w:pPr>
    </w:p>
    <w:p w14:paraId="2CDE91BE">
      <w:pPr>
        <w:pStyle w:val="16"/>
        <w:spacing w:before="31" w:after="31"/>
        <w:ind w:firstLine="480"/>
        <w:rPr>
          <w:szCs w:val="24"/>
        </w:rPr>
      </w:pPr>
      <w:r>
        <w:rPr>
          <w:szCs w:val="24"/>
        </w:rPr>
        <w:t>The microstructure near the crack at the threaded end of the joint is illustrated in Figure 5-18.4. The base microstructure consists of tempered martensite and a small amount of upper bainite, with inclusions labeled as A1.0, B0.5, B1.0e, and DTiN0.5; the grain size is rated at level 7.</w:t>
      </w:r>
    </w:p>
    <w:p w14:paraId="51CB6544">
      <w:pPr>
        <w:pStyle w:val="16"/>
        <w:spacing w:before="31" w:after="31"/>
        <w:ind w:firstLine="482"/>
        <w:jc w:val="center"/>
        <w:rPr>
          <w:b/>
          <w:bCs/>
          <w:szCs w:val="24"/>
        </w:rPr>
      </w:pPr>
      <w:r>
        <w:rPr>
          <w:b/>
          <w:bCs/>
          <w:szCs w:val="24"/>
        </w:rPr>
        <w:t>Figure 5-18.4 Base Microstructure (500X)</w:t>
      </w:r>
    </w:p>
    <w:p w14:paraId="02F8B301">
      <w:pPr>
        <w:pStyle w:val="16"/>
        <w:spacing w:before="31" w:after="31"/>
        <w:ind w:firstLine="480"/>
        <w:rPr>
          <w:szCs w:val="24"/>
        </w:rPr>
      </w:pPr>
    </w:p>
    <w:p w14:paraId="19F7E3EA">
      <w:pPr>
        <w:pStyle w:val="16"/>
        <w:spacing w:before="31" w:after="31"/>
        <w:ind w:firstLine="480"/>
        <w:rPr>
          <w:szCs w:val="24"/>
        </w:rPr>
      </w:pPr>
      <w:r>
        <w:rPr>
          <w:szCs w:val="24"/>
        </w:rPr>
        <w:t>Metallographic analysis reveals that cracks near the outer surface of the joint have similar tissue on both sides. A "bright layer" of wear is present on the outer wall surface, with a thickness of approximately 0.04mm, indicating a change in the tissue near the crack, as shown in Figure 5-18.5.</w:t>
      </w:r>
    </w:p>
    <w:p w14:paraId="01DC45FF">
      <w:pPr>
        <w:pStyle w:val="16"/>
        <w:spacing w:before="31" w:after="31"/>
        <w:ind w:firstLine="0" w:firstLineChars="0"/>
        <w:jc w:val="center"/>
        <w:rPr>
          <w:b/>
          <w:bCs/>
          <w:szCs w:val="24"/>
        </w:rPr>
      </w:pPr>
      <w:r>
        <w:rPr>
          <w:b/>
          <w:bCs/>
          <w:szCs w:val="24"/>
        </w:rPr>
        <w:t>Figure 5-18.5 Outer Surface Wear "Bright Layer" and Crack (6) Failure Cause Analysis:</w:t>
      </w:r>
    </w:p>
    <w:p w14:paraId="6DFA8A61">
      <w:pPr>
        <w:pStyle w:val="16"/>
        <w:spacing w:before="31" w:after="31"/>
        <w:ind w:firstLine="480"/>
        <w:rPr>
          <w:szCs w:val="24"/>
        </w:rPr>
      </w:pPr>
      <w:r>
        <w:rPr>
          <w:szCs w:val="24"/>
        </w:rPr>
        <w:t>The failure was attributed to thermal friction cracking. The off-center wellhead and the larger outer diameter of the square drill pipe protective joint compared to adjacent drill tools resulted in significant friction when in contact with the wellhead anti-wear sleeve. The rotational motion of the square drill pipe protective joint under</w:t>
      </w:r>
    </w:p>
    <w:p w14:paraId="51D36262">
      <w:pPr>
        <w:pStyle w:val="16"/>
        <w:spacing w:before="31" w:after="31"/>
        <w:ind w:firstLine="480"/>
        <w:rPr>
          <w:szCs w:val="24"/>
        </w:rPr>
      </w:pPr>
      <w:r>
        <w:rPr>
          <w:szCs w:val="24"/>
        </w:rPr>
        <w:t>the influence of the eccentric wellhead caused localized heating and thermal expansion, leading to longitudinal cracking.</w:t>
      </w:r>
    </w:p>
    <w:p w14:paraId="54B65AD4">
      <w:pPr>
        <w:pStyle w:val="16"/>
        <w:spacing w:before="31" w:after="31"/>
        <w:ind w:firstLine="0" w:firstLineChars="0"/>
        <w:rPr>
          <w:szCs w:val="24"/>
        </w:rPr>
      </w:pPr>
      <w:r>
        <w:rPr>
          <w:szCs w:val="24"/>
        </w:rPr>
        <w:t>(6) Analysis of Failure Causes</w:t>
      </w:r>
    </w:p>
    <w:p w14:paraId="6735C809">
      <w:pPr>
        <w:pStyle w:val="16"/>
        <w:spacing w:before="31" w:after="31"/>
        <w:ind w:firstLine="480"/>
        <w:rPr>
          <w:szCs w:val="24"/>
        </w:rPr>
      </w:pPr>
      <w:r>
        <w:rPr>
          <w:szCs w:val="24"/>
        </w:rPr>
        <w:t>(a) The wellhead structure deviates from the center of the wellbore, and despite two corrections, eccentricity persists. Additionally, the protective joint for the directional drilling rod has a larger outer diameter compared to adjacent drilling tools. Therefore, the wellhead anti-wear sleeve imposes significant frictional resistance on the protective joint. During drilling, the rotating directional drilling rod protective joint experiences high lateral contact forces, leading to intense frictional effects.</w:t>
      </w:r>
    </w:p>
    <w:p w14:paraId="014E8B9B">
      <w:pPr>
        <w:pStyle w:val="16"/>
        <w:spacing w:before="31" w:after="31"/>
        <w:ind w:firstLine="480"/>
        <w:rPr>
          <w:szCs w:val="24"/>
        </w:rPr>
      </w:pPr>
      <w:r>
        <w:rPr>
          <w:szCs w:val="24"/>
        </w:rPr>
        <w:t>(b) When the directional drilling rod protective joint undergoes periodic contact friction with the wellhead anti-wear sleeve, frictional energy is converted into heat. The material on the outer surface of the joint undergoes periodic heating and cooling, resulting in changes in the material's microscopic structure and composition. Under the influence of periodic frictional forces, thermal expansion and contraction stress, and circumferential stress, microcracks develop in the weakened surface material. The internal threads of the directional drilling rod protective joint endure significant torque and experience substantial circumferential stress. Surface microcracks continue to propagate under circumferential stress until they penetrate the wall thickness. Typically, cracks propagate through stress corrosion or fatigue mechanisms.</w:t>
      </w:r>
    </w:p>
    <w:p w14:paraId="0487EE82">
      <w:pPr>
        <w:pStyle w:val="16"/>
        <w:spacing w:before="31" w:after="31"/>
        <w:ind w:firstLine="480"/>
        <w:rPr>
          <w:szCs w:val="24"/>
        </w:rPr>
      </w:pPr>
      <w:r>
        <w:rPr>
          <w:szCs w:val="24"/>
        </w:rPr>
        <w:t>(c) The process of crack formation due to severe heating results in the generation of surface hard spots on tool joints and other components during the rotating process underground, induced by friction. These hard spots are prone to developing microcracks during the heating and cooling cycles (mud circulation). Calculations indicate that significant heat changes can occur with substantial lateral loads, leading to pipe hardening after cooling (mud circulation), which compromises the material's toughness.</w:t>
      </w:r>
    </w:p>
    <w:p w14:paraId="36E8CCE7">
      <w:pPr>
        <w:pStyle w:val="16"/>
        <w:spacing w:before="31" w:after="31"/>
        <w:ind w:firstLine="480"/>
        <w:rPr>
          <w:szCs w:val="24"/>
        </w:rPr>
      </w:pPr>
      <w:r>
        <w:rPr>
          <w:szCs w:val="24"/>
        </w:rPr>
        <w:t>(d) Damage to the depressions and protrusions on the sealing surface of the directional drilling rod protective joint occurs when foreign particles are squeezed in during the make-up process. After make-up, the longitudinal cross-section of the joint near the center of the impurity experiences substantial tensile stress. When the frictional heat cracks on the outer surface extend to this region, due to stress accumulation, the cracks accelerate and propagate until they penetrate the entire wall thickness.</w:t>
      </w:r>
    </w:p>
    <w:p w14:paraId="4DFB4C95">
      <w:pPr>
        <w:pStyle w:val="16"/>
        <w:spacing w:before="31" w:after="31"/>
        <w:ind w:firstLine="0" w:firstLineChars="0"/>
        <w:rPr>
          <w:szCs w:val="24"/>
        </w:rPr>
      </w:pPr>
      <w:r>
        <w:rPr>
          <w:szCs w:val="24"/>
        </w:rPr>
        <w:t>(7) Impact and Harm Caused</w:t>
      </w:r>
    </w:p>
    <w:p w14:paraId="3CB5D4E8">
      <w:pPr>
        <w:pStyle w:val="16"/>
        <w:spacing w:before="31" w:after="31"/>
        <w:ind w:firstLine="420" w:firstLineChars="0"/>
        <w:rPr>
          <w:szCs w:val="24"/>
        </w:rPr>
      </w:pPr>
      <w:r>
        <w:rPr>
          <w:szCs w:val="24"/>
        </w:rPr>
        <w:t>Null</w:t>
      </w:r>
    </w:p>
    <w:p w14:paraId="02DA0AE1">
      <w:pPr>
        <w:pStyle w:val="16"/>
        <w:spacing w:before="31" w:after="31"/>
        <w:ind w:firstLine="480"/>
        <w:rPr>
          <w:szCs w:val="24"/>
        </w:rPr>
      </w:pPr>
    </w:p>
    <w:p w14:paraId="337F6D4B">
      <w:pPr>
        <w:pStyle w:val="16"/>
        <w:spacing w:before="31" w:after="31"/>
        <w:ind w:firstLine="0" w:firstLineChars="0"/>
        <w:rPr>
          <w:szCs w:val="24"/>
        </w:rPr>
      </w:pPr>
      <w:r>
        <w:rPr>
          <w:szCs w:val="24"/>
        </w:rPr>
        <w:t>(8) Conclusion and Improvement Measures</w:t>
      </w:r>
    </w:p>
    <w:p w14:paraId="57FFF8DC">
      <w:pPr>
        <w:pStyle w:val="16"/>
        <w:spacing w:before="31" w:after="31"/>
        <w:ind w:firstLine="480"/>
        <w:rPr>
          <w:szCs w:val="24"/>
        </w:rPr>
      </w:pPr>
      <w:r>
        <w:rPr>
          <w:szCs w:val="24"/>
        </w:rPr>
        <w:t>(a) The chemical composition and mechanical properties of the joint meet standard requirements.</w:t>
      </w:r>
    </w:p>
    <w:p w14:paraId="6123384E">
      <w:pPr>
        <w:pStyle w:val="16"/>
        <w:spacing w:before="31" w:after="31"/>
        <w:ind w:firstLine="480"/>
        <w:rPr>
          <w:szCs w:val="24"/>
        </w:rPr>
      </w:pPr>
      <w:r>
        <w:rPr>
          <w:szCs w:val="24"/>
        </w:rPr>
        <w:t>(b) The cracks in the joint result from frictional heat cracking.</w:t>
      </w:r>
    </w:p>
    <w:p w14:paraId="2627D69F">
      <w:pPr>
        <w:pStyle w:val="16"/>
        <w:spacing w:before="31" w:after="31"/>
        <w:ind w:firstLine="480"/>
        <w:rPr>
          <w:szCs w:val="24"/>
        </w:rPr>
      </w:pPr>
      <w:r>
        <w:rPr>
          <w:szCs w:val="24"/>
        </w:rPr>
        <w:t>(c) The lateral contact force imposed by the wellhead anti-wear sleeve on the directional drilling rod protective joint is the main cause of intense friction.</w:t>
      </w:r>
    </w:p>
    <w:p w14:paraId="5EDB0CBA">
      <w:pPr>
        <w:pStyle w:val="16"/>
        <w:spacing w:before="31" w:after="31"/>
        <w:ind w:firstLine="480"/>
        <w:rPr>
          <w:szCs w:val="24"/>
        </w:rPr>
      </w:pPr>
      <w:r>
        <w:rPr>
          <w:szCs w:val="24"/>
        </w:rPr>
        <w:t>(d) Attention should be paid to the impact of thermal friction on downhole tools, and efforts should be made to minimize the resulting losses.</w:t>
      </w:r>
    </w:p>
    <w:p w14:paraId="56C0DEE2">
      <w:pPr>
        <w:pStyle w:val="16"/>
        <w:spacing w:before="31" w:after="31"/>
        <w:ind w:firstLine="0" w:firstLineChars="0"/>
        <w:rPr>
          <w:b/>
          <w:bCs/>
          <w:szCs w:val="24"/>
        </w:rPr>
      </w:pPr>
      <w:r>
        <w:rPr>
          <w:b/>
          <w:bCs/>
          <w:szCs w:val="24"/>
        </w:rPr>
        <w:t>5.3 Summary</w:t>
      </w:r>
    </w:p>
    <w:p w14:paraId="0C8290E2">
      <w:pPr>
        <w:pStyle w:val="16"/>
        <w:spacing w:before="31" w:after="31"/>
        <w:ind w:firstLine="0" w:firstLineChars="0"/>
        <w:rPr>
          <w:b/>
          <w:bCs/>
          <w:szCs w:val="24"/>
        </w:rPr>
      </w:pPr>
      <w:r>
        <w:rPr>
          <w:b/>
          <w:bCs/>
          <w:szCs w:val="24"/>
        </w:rPr>
        <w:t>5.3.1 Primary Failure Modes and Issues</w:t>
      </w:r>
    </w:p>
    <w:p w14:paraId="09E2ADE6">
      <w:pPr>
        <w:pStyle w:val="16"/>
        <w:spacing w:before="31" w:after="31"/>
        <w:ind w:firstLine="0" w:firstLineChars="0"/>
        <w:rPr>
          <w:szCs w:val="24"/>
        </w:rPr>
      </w:pPr>
      <w:r>
        <w:rPr>
          <w:szCs w:val="24"/>
        </w:rPr>
        <w:t>5.3.1.1 Main Failure Modes:</w:t>
      </w:r>
    </w:p>
    <w:p w14:paraId="583616D6">
      <w:pPr>
        <w:pStyle w:val="16"/>
        <w:spacing w:before="31" w:after="31"/>
        <w:ind w:firstLine="480"/>
        <w:rPr>
          <w:szCs w:val="24"/>
        </w:rPr>
      </w:pPr>
    </w:p>
    <w:p w14:paraId="2E16F81E">
      <w:pPr>
        <w:pStyle w:val="16"/>
        <w:spacing w:before="31" w:after="31"/>
        <w:ind w:firstLine="480"/>
        <w:rPr>
          <w:szCs w:val="24"/>
        </w:rPr>
      </w:pPr>
      <w:r>
        <w:rPr>
          <w:szCs w:val="24"/>
        </w:rPr>
        <w:t>From the results of failure investigations, in the field of oil drilling and production, failures of components such as oil drilling bits, drill rods, pump rods, and oil pipes are predominant. Thermal energy engineering failure cases primarily involve boilers, with components like boiler air ducts, steam pipelines, superheaters, and high-pressure gear pumps being the main failure parts. Failures in the coal industry mainly occur in mining equipment, such as anchor rods, hydraulic supports, and various components of coal mining machine oil pumps, with corrosion and overload fractures being the predominant failure modes. Specific investigation cases have been summarized regarding the causes of accidents from factors such as materials, production construction, design, and environmental conditions. See Table 5-38 for specific details.</w:t>
      </w:r>
    </w:p>
    <w:p w14:paraId="30CC32A7">
      <w:pPr>
        <w:pStyle w:val="16"/>
        <w:spacing w:before="31" w:after="31"/>
        <w:ind w:firstLine="0" w:firstLineChars="0"/>
        <w:rPr>
          <w:szCs w:val="24"/>
        </w:rPr>
      </w:pPr>
      <w:r>
        <w:rPr>
          <w:szCs w:val="24"/>
        </w:rPr>
        <w:t>5.3.1.2 Existing Issues</w:t>
      </w:r>
    </w:p>
    <w:p w14:paraId="740729ED">
      <w:pPr>
        <w:pStyle w:val="16"/>
        <w:spacing w:before="31" w:after="31"/>
        <w:ind w:firstLine="480"/>
        <w:rPr>
          <w:szCs w:val="24"/>
        </w:rPr>
      </w:pPr>
      <w:r>
        <w:rPr>
          <w:szCs w:val="24"/>
        </w:rPr>
        <w:t>Through the investigation, it was found that the equipment in the energy engineering industry operates in extreme and harsh environments with complex factors. Most failures in the oil drilling and coal industries result from damage caused by adverse environmental conditions, and in some cases, these conditions cannot be improved artificially. Monitoring methods for such environments are not sufficiently developed. Failures in thermal energy engineering result from improper structural design, coal combustion, substandard water vapor quality, inappropriate material selection, and violations of operational procedures by personnel.</w:t>
      </w:r>
    </w:p>
    <w:p w14:paraId="25FB85C3">
      <w:pPr>
        <w:pStyle w:val="16"/>
        <w:spacing w:before="31" w:after="31"/>
        <w:ind w:firstLine="482"/>
        <w:jc w:val="center"/>
        <w:rPr>
          <w:b/>
          <w:bCs/>
          <w:szCs w:val="24"/>
        </w:rPr>
      </w:pPr>
      <w:r>
        <w:rPr>
          <w:b/>
          <w:bCs/>
          <w:szCs w:val="24"/>
        </w:rPr>
        <w:t>Table 5-38 Summary of Causes of Failure in Energy Engineering Industry Research Cases</w:t>
      </w:r>
    </w:p>
    <w:p w14:paraId="243C8DD4">
      <w:pPr>
        <w:pStyle w:val="16"/>
        <w:spacing w:before="468" w:beforeLines="150" w:after="156" w:afterLines="50"/>
        <w:ind w:firstLine="0" w:firstLineChars="0"/>
        <w:jc w:val="center"/>
        <w:rPr>
          <w:b/>
          <w:color w:val="000000"/>
          <w:sz w:val="21"/>
          <w:szCs w:val="21"/>
        </w:rPr>
      </w:pPr>
    </w:p>
    <w:tbl>
      <w:tblPr>
        <w:tblStyle w:val="9"/>
        <w:tblW w:w="832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3"/>
        <w:gridCol w:w="2834"/>
        <w:gridCol w:w="1029"/>
        <w:gridCol w:w="1270"/>
        <w:gridCol w:w="896"/>
        <w:gridCol w:w="1403"/>
      </w:tblGrid>
      <w:tr w14:paraId="71F7BB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9" w:type="dxa"/>
            <w:vMerge w:val="restart"/>
            <w:tcBorders>
              <w:top w:val="single" w:color="auto" w:sz="12" w:space="0"/>
              <w:left w:val="nil"/>
              <w:bottom w:val="single" w:color="auto" w:sz="12" w:space="0"/>
              <w:right w:val="nil"/>
            </w:tcBorders>
            <w:vAlign w:val="center"/>
          </w:tcPr>
          <w:p w14:paraId="4219BA7C">
            <w:pPr>
              <w:pStyle w:val="16"/>
              <w:spacing w:before="31" w:after="31"/>
              <w:ind w:firstLine="0" w:firstLineChars="0"/>
              <w:jc w:val="center"/>
              <w:rPr>
                <w:sz w:val="21"/>
                <w:szCs w:val="21"/>
              </w:rPr>
            </w:pPr>
            <w:r>
              <w:rPr>
                <w:szCs w:val="24"/>
              </w:rPr>
              <w:t>Serial No.</w:t>
            </w:r>
          </w:p>
        </w:tc>
        <w:tc>
          <w:tcPr>
            <w:tcW w:w="3192" w:type="dxa"/>
            <w:vMerge w:val="restart"/>
            <w:tcBorders>
              <w:top w:val="single" w:color="auto" w:sz="12" w:space="0"/>
              <w:left w:val="nil"/>
              <w:bottom w:val="single" w:color="auto" w:sz="12" w:space="0"/>
              <w:right w:val="nil"/>
            </w:tcBorders>
            <w:vAlign w:val="center"/>
          </w:tcPr>
          <w:p w14:paraId="7013F0EC">
            <w:pPr>
              <w:pStyle w:val="16"/>
              <w:spacing w:before="31" w:after="31"/>
              <w:ind w:firstLine="480"/>
              <w:jc w:val="center"/>
              <w:rPr>
                <w:sz w:val="21"/>
                <w:szCs w:val="21"/>
              </w:rPr>
            </w:pPr>
            <w:r>
              <w:rPr>
                <w:szCs w:val="24"/>
              </w:rPr>
              <w:t>Case Name</w:t>
            </w:r>
          </w:p>
        </w:tc>
        <w:tc>
          <w:tcPr>
            <w:tcW w:w="4204" w:type="dxa"/>
            <w:gridSpan w:val="4"/>
            <w:tcBorders>
              <w:top w:val="single" w:color="auto" w:sz="12" w:space="0"/>
              <w:left w:val="nil"/>
              <w:bottom w:val="single" w:color="auto" w:sz="12" w:space="0"/>
              <w:right w:val="nil"/>
            </w:tcBorders>
            <w:vAlign w:val="center"/>
          </w:tcPr>
          <w:p w14:paraId="480E91AF">
            <w:pPr>
              <w:pStyle w:val="16"/>
              <w:spacing w:before="31" w:after="31"/>
              <w:ind w:firstLine="0" w:firstLineChars="0"/>
              <w:jc w:val="center"/>
              <w:rPr>
                <w:sz w:val="21"/>
                <w:szCs w:val="21"/>
              </w:rPr>
            </w:pPr>
            <w:r>
              <w:rPr>
                <w:szCs w:val="24"/>
              </w:rPr>
              <w:t>Causes of Failure</w:t>
            </w:r>
          </w:p>
        </w:tc>
      </w:tr>
      <w:tr w14:paraId="0331B7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op w:val="single" w:color="auto" w:sz="12" w:space="0"/>
              <w:left w:val="nil"/>
              <w:bottom w:val="single" w:color="auto" w:sz="12" w:space="0"/>
              <w:right w:val="nil"/>
            </w:tcBorders>
            <w:vAlign w:val="center"/>
          </w:tcPr>
          <w:p w14:paraId="47DFBCB7">
            <w:pPr>
              <w:widowControl/>
              <w:spacing w:beforeAutospacing="1" w:afterAutospacing="1"/>
              <w:jc w:val="left"/>
              <w:rPr>
                <w:rFonts w:cs="宋体"/>
                <w:szCs w:val="21"/>
              </w:rPr>
            </w:pPr>
          </w:p>
        </w:tc>
        <w:tc>
          <w:tcPr>
            <w:tcW w:w="3192" w:type="dxa"/>
            <w:vMerge w:val="continue"/>
            <w:tcBorders>
              <w:top w:val="single" w:color="auto" w:sz="12" w:space="0"/>
              <w:left w:val="nil"/>
              <w:bottom w:val="single" w:color="auto" w:sz="12" w:space="0"/>
              <w:right w:val="nil"/>
            </w:tcBorders>
            <w:vAlign w:val="center"/>
          </w:tcPr>
          <w:p w14:paraId="6D579550">
            <w:pPr>
              <w:widowControl/>
              <w:spacing w:beforeAutospacing="1" w:afterAutospacing="1"/>
              <w:jc w:val="left"/>
              <w:rPr>
                <w:rFonts w:cs="宋体"/>
                <w:szCs w:val="21"/>
              </w:rPr>
            </w:pPr>
          </w:p>
        </w:tc>
        <w:tc>
          <w:tcPr>
            <w:tcW w:w="635" w:type="dxa"/>
            <w:tcBorders>
              <w:top w:val="single" w:color="auto" w:sz="12" w:space="0"/>
              <w:left w:val="nil"/>
              <w:bottom w:val="single" w:color="auto" w:sz="12" w:space="0"/>
              <w:right w:val="nil"/>
            </w:tcBorders>
            <w:vAlign w:val="center"/>
          </w:tcPr>
          <w:p w14:paraId="54082049">
            <w:pPr>
              <w:pStyle w:val="16"/>
              <w:spacing w:before="31" w:after="31"/>
              <w:ind w:firstLine="0" w:firstLineChars="0"/>
              <w:jc w:val="center"/>
              <w:rPr>
                <w:sz w:val="21"/>
                <w:szCs w:val="21"/>
              </w:rPr>
            </w:pPr>
            <w:r>
              <w:rPr>
                <w:rFonts w:hint="eastAsia"/>
                <w:szCs w:val="24"/>
              </w:rPr>
              <w:t>Material itself</w:t>
            </w:r>
          </w:p>
        </w:tc>
        <w:tc>
          <w:tcPr>
            <w:tcW w:w="1270" w:type="dxa"/>
            <w:tcBorders>
              <w:top w:val="single" w:color="auto" w:sz="12" w:space="0"/>
              <w:left w:val="nil"/>
              <w:bottom w:val="single" w:color="auto" w:sz="12" w:space="0"/>
              <w:right w:val="nil"/>
            </w:tcBorders>
            <w:vAlign w:val="center"/>
          </w:tcPr>
          <w:p w14:paraId="56CB8508">
            <w:pPr>
              <w:pStyle w:val="16"/>
              <w:spacing w:before="31" w:after="31"/>
              <w:ind w:firstLine="0" w:firstLineChars="0"/>
              <w:jc w:val="center"/>
              <w:rPr>
                <w:sz w:val="21"/>
                <w:szCs w:val="21"/>
              </w:rPr>
            </w:pPr>
            <w:r>
              <w:rPr>
                <w:rFonts w:hint="eastAsia"/>
                <w:szCs w:val="24"/>
              </w:rPr>
              <w:t>Production</w:t>
            </w:r>
          </w:p>
        </w:tc>
        <w:tc>
          <w:tcPr>
            <w:tcW w:w="896" w:type="dxa"/>
            <w:tcBorders>
              <w:top w:val="single" w:color="auto" w:sz="12" w:space="0"/>
              <w:left w:val="nil"/>
              <w:bottom w:val="single" w:color="auto" w:sz="12" w:space="0"/>
              <w:right w:val="nil"/>
            </w:tcBorders>
            <w:vAlign w:val="center"/>
          </w:tcPr>
          <w:p w14:paraId="58BB6F0D">
            <w:pPr>
              <w:pStyle w:val="16"/>
              <w:spacing w:before="31" w:after="31"/>
              <w:ind w:firstLine="0" w:firstLineChars="0"/>
              <w:jc w:val="center"/>
              <w:rPr>
                <w:sz w:val="21"/>
                <w:szCs w:val="21"/>
              </w:rPr>
            </w:pPr>
            <w:r>
              <w:rPr>
                <w:rFonts w:hint="eastAsia"/>
                <w:szCs w:val="24"/>
              </w:rPr>
              <w:t>Design</w:t>
            </w:r>
          </w:p>
        </w:tc>
        <w:tc>
          <w:tcPr>
            <w:tcW w:w="1403" w:type="dxa"/>
            <w:tcBorders>
              <w:top w:val="single" w:color="auto" w:sz="12" w:space="0"/>
              <w:left w:val="nil"/>
              <w:bottom w:val="single" w:color="auto" w:sz="12" w:space="0"/>
              <w:right w:val="nil"/>
            </w:tcBorders>
            <w:vAlign w:val="center"/>
          </w:tcPr>
          <w:p w14:paraId="29A03C30">
            <w:pPr>
              <w:pStyle w:val="16"/>
              <w:spacing w:before="31" w:after="31"/>
              <w:ind w:firstLine="0" w:firstLineChars="0"/>
              <w:jc w:val="center"/>
              <w:rPr>
                <w:sz w:val="21"/>
                <w:szCs w:val="21"/>
              </w:rPr>
            </w:pPr>
            <w:r>
              <w:rPr>
                <w:rFonts w:hint="eastAsia"/>
                <w:szCs w:val="24"/>
              </w:rPr>
              <w:t>Environmen</w:t>
            </w:r>
          </w:p>
        </w:tc>
      </w:tr>
      <w:tr w14:paraId="6CF14B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9" w:type="dxa"/>
            <w:tcBorders>
              <w:top w:val="single" w:color="auto" w:sz="12" w:space="0"/>
              <w:left w:val="nil"/>
              <w:bottom w:val="nil"/>
              <w:right w:val="nil"/>
            </w:tcBorders>
            <w:vAlign w:val="center"/>
          </w:tcPr>
          <w:p w14:paraId="255CA72C">
            <w:pPr>
              <w:pStyle w:val="16"/>
              <w:spacing w:before="31" w:after="31"/>
              <w:ind w:firstLine="0" w:firstLineChars="0"/>
              <w:jc w:val="center"/>
              <w:rPr>
                <w:sz w:val="21"/>
                <w:szCs w:val="21"/>
              </w:rPr>
            </w:pPr>
            <w:r>
              <w:rPr>
                <w:sz w:val="21"/>
                <w:szCs w:val="21"/>
              </w:rPr>
              <w:t>Case 1</w:t>
            </w:r>
          </w:p>
        </w:tc>
        <w:tc>
          <w:tcPr>
            <w:tcW w:w="3192" w:type="dxa"/>
            <w:tcBorders>
              <w:top w:val="single" w:color="auto" w:sz="12" w:space="0"/>
              <w:left w:val="nil"/>
              <w:bottom w:val="nil"/>
              <w:right w:val="nil"/>
            </w:tcBorders>
            <w:vAlign w:val="center"/>
          </w:tcPr>
          <w:p w14:paraId="6E8606DF">
            <w:pPr>
              <w:pStyle w:val="16"/>
              <w:spacing w:before="31" w:after="31"/>
              <w:ind w:firstLine="0" w:firstLineChars="0"/>
              <w:jc w:val="left"/>
              <w:rPr>
                <w:sz w:val="21"/>
                <w:szCs w:val="21"/>
              </w:rPr>
            </w:pPr>
            <w:r>
              <w:rPr>
                <w:sz w:val="21"/>
                <w:szCs w:val="21"/>
              </w:rPr>
              <w:t>Failure of overheated steam pipe</w:t>
            </w:r>
          </w:p>
        </w:tc>
        <w:tc>
          <w:tcPr>
            <w:tcW w:w="635" w:type="dxa"/>
            <w:tcBorders>
              <w:top w:val="single" w:color="auto" w:sz="12" w:space="0"/>
              <w:left w:val="nil"/>
              <w:bottom w:val="nil"/>
              <w:right w:val="nil"/>
            </w:tcBorders>
            <w:vAlign w:val="center"/>
          </w:tcPr>
          <w:p w14:paraId="26C27939">
            <w:pPr>
              <w:pStyle w:val="16"/>
              <w:spacing w:before="31" w:after="31"/>
              <w:ind w:firstLine="0" w:firstLineChars="0"/>
              <w:jc w:val="center"/>
              <w:rPr>
                <w:sz w:val="21"/>
                <w:szCs w:val="21"/>
              </w:rPr>
            </w:pPr>
            <w:r>
              <w:rPr>
                <w:rFonts w:hint="eastAsia"/>
                <w:sz w:val="21"/>
                <w:szCs w:val="21"/>
              </w:rPr>
              <w:t>√</w:t>
            </w:r>
          </w:p>
        </w:tc>
        <w:tc>
          <w:tcPr>
            <w:tcW w:w="1270" w:type="dxa"/>
            <w:tcBorders>
              <w:top w:val="single" w:color="auto" w:sz="12" w:space="0"/>
              <w:left w:val="nil"/>
              <w:bottom w:val="nil"/>
              <w:right w:val="nil"/>
            </w:tcBorders>
            <w:vAlign w:val="center"/>
          </w:tcPr>
          <w:p w14:paraId="0DB13BE1">
            <w:pPr>
              <w:pStyle w:val="16"/>
              <w:spacing w:before="31" w:after="31"/>
              <w:ind w:firstLine="0" w:firstLineChars="0"/>
              <w:jc w:val="center"/>
              <w:rPr>
                <w:sz w:val="21"/>
                <w:szCs w:val="21"/>
              </w:rPr>
            </w:pPr>
            <w:r>
              <w:rPr>
                <w:rFonts w:hint="eastAsia"/>
                <w:sz w:val="21"/>
                <w:szCs w:val="21"/>
              </w:rPr>
              <w:t>√</w:t>
            </w:r>
          </w:p>
        </w:tc>
        <w:tc>
          <w:tcPr>
            <w:tcW w:w="896" w:type="dxa"/>
            <w:tcBorders>
              <w:top w:val="single" w:color="auto" w:sz="12" w:space="0"/>
              <w:left w:val="nil"/>
              <w:bottom w:val="nil"/>
              <w:right w:val="nil"/>
            </w:tcBorders>
            <w:vAlign w:val="center"/>
          </w:tcPr>
          <w:p w14:paraId="6352D4BE">
            <w:pPr>
              <w:pStyle w:val="16"/>
              <w:spacing w:before="31" w:after="31"/>
              <w:ind w:firstLine="0" w:firstLineChars="0"/>
              <w:jc w:val="center"/>
              <w:rPr>
                <w:sz w:val="21"/>
                <w:szCs w:val="21"/>
              </w:rPr>
            </w:pPr>
          </w:p>
        </w:tc>
        <w:tc>
          <w:tcPr>
            <w:tcW w:w="1403" w:type="dxa"/>
            <w:tcBorders>
              <w:top w:val="single" w:color="auto" w:sz="12" w:space="0"/>
              <w:left w:val="nil"/>
              <w:bottom w:val="nil"/>
              <w:right w:val="nil"/>
            </w:tcBorders>
            <w:vAlign w:val="center"/>
          </w:tcPr>
          <w:p w14:paraId="7BB86B17">
            <w:pPr>
              <w:pStyle w:val="16"/>
              <w:spacing w:before="31" w:after="31"/>
              <w:ind w:firstLine="0" w:firstLineChars="0"/>
              <w:jc w:val="center"/>
              <w:rPr>
                <w:sz w:val="21"/>
                <w:szCs w:val="21"/>
              </w:rPr>
            </w:pPr>
            <w:r>
              <w:rPr>
                <w:rFonts w:hint="eastAsia"/>
                <w:sz w:val="21"/>
                <w:szCs w:val="21"/>
              </w:rPr>
              <w:t>√</w:t>
            </w:r>
          </w:p>
        </w:tc>
      </w:tr>
      <w:tr w14:paraId="3D1A55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9" w:type="dxa"/>
            <w:tcBorders>
              <w:top w:val="nil"/>
              <w:left w:val="nil"/>
              <w:bottom w:val="nil"/>
              <w:right w:val="nil"/>
            </w:tcBorders>
            <w:vAlign w:val="center"/>
          </w:tcPr>
          <w:p w14:paraId="7FD897DE">
            <w:pPr>
              <w:pStyle w:val="16"/>
              <w:spacing w:before="31" w:after="31"/>
              <w:ind w:firstLine="0" w:firstLineChars="0"/>
              <w:jc w:val="center"/>
              <w:rPr>
                <w:sz w:val="21"/>
                <w:szCs w:val="21"/>
              </w:rPr>
            </w:pPr>
            <w:r>
              <w:rPr>
                <w:sz w:val="21"/>
                <w:szCs w:val="21"/>
              </w:rPr>
              <w:t>Case 2</w:t>
            </w:r>
          </w:p>
        </w:tc>
        <w:tc>
          <w:tcPr>
            <w:tcW w:w="3192" w:type="dxa"/>
            <w:tcBorders>
              <w:top w:val="nil"/>
              <w:left w:val="nil"/>
              <w:bottom w:val="nil"/>
              <w:right w:val="nil"/>
            </w:tcBorders>
            <w:vAlign w:val="center"/>
          </w:tcPr>
          <w:p w14:paraId="33472CBD">
            <w:pPr>
              <w:pStyle w:val="16"/>
              <w:spacing w:before="31" w:after="31"/>
              <w:ind w:firstLine="0" w:firstLineChars="0"/>
              <w:jc w:val="left"/>
              <w:rPr>
                <w:sz w:val="21"/>
                <w:szCs w:val="21"/>
              </w:rPr>
            </w:pPr>
            <w:r>
              <w:rPr>
                <w:sz w:val="21"/>
                <w:szCs w:val="21"/>
              </w:rPr>
              <w:tab/>
            </w:r>
            <w:r>
              <w:rPr>
                <w:sz w:val="21"/>
                <w:szCs w:val="21"/>
              </w:rPr>
              <w:t>Failure of high-temperature superheater bend tube</w:t>
            </w:r>
          </w:p>
        </w:tc>
        <w:tc>
          <w:tcPr>
            <w:tcW w:w="635" w:type="dxa"/>
            <w:tcBorders>
              <w:top w:val="nil"/>
              <w:left w:val="nil"/>
              <w:bottom w:val="nil"/>
              <w:right w:val="nil"/>
            </w:tcBorders>
            <w:vAlign w:val="center"/>
          </w:tcPr>
          <w:p w14:paraId="4C8C29B3">
            <w:pPr>
              <w:pStyle w:val="16"/>
              <w:spacing w:before="31" w:after="31"/>
              <w:ind w:firstLine="0" w:firstLineChars="0"/>
              <w:jc w:val="center"/>
              <w:rPr>
                <w:sz w:val="21"/>
                <w:szCs w:val="21"/>
              </w:rPr>
            </w:pPr>
          </w:p>
        </w:tc>
        <w:tc>
          <w:tcPr>
            <w:tcW w:w="1270" w:type="dxa"/>
            <w:tcBorders>
              <w:top w:val="nil"/>
              <w:left w:val="nil"/>
              <w:bottom w:val="nil"/>
              <w:right w:val="nil"/>
            </w:tcBorders>
            <w:vAlign w:val="center"/>
          </w:tcPr>
          <w:p w14:paraId="3828861A">
            <w:pPr>
              <w:pStyle w:val="16"/>
              <w:spacing w:before="31" w:after="31"/>
              <w:ind w:firstLine="0" w:firstLineChars="0"/>
              <w:jc w:val="center"/>
              <w:rPr>
                <w:sz w:val="21"/>
                <w:szCs w:val="21"/>
              </w:rPr>
            </w:pPr>
          </w:p>
        </w:tc>
        <w:tc>
          <w:tcPr>
            <w:tcW w:w="896" w:type="dxa"/>
            <w:tcBorders>
              <w:top w:val="nil"/>
              <w:left w:val="nil"/>
              <w:bottom w:val="nil"/>
              <w:right w:val="nil"/>
            </w:tcBorders>
            <w:vAlign w:val="center"/>
          </w:tcPr>
          <w:p w14:paraId="05AD77A1">
            <w:pPr>
              <w:pStyle w:val="16"/>
              <w:spacing w:before="31" w:after="31"/>
              <w:ind w:firstLine="0" w:firstLineChars="0"/>
              <w:jc w:val="center"/>
              <w:rPr>
                <w:sz w:val="21"/>
                <w:szCs w:val="21"/>
              </w:rPr>
            </w:pPr>
            <w:r>
              <w:rPr>
                <w:rFonts w:hint="eastAsia"/>
                <w:sz w:val="21"/>
                <w:szCs w:val="21"/>
              </w:rPr>
              <w:t>√</w:t>
            </w:r>
          </w:p>
        </w:tc>
        <w:tc>
          <w:tcPr>
            <w:tcW w:w="1403" w:type="dxa"/>
            <w:tcBorders>
              <w:top w:val="nil"/>
              <w:left w:val="nil"/>
              <w:bottom w:val="nil"/>
              <w:right w:val="nil"/>
            </w:tcBorders>
            <w:vAlign w:val="center"/>
          </w:tcPr>
          <w:p w14:paraId="6AD30958">
            <w:pPr>
              <w:pStyle w:val="16"/>
              <w:spacing w:before="31" w:after="31"/>
              <w:ind w:firstLine="0" w:firstLineChars="0"/>
              <w:jc w:val="center"/>
              <w:rPr>
                <w:sz w:val="21"/>
                <w:szCs w:val="21"/>
              </w:rPr>
            </w:pPr>
            <w:r>
              <w:rPr>
                <w:rFonts w:hint="eastAsia"/>
                <w:sz w:val="21"/>
                <w:szCs w:val="21"/>
              </w:rPr>
              <w:t>√</w:t>
            </w:r>
          </w:p>
        </w:tc>
      </w:tr>
      <w:tr w14:paraId="2626E2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9" w:type="dxa"/>
            <w:tcBorders>
              <w:top w:val="nil"/>
              <w:left w:val="nil"/>
              <w:bottom w:val="nil"/>
              <w:right w:val="nil"/>
            </w:tcBorders>
            <w:vAlign w:val="center"/>
          </w:tcPr>
          <w:p w14:paraId="363FA215">
            <w:pPr>
              <w:pStyle w:val="16"/>
              <w:spacing w:before="31" w:after="31"/>
              <w:ind w:firstLine="0" w:firstLineChars="0"/>
              <w:jc w:val="center"/>
              <w:rPr>
                <w:sz w:val="21"/>
                <w:szCs w:val="21"/>
              </w:rPr>
            </w:pPr>
            <w:r>
              <w:rPr>
                <w:sz w:val="21"/>
                <w:szCs w:val="21"/>
              </w:rPr>
              <w:t>Case 3</w:t>
            </w:r>
          </w:p>
        </w:tc>
        <w:tc>
          <w:tcPr>
            <w:tcW w:w="3192" w:type="dxa"/>
            <w:tcBorders>
              <w:top w:val="nil"/>
              <w:left w:val="nil"/>
              <w:bottom w:val="nil"/>
              <w:right w:val="nil"/>
            </w:tcBorders>
            <w:vAlign w:val="center"/>
          </w:tcPr>
          <w:p w14:paraId="4239DF16">
            <w:pPr>
              <w:pStyle w:val="16"/>
              <w:spacing w:before="31" w:after="31"/>
              <w:ind w:firstLine="0" w:firstLineChars="0"/>
              <w:jc w:val="left"/>
              <w:rPr>
                <w:sz w:val="21"/>
                <w:szCs w:val="21"/>
              </w:rPr>
            </w:pPr>
            <w:r>
              <w:rPr>
                <w:sz w:val="21"/>
                <w:szCs w:val="21"/>
              </w:rPr>
              <w:t>Failure of high-temperature superheater bend tube</w:t>
            </w:r>
          </w:p>
        </w:tc>
        <w:tc>
          <w:tcPr>
            <w:tcW w:w="635" w:type="dxa"/>
            <w:tcBorders>
              <w:top w:val="nil"/>
              <w:left w:val="nil"/>
              <w:bottom w:val="nil"/>
              <w:right w:val="nil"/>
            </w:tcBorders>
            <w:vAlign w:val="center"/>
          </w:tcPr>
          <w:p w14:paraId="41303891">
            <w:pPr>
              <w:pStyle w:val="16"/>
              <w:spacing w:before="31" w:after="31"/>
              <w:ind w:firstLine="0" w:firstLineChars="0"/>
              <w:jc w:val="center"/>
              <w:rPr>
                <w:sz w:val="21"/>
                <w:szCs w:val="21"/>
              </w:rPr>
            </w:pPr>
            <w:r>
              <w:rPr>
                <w:rFonts w:hint="eastAsia"/>
                <w:sz w:val="21"/>
                <w:szCs w:val="21"/>
              </w:rPr>
              <w:t>√</w:t>
            </w:r>
          </w:p>
        </w:tc>
        <w:tc>
          <w:tcPr>
            <w:tcW w:w="1270" w:type="dxa"/>
            <w:tcBorders>
              <w:top w:val="nil"/>
              <w:left w:val="nil"/>
              <w:bottom w:val="nil"/>
              <w:right w:val="nil"/>
            </w:tcBorders>
            <w:vAlign w:val="center"/>
          </w:tcPr>
          <w:p w14:paraId="71F6E9E4">
            <w:pPr>
              <w:pStyle w:val="16"/>
              <w:spacing w:before="31" w:after="31"/>
              <w:ind w:firstLine="0" w:firstLineChars="0"/>
              <w:jc w:val="center"/>
              <w:rPr>
                <w:sz w:val="21"/>
                <w:szCs w:val="21"/>
              </w:rPr>
            </w:pPr>
          </w:p>
        </w:tc>
        <w:tc>
          <w:tcPr>
            <w:tcW w:w="896" w:type="dxa"/>
            <w:tcBorders>
              <w:top w:val="nil"/>
              <w:left w:val="nil"/>
              <w:bottom w:val="nil"/>
              <w:right w:val="nil"/>
            </w:tcBorders>
            <w:vAlign w:val="center"/>
          </w:tcPr>
          <w:p w14:paraId="2877BA27">
            <w:pPr>
              <w:pStyle w:val="16"/>
              <w:spacing w:before="31" w:after="31"/>
              <w:ind w:firstLine="0" w:firstLineChars="0"/>
              <w:jc w:val="center"/>
              <w:rPr>
                <w:sz w:val="21"/>
                <w:szCs w:val="21"/>
              </w:rPr>
            </w:pPr>
          </w:p>
        </w:tc>
        <w:tc>
          <w:tcPr>
            <w:tcW w:w="1403" w:type="dxa"/>
            <w:tcBorders>
              <w:top w:val="nil"/>
              <w:left w:val="nil"/>
              <w:bottom w:val="nil"/>
              <w:right w:val="nil"/>
            </w:tcBorders>
            <w:vAlign w:val="center"/>
          </w:tcPr>
          <w:p w14:paraId="142D3A6B">
            <w:pPr>
              <w:pStyle w:val="16"/>
              <w:spacing w:before="31" w:after="31"/>
              <w:ind w:firstLine="0" w:firstLineChars="0"/>
              <w:jc w:val="center"/>
              <w:rPr>
                <w:sz w:val="21"/>
                <w:szCs w:val="21"/>
              </w:rPr>
            </w:pPr>
            <w:r>
              <w:rPr>
                <w:rFonts w:hint="eastAsia"/>
                <w:sz w:val="21"/>
                <w:szCs w:val="21"/>
              </w:rPr>
              <w:t>√</w:t>
            </w:r>
          </w:p>
        </w:tc>
      </w:tr>
      <w:tr w14:paraId="042353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9" w:type="dxa"/>
            <w:tcBorders>
              <w:top w:val="nil"/>
              <w:left w:val="nil"/>
              <w:bottom w:val="nil"/>
              <w:right w:val="nil"/>
            </w:tcBorders>
            <w:vAlign w:val="center"/>
          </w:tcPr>
          <w:p w14:paraId="3CDD7A71">
            <w:pPr>
              <w:pStyle w:val="16"/>
              <w:spacing w:before="31" w:after="31"/>
              <w:ind w:firstLine="0" w:firstLineChars="0"/>
              <w:jc w:val="center"/>
              <w:rPr>
                <w:sz w:val="21"/>
                <w:szCs w:val="21"/>
              </w:rPr>
            </w:pPr>
            <w:r>
              <w:rPr>
                <w:sz w:val="21"/>
                <w:szCs w:val="21"/>
              </w:rPr>
              <w:t>Case 4</w:t>
            </w:r>
          </w:p>
        </w:tc>
        <w:tc>
          <w:tcPr>
            <w:tcW w:w="3192" w:type="dxa"/>
            <w:tcBorders>
              <w:top w:val="nil"/>
              <w:left w:val="nil"/>
              <w:bottom w:val="nil"/>
              <w:right w:val="nil"/>
            </w:tcBorders>
            <w:vAlign w:val="center"/>
          </w:tcPr>
          <w:p w14:paraId="17AF05B0">
            <w:pPr>
              <w:pStyle w:val="16"/>
              <w:spacing w:before="31" w:after="31"/>
              <w:ind w:firstLine="0" w:firstLineChars="0"/>
              <w:jc w:val="left"/>
              <w:rPr>
                <w:sz w:val="21"/>
                <w:szCs w:val="21"/>
              </w:rPr>
            </w:pPr>
            <w:r>
              <w:rPr>
                <w:sz w:val="21"/>
                <w:szCs w:val="21"/>
              </w:rPr>
              <w:t>Failure of subcritical 300MW unit boiler water-cooled wall tube burst</w:t>
            </w:r>
          </w:p>
        </w:tc>
        <w:tc>
          <w:tcPr>
            <w:tcW w:w="635" w:type="dxa"/>
            <w:tcBorders>
              <w:top w:val="nil"/>
              <w:left w:val="nil"/>
              <w:bottom w:val="nil"/>
              <w:right w:val="nil"/>
            </w:tcBorders>
            <w:vAlign w:val="center"/>
          </w:tcPr>
          <w:p w14:paraId="3079F31A">
            <w:pPr>
              <w:pStyle w:val="16"/>
              <w:spacing w:before="31" w:after="31"/>
              <w:ind w:firstLine="0" w:firstLineChars="0"/>
              <w:jc w:val="center"/>
              <w:rPr>
                <w:sz w:val="21"/>
                <w:szCs w:val="21"/>
              </w:rPr>
            </w:pPr>
          </w:p>
        </w:tc>
        <w:tc>
          <w:tcPr>
            <w:tcW w:w="1270" w:type="dxa"/>
            <w:tcBorders>
              <w:top w:val="nil"/>
              <w:left w:val="nil"/>
              <w:bottom w:val="nil"/>
              <w:right w:val="nil"/>
            </w:tcBorders>
            <w:vAlign w:val="center"/>
          </w:tcPr>
          <w:p w14:paraId="516FEED5">
            <w:pPr>
              <w:pStyle w:val="16"/>
              <w:spacing w:before="31" w:after="31"/>
              <w:ind w:firstLine="0" w:firstLineChars="0"/>
              <w:jc w:val="center"/>
              <w:rPr>
                <w:sz w:val="21"/>
                <w:szCs w:val="21"/>
              </w:rPr>
            </w:pPr>
            <w:r>
              <w:rPr>
                <w:rFonts w:hint="eastAsia"/>
                <w:sz w:val="21"/>
                <w:szCs w:val="21"/>
              </w:rPr>
              <w:t>√</w:t>
            </w:r>
          </w:p>
        </w:tc>
        <w:tc>
          <w:tcPr>
            <w:tcW w:w="896" w:type="dxa"/>
            <w:tcBorders>
              <w:top w:val="nil"/>
              <w:left w:val="nil"/>
              <w:bottom w:val="nil"/>
              <w:right w:val="nil"/>
            </w:tcBorders>
            <w:vAlign w:val="center"/>
          </w:tcPr>
          <w:p w14:paraId="4E2A38AB">
            <w:pPr>
              <w:pStyle w:val="16"/>
              <w:spacing w:before="31" w:after="31"/>
              <w:ind w:firstLine="0" w:firstLineChars="0"/>
              <w:jc w:val="center"/>
              <w:rPr>
                <w:sz w:val="21"/>
                <w:szCs w:val="21"/>
              </w:rPr>
            </w:pPr>
          </w:p>
        </w:tc>
        <w:tc>
          <w:tcPr>
            <w:tcW w:w="1403" w:type="dxa"/>
            <w:tcBorders>
              <w:top w:val="nil"/>
              <w:left w:val="nil"/>
              <w:bottom w:val="nil"/>
              <w:right w:val="nil"/>
            </w:tcBorders>
            <w:vAlign w:val="center"/>
          </w:tcPr>
          <w:p w14:paraId="44CCE96A">
            <w:pPr>
              <w:pStyle w:val="16"/>
              <w:spacing w:before="31" w:after="31"/>
              <w:ind w:firstLine="0" w:firstLineChars="0"/>
              <w:jc w:val="center"/>
              <w:rPr>
                <w:sz w:val="21"/>
                <w:szCs w:val="21"/>
              </w:rPr>
            </w:pPr>
            <w:r>
              <w:rPr>
                <w:rFonts w:hint="eastAsia"/>
                <w:sz w:val="21"/>
                <w:szCs w:val="21"/>
              </w:rPr>
              <w:t>√</w:t>
            </w:r>
          </w:p>
        </w:tc>
      </w:tr>
      <w:tr w14:paraId="161D56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9" w:type="dxa"/>
            <w:tcBorders>
              <w:top w:val="nil"/>
              <w:left w:val="nil"/>
              <w:bottom w:val="nil"/>
              <w:right w:val="nil"/>
            </w:tcBorders>
            <w:vAlign w:val="center"/>
          </w:tcPr>
          <w:p w14:paraId="5A497CCC">
            <w:pPr>
              <w:pStyle w:val="16"/>
              <w:spacing w:before="31" w:after="31"/>
              <w:ind w:firstLine="0" w:firstLineChars="0"/>
              <w:jc w:val="center"/>
              <w:rPr>
                <w:sz w:val="21"/>
                <w:szCs w:val="21"/>
              </w:rPr>
            </w:pPr>
            <w:r>
              <w:rPr>
                <w:sz w:val="21"/>
                <w:szCs w:val="21"/>
              </w:rPr>
              <w:t>Case 5</w:t>
            </w:r>
          </w:p>
        </w:tc>
        <w:tc>
          <w:tcPr>
            <w:tcW w:w="3192" w:type="dxa"/>
            <w:tcBorders>
              <w:top w:val="nil"/>
              <w:left w:val="nil"/>
              <w:bottom w:val="nil"/>
              <w:right w:val="nil"/>
            </w:tcBorders>
            <w:vAlign w:val="center"/>
          </w:tcPr>
          <w:p w14:paraId="504594DF">
            <w:pPr>
              <w:pStyle w:val="16"/>
              <w:spacing w:before="31" w:after="31"/>
              <w:ind w:firstLine="0" w:firstLineChars="0"/>
              <w:jc w:val="left"/>
              <w:rPr>
                <w:sz w:val="21"/>
                <w:szCs w:val="21"/>
              </w:rPr>
            </w:pPr>
            <w:r>
              <w:rPr>
                <w:sz w:val="21"/>
                <w:szCs w:val="21"/>
              </w:rPr>
              <w:t>Corrosive failure of N80 oil well main water pipe</w:t>
            </w:r>
          </w:p>
        </w:tc>
        <w:tc>
          <w:tcPr>
            <w:tcW w:w="635" w:type="dxa"/>
            <w:tcBorders>
              <w:top w:val="nil"/>
              <w:left w:val="nil"/>
              <w:bottom w:val="nil"/>
              <w:right w:val="nil"/>
            </w:tcBorders>
            <w:vAlign w:val="center"/>
          </w:tcPr>
          <w:p w14:paraId="186D0508">
            <w:pPr>
              <w:pStyle w:val="16"/>
              <w:spacing w:before="31" w:after="31"/>
              <w:ind w:firstLine="0" w:firstLineChars="0"/>
              <w:jc w:val="center"/>
              <w:rPr>
                <w:sz w:val="21"/>
                <w:szCs w:val="21"/>
              </w:rPr>
            </w:pPr>
          </w:p>
        </w:tc>
        <w:tc>
          <w:tcPr>
            <w:tcW w:w="1270" w:type="dxa"/>
            <w:tcBorders>
              <w:top w:val="nil"/>
              <w:left w:val="nil"/>
              <w:bottom w:val="nil"/>
              <w:right w:val="nil"/>
            </w:tcBorders>
            <w:vAlign w:val="center"/>
          </w:tcPr>
          <w:p w14:paraId="2966CB77">
            <w:pPr>
              <w:pStyle w:val="16"/>
              <w:spacing w:before="31" w:after="31"/>
              <w:ind w:firstLine="0" w:firstLineChars="0"/>
              <w:jc w:val="center"/>
              <w:rPr>
                <w:sz w:val="21"/>
                <w:szCs w:val="21"/>
              </w:rPr>
            </w:pPr>
          </w:p>
        </w:tc>
        <w:tc>
          <w:tcPr>
            <w:tcW w:w="896" w:type="dxa"/>
            <w:tcBorders>
              <w:top w:val="nil"/>
              <w:left w:val="nil"/>
              <w:bottom w:val="nil"/>
              <w:right w:val="nil"/>
            </w:tcBorders>
            <w:vAlign w:val="center"/>
          </w:tcPr>
          <w:p w14:paraId="6798599D">
            <w:pPr>
              <w:pStyle w:val="16"/>
              <w:spacing w:before="31" w:after="31"/>
              <w:ind w:firstLine="0" w:firstLineChars="0"/>
              <w:jc w:val="center"/>
              <w:rPr>
                <w:sz w:val="21"/>
                <w:szCs w:val="21"/>
              </w:rPr>
            </w:pPr>
          </w:p>
        </w:tc>
        <w:tc>
          <w:tcPr>
            <w:tcW w:w="1403" w:type="dxa"/>
            <w:tcBorders>
              <w:top w:val="nil"/>
              <w:left w:val="nil"/>
              <w:bottom w:val="nil"/>
              <w:right w:val="nil"/>
            </w:tcBorders>
            <w:vAlign w:val="center"/>
          </w:tcPr>
          <w:p w14:paraId="5AB2BD84">
            <w:pPr>
              <w:pStyle w:val="16"/>
              <w:spacing w:before="31" w:after="31"/>
              <w:ind w:firstLine="0" w:firstLineChars="0"/>
              <w:jc w:val="center"/>
              <w:rPr>
                <w:sz w:val="21"/>
                <w:szCs w:val="21"/>
              </w:rPr>
            </w:pPr>
            <w:r>
              <w:rPr>
                <w:rFonts w:hint="eastAsia"/>
                <w:sz w:val="21"/>
                <w:szCs w:val="21"/>
              </w:rPr>
              <w:t>√</w:t>
            </w:r>
          </w:p>
        </w:tc>
      </w:tr>
      <w:tr w14:paraId="6255B4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9" w:type="dxa"/>
            <w:tcBorders>
              <w:top w:val="nil"/>
              <w:left w:val="nil"/>
              <w:bottom w:val="nil"/>
              <w:right w:val="nil"/>
            </w:tcBorders>
            <w:vAlign w:val="center"/>
          </w:tcPr>
          <w:p w14:paraId="7E99EA98">
            <w:pPr>
              <w:pStyle w:val="16"/>
              <w:spacing w:before="31" w:after="31"/>
              <w:ind w:firstLine="0" w:firstLineChars="0"/>
              <w:jc w:val="center"/>
              <w:rPr>
                <w:sz w:val="21"/>
                <w:szCs w:val="21"/>
              </w:rPr>
            </w:pPr>
            <w:r>
              <w:rPr>
                <w:sz w:val="21"/>
                <w:szCs w:val="21"/>
              </w:rPr>
              <w:t>Case 6</w:t>
            </w:r>
          </w:p>
        </w:tc>
        <w:tc>
          <w:tcPr>
            <w:tcW w:w="3192" w:type="dxa"/>
            <w:tcBorders>
              <w:top w:val="nil"/>
              <w:left w:val="nil"/>
              <w:bottom w:val="nil"/>
              <w:right w:val="nil"/>
            </w:tcBorders>
            <w:vAlign w:val="center"/>
          </w:tcPr>
          <w:p w14:paraId="71C9BDA8">
            <w:pPr>
              <w:pStyle w:val="16"/>
              <w:spacing w:before="31" w:after="31"/>
              <w:ind w:firstLine="0" w:firstLineChars="0"/>
              <w:jc w:val="left"/>
              <w:rPr>
                <w:sz w:val="21"/>
                <w:szCs w:val="21"/>
              </w:rPr>
            </w:pPr>
            <w:r>
              <w:rPr>
                <w:sz w:val="21"/>
                <w:szCs w:val="21"/>
              </w:rPr>
              <w:tab/>
            </w:r>
            <w:r>
              <w:rPr>
                <w:sz w:val="21"/>
                <w:szCs w:val="21"/>
              </w:rPr>
              <w:t>Cracking failure of petroleum drilling bit</w:t>
            </w:r>
          </w:p>
        </w:tc>
        <w:tc>
          <w:tcPr>
            <w:tcW w:w="635" w:type="dxa"/>
            <w:tcBorders>
              <w:top w:val="nil"/>
              <w:left w:val="nil"/>
              <w:bottom w:val="nil"/>
              <w:right w:val="nil"/>
            </w:tcBorders>
            <w:vAlign w:val="center"/>
          </w:tcPr>
          <w:p w14:paraId="637DBA5C">
            <w:pPr>
              <w:pStyle w:val="16"/>
              <w:spacing w:before="31" w:after="31"/>
              <w:ind w:firstLine="0" w:firstLineChars="0"/>
              <w:jc w:val="center"/>
              <w:rPr>
                <w:sz w:val="21"/>
                <w:szCs w:val="21"/>
              </w:rPr>
            </w:pPr>
          </w:p>
        </w:tc>
        <w:tc>
          <w:tcPr>
            <w:tcW w:w="1270" w:type="dxa"/>
            <w:tcBorders>
              <w:top w:val="nil"/>
              <w:left w:val="nil"/>
              <w:bottom w:val="nil"/>
              <w:right w:val="nil"/>
            </w:tcBorders>
            <w:vAlign w:val="center"/>
          </w:tcPr>
          <w:p w14:paraId="69633DA7">
            <w:pPr>
              <w:pStyle w:val="16"/>
              <w:spacing w:before="31" w:after="31"/>
              <w:ind w:firstLine="0" w:firstLineChars="0"/>
              <w:jc w:val="center"/>
              <w:rPr>
                <w:sz w:val="21"/>
                <w:szCs w:val="21"/>
              </w:rPr>
            </w:pPr>
            <w:r>
              <w:rPr>
                <w:rFonts w:hint="eastAsia"/>
                <w:sz w:val="21"/>
                <w:szCs w:val="21"/>
              </w:rPr>
              <w:t>√</w:t>
            </w:r>
          </w:p>
        </w:tc>
        <w:tc>
          <w:tcPr>
            <w:tcW w:w="896" w:type="dxa"/>
            <w:tcBorders>
              <w:top w:val="nil"/>
              <w:left w:val="nil"/>
              <w:bottom w:val="nil"/>
              <w:right w:val="nil"/>
            </w:tcBorders>
            <w:vAlign w:val="center"/>
          </w:tcPr>
          <w:p w14:paraId="1F410E88">
            <w:pPr>
              <w:pStyle w:val="16"/>
              <w:spacing w:before="31" w:after="31"/>
              <w:ind w:firstLine="0" w:firstLineChars="0"/>
              <w:jc w:val="center"/>
              <w:rPr>
                <w:sz w:val="21"/>
                <w:szCs w:val="21"/>
              </w:rPr>
            </w:pPr>
            <w:r>
              <w:rPr>
                <w:rFonts w:hint="eastAsia"/>
                <w:sz w:val="21"/>
                <w:szCs w:val="21"/>
              </w:rPr>
              <w:t>√</w:t>
            </w:r>
          </w:p>
        </w:tc>
        <w:tc>
          <w:tcPr>
            <w:tcW w:w="1403" w:type="dxa"/>
            <w:tcBorders>
              <w:top w:val="nil"/>
              <w:left w:val="nil"/>
              <w:bottom w:val="nil"/>
              <w:right w:val="nil"/>
            </w:tcBorders>
            <w:vAlign w:val="center"/>
          </w:tcPr>
          <w:p w14:paraId="1DD7293C">
            <w:pPr>
              <w:pStyle w:val="16"/>
              <w:spacing w:before="31" w:after="31"/>
              <w:ind w:firstLine="0" w:firstLineChars="0"/>
              <w:jc w:val="center"/>
              <w:rPr>
                <w:sz w:val="21"/>
                <w:szCs w:val="21"/>
              </w:rPr>
            </w:pPr>
          </w:p>
        </w:tc>
      </w:tr>
      <w:tr w14:paraId="6D21AD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9" w:type="dxa"/>
            <w:tcBorders>
              <w:top w:val="nil"/>
              <w:left w:val="nil"/>
              <w:bottom w:val="nil"/>
              <w:right w:val="nil"/>
            </w:tcBorders>
            <w:vAlign w:val="center"/>
          </w:tcPr>
          <w:p w14:paraId="0CFEF8BA">
            <w:pPr>
              <w:pStyle w:val="16"/>
              <w:spacing w:before="31" w:after="31"/>
              <w:ind w:firstLine="0" w:firstLineChars="0"/>
              <w:jc w:val="center"/>
              <w:rPr>
                <w:sz w:val="21"/>
                <w:szCs w:val="21"/>
              </w:rPr>
            </w:pPr>
            <w:r>
              <w:rPr>
                <w:sz w:val="21"/>
                <w:szCs w:val="21"/>
              </w:rPr>
              <w:t>Case 7</w:t>
            </w:r>
          </w:p>
        </w:tc>
        <w:tc>
          <w:tcPr>
            <w:tcW w:w="3192" w:type="dxa"/>
            <w:tcBorders>
              <w:top w:val="nil"/>
              <w:left w:val="nil"/>
              <w:bottom w:val="nil"/>
              <w:right w:val="nil"/>
            </w:tcBorders>
            <w:vAlign w:val="center"/>
          </w:tcPr>
          <w:p w14:paraId="2C98BD8E">
            <w:pPr>
              <w:pStyle w:val="16"/>
              <w:spacing w:before="31" w:after="31"/>
              <w:ind w:firstLine="0" w:firstLineChars="0"/>
              <w:jc w:val="left"/>
              <w:rPr>
                <w:sz w:val="21"/>
                <w:szCs w:val="21"/>
              </w:rPr>
            </w:pPr>
            <w:r>
              <w:rPr>
                <w:sz w:val="21"/>
                <w:szCs w:val="21"/>
              </w:rPr>
              <w:t>Failure of high-strength anchor rod</w:t>
            </w:r>
          </w:p>
        </w:tc>
        <w:tc>
          <w:tcPr>
            <w:tcW w:w="635" w:type="dxa"/>
            <w:tcBorders>
              <w:top w:val="nil"/>
              <w:left w:val="nil"/>
              <w:bottom w:val="nil"/>
              <w:right w:val="nil"/>
            </w:tcBorders>
            <w:vAlign w:val="center"/>
          </w:tcPr>
          <w:p w14:paraId="7AACBD16">
            <w:pPr>
              <w:pStyle w:val="16"/>
              <w:spacing w:before="31" w:after="31"/>
              <w:ind w:firstLine="0" w:firstLineChars="0"/>
              <w:jc w:val="center"/>
              <w:rPr>
                <w:sz w:val="21"/>
                <w:szCs w:val="21"/>
              </w:rPr>
            </w:pPr>
            <w:r>
              <w:rPr>
                <w:rFonts w:hint="eastAsia"/>
                <w:sz w:val="21"/>
                <w:szCs w:val="21"/>
              </w:rPr>
              <w:t>√</w:t>
            </w:r>
          </w:p>
        </w:tc>
        <w:tc>
          <w:tcPr>
            <w:tcW w:w="1270" w:type="dxa"/>
            <w:tcBorders>
              <w:top w:val="nil"/>
              <w:left w:val="nil"/>
              <w:bottom w:val="nil"/>
              <w:right w:val="nil"/>
            </w:tcBorders>
            <w:vAlign w:val="center"/>
          </w:tcPr>
          <w:p w14:paraId="4FDEE04A">
            <w:pPr>
              <w:pStyle w:val="16"/>
              <w:spacing w:before="31" w:after="31"/>
              <w:ind w:firstLine="0" w:firstLineChars="0"/>
              <w:jc w:val="center"/>
              <w:rPr>
                <w:sz w:val="21"/>
                <w:szCs w:val="21"/>
              </w:rPr>
            </w:pPr>
          </w:p>
        </w:tc>
        <w:tc>
          <w:tcPr>
            <w:tcW w:w="896" w:type="dxa"/>
            <w:tcBorders>
              <w:top w:val="nil"/>
              <w:left w:val="nil"/>
              <w:bottom w:val="nil"/>
              <w:right w:val="nil"/>
            </w:tcBorders>
            <w:vAlign w:val="center"/>
          </w:tcPr>
          <w:p w14:paraId="344F54EB">
            <w:pPr>
              <w:pStyle w:val="16"/>
              <w:spacing w:before="31" w:after="31"/>
              <w:ind w:firstLine="0" w:firstLineChars="0"/>
              <w:jc w:val="center"/>
              <w:rPr>
                <w:sz w:val="21"/>
                <w:szCs w:val="21"/>
              </w:rPr>
            </w:pPr>
            <w:r>
              <w:rPr>
                <w:rFonts w:hint="eastAsia"/>
                <w:sz w:val="21"/>
                <w:szCs w:val="21"/>
              </w:rPr>
              <w:t>√</w:t>
            </w:r>
          </w:p>
        </w:tc>
        <w:tc>
          <w:tcPr>
            <w:tcW w:w="1403" w:type="dxa"/>
            <w:tcBorders>
              <w:top w:val="nil"/>
              <w:left w:val="nil"/>
              <w:bottom w:val="nil"/>
              <w:right w:val="nil"/>
            </w:tcBorders>
            <w:vAlign w:val="center"/>
          </w:tcPr>
          <w:p w14:paraId="627993A3">
            <w:pPr>
              <w:pStyle w:val="16"/>
              <w:spacing w:before="31" w:after="31"/>
              <w:ind w:firstLine="0" w:firstLineChars="0"/>
              <w:jc w:val="center"/>
              <w:rPr>
                <w:sz w:val="21"/>
                <w:szCs w:val="21"/>
              </w:rPr>
            </w:pPr>
          </w:p>
        </w:tc>
      </w:tr>
      <w:tr w14:paraId="632709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9" w:type="dxa"/>
            <w:tcBorders>
              <w:top w:val="nil"/>
              <w:left w:val="nil"/>
              <w:bottom w:val="nil"/>
              <w:right w:val="nil"/>
            </w:tcBorders>
            <w:vAlign w:val="center"/>
          </w:tcPr>
          <w:p w14:paraId="3FF6E292">
            <w:pPr>
              <w:pStyle w:val="16"/>
              <w:spacing w:before="31" w:after="31"/>
              <w:ind w:firstLine="0" w:firstLineChars="0"/>
              <w:jc w:val="center"/>
              <w:rPr>
                <w:sz w:val="21"/>
                <w:szCs w:val="21"/>
              </w:rPr>
            </w:pPr>
            <w:r>
              <w:rPr>
                <w:sz w:val="21"/>
                <w:szCs w:val="21"/>
              </w:rPr>
              <w:t>Case 8</w:t>
            </w:r>
          </w:p>
        </w:tc>
        <w:tc>
          <w:tcPr>
            <w:tcW w:w="3192" w:type="dxa"/>
            <w:tcBorders>
              <w:top w:val="nil"/>
              <w:left w:val="nil"/>
              <w:bottom w:val="nil"/>
              <w:right w:val="nil"/>
            </w:tcBorders>
            <w:vAlign w:val="center"/>
          </w:tcPr>
          <w:p w14:paraId="7D5EC165">
            <w:pPr>
              <w:pStyle w:val="16"/>
              <w:spacing w:before="31" w:after="31"/>
              <w:ind w:firstLine="0" w:firstLineChars="0"/>
              <w:jc w:val="left"/>
              <w:rPr>
                <w:sz w:val="21"/>
                <w:szCs w:val="21"/>
              </w:rPr>
            </w:pPr>
            <w:r>
              <w:rPr>
                <w:sz w:val="21"/>
                <w:szCs w:val="21"/>
              </w:rPr>
              <w:t>Failure of petroleum casing</w:t>
            </w:r>
          </w:p>
        </w:tc>
        <w:tc>
          <w:tcPr>
            <w:tcW w:w="635" w:type="dxa"/>
            <w:tcBorders>
              <w:top w:val="nil"/>
              <w:left w:val="nil"/>
              <w:bottom w:val="nil"/>
              <w:right w:val="nil"/>
            </w:tcBorders>
            <w:vAlign w:val="center"/>
          </w:tcPr>
          <w:p w14:paraId="372E2F09">
            <w:pPr>
              <w:pStyle w:val="16"/>
              <w:spacing w:before="31" w:after="31"/>
              <w:ind w:firstLine="0" w:firstLineChars="0"/>
              <w:jc w:val="center"/>
              <w:rPr>
                <w:sz w:val="21"/>
                <w:szCs w:val="21"/>
              </w:rPr>
            </w:pPr>
          </w:p>
        </w:tc>
        <w:tc>
          <w:tcPr>
            <w:tcW w:w="1270" w:type="dxa"/>
            <w:tcBorders>
              <w:top w:val="nil"/>
              <w:left w:val="nil"/>
              <w:bottom w:val="nil"/>
              <w:right w:val="nil"/>
            </w:tcBorders>
            <w:vAlign w:val="center"/>
          </w:tcPr>
          <w:p w14:paraId="01CF431E">
            <w:pPr>
              <w:pStyle w:val="16"/>
              <w:spacing w:before="31" w:after="31"/>
              <w:ind w:firstLine="0" w:firstLineChars="0"/>
              <w:jc w:val="center"/>
              <w:rPr>
                <w:sz w:val="21"/>
                <w:szCs w:val="21"/>
              </w:rPr>
            </w:pPr>
            <w:r>
              <w:rPr>
                <w:rFonts w:hint="eastAsia"/>
                <w:sz w:val="21"/>
                <w:szCs w:val="21"/>
              </w:rPr>
              <w:t>√</w:t>
            </w:r>
          </w:p>
        </w:tc>
        <w:tc>
          <w:tcPr>
            <w:tcW w:w="896" w:type="dxa"/>
            <w:tcBorders>
              <w:top w:val="nil"/>
              <w:left w:val="nil"/>
              <w:bottom w:val="nil"/>
              <w:right w:val="nil"/>
            </w:tcBorders>
            <w:vAlign w:val="center"/>
          </w:tcPr>
          <w:p w14:paraId="074E7705">
            <w:pPr>
              <w:pStyle w:val="16"/>
              <w:spacing w:before="31" w:after="31"/>
              <w:ind w:firstLine="0" w:firstLineChars="0"/>
              <w:jc w:val="center"/>
              <w:rPr>
                <w:sz w:val="21"/>
                <w:szCs w:val="21"/>
              </w:rPr>
            </w:pPr>
          </w:p>
        </w:tc>
        <w:tc>
          <w:tcPr>
            <w:tcW w:w="1403" w:type="dxa"/>
            <w:tcBorders>
              <w:top w:val="nil"/>
              <w:left w:val="nil"/>
              <w:bottom w:val="nil"/>
              <w:right w:val="nil"/>
            </w:tcBorders>
            <w:vAlign w:val="center"/>
          </w:tcPr>
          <w:p w14:paraId="6838B93B">
            <w:pPr>
              <w:pStyle w:val="16"/>
              <w:spacing w:before="31" w:after="31"/>
              <w:ind w:firstLine="0" w:firstLineChars="0"/>
              <w:jc w:val="center"/>
              <w:rPr>
                <w:sz w:val="21"/>
                <w:szCs w:val="21"/>
              </w:rPr>
            </w:pPr>
          </w:p>
        </w:tc>
      </w:tr>
      <w:tr w14:paraId="01B131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9" w:type="dxa"/>
            <w:tcBorders>
              <w:top w:val="nil"/>
              <w:left w:val="nil"/>
              <w:bottom w:val="nil"/>
              <w:right w:val="nil"/>
            </w:tcBorders>
            <w:vAlign w:val="center"/>
          </w:tcPr>
          <w:p w14:paraId="6B924514">
            <w:pPr>
              <w:pStyle w:val="16"/>
              <w:spacing w:before="31" w:after="31"/>
              <w:ind w:firstLine="0" w:firstLineChars="0"/>
              <w:jc w:val="center"/>
              <w:rPr>
                <w:sz w:val="21"/>
                <w:szCs w:val="21"/>
              </w:rPr>
            </w:pPr>
            <w:r>
              <w:rPr>
                <w:sz w:val="21"/>
                <w:szCs w:val="21"/>
              </w:rPr>
              <w:t>Case 9</w:t>
            </w:r>
          </w:p>
        </w:tc>
        <w:tc>
          <w:tcPr>
            <w:tcW w:w="3192" w:type="dxa"/>
            <w:tcBorders>
              <w:top w:val="nil"/>
              <w:left w:val="nil"/>
              <w:bottom w:val="nil"/>
              <w:right w:val="nil"/>
            </w:tcBorders>
            <w:vAlign w:val="center"/>
          </w:tcPr>
          <w:p w14:paraId="657113EA">
            <w:pPr>
              <w:pStyle w:val="16"/>
              <w:spacing w:before="31" w:after="31"/>
              <w:ind w:firstLine="0" w:firstLineChars="0"/>
              <w:jc w:val="left"/>
              <w:rPr>
                <w:sz w:val="21"/>
                <w:szCs w:val="21"/>
              </w:rPr>
            </w:pPr>
            <w:r>
              <w:rPr>
                <w:sz w:val="21"/>
                <w:szCs w:val="21"/>
              </w:rPr>
              <w:t>Penetration failure of S135 drill rod body</w:t>
            </w:r>
          </w:p>
        </w:tc>
        <w:tc>
          <w:tcPr>
            <w:tcW w:w="635" w:type="dxa"/>
            <w:tcBorders>
              <w:top w:val="nil"/>
              <w:left w:val="nil"/>
              <w:bottom w:val="nil"/>
              <w:right w:val="nil"/>
            </w:tcBorders>
            <w:vAlign w:val="center"/>
          </w:tcPr>
          <w:p w14:paraId="3E15D764">
            <w:pPr>
              <w:pStyle w:val="16"/>
              <w:spacing w:before="31" w:after="31"/>
              <w:ind w:firstLine="0" w:firstLineChars="0"/>
              <w:jc w:val="center"/>
              <w:rPr>
                <w:sz w:val="21"/>
                <w:szCs w:val="21"/>
              </w:rPr>
            </w:pPr>
          </w:p>
        </w:tc>
        <w:tc>
          <w:tcPr>
            <w:tcW w:w="1270" w:type="dxa"/>
            <w:tcBorders>
              <w:top w:val="nil"/>
              <w:left w:val="nil"/>
              <w:bottom w:val="nil"/>
              <w:right w:val="nil"/>
            </w:tcBorders>
            <w:vAlign w:val="center"/>
          </w:tcPr>
          <w:p w14:paraId="66F4F9EF">
            <w:pPr>
              <w:pStyle w:val="16"/>
              <w:spacing w:before="31" w:after="31"/>
              <w:ind w:firstLine="0" w:firstLineChars="0"/>
              <w:jc w:val="center"/>
              <w:rPr>
                <w:sz w:val="21"/>
                <w:szCs w:val="21"/>
              </w:rPr>
            </w:pPr>
            <w:r>
              <w:rPr>
                <w:rFonts w:hint="eastAsia"/>
                <w:sz w:val="21"/>
                <w:szCs w:val="21"/>
              </w:rPr>
              <w:t>√</w:t>
            </w:r>
          </w:p>
        </w:tc>
        <w:tc>
          <w:tcPr>
            <w:tcW w:w="896" w:type="dxa"/>
            <w:tcBorders>
              <w:top w:val="nil"/>
              <w:left w:val="nil"/>
              <w:bottom w:val="nil"/>
              <w:right w:val="nil"/>
            </w:tcBorders>
            <w:vAlign w:val="center"/>
          </w:tcPr>
          <w:p w14:paraId="5F252129">
            <w:pPr>
              <w:pStyle w:val="16"/>
              <w:spacing w:before="31" w:after="31"/>
              <w:ind w:firstLine="0" w:firstLineChars="0"/>
              <w:jc w:val="center"/>
              <w:rPr>
                <w:sz w:val="21"/>
                <w:szCs w:val="21"/>
              </w:rPr>
            </w:pPr>
          </w:p>
        </w:tc>
        <w:tc>
          <w:tcPr>
            <w:tcW w:w="1403" w:type="dxa"/>
            <w:tcBorders>
              <w:top w:val="nil"/>
              <w:left w:val="nil"/>
              <w:bottom w:val="nil"/>
              <w:right w:val="nil"/>
            </w:tcBorders>
            <w:vAlign w:val="center"/>
          </w:tcPr>
          <w:p w14:paraId="2E760BD8">
            <w:pPr>
              <w:pStyle w:val="16"/>
              <w:spacing w:before="31" w:after="31"/>
              <w:ind w:firstLine="0" w:firstLineChars="0"/>
              <w:jc w:val="center"/>
              <w:rPr>
                <w:sz w:val="21"/>
                <w:szCs w:val="21"/>
              </w:rPr>
            </w:pPr>
            <w:r>
              <w:rPr>
                <w:rFonts w:hint="eastAsia"/>
                <w:sz w:val="21"/>
                <w:szCs w:val="21"/>
              </w:rPr>
              <w:t>√</w:t>
            </w:r>
          </w:p>
        </w:tc>
      </w:tr>
      <w:tr w14:paraId="152391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9" w:type="dxa"/>
            <w:tcBorders>
              <w:top w:val="nil"/>
              <w:left w:val="nil"/>
              <w:bottom w:val="nil"/>
              <w:right w:val="nil"/>
            </w:tcBorders>
            <w:vAlign w:val="center"/>
          </w:tcPr>
          <w:p w14:paraId="05B7EDFB">
            <w:pPr>
              <w:pStyle w:val="16"/>
              <w:spacing w:before="31" w:after="31"/>
              <w:ind w:firstLine="0" w:firstLineChars="0"/>
              <w:jc w:val="center"/>
              <w:rPr>
                <w:sz w:val="21"/>
                <w:szCs w:val="21"/>
              </w:rPr>
            </w:pPr>
            <w:r>
              <w:rPr>
                <w:sz w:val="21"/>
                <w:szCs w:val="21"/>
              </w:rPr>
              <w:t>Case 10</w:t>
            </w:r>
          </w:p>
        </w:tc>
        <w:tc>
          <w:tcPr>
            <w:tcW w:w="3192" w:type="dxa"/>
            <w:tcBorders>
              <w:top w:val="nil"/>
              <w:left w:val="nil"/>
              <w:bottom w:val="nil"/>
              <w:right w:val="nil"/>
            </w:tcBorders>
            <w:vAlign w:val="center"/>
          </w:tcPr>
          <w:p w14:paraId="7C3161DE">
            <w:pPr>
              <w:pStyle w:val="16"/>
              <w:spacing w:before="31" w:after="31"/>
              <w:ind w:firstLine="0" w:firstLineChars="0"/>
              <w:jc w:val="left"/>
              <w:rPr>
                <w:sz w:val="21"/>
                <w:szCs w:val="21"/>
              </w:rPr>
            </w:pPr>
            <w:r>
              <w:rPr>
                <w:sz w:val="21"/>
                <w:szCs w:val="21"/>
              </w:rPr>
              <w:t>Cracking of SH150 type double-arm lifting ring</w:t>
            </w:r>
          </w:p>
        </w:tc>
        <w:tc>
          <w:tcPr>
            <w:tcW w:w="635" w:type="dxa"/>
            <w:tcBorders>
              <w:top w:val="nil"/>
              <w:left w:val="nil"/>
              <w:bottom w:val="nil"/>
              <w:right w:val="nil"/>
            </w:tcBorders>
            <w:vAlign w:val="center"/>
          </w:tcPr>
          <w:p w14:paraId="0D846E83">
            <w:pPr>
              <w:pStyle w:val="16"/>
              <w:spacing w:before="31" w:after="31"/>
              <w:ind w:firstLine="0" w:firstLineChars="0"/>
              <w:jc w:val="center"/>
              <w:rPr>
                <w:sz w:val="21"/>
                <w:szCs w:val="21"/>
              </w:rPr>
            </w:pPr>
            <w:r>
              <w:rPr>
                <w:rFonts w:hint="eastAsia"/>
                <w:sz w:val="21"/>
                <w:szCs w:val="21"/>
              </w:rPr>
              <w:t>√</w:t>
            </w:r>
          </w:p>
        </w:tc>
        <w:tc>
          <w:tcPr>
            <w:tcW w:w="1270" w:type="dxa"/>
            <w:tcBorders>
              <w:top w:val="nil"/>
              <w:left w:val="nil"/>
              <w:bottom w:val="nil"/>
              <w:right w:val="nil"/>
            </w:tcBorders>
            <w:vAlign w:val="center"/>
          </w:tcPr>
          <w:p w14:paraId="2C905F4C">
            <w:pPr>
              <w:pStyle w:val="16"/>
              <w:spacing w:before="31" w:after="31"/>
              <w:ind w:firstLine="0" w:firstLineChars="0"/>
              <w:jc w:val="center"/>
              <w:rPr>
                <w:sz w:val="21"/>
                <w:szCs w:val="21"/>
              </w:rPr>
            </w:pPr>
          </w:p>
        </w:tc>
        <w:tc>
          <w:tcPr>
            <w:tcW w:w="896" w:type="dxa"/>
            <w:tcBorders>
              <w:top w:val="nil"/>
              <w:left w:val="nil"/>
              <w:bottom w:val="nil"/>
              <w:right w:val="nil"/>
            </w:tcBorders>
            <w:vAlign w:val="center"/>
          </w:tcPr>
          <w:p w14:paraId="39A4B9EE">
            <w:pPr>
              <w:pStyle w:val="16"/>
              <w:spacing w:before="31" w:after="31"/>
              <w:ind w:firstLine="0" w:firstLineChars="0"/>
              <w:jc w:val="center"/>
              <w:rPr>
                <w:sz w:val="21"/>
                <w:szCs w:val="21"/>
              </w:rPr>
            </w:pPr>
          </w:p>
        </w:tc>
        <w:tc>
          <w:tcPr>
            <w:tcW w:w="1403" w:type="dxa"/>
            <w:tcBorders>
              <w:top w:val="nil"/>
              <w:left w:val="nil"/>
              <w:bottom w:val="nil"/>
              <w:right w:val="nil"/>
            </w:tcBorders>
            <w:vAlign w:val="center"/>
          </w:tcPr>
          <w:p w14:paraId="7F7DB8B2">
            <w:pPr>
              <w:pStyle w:val="16"/>
              <w:spacing w:before="31" w:after="31"/>
              <w:ind w:firstLine="0" w:firstLineChars="0"/>
              <w:jc w:val="center"/>
              <w:rPr>
                <w:sz w:val="21"/>
                <w:szCs w:val="21"/>
              </w:rPr>
            </w:pPr>
            <w:r>
              <w:rPr>
                <w:rFonts w:hint="eastAsia"/>
                <w:sz w:val="21"/>
                <w:szCs w:val="21"/>
              </w:rPr>
              <w:t>√</w:t>
            </w:r>
          </w:p>
        </w:tc>
      </w:tr>
      <w:tr w14:paraId="227F77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9" w:type="dxa"/>
            <w:tcBorders>
              <w:top w:val="nil"/>
              <w:left w:val="nil"/>
              <w:bottom w:val="nil"/>
              <w:right w:val="nil"/>
            </w:tcBorders>
            <w:vAlign w:val="center"/>
          </w:tcPr>
          <w:p w14:paraId="1098945C">
            <w:pPr>
              <w:pStyle w:val="16"/>
              <w:spacing w:before="31" w:after="31"/>
              <w:ind w:firstLine="0" w:firstLineChars="0"/>
              <w:jc w:val="center"/>
              <w:rPr>
                <w:sz w:val="21"/>
                <w:szCs w:val="21"/>
              </w:rPr>
            </w:pPr>
            <w:r>
              <w:rPr>
                <w:sz w:val="21"/>
                <w:szCs w:val="21"/>
              </w:rPr>
              <w:t>Case 11</w:t>
            </w:r>
          </w:p>
        </w:tc>
        <w:tc>
          <w:tcPr>
            <w:tcW w:w="3192" w:type="dxa"/>
            <w:tcBorders>
              <w:top w:val="nil"/>
              <w:left w:val="nil"/>
              <w:bottom w:val="nil"/>
              <w:right w:val="nil"/>
            </w:tcBorders>
            <w:vAlign w:val="center"/>
          </w:tcPr>
          <w:p w14:paraId="48804039">
            <w:pPr>
              <w:pStyle w:val="16"/>
              <w:spacing w:before="31" w:after="31"/>
              <w:ind w:firstLine="0" w:firstLineChars="0"/>
              <w:jc w:val="left"/>
              <w:rPr>
                <w:sz w:val="21"/>
                <w:szCs w:val="21"/>
              </w:rPr>
            </w:pPr>
            <w:r>
              <w:rPr>
                <w:rFonts w:ascii="宋体" w:hAnsi="宋体"/>
                <w:sz w:val="21"/>
                <w:szCs w:val="21"/>
              </w:rPr>
              <w:t>Failure of Ф22mm D-grade pumping rod</w:t>
            </w:r>
          </w:p>
        </w:tc>
        <w:tc>
          <w:tcPr>
            <w:tcW w:w="635" w:type="dxa"/>
            <w:tcBorders>
              <w:top w:val="nil"/>
              <w:left w:val="nil"/>
              <w:bottom w:val="nil"/>
              <w:right w:val="nil"/>
            </w:tcBorders>
            <w:vAlign w:val="center"/>
          </w:tcPr>
          <w:p w14:paraId="7B2CAA63">
            <w:pPr>
              <w:pStyle w:val="16"/>
              <w:spacing w:before="31" w:after="31"/>
              <w:ind w:firstLine="0" w:firstLineChars="0"/>
              <w:jc w:val="center"/>
              <w:rPr>
                <w:sz w:val="21"/>
                <w:szCs w:val="21"/>
              </w:rPr>
            </w:pPr>
          </w:p>
        </w:tc>
        <w:tc>
          <w:tcPr>
            <w:tcW w:w="1270" w:type="dxa"/>
            <w:tcBorders>
              <w:top w:val="nil"/>
              <w:left w:val="nil"/>
              <w:bottom w:val="nil"/>
              <w:right w:val="nil"/>
            </w:tcBorders>
            <w:vAlign w:val="center"/>
          </w:tcPr>
          <w:p w14:paraId="7B919671">
            <w:pPr>
              <w:pStyle w:val="16"/>
              <w:spacing w:before="31" w:after="31"/>
              <w:ind w:firstLine="0" w:firstLineChars="0"/>
              <w:jc w:val="center"/>
              <w:rPr>
                <w:sz w:val="21"/>
                <w:szCs w:val="21"/>
              </w:rPr>
            </w:pPr>
            <w:r>
              <w:rPr>
                <w:rFonts w:hint="eastAsia"/>
                <w:sz w:val="21"/>
                <w:szCs w:val="21"/>
              </w:rPr>
              <w:t>√</w:t>
            </w:r>
          </w:p>
        </w:tc>
        <w:tc>
          <w:tcPr>
            <w:tcW w:w="896" w:type="dxa"/>
            <w:tcBorders>
              <w:top w:val="nil"/>
              <w:left w:val="nil"/>
              <w:bottom w:val="nil"/>
              <w:right w:val="nil"/>
            </w:tcBorders>
            <w:vAlign w:val="center"/>
          </w:tcPr>
          <w:p w14:paraId="1B455E45">
            <w:pPr>
              <w:pStyle w:val="16"/>
              <w:spacing w:before="31" w:after="31"/>
              <w:ind w:firstLine="0" w:firstLineChars="0"/>
              <w:jc w:val="center"/>
              <w:rPr>
                <w:sz w:val="21"/>
                <w:szCs w:val="21"/>
              </w:rPr>
            </w:pPr>
          </w:p>
        </w:tc>
        <w:tc>
          <w:tcPr>
            <w:tcW w:w="1403" w:type="dxa"/>
            <w:tcBorders>
              <w:top w:val="nil"/>
              <w:left w:val="nil"/>
              <w:bottom w:val="nil"/>
              <w:right w:val="nil"/>
            </w:tcBorders>
            <w:vAlign w:val="center"/>
          </w:tcPr>
          <w:p w14:paraId="4F3E423A">
            <w:pPr>
              <w:pStyle w:val="16"/>
              <w:spacing w:before="31" w:after="31"/>
              <w:ind w:firstLine="0" w:firstLineChars="0"/>
              <w:jc w:val="center"/>
              <w:rPr>
                <w:sz w:val="21"/>
                <w:szCs w:val="21"/>
              </w:rPr>
            </w:pPr>
          </w:p>
        </w:tc>
      </w:tr>
      <w:tr w14:paraId="68164C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9" w:type="dxa"/>
            <w:tcBorders>
              <w:top w:val="nil"/>
              <w:left w:val="nil"/>
              <w:bottom w:val="nil"/>
              <w:right w:val="nil"/>
            </w:tcBorders>
            <w:vAlign w:val="center"/>
          </w:tcPr>
          <w:p w14:paraId="0F1DE736">
            <w:pPr>
              <w:pStyle w:val="16"/>
              <w:spacing w:before="31" w:after="31"/>
              <w:ind w:firstLine="0" w:firstLineChars="0"/>
              <w:jc w:val="center"/>
              <w:rPr>
                <w:sz w:val="21"/>
                <w:szCs w:val="21"/>
              </w:rPr>
            </w:pPr>
            <w:r>
              <w:rPr>
                <w:sz w:val="21"/>
                <w:szCs w:val="21"/>
              </w:rPr>
              <w:t>Case 12</w:t>
            </w:r>
          </w:p>
        </w:tc>
        <w:tc>
          <w:tcPr>
            <w:tcW w:w="3192" w:type="dxa"/>
            <w:tcBorders>
              <w:top w:val="nil"/>
              <w:left w:val="nil"/>
              <w:bottom w:val="nil"/>
              <w:right w:val="nil"/>
            </w:tcBorders>
            <w:vAlign w:val="center"/>
          </w:tcPr>
          <w:p w14:paraId="093BB62C">
            <w:pPr>
              <w:pStyle w:val="16"/>
              <w:spacing w:before="31" w:after="31"/>
              <w:ind w:firstLine="0" w:firstLineChars="0"/>
              <w:jc w:val="left"/>
              <w:rPr>
                <w:sz w:val="21"/>
                <w:szCs w:val="21"/>
              </w:rPr>
            </w:pPr>
            <w:r>
              <w:rPr>
                <w:rFonts w:ascii="宋体" w:hAnsi="宋体"/>
                <w:sz w:val="21"/>
                <w:szCs w:val="21"/>
              </w:rPr>
              <w:tab/>
            </w:r>
            <w:r>
              <w:rPr>
                <w:rFonts w:ascii="宋体" w:hAnsi="宋体"/>
                <w:sz w:val="21"/>
                <w:szCs w:val="21"/>
              </w:rPr>
              <w:t>Vertical cracking failure of Ф139.7mm drill rod internal thread joint</w:t>
            </w:r>
          </w:p>
        </w:tc>
        <w:tc>
          <w:tcPr>
            <w:tcW w:w="635" w:type="dxa"/>
            <w:tcBorders>
              <w:top w:val="nil"/>
              <w:left w:val="nil"/>
              <w:bottom w:val="nil"/>
              <w:right w:val="nil"/>
            </w:tcBorders>
            <w:vAlign w:val="center"/>
          </w:tcPr>
          <w:p w14:paraId="52C86843">
            <w:pPr>
              <w:pStyle w:val="16"/>
              <w:spacing w:before="31" w:after="31"/>
              <w:ind w:firstLine="0" w:firstLineChars="0"/>
              <w:jc w:val="center"/>
              <w:rPr>
                <w:sz w:val="21"/>
                <w:szCs w:val="21"/>
              </w:rPr>
            </w:pPr>
          </w:p>
        </w:tc>
        <w:tc>
          <w:tcPr>
            <w:tcW w:w="1270" w:type="dxa"/>
            <w:tcBorders>
              <w:top w:val="nil"/>
              <w:left w:val="nil"/>
              <w:bottom w:val="nil"/>
              <w:right w:val="nil"/>
            </w:tcBorders>
            <w:vAlign w:val="center"/>
          </w:tcPr>
          <w:p w14:paraId="6D54A79B">
            <w:pPr>
              <w:pStyle w:val="16"/>
              <w:spacing w:before="31" w:after="31"/>
              <w:ind w:firstLine="0" w:firstLineChars="0"/>
              <w:jc w:val="center"/>
              <w:rPr>
                <w:sz w:val="21"/>
                <w:szCs w:val="21"/>
              </w:rPr>
            </w:pPr>
            <w:r>
              <w:rPr>
                <w:rFonts w:hint="eastAsia"/>
                <w:sz w:val="21"/>
                <w:szCs w:val="21"/>
              </w:rPr>
              <w:t>√</w:t>
            </w:r>
          </w:p>
        </w:tc>
        <w:tc>
          <w:tcPr>
            <w:tcW w:w="896" w:type="dxa"/>
            <w:tcBorders>
              <w:top w:val="nil"/>
              <w:left w:val="nil"/>
              <w:bottom w:val="nil"/>
              <w:right w:val="nil"/>
            </w:tcBorders>
            <w:vAlign w:val="center"/>
          </w:tcPr>
          <w:p w14:paraId="63AEDA45">
            <w:pPr>
              <w:pStyle w:val="16"/>
              <w:spacing w:before="31" w:after="31"/>
              <w:ind w:firstLine="0" w:firstLineChars="0"/>
              <w:jc w:val="center"/>
              <w:rPr>
                <w:sz w:val="21"/>
                <w:szCs w:val="21"/>
              </w:rPr>
            </w:pPr>
          </w:p>
        </w:tc>
        <w:tc>
          <w:tcPr>
            <w:tcW w:w="1403" w:type="dxa"/>
            <w:tcBorders>
              <w:top w:val="nil"/>
              <w:left w:val="nil"/>
              <w:bottom w:val="nil"/>
              <w:right w:val="nil"/>
            </w:tcBorders>
            <w:vAlign w:val="center"/>
          </w:tcPr>
          <w:p w14:paraId="45F877BC">
            <w:pPr>
              <w:pStyle w:val="16"/>
              <w:spacing w:before="31" w:after="31"/>
              <w:ind w:firstLine="0" w:firstLineChars="0"/>
              <w:jc w:val="center"/>
              <w:rPr>
                <w:sz w:val="21"/>
                <w:szCs w:val="21"/>
              </w:rPr>
            </w:pPr>
          </w:p>
        </w:tc>
      </w:tr>
      <w:tr w14:paraId="723E44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9" w:type="dxa"/>
            <w:tcBorders>
              <w:top w:val="nil"/>
              <w:left w:val="nil"/>
              <w:bottom w:val="nil"/>
              <w:right w:val="nil"/>
            </w:tcBorders>
            <w:vAlign w:val="center"/>
          </w:tcPr>
          <w:p w14:paraId="3A6E7AA3">
            <w:pPr>
              <w:pStyle w:val="16"/>
              <w:spacing w:before="31" w:after="31"/>
              <w:ind w:firstLine="0" w:firstLineChars="0"/>
              <w:jc w:val="center"/>
              <w:rPr>
                <w:sz w:val="21"/>
                <w:szCs w:val="21"/>
              </w:rPr>
            </w:pPr>
            <w:r>
              <w:rPr>
                <w:sz w:val="21"/>
                <w:szCs w:val="21"/>
              </w:rPr>
              <w:t>Case 13</w:t>
            </w:r>
          </w:p>
        </w:tc>
        <w:tc>
          <w:tcPr>
            <w:tcW w:w="3192" w:type="dxa"/>
            <w:tcBorders>
              <w:top w:val="nil"/>
              <w:left w:val="nil"/>
              <w:bottom w:val="nil"/>
              <w:right w:val="nil"/>
            </w:tcBorders>
            <w:vAlign w:val="center"/>
          </w:tcPr>
          <w:p w14:paraId="3B638280">
            <w:pPr>
              <w:pStyle w:val="16"/>
              <w:spacing w:before="31" w:after="31"/>
              <w:ind w:firstLine="0" w:firstLineChars="0"/>
              <w:jc w:val="left"/>
              <w:rPr>
                <w:sz w:val="21"/>
                <w:szCs w:val="21"/>
              </w:rPr>
            </w:pPr>
            <w:r>
              <w:rPr>
                <w:sz w:val="21"/>
                <w:szCs w:val="21"/>
              </w:rPr>
              <w:t>Fracture and bending of 73mm×5.5mm 1J55 flat oil pipe</w:t>
            </w:r>
          </w:p>
        </w:tc>
        <w:tc>
          <w:tcPr>
            <w:tcW w:w="635" w:type="dxa"/>
            <w:tcBorders>
              <w:top w:val="nil"/>
              <w:left w:val="nil"/>
              <w:bottom w:val="nil"/>
              <w:right w:val="nil"/>
            </w:tcBorders>
            <w:vAlign w:val="center"/>
          </w:tcPr>
          <w:p w14:paraId="739246AF">
            <w:pPr>
              <w:pStyle w:val="16"/>
              <w:spacing w:before="31" w:after="31"/>
              <w:ind w:firstLine="0" w:firstLineChars="0"/>
              <w:jc w:val="center"/>
              <w:rPr>
                <w:sz w:val="21"/>
                <w:szCs w:val="21"/>
              </w:rPr>
            </w:pPr>
          </w:p>
        </w:tc>
        <w:tc>
          <w:tcPr>
            <w:tcW w:w="1270" w:type="dxa"/>
            <w:tcBorders>
              <w:top w:val="nil"/>
              <w:left w:val="nil"/>
              <w:bottom w:val="nil"/>
              <w:right w:val="nil"/>
            </w:tcBorders>
            <w:vAlign w:val="center"/>
          </w:tcPr>
          <w:p w14:paraId="4DAE8DC7">
            <w:pPr>
              <w:pStyle w:val="16"/>
              <w:spacing w:before="31" w:after="31"/>
              <w:ind w:firstLine="0" w:firstLineChars="0"/>
              <w:jc w:val="center"/>
              <w:rPr>
                <w:sz w:val="21"/>
                <w:szCs w:val="21"/>
              </w:rPr>
            </w:pPr>
            <w:r>
              <w:rPr>
                <w:rFonts w:hint="eastAsia"/>
                <w:sz w:val="21"/>
                <w:szCs w:val="21"/>
              </w:rPr>
              <w:t>√</w:t>
            </w:r>
          </w:p>
        </w:tc>
        <w:tc>
          <w:tcPr>
            <w:tcW w:w="896" w:type="dxa"/>
            <w:tcBorders>
              <w:top w:val="nil"/>
              <w:left w:val="nil"/>
              <w:bottom w:val="nil"/>
              <w:right w:val="nil"/>
            </w:tcBorders>
            <w:vAlign w:val="center"/>
          </w:tcPr>
          <w:p w14:paraId="3C81DBD7">
            <w:pPr>
              <w:pStyle w:val="16"/>
              <w:spacing w:before="31" w:after="31"/>
              <w:ind w:firstLine="0" w:firstLineChars="0"/>
              <w:jc w:val="center"/>
              <w:rPr>
                <w:sz w:val="21"/>
                <w:szCs w:val="21"/>
              </w:rPr>
            </w:pPr>
            <w:r>
              <w:rPr>
                <w:rFonts w:hint="eastAsia"/>
                <w:sz w:val="21"/>
                <w:szCs w:val="21"/>
              </w:rPr>
              <w:t>√</w:t>
            </w:r>
          </w:p>
        </w:tc>
        <w:tc>
          <w:tcPr>
            <w:tcW w:w="1403" w:type="dxa"/>
            <w:tcBorders>
              <w:top w:val="nil"/>
              <w:left w:val="nil"/>
              <w:bottom w:val="nil"/>
              <w:right w:val="nil"/>
            </w:tcBorders>
            <w:vAlign w:val="center"/>
          </w:tcPr>
          <w:p w14:paraId="5CDBAB0F">
            <w:pPr>
              <w:pStyle w:val="16"/>
              <w:spacing w:before="31" w:after="31"/>
              <w:ind w:firstLine="0" w:firstLineChars="0"/>
              <w:jc w:val="center"/>
              <w:rPr>
                <w:sz w:val="21"/>
                <w:szCs w:val="21"/>
              </w:rPr>
            </w:pPr>
          </w:p>
        </w:tc>
      </w:tr>
      <w:tr w14:paraId="45AEFB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9" w:type="dxa"/>
            <w:tcBorders>
              <w:top w:val="nil"/>
              <w:left w:val="nil"/>
              <w:bottom w:val="nil"/>
              <w:right w:val="nil"/>
            </w:tcBorders>
            <w:vAlign w:val="center"/>
          </w:tcPr>
          <w:p w14:paraId="59C86C1F">
            <w:pPr>
              <w:pStyle w:val="16"/>
              <w:spacing w:before="31" w:after="31"/>
              <w:ind w:firstLine="0" w:firstLineChars="0"/>
              <w:jc w:val="center"/>
              <w:rPr>
                <w:sz w:val="21"/>
                <w:szCs w:val="21"/>
              </w:rPr>
            </w:pPr>
            <w:r>
              <w:rPr>
                <w:sz w:val="21"/>
                <w:szCs w:val="21"/>
              </w:rPr>
              <w:t>Case 14</w:t>
            </w:r>
          </w:p>
        </w:tc>
        <w:tc>
          <w:tcPr>
            <w:tcW w:w="3192" w:type="dxa"/>
            <w:tcBorders>
              <w:top w:val="nil"/>
              <w:left w:val="nil"/>
              <w:bottom w:val="nil"/>
              <w:right w:val="nil"/>
            </w:tcBorders>
            <w:vAlign w:val="center"/>
          </w:tcPr>
          <w:p w14:paraId="78E8BBB2">
            <w:pPr>
              <w:pStyle w:val="16"/>
              <w:spacing w:before="31" w:after="31"/>
              <w:ind w:firstLine="0" w:firstLineChars="0"/>
              <w:jc w:val="left"/>
              <w:rPr>
                <w:sz w:val="21"/>
                <w:szCs w:val="21"/>
              </w:rPr>
            </w:pPr>
            <w:r>
              <w:rPr>
                <w:sz w:val="21"/>
                <w:szCs w:val="21"/>
              </w:rPr>
              <w:t>Failure of drilling column conversion joint</w:t>
            </w:r>
          </w:p>
        </w:tc>
        <w:tc>
          <w:tcPr>
            <w:tcW w:w="635" w:type="dxa"/>
            <w:tcBorders>
              <w:top w:val="nil"/>
              <w:left w:val="nil"/>
              <w:bottom w:val="nil"/>
              <w:right w:val="nil"/>
            </w:tcBorders>
            <w:vAlign w:val="center"/>
          </w:tcPr>
          <w:p w14:paraId="1375A516">
            <w:pPr>
              <w:pStyle w:val="16"/>
              <w:spacing w:before="31" w:after="31"/>
              <w:ind w:firstLine="0" w:firstLineChars="0"/>
              <w:jc w:val="center"/>
              <w:rPr>
                <w:sz w:val="21"/>
                <w:szCs w:val="21"/>
              </w:rPr>
            </w:pPr>
          </w:p>
        </w:tc>
        <w:tc>
          <w:tcPr>
            <w:tcW w:w="1270" w:type="dxa"/>
            <w:tcBorders>
              <w:top w:val="nil"/>
              <w:left w:val="nil"/>
              <w:bottom w:val="nil"/>
              <w:right w:val="nil"/>
            </w:tcBorders>
            <w:vAlign w:val="center"/>
          </w:tcPr>
          <w:p w14:paraId="234AF591">
            <w:pPr>
              <w:pStyle w:val="16"/>
              <w:spacing w:before="31" w:after="31"/>
              <w:ind w:firstLine="0" w:firstLineChars="0"/>
              <w:jc w:val="center"/>
              <w:rPr>
                <w:sz w:val="21"/>
                <w:szCs w:val="21"/>
              </w:rPr>
            </w:pPr>
            <w:r>
              <w:rPr>
                <w:rFonts w:hint="eastAsia"/>
                <w:sz w:val="21"/>
                <w:szCs w:val="21"/>
              </w:rPr>
              <w:t>√</w:t>
            </w:r>
          </w:p>
        </w:tc>
        <w:tc>
          <w:tcPr>
            <w:tcW w:w="896" w:type="dxa"/>
            <w:tcBorders>
              <w:top w:val="nil"/>
              <w:left w:val="nil"/>
              <w:bottom w:val="nil"/>
              <w:right w:val="nil"/>
            </w:tcBorders>
            <w:vAlign w:val="center"/>
          </w:tcPr>
          <w:p w14:paraId="0DBB747A">
            <w:pPr>
              <w:pStyle w:val="16"/>
              <w:spacing w:before="31" w:after="31"/>
              <w:ind w:firstLine="0" w:firstLineChars="0"/>
              <w:jc w:val="center"/>
              <w:rPr>
                <w:sz w:val="21"/>
                <w:szCs w:val="21"/>
              </w:rPr>
            </w:pPr>
          </w:p>
        </w:tc>
        <w:tc>
          <w:tcPr>
            <w:tcW w:w="1403" w:type="dxa"/>
            <w:tcBorders>
              <w:top w:val="nil"/>
              <w:left w:val="nil"/>
              <w:bottom w:val="nil"/>
              <w:right w:val="nil"/>
            </w:tcBorders>
            <w:vAlign w:val="center"/>
          </w:tcPr>
          <w:p w14:paraId="6B7013A8">
            <w:pPr>
              <w:pStyle w:val="16"/>
              <w:spacing w:before="31" w:after="31"/>
              <w:ind w:firstLine="0" w:firstLineChars="0"/>
              <w:jc w:val="center"/>
              <w:rPr>
                <w:sz w:val="21"/>
                <w:szCs w:val="21"/>
              </w:rPr>
            </w:pPr>
          </w:p>
        </w:tc>
      </w:tr>
      <w:tr w14:paraId="718578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jc w:val="center"/>
        </w:trPr>
        <w:tc>
          <w:tcPr>
            <w:tcW w:w="929" w:type="dxa"/>
            <w:tcBorders>
              <w:top w:val="nil"/>
              <w:left w:val="nil"/>
              <w:bottom w:val="nil"/>
              <w:right w:val="nil"/>
            </w:tcBorders>
            <w:vAlign w:val="center"/>
          </w:tcPr>
          <w:p w14:paraId="64FC1DC2">
            <w:pPr>
              <w:pStyle w:val="16"/>
              <w:spacing w:before="31" w:after="31"/>
              <w:ind w:firstLine="0" w:firstLineChars="0"/>
              <w:jc w:val="center"/>
              <w:rPr>
                <w:sz w:val="21"/>
                <w:szCs w:val="21"/>
              </w:rPr>
            </w:pPr>
            <w:r>
              <w:rPr>
                <w:sz w:val="21"/>
                <w:szCs w:val="21"/>
              </w:rPr>
              <w:t>Case 15</w:t>
            </w:r>
          </w:p>
        </w:tc>
        <w:tc>
          <w:tcPr>
            <w:tcW w:w="3192" w:type="dxa"/>
            <w:tcBorders>
              <w:top w:val="nil"/>
              <w:left w:val="nil"/>
              <w:bottom w:val="nil"/>
              <w:right w:val="nil"/>
            </w:tcBorders>
            <w:vAlign w:val="center"/>
          </w:tcPr>
          <w:p w14:paraId="370E79BD">
            <w:pPr>
              <w:pStyle w:val="16"/>
              <w:spacing w:before="31" w:after="31"/>
              <w:ind w:firstLine="0" w:firstLineChars="0"/>
              <w:jc w:val="left"/>
              <w:rPr>
                <w:sz w:val="21"/>
                <w:szCs w:val="21"/>
              </w:rPr>
            </w:pPr>
            <w:r>
              <w:rPr>
                <w:sz w:val="21"/>
                <w:szCs w:val="21"/>
              </w:rPr>
              <w:t>Fracture of slope hanger valve</w:t>
            </w:r>
          </w:p>
        </w:tc>
        <w:tc>
          <w:tcPr>
            <w:tcW w:w="635" w:type="dxa"/>
            <w:tcBorders>
              <w:top w:val="nil"/>
              <w:left w:val="nil"/>
              <w:bottom w:val="nil"/>
              <w:right w:val="nil"/>
            </w:tcBorders>
            <w:vAlign w:val="center"/>
          </w:tcPr>
          <w:p w14:paraId="41610E78">
            <w:pPr>
              <w:pStyle w:val="16"/>
              <w:spacing w:before="31" w:after="31"/>
              <w:ind w:firstLine="0" w:firstLineChars="0"/>
              <w:jc w:val="center"/>
              <w:rPr>
                <w:sz w:val="21"/>
                <w:szCs w:val="21"/>
              </w:rPr>
            </w:pPr>
          </w:p>
        </w:tc>
        <w:tc>
          <w:tcPr>
            <w:tcW w:w="1270" w:type="dxa"/>
            <w:tcBorders>
              <w:top w:val="nil"/>
              <w:left w:val="nil"/>
              <w:bottom w:val="nil"/>
              <w:right w:val="nil"/>
            </w:tcBorders>
            <w:vAlign w:val="center"/>
          </w:tcPr>
          <w:p w14:paraId="4374DE05">
            <w:pPr>
              <w:pStyle w:val="16"/>
              <w:spacing w:before="31" w:after="31"/>
              <w:ind w:firstLine="0" w:firstLineChars="0"/>
              <w:jc w:val="center"/>
              <w:rPr>
                <w:sz w:val="21"/>
                <w:szCs w:val="21"/>
              </w:rPr>
            </w:pPr>
            <w:r>
              <w:rPr>
                <w:rFonts w:hint="eastAsia"/>
                <w:sz w:val="21"/>
                <w:szCs w:val="21"/>
              </w:rPr>
              <w:t>√</w:t>
            </w:r>
          </w:p>
        </w:tc>
        <w:tc>
          <w:tcPr>
            <w:tcW w:w="896" w:type="dxa"/>
            <w:tcBorders>
              <w:top w:val="nil"/>
              <w:left w:val="nil"/>
              <w:bottom w:val="nil"/>
              <w:right w:val="nil"/>
            </w:tcBorders>
            <w:vAlign w:val="center"/>
          </w:tcPr>
          <w:p w14:paraId="75764A24">
            <w:pPr>
              <w:pStyle w:val="16"/>
              <w:spacing w:before="31" w:after="31"/>
              <w:ind w:firstLine="0" w:firstLineChars="0"/>
              <w:jc w:val="center"/>
              <w:rPr>
                <w:sz w:val="21"/>
                <w:szCs w:val="21"/>
              </w:rPr>
            </w:pPr>
            <w:r>
              <w:rPr>
                <w:rFonts w:hint="eastAsia"/>
                <w:sz w:val="21"/>
                <w:szCs w:val="21"/>
              </w:rPr>
              <w:t>√</w:t>
            </w:r>
          </w:p>
        </w:tc>
        <w:tc>
          <w:tcPr>
            <w:tcW w:w="1403" w:type="dxa"/>
            <w:tcBorders>
              <w:top w:val="nil"/>
              <w:left w:val="nil"/>
              <w:bottom w:val="nil"/>
              <w:right w:val="nil"/>
            </w:tcBorders>
            <w:vAlign w:val="center"/>
          </w:tcPr>
          <w:p w14:paraId="56074F99">
            <w:pPr>
              <w:pStyle w:val="16"/>
              <w:spacing w:before="31" w:after="31"/>
              <w:ind w:firstLine="0" w:firstLineChars="0"/>
              <w:jc w:val="center"/>
              <w:rPr>
                <w:sz w:val="21"/>
                <w:szCs w:val="21"/>
              </w:rPr>
            </w:pPr>
          </w:p>
        </w:tc>
      </w:tr>
      <w:tr w14:paraId="524545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9" w:type="dxa"/>
            <w:tcBorders>
              <w:top w:val="nil"/>
              <w:left w:val="nil"/>
              <w:bottom w:val="nil"/>
              <w:right w:val="nil"/>
            </w:tcBorders>
            <w:vAlign w:val="center"/>
          </w:tcPr>
          <w:p w14:paraId="28715603">
            <w:pPr>
              <w:pStyle w:val="16"/>
              <w:spacing w:before="31" w:after="31"/>
              <w:ind w:firstLine="0" w:firstLineChars="0"/>
              <w:jc w:val="center"/>
              <w:rPr>
                <w:sz w:val="21"/>
                <w:szCs w:val="21"/>
              </w:rPr>
            </w:pPr>
            <w:r>
              <w:rPr>
                <w:sz w:val="21"/>
                <w:szCs w:val="21"/>
              </w:rPr>
              <w:t>Case 16</w:t>
            </w:r>
          </w:p>
        </w:tc>
        <w:tc>
          <w:tcPr>
            <w:tcW w:w="3192" w:type="dxa"/>
            <w:tcBorders>
              <w:top w:val="nil"/>
              <w:left w:val="nil"/>
              <w:bottom w:val="nil"/>
              <w:right w:val="nil"/>
            </w:tcBorders>
            <w:vAlign w:val="center"/>
          </w:tcPr>
          <w:p w14:paraId="1EFD7A72">
            <w:pPr>
              <w:pStyle w:val="16"/>
              <w:spacing w:before="31" w:after="31"/>
              <w:ind w:firstLine="0" w:firstLineChars="0"/>
              <w:jc w:val="left"/>
              <w:rPr>
                <w:sz w:val="21"/>
                <w:szCs w:val="21"/>
              </w:rPr>
            </w:pPr>
            <w:r>
              <w:rPr>
                <w:sz w:val="21"/>
                <w:szCs w:val="21"/>
              </w:rPr>
              <w:t>Fracture of shock absorber spline shaft</w:t>
            </w:r>
          </w:p>
        </w:tc>
        <w:tc>
          <w:tcPr>
            <w:tcW w:w="635" w:type="dxa"/>
            <w:tcBorders>
              <w:top w:val="nil"/>
              <w:left w:val="nil"/>
              <w:bottom w:val="nil"/>
              <w:right w:val="nil"/>
            </w:tcBorders>
            <w:vAlign w:val="center"/>
          </w:tcPr>
          <w:p w14:paraId="7D4F3A95">
            <w:pPr>
              <w:pStyle w:val="16"/>
              <w:spacing w:before="31" w:after="31"/>
              <w:ind w:firstLine="0" w:firstLineChars="0"/>
              <w:jc w:val="center"/>
              <w:rPr>
                <w:sz w:val="21"/>
                <w:szCs w:val="21"/>
              </w:rPr>
            </w:pPr>
            <w:r>
              <w:rPr>
                <w:rFonts w:hint="eastAsia"/>
                <w:sz w:val="21"/>
                <w:szCs w:val="21"/>
              </w:rPr>
              <w:t>√</w:t>
            </w:r>
          </w:p>
        </w:tc>
        <w:tc>
          <w:tcPr>
            <w:tcW w:w="1270" w:type="dxa"/>
            <w:tcBorders>
              <w:top w:val="nil"/>
              <w:left w:val="nil"/>
              <w:bottom w:val="nil"/>
              <w:right w:val="nil"/>
            </w:tcBorders>
            <w:vAlign w:val="center"/>
          </w:tcPr>
          <w:p w14:paraId="638757CB">
            <w:pPr>
              <w:pStyle w:val="16"/>
              <w:spacing w:before="31" w:after="31"/>
              <w:ind w:firstLine="0" w:firstLineChars="0"/>
              <w:jc w:val="center"/>
              <w:rPr>
                <w:sz w:val="21"/>
                <w:szCs w:val="21"/>
              </w:rPr>
            </w:pPr>
          </w:p>
        </w:tc>
        <w:tc>
          <w:tcPr>
            <w:tcW w:w="896" w:type="dxa"/>
            <w:tcBorders>
              <w:top w:val="nil"/>
              <w:left w:val="nil"/>
              <w:bottom w:val="nil"/>
              <w:right w:val="nil"/>
            </w:tcBorders>
            <w:vAlign w:val="center"/>
          </w:tcPr>
          <w:p w14:paraId="5A3FF5B7">
            <w:pPr>
              <w:pStyle w:val="16"/>
              <w:spacing w:before="31" w:after="31"/>
              <w:ind w:firstLine="0" w:firstLineChars="0"/>
              <w:jc w:val="center"/>
              <w:rPr>
                <w:sz w:val="21"/>
                <w:szCs w:val="21"/>
              </w:rPr>
            </w:pPr>
            <w:r>
              <w:rPr>
                <w:rFonts w:hint="eastAsia"/>
                <w:sz w:val="21"/>
                <w:szCs w:val="21"/>
              </w:rPr>
              <w:t>√</w:t>
            </w:r>
          </w:p>
        </w:tc>
        <w:tc>
          <w:tcPr>
            <w:tcW w:w="1403" w:type="dxa"/>
            <w:tcBorders>
              <w:top w:val="nil"/>
              <w:left w:val="nil"/>
              <w:bottom w:val="nil"/>
              <w:right w:val="nil"/>
            </w:tcBorders>
            <w:vAlign w:val="center"/>
          </w:tcPr>
          <w:p w14:paraId="62C247B1">
            <w:pPr>
              <w:pStyle w:val="16"/>
              <w:spacing w:before="31" w:after="31"/>
              <w:ind w:firstLine="0" w:firstLineChars="0"/>
              <w:jc w:val="center"/>
              <w:rPr>
                <w:sz w:val="21"/>
                <w:szCs w:val="21"/>
              </w:rPr>
            </w:pPr>
            <w:r>
              <w:rPr>
                <w:rFonts w:hint="eastAsia"/>
                <w:sz w:val="21"/>
                <w:szCs w:val="21"/>
              </w:rPr>
              <w:t>√</w:t>
            </w:r>
          </w:p>
        </w:tc>
      </w:tr>
      <w:tr w14:paraId="29B94C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9" w:type="dxa"/>
            <w:tcBorders>
              <w:top w:val="nil"/>
              <w:left w:val="nil"/>
              <w:bottom w:val="nil"/>
              <w:right w:val="nil"/>
            </w:tcBorders>
            <w:vAlign w:val="center"/>
          </w:tcPr>
          <w:p w14:paraId="469427B6">
            <w:pPr>
              <w:pStyle w:val="16"/>
              <w:spacing w:before="31" w:after="31"/>
              <w:ind w:firstLine="0" w:firstLineChars="0"/>
              <w:jc w:val="center"/>
              <w:rPr>
                <w:sz w:val="21"/>
                <w:szCs w:val="21"/>
              </w:rPr>
            </w:pPr>
            <w:r>
              <w:rPr>
                <w:sz w:val="21"/>
                <w:szCs w:val="21"/>
              </w:rPr>
              <w:t>Case 17</w:t>
            </w:r>
          </w:p>
        </w:tc>
        <w:tc>
          <w:tcPr>
            <w:tcW w:w="3192" w:type="dxa"/>
            <w:tcBorders>
              <w:top w:val="nil"/>
              <w:left w:val="nil"/>
              <w:bottom w:val="nil"/>
              <w:right w:val="nil"/>
            </w:tcBorders>
            <w:vAlign w:val="center"/>
          </w:tcPr>
          <w:p w14:paraId="3CC44137">
            <w:pPr>
              <w:pStyle w:val="16"/>
              <w:spacing w:before="31" w:after="31"/>
              <w:ind w:firstLine="0" w:firstLineChars="0"/>
              <w:jc w:val="left"/>
              <w:rPr>
                <w:sz w:val="21"/>
                <w:szCs w:val="21"/>
              </w:rPr>
            </w:pPr>
            <w:r>
              <w:rPr>
                <w:sz w:val="21"/>
                <w:szCs w:val="21"/>
              </w:rPr>
              <w:t>Cracking of double-shoulder drilling rod joint</w:t>
            </w:r>
          </w:p>
        </w:tc>
        <w:tc>
          <w:tcPr>
            <w:tcW w:w="635" w:type="dxa"/>
            <w:tcBorders>
              <w:top w:val="nil"/>
              <w:left w:val="nil"/>
              <w:bottom w:val="nil"/>
              <w:right w:val="nil"/>
            </w:tcBorders>
            <w:vAlign w:val="center"/>
          </w:tcPr>
          <w:p w14:paraId="5006BB7D">
            <w:pPr>
              <w:pStyle w:val="16"/>
              <w:spacing w:before="31" w:after="31"/>
              <w:ind w:firstLine="0" w:firstLineChars="0"/>
              <w:jc w:val="center"/>
              <w:rPr>
                <w:sz w:val="21"/>
                <w:szCs w:val="21"/>
              </w:rPr>
            </w:pPr>
          </w:p>
        </w:tc>
        <w:tc>
          <w:tcPr>
            <w:tcW w:w="1270" w:type="dxa"/>
            <w:tcBorders>
              <w:top w:val="nil"/>
              <w:left w:val="nil"/>
              <w:bottom w:val="nil"/>
              <w:right w:val="nil"/>
            </w:tcBorders>
            <w:vAlign w:val="center"/>
          </w:tcPr>
          <w:p w14:paraId="2D538274">
            <w:pPr>
              <w:pStyle w:val="16"/>
              <w:spacing w:before="31" w:after="31"/>
              <w:ind w:firstLine="0" w:firstLineChars="0"/>
              <w:jc w:val="center"/>
              <w:rPr>
                <w:sz w:val="21"/>
                <w:szCs w:val="21"/>
              </w:rPr>
            </w:pPr>
            <w:r>
              <w:rPr>
                <w:rFonts w:hint="eastAsia"/>
                <w:sz w:val="21"/>
                <w:szCs w:val="21"/>
              </w:rPr>
              <w:t>√</w:t>
            </w:r>
          </w:p>
        </w:tc>
        <w:tc>
          <w:tcPr>
            <w:tcW w:w="896" w:type="dxa"/>
            <w:tcBorders>
              <w:top w:val="nil"/>
              <w:left w:val="nil"/>
              <w:bottom w:val="nil"/>
              <w:right w:val="nil"/>
            </w:tcBorders>
            <w:vAlign w:val="center"/>
          </w:tcPr>
          <w:p w14:paraId="77C06006">
            <w:pPr>
              <w:pStyle w:val="16"/>
              <w:spacing w:before="31" w:after="31"/>
              <w:ind w:firstLine="0" w:firstLineChars="0"/>
              <w:jc w:val="center"/>
              <w:rPr>
                <w:sz w:val="21"/>
                <w:szCs w:val="21"/>
              </w:rPr>
            </w:pPr>
          </w:p>
        </w:tc>
        <w:tc>
          <w:tcPr>
            <w:tcW w:w="1403" w:type="dxa"/>
            <w:tcBorders>
              <w:top w:val="nil"/>
              <w:left w:val="nil"/>
              <w:bottom w:val="nil"/>
              <w:right w:val="nil"/>
            </w:tcBorders>
            <w:vAlign w:val="center"/>
          </w:tcPr>
          <w:p w14:paraId="2A30B5C0">
            <w:pPr>
              <w:pStyle w:val="16"/>
              <w:spacing w:before="31" w:after="31"/>
              <w:ind w:firstLine="0" w:firstLineChars="0"/>
              <w:jc w:val="center"/>
              <w:rPr>
                <w:sz w:val="21"/>
                <w:szCs w:val="21"/>
              </w:rPr>
            </w:pPr>
          </w:p>
        </w:tc>
      </w:tr>
      <w:tr w14:paraId="25453E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9" w:type="dxa"/>
            <w:tcBorders>
              <w:top w:val="nil"/>
              <w:left w:val="nil"/>
              <w:bottom w:val="single" w:color="auto" w:sz="12" w:space="0"/>
              <w:right w:val="nil"/>
            </w:tcBorders>
            <w:vAlign w:val="center"/>
          </w:tcPr>
          <w:p w14:paraId="44A7B5F6">
            <w:pPr>
              <w:pStyle w:val="16"/>
              <w:spacing w:before="31" w:after="31"/>
              <w:ind w:firstLine="0" w:firstLineChars="0"/>
              <w:jc w:val="center"/>
              <w:rPr>
                <w:sz w:val="21"/>
                <w:szCs w:val="21"/>
              </w:rPr>
            </w:pPr>
            <w:r>
              <w:rPr>
                <w:sz w:val="21"/>
                <w:szCs w:val="21"/>
              </w:rPr>
              <w:t>Case 18</w:t>
            </w:r>
          </w:p>
        </w:tc>
        <w:tc>
          <w:tcPr>
            <w:tcW w:w="3192" w:type="dxa"/>
            <w:tcBorders>
              <w:top w:val="nil"/>
              <w:left w:val="nil"/>
              <w:bottom w:val="single" w:color="auto" w:sz="12" w:space="0"/>
              <w:right w:val="nil"/>
            </w:tcBorders>
            <w:vAlign w:val="center"/>
          </w:tcPr>
          <w:p w14:paraId="70FC8863">
            <w:pPr>
              <w:pStyle w:val="16"/>
              <w:spacing w:before="31" w:after="31"/>
              <w:ind w:firstLine="0" w:firstLineChars="0"/>
              <w:jc w:val="left"/>
              <w:rPr>
                <w:sz w:val="21"/>
                <w:szCs w:val="21"/>
              </w:rPr>
            </w:pPr>
            <w:r>
              <w:rPr>
                <w:sz w:val="21"/>
                <w:szCs w:val="21"/>
              </w:rPr>
              <w:t>Vertical cracking of square drill rod protective joint</w:t>
            </w:r>
          </w:p>
        </w:tc>
        <w:tc>
          <w:tcPr>
            <w:tcW w:w="635" w:type="dxa"/>
            <w:tcBorders>
              <w:top w:val="nil"/>
              <w:left w:val="nil"/>
              <w:bottom w:val="single" w:color="auto" w:sz="12" w:space="0"/>
              <w:right w:val="nil"/>
            </w:tcBorders>
            <w:vAlign w:val="center"/>
          </w:tcPr>
          <w:p w14:paraId="23093EFE">
            <w:pPr>
              <w:pStyle w:val="16"/>
              <w:spacing w:before="31" w:after="31"/>
              <w:ind w:firstLine="0" w:firstLineChars="0"/>
              <w:jc w:val="center"/>
              <w:rPr>
                <w:sz w:val="21"/>
                <w:szCs w:val="21"/>
              </w:rPr>
            </w:pPr>
            <w:r>
              <w:rPr>
                <w:rFonts w:hint="eastAsia"/>
                <w:sz w:val="21"/>
                <w:szCs w:val="21"/>
              </w:rPr>
              <w:t>√</w:t>
            </w:r>
          </w:p>
        </w:tc>
        <w:tc>
          <w:tcPr>
            <w:tcW w:w="1270" w:type="dxa"/>
            <w:tcBorders>
              <w:top w:val="nil"/>
              <w:left w:val="nil"/>
              <w:bottom w:val="single" w:color="auto" w:sz="12" w:space="0"/>
              <w:right w:val="nil"/>
            </w:tcBorders>
            <w:vAlign w:val="center"/>
          </w:tcPr>
          <w:p w14:paraId="34C26805">
            <w:pPr>
              <w:pStyle w:val="16"/>
              <w:spacing w:before="31" w:after="31"/>
              <w:ind w:firstLine="0" w:firstLineChars="0"/>
              <w:jc w:val="center"/>
              <w:rPr>
                <w:sz w:val="21"/>
                <w:szCs w:val="21"/>
              </w:rPr>
            </w:pPr>
          </w:p>
        </w:tc>
        <w:tc>
          <w:tcPr>
            <w:tcW w:w="896" w:type="dxa"/>
            <w:tcBorders>
              <w:top w:val="nil"/>
              <w:left w:val="nil"/>
              <w:bottom w:val="single" w:color="auto" w:sz="12" w:space="0"/>
              <w:right w:val="nil"/>
            </w:tcBorders>
            <w:vAlign w:val="center"/>
          </w:tcPr>
          <w:p w14:paraId="211D682D">
            <w:pPr>
              <w:pStyle w:val="16"/>
              <w:spacing w:before="31" w:after="31"/>
              <w:ind w:firstLine="0" w:firstLineChars="0"/>
              <w:jc w:val="center"/>
              <w:rPr>
                <w:sz w:val="21"/>
                <w:szCs w:val="21"/>
              </w:rPr>
            </w:pPr>
          </w:p>
        </w:tc>
        <w:tc>
          <w:tcPr>
            <w:tcW w:w="1403" w:type="dxa"/>
            <w:tcBorders>
              <w:top w:val="nil"/>
              <w:left w:val="nil"/>
              <w:bottom w:val="single" w:color="auto" w:sz="12" w:space="0"/>
              <w:right w:val="nil"/>
            </w:tcBorders>
            <w:vAlign w:val="center"/>
          </w:tcPr>
          <w:p w14:paraId="00325075">
            <w:pPr>
              <w:pStyle w:val="16"/>
              <w:spacing w:before="31" w:after="31"/>
              <w:ind w:firstLine="0" w:firstLineChars="0"/>
              <w:jc w:val="center"/>
              <w:rPr>
                <w:sz w:val="21"/>
                <w:szCs w:val="21"/>
              </w:rPr>
            </w:pPr>
            <w:r>
              <w:rPr>
                <w:rFonts w:hint="eastAsia"/>
                <w:sz w:val="21"/>
                <w:szCs w:val="21"/>
              </w:rPr>
              <w:t>√</w:t>
            </w:r>
          </w:p>
        </w:tc>
      </w:tr>
    </w:tbl>
    <w:p w14:paraId="4C8BB729">
      <w:pPr>
        <w:pStyle w:val="16"/>
        <w:spacing w:before="31" w:after="31"/>
        <w:ind w:firstLine="0" w:firstLineChars="0"/>
        <w:rPr>
          <w:rFonts w:hint="eastAsia"/>
          <w:b/>
          <w:bCs/>
          <w:szCs w:val="24"/>
        </w:rPr>
      </w:pPr>
      <w:r>
        <w:rPr>
          <w:b/>
          <w:bCs/>
          <w:szCs w:val="24"/>
        </w:rPr>
        <w:t>5.3.2 Current Status of Failure Investigation Work</w:t>
      </w:r>
    </w:p>
    <w:p w14:paraId="17BBCE0B">
      <w:pPr>
        <w:pStyle w:val="16"/>
        <w:spacing w:before="31" w:after="31"/>
        <w:ind w:firstLine="480"/>
        <w:rPr>
          <w:szCs w:val="24"/>
        </w:rPr>
      </w:pPr>
      <w:r>
        <w:rPr>
          <w:szCs w:val="24"/>
        </w:rPr>
        <w:t>The operating environment of equipment in the energy industry is harsh and complex, making the factors contributing to equipment failures correspondingly comprehensive. This complexity poses a significant challenge to post-failure accident investigations. Currently, the analysis of failure accidents in the thermal energy industry is generally approached from the perspectives of material factors, operating environment, structural design, coal quality, water vapor quality, and personnel operation to identify the causes and failure mechanisms of accidents. Corresponding solutions are then proposed, effectively completing the analysis and understanding of the accidents. However, failure accidents in oil drilling and coal industries are not analyzed from multiple perspectives. Most analyses are based on the force conditions of equipment in its operating environment, resulting in a relatively one-dimensional analysis perspective.</w:t>
      </w:r>
    </w:p>
    <w:p w14:paraId="733CBAA1">
      <w:pPr>
        <w:pStyle w:val="16"/>
        <w:spacing w:before="31" w:after="31"/>
        <w:ind w:firstLine="0" w:firstLineChars="0"/>
        <w:rPr>
          <w:rFonts w:hint="eastAsia"/>
          <w:b/>
          <w:bCs/>
          <w:sz w:val="28"/>
          <w:szCs w:val="28"/>
        </w:rPr>
      </w:pPr>
      <w:r>
        <w:rPr>
          <w:b/>
          <w:bCs/>
          <w:sz w:val="28"/>
          <w:szCs w:val="28"/>
        </w:rPr>
        <w:t>6 Summary of Infrastructure Failure Cases</w:t>
      </w:r>
    </w:p>
    <w:p w14:paraId="7BD09BD6">
      <w:pPr>
        <w:pStyle w:val="16"/>
        <w:spacing w:before="31" w:after="31"/>
        <w:ind w:firstLine="480"/>
        <w:rPr>
          <w:szCs w:val="24"/>
        </w:rPr>
      </w:pPr>
      <w:r>
        <w:rPr>
          <w:szCs w:val="24"/>
        </w:rPr>
        <w:t>Infrastructure refers to material engineering facilities that provide public services for social production and residents' lives, serving as public service systems to ensure the normal conduct of socio-economic activities in a country or region. It is the general material condition necessary for the survival and development of society. "Infrastructure" not only includes public facilities such as roads, railways, airports, communication, water, electricity, and gas, commonly known as physical infrastructure, but also encompasses social undertakings such as education, science and technology, healthcare, sports, and culture, known as "social infrastructure."</w:t>
      </w:r>
    </w:p>
    <w:p w14:paraId="05CE1E04">
      <w:pPr>
        <w:pStyle w:val="16"/>
        <w:spacing w:before="31" w:after="31"/>
        <w:ind w:firstLine="480"/>
        <w:rPr>
          <w:szCs w:val="24"/>
        </w:rPr>
      </w:pPr>
      <w:r>
        <w:rPr>
          <w:szCs w:val="24"/>
        </w:rPr>
        <w:t>In this investigation, the infrastructure industry mainly includes roads, railways, bridges, and other basic facilities. The study compiled failure cases from various facilities in the past five years through literature research. It was observed that in road construction, the main failure forms are roadbed subsidence and pavement damage. In railway construction, rail damage is predominant. Problems in civil facility construction such as bridges mainly involve concrete failures, such as corrosion and cracking. The cases include accident overviews, cause analysis, failure mechanisms, and remedial measures. The investigation primarily categorizes the causes of industry failure accidents into four aspects: material itself, production construction, design, and environmental factors. This comprehensive approach has significant guidance for research and failure analysis work in the infrastructure industry. The summary of failure cases is presented in Table 6-1.</w:t>
      </w:r>
    </w:p>
    <w:p w14:paraId="4F6226DD">
      <w:pPr>
        <w:pStyle w:val="16"/>
        <w:spacing w:before="31" w:after="31"/>
        <w:ind w:firstLine="480"/>
        <w:rPr>
          <w:szCs w:val="24"/>
        </w:rPr>
      </w:pPr>
    </w:p>
    <w:p w14:paraId="0379DAF5">
      <w:pPr>
        <w:pStyle w:val="16"/>
        <w:spacing w:before="31" w:after="31"/>
        <w:ind w:firstLine="482"/>
        <w:jc w:val="center"/>
        <w:rPr>
          <w:b/>
          <w:bCs/>
          <w:szCs w:val="24"/>
        </w:rPr>
      </w:pPr>
      <w:r>
        <w:rPr>
          <w:b/>
          <w:bCs/>
          <w:szCs w:val="24"/>
        </w:rPr>
        <w:t>Table 6-1 Summary of Infrastructure Failure Case Research</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93"/>
        <w:gridCol w:w="5040"/>
        <w:gridCol w:w="1020"/>
      </w:tblGrid>
      <w:tr w14:paraId="2A7F1F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3" w:type="dxa"/>
            <w:tcBorders>
              <w:top w:val="single" w:color="auto" w:sz="12" w:space="0"/>
              <w:left w:val="nil"/>
              <w:bottom w:val="single" w:color="auto" w:sz="12" w:space="0"/>
              <w:right w:val="nil"/>
            </w:tcBorders>
            <w:vAlign w:val="center"/>
          </w:tcPr>
          <w:p w14:paraId="27E5A347">
            <w:pPr>
              <w:pStyle w:val="16"/>
              <w:spacing w:before="31" w:after="31"/>
              <w:ind w:firstLine="0" w:firstLineChars="0"/>
              <w:jc w:val="center"/>
              <w:rPr>
                <w:color w:val="000000"/>
                <w:sz w:val="21"/>
                <w:szCs w:val="21"/>
              </w:rPr>
            </w:pPr>
            <w:r>
              <w:rPr>
                <w:szCs w:val="24"/>
              </w:rPr>
              <w:t>Achievements</w:t>
            </w:r>
          </w:p>
        </w:tc>
        <w:tc>
          <w:tcPr>
            <w:tcW w:w="5040" w:type="dxa"/>
            <w:tcBorders>
              <w:top w:val="single" w:color="auto" w:sz="12" w:space="0"/>
              <w:left w:val="nil"/>
              <w:bottom w:val="single" w:color="auto" w:sz="12" w:space="0"/>
              <w:right w:val="nil"/>
            </w:tcBorders>
            <w:vAlign w:val="center"/>
          </w:tcPr>
          <w:p w14:paraId="2FB59011">
            <w:pPr>
              <w:pStyle w:val="16"/>
              <w:spacing w:before="31" w:after="31" w:line="240" w:lineRule="auto"/>
              <w:ind w:firstLine="0" w:firstLineChars="0"/>
              <w:jc w:val="center"/>
              <w:rPr>
                <w:color w:val="000000"/>
                <w:sz w:val="21"/>
                <w:szCs w:val="21"/>
              </w:rPr>
            </w:pPr>
            <w:r>
              <w:rPr>
                <w:szCs w:val="24"/>
              </w:rPr>
              <w:t>Infrastructure Industry</w:t>
            </w:r>
          </w:p>
        </w:tc>
        <w:tc>
          <w:tcPr>
            <w:tcW w:w="1020" w:type="dxa"/>
            <w:tcBorders>
              <w:top w:val="single" w:color="auto" w:sz="12" w:space="0"/>
              <w:left w:val="nil"/>
              <w:bottom w:val="single" w:color="auto" w:sz="12" w:space="0"/>
              <w:right w:val="nil"/>
            </w:tcBorders>
            <w:vAlign w:val="center"/>
          </w:tcPr>
          <w:p w14:paraId="6364BBA2">
            <w:pPr>
              <w:pStyle w:val="16"/>
              <w:spacing w:before="31" w:after="31"/>
              <w:ind w:firstLine="0" w:firstLineChars="0"/>
              <w:jc w:val="center"/>
              <w:rPr>
                <w:color w:val="000000"/>
                <w:sz w:val="21"/>
                <w:szCs w:val="21"/>
              </w:rPr>
            </w:pPr>
            <w:r>
              <w:rPr>
                <w:szCs w:val="24"/>
              </w:rPr>
              <w:t>Total</w:t>
            </w:r>
          </w:p>
        </w:tc>
      </w:tr>
      <w:tr w14:paraId="47F100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3" w:type="dxa"/>
            <w:tcBorders>
              <w:top w:val="single" w:color="auto" w:sz="12" w:space="0"/>
              <w:left w:val="nil"/>
              <w:bottom w:val="nil"/>
              <w:right w:val="nil"/>
            </w:tcBorders>
            <w:vAlign w:val="center"/>
          </w:tcPr>
          <w:p w14:paraId="69E56FD0">
            <w:pPr>
              <w:pStyle w:val="16"/>
              <w:spacing w:before="31" w:after="31" w:line="240" w:lineRule="auto"/>
              <w:ind w:firstLine="0" w:firstLineChars="0"/>
              <w:jc w:val="center"/>
              <w:rPr>
                <w:color w:val="000000"/>
                <w:sz w:val="21"/>
                <w:szCs w:val="21"/>
              </w:rPr>
            </w:pPr>
            <w:r>
              <w:rPr>
                <w:szCs w:val="24"/>
              </w:rPr>
              <w:t>Number of Cases</w:t>
            </w:r>
          </w:p>
        </w:tc>
        <w:tc>
          <w:tcPr>
            <w:tcW w:w="5040" w:type="dxa"/>
            <w:tcBorders>
              <w:top w:val="single" w:color="auto" w:sz="12" w:space="0"/>
              <w:left w:val="nil"/>
              <w:bottom w:val="nil"/>
              <w:right w:val="nil"/>
            </w:tcBorders>
            <w:vAlign w:val="center"/>
          </w:tcPr>
          <w:p w14:paraId="21FF68E3">
            <w:pPr>
              <w:pStyle w:val="16"/>
              <w:spacing w:before="31" w:after="31"/>
              <w:ind w:firstLine="0" w:firstLineChars="0"/>
              <w:jc w:val="center"/>
              <w:rPr>
                <w:color w:val="000000"/>
                <w:sz w:val="21"/>
                <w:szCs w:val="21"/>
              </w:rPr>
            </w:pPr>
            <w:r>
              <w:rPr>
                <w:color w:val="000000"/>
                <w:sz w:val="21"/>
                <w:szCs w:val="21"/>
              </w:rPr>
              <w:t>8</w:t>
            </w:r>
          </w:p>
        </w:tc>
        <w:tc>
          <w:tcPr>
            <w:tcW w:w="1020" w:type="dxa"/>
            <w:tcBorders>
              <w:top w:val="single" w:color="auto" w:sz="12" w:space="0"/>
              <w:left w:val="nil"/>
              <w:bottom w:val="nil"/>
              <w:right w:val="nil"/>
            </w:tcBorders>
            <w:vAlign w:val="center"/>
          </w:tcPr>
          <w:p w14:paraId="5E679CA3">
            <w:pPr>
              <w:pStyle w:val="16"/>
              <w:spacing w:before="31" w:after="31"/>
              <w:ind w:firstLine="0" w:firstLineChars="0"/>
              <w:jc w:val="center"/>
              <w:rPr>
                <w:color w:val="000000"/>
                <w:sz w:val="21"/>
                <w:szCs w:val="21"/>
              </w:rPr>
            </w:pPr>
            <w:r>
              <w:rPr>
                <w:color w:val="000000"/>
                <w:sz w:val="21"/>
                <w:szCs w:val="21"/>
              </w:rPr>
              <w:t>8</w:t>
            </w:r>
          </w:p>
        </w:tc>
      </w:tr>
      <w:tr w14:paraId="3CEE7C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3" w:type="dxa"/>
            <w:tcBorders>
              <w:top w:val="nil"/>
              <w:left w:val="nil"/>
              <w:bottom w:val="nil"/>
              <w:right w:val="nil"/>
            </w:tcBorders>
            <w:vAlign w:val="center"/>
          </w:tcPr>
          <w:p w14:paraId="03B45A39">
            <w:pPr>
              <w:pStyle w:val="16"/>
              <w:spacing w:before="31" w:after="31" w:line="240" w:lineRule="auto"/>
              <w:ind w:firstLine="0" w:firstLineChars="0"/>
              <w:jc w:val="center"/>
              <w:rPr>
                <w:color w:val="000000"/>
                <w:sz w:val="21"/>
                <w:szCs w:val="21"/>
              </w:rPr>
            </w:pPr>
            <w:r>
              <w:rPr>
                <w:szCs w:val="24"/>
              </w:rPr>
              <w:t>Image Data</w:t>
            </w:r>
          </w:p>
        </w:tc>
        <w:tc>
          <w:tcPr>
            <w:tcW w:w="5040" w:type="dxa"/>
            <w:tcBorders>
              <w:top w:val="nil"/>
              <w:left w:val="nil"/>
              <w:bottom w:val="nil"/>
              <w:right w:val="nil"/>
            </w:tcBorders>
            <w:vAlign w:val="center"/>
          </w:tcPr>
          <w:p w14:paraId="38F600F8">
            <w:pPr>
              <w:pStyle w:val="16"/>
              <w:spacing w:before="31" w:after="31"/>
              <w:ind w:firstLine="0" w:firstLineChars="0"/>
              <w:jc w:val="center"/>
              <w:rPr>
                <w:color w:val="000000"/>
                <w:sz w:val="21"/>
                <w:szCs w:val="21"/>
              </w:rPr>
            </w:pPr>
            <w:r>
              <w:rPr>
                <w:color w:val="000000"/>
                <w:sz w:val="21"/>
                <w:szCs w:val="21"/>
              </w:rPr>
              <w:t>41</w:t>
            </w:r>
          </w:p>
        </w:tc>
        <w:tc>
          <w:tcPr>
            <w:tcW w:w="1020" w:type="dxa"/>
            <w:tcBorders>
              <w:top w:val="nil"/>
              <w:left w:val="nil"/>
              <w:bottom w:val="nil"/>
              <w:right w:val="nil"/>
            </w:tcBorders>
            <w:vAlign w:val="center"/>
          </w:tcPr>
          <w:p w14:paraId="508FEFC7">
            <w:pPr>
              <w:pStyle w:val="16"/>
              <w:spacing w:before="31" w:after="31"/>
              <w:ind w:firstLine="0" w:firstLineChars="0"/>
              <w:jc w:val="center"/>
              <w:rPr>
                <w:color w:val="000000"/>
                <w:sz w:val="21"/>
                <w:szCs w:val="21"/>
              </w:rPr>
            </w:pPr>
            <w:r>
              <w:rPr>
                <w:color w:val="000000"/>
                <w:sz w:val="21"/>
                <w:szCs w:val="21"/>
              </w:rPr>
              <w:t>41</w:t>
            </w:r>
          </w:p>
        </w:tc>
      </w:tr>
      <w:tr w14:paraId="7D90CF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3" w:type="dxa"/>
            <w:tcBorders>
              <w:top w:val="nil"/>
              <w:left w:val="nil"/>
              <w:bottom w:val="single" w:color="auto" w:sz="12" w:space="0"/>
              <w:right w:val="nil"/>
            </w:tcBorders>
            <w:vAlign w:val="center"/>
          </w:tcPr>
          <w:p w14:paraId="2422D1F1">
            <w:pPr>
              <w:pStyle w:val="16"/>
              <w:spacing w:before="31" w:after="31" w:line="240" w:lineRule="auto"/>
              <w:ind w:firstLine="0" w:firstLineChars="0"/>
              <w:jc w:val="center"/>
              <w:rPr>
                <w:color w:val="000000"/>
                <w:sz w:val="21"/>
                <w:szCs w:val="21"/>
              </w:rPr>
            </w:pPr>
            <w:r>
              <w:rPr>
                <w:szCs w:val="24"/>
              </w:rPr>
              <w:t>Number of References</w:t>
            </w:r>
          </w:p>
        </w:tc>
        <w:tc>
          <w:tcPr>
            <w:tcW w:w="5040" w:type="dxa"/>
            <w:tcBorders>
              <w:top w:val="nil"/>
              <w:left w:val="nil"/>
              <w:bottom w:val="single" w:color="auto" w:sz="12" w:space="0"/>
              <w:right w:val="nil"/>
            </w:tcBorders>
            <w:vAlign w:val="center"/>
          </w:tcPr>
          <w:p w14:paraId="66DCC0B9">
            <w:pPr>
              <w:pStyle w:val="16"/>
              <w:spacing w:before="31" w:after="31"/>
              <w:ind w:firstLine="0" w:firstLineChars="0"/>
              <w:jc w:val="center"/>
              <w:rPr>
                <w:color w:val="000000"/>
                <w:sz w:val="21"/>
                <w:szCs w:val="21"/>
              </w:rPr>
            </w:pPr>
            <w:r>
              <w:rPr>
                <w:color w:val="000000"/>
                <w:sz w:val="21"/>
                <w:szCs w:val="21"/>
              </w:rPr>
              <w:t>8</w:t>
            </w:r>
          </w:p>
        </w:tc>
        <w:tc>
          <w:tcPr>
            <w:tcW w:w="1020" w:type="dxa"/>
            <w:tcBorders>
              <w:top w:val="nil"/>
              <w:left w:val="nil"/>
              <w:bottom w:val="single" w:color="auto" w:sz="12" w:space="0"/>
              <w:right w:val="nil"/>
            </w:tcBorders>
            <w:vAlign w:val="center"/>
          </w:tcPr>
          <w:p w14:paraId="3DDA5F8F">
            <w:pPr>
              <w:pStyle w:val="16"/>
              <w:spacing w:before="31" w:after="31"/>
              <w:ind w:firstLine="0" w:firstLineChars="0"/>
              <w:jc w:val="center"/>
              <w:rPr>
                <w:color w:val="000000"/>
                <w:sz w:val="21"/>
                <w:szCs w:val="21"/>
              </w:rPr>
            </w:pPr>
            <w:r>
              <w:rPr>
                <w:color w:val="000000"/>
                <w:sz w:val="21"/>
                <w:szCs w:val="21"/>
              </w:rPr>
              <w:t>8</w:t>
            </w:r>
          </w:p>
        </w:tc>
      </w:tr>
    </w:tbl>
    <w:p w14:paraId="6A1EE09E">
      <w:pPr>
        <w:pStyle w:val="16"/>
        <w:spacing w:before="31" w:after="31"/>
        <w:ind w:firstLine="482"/>
        <w:jc w:val="center"/>
        <w:rPr>
          <w:b/>
          <w:bCs/>
          <w:szCs w:val="24"/>
        </w:rPr>
      </w:pPr>
    </w:p>
    <w:p w14:paraId="5012378C">
      <w:pPr>
        <w:pStyle w:val="16"/>
        <w:spacing w:before="31" w:after="31"/>
        <w:ind w:firstLine="0" w:firstLineChars="0"/>
        <w:rPr>
          <w:b/>
          <w:bCs/>
          <w:szCs w:val="24"/>
        </w:rPr>
      </w:pPr>
      <w:r>
        <w:rPr>
          <w:b/>
          <w:bCs/>
          <w:szCs w:val="24"/>
        </w:rPr>
        <w:t>6.1 Common Sites of Failure Accidents</w:t>
      </w:r>
    </w:p>
    <w:p w14:paraId="57E59FC6">
      <w:pPr>
        <w:pStyle w:val="16"/>
        <w:spacing w:before="31" w:after="31"/>
        <w:ind w:firstLine="0" w:firstLineChars="0"/>
        <w:rPr>
          <w:szCs w:val="24"/>
        </w:rPr>
      </w:pPr>
      <w:r>
        <w:rPr>
          <w:szCs w:val="24"/>
        </w:rPr>
        <w:t>(1) Continuous rigid frame bridge web</w:t>
      </w:r>
    </w:p>
    <w:p w14:paraId="74B1179B">
      <w:pPr>
        <w:pStyle w:val="16"/>
        <w:spacing w:before="31" w:after="31"/>
        <w:ind w:firstLine="480"/>
        <w:rPr>
          <w:szCs w:val="24"/>
        </w:rPr>
      </w:pPr>
      <w:r>
        <w:rPr>
          <w:szCs w:val="24"/>
        </w:rPr>
        <w:t>In recent years, many large-span continuous rigid frame (continuous beam) bridges have experienced numerous engineering diseases during operation, significantly impacting the safety of the structures. Diseases mainly manifest in two aspects: deflection and cracks. Common crack forms include diagonal cracks in the web, transverse cracks in the bottom plate at mid-span, longitudinal cracks in the top plate, longitudinal cracks in the bottom plate, vertical cracks in the web, transverse cracks in the root top plate, horizontal cracks at the stem flange of the web, cracks at the anchor head of the bottom plate, surface temperature cracks, and other non-structural cracks. Among them, the first five types are the most significant, with diagonal cracks in the web being the most common, severe, and challenging to handle.</w:t>
      </w:r>
    </w:p>
    <w:p w14:paraId="5BE90B69">
      <w:pPr>
        <w:pStyle w:val="16"/>
        <w:spacing w:before="31" w:after="31"/>
        <w:ind w:firstLine="0" w:firstLineChars="0"/>
        <w:rPr>
          <w:szCs w:val="24"/>
        </w:rPr>
      </w:pPr>
      <w:r>
        <w:rPr>
          <w:szCs w:val="24"/>
        </w:rPr>
        <w:t>(2) Railway steel rails</w:t>
      </w:r>
    </w:p>
    <w:p w14:paraId="066ADF4A">
      <w:pPr>
        <w:pStyle w:val="16"/>
        <w:spacing w:before="31" w:after="31"/>
        <w:ind w:firstLine="480"/>
        <w:rPr>
          <w:szCs w:val="24"/>
        </w:rPr>
      </w:pPr>
      <w:r>
        <w:rPr>
          <w:szCs w:val="24"/>
        </w:rPr>
        <w:t>With the increase in train operating speed and changes in axle load, the types of rolling contact fatigue damage and the characteristics of damage development under wheel-rail interaction are also changing. A 1996 study by the Dutch Railways (PrORail) showed that cases of rail lateral fractures caused by fatigue cracks in the tread are much more common than expected. In the late 1990s, the occurrence of this type of damage increased rather than decreased and became more frequent.</w:t>
      </w:r>
    </w:p>
    <w:p w14:paraId="1298CF8C">
      <w:pPr>
        <w:pStyle w:val="16"/>
        <w:spacing w:before="31" w:after="31"/>
        <w:ind w:firstLine="0" w:firstLineChars="0"/>
        <w:rPr>
          <w:b/>
          <w:bCs/>
          <w:szCs w:val="24"/>
        </w:rPr>
      </w:pPr>
      <w:r>
        <w:rPr>
          <w:b/>
          <w:bCs/>
          <w:szCs w:val="24"/>
        </w:rPr>
        <w:t>6.2 Failure Cases</w:t>
      </w:r>
    </w:p>
    <w:p w14:paraId="3FB384BA">
      <w:pPr>
        <w:pStyle w:val="16"/>
        <w:spacing w:before="31" w:after="31"/>
        <w:ind w:firstLine="0" w:firstLineChars="0"/>
        <w:rPr>
          <w:b/>
          <w:bCs/>
          <w:szCs w:val="24"/>
        </w:rPr>
      </w:pPr>
      <w:r>
        <w:rPr>
          <w:b/>
          <w:bCs/>
          <w:szCs w:val="24"/>
        </w:rPr>
        <w:t>6.2.1 Case 6-1 Cracking Below the Anchor of the Abdominal Plate in a Continuous Rigid-Frame Box Girder Bridge</w:t>
      </w:r>
    </w:p>
    <w:p w14:paraId="64F7A025">
      <w:pPr>
        <w:pStyle w:val="16"/>
        <w:spacing w:before="31" w:after="31"/>
        <w:ind w:firstLine="0" w:firstLineChars="0"/>
        <w:rPr>
          <w:szCs w:val="24"/>
        </w:rPr>
      </w:pPr>
      <w:r>
        <w:rPr>
          <w:szCs w:val="24"/>
        </w:rPr>
        <w:t>(1) Case Name</w:t>
      </w:r>
    </w:p>
    <w:p w14:paraId="0AC79DB6">
      <w:pPr>
        <w:pStyle w:val="16"/>
        <w:spacing w:before="31" w:after="31"/>
        <w:ind w:firstLine="480"/>
        <w:rPr>
          <w:szCs w:val="24"/>
        </w:rPr>
      </w:pPr>
      <w:r>
        <w:rPr>
          <w:szCs w:val="24"/>
        </w:rPr>
        <w:t>Cracking Below the Anchor of the Abdominal Plate in a Continuous Rigid-Frame Box Girder Bridge Block 0 [3]</w:t>
      </w:r>
    </w:p>
    <w:p w14:paraId="26FA02AB">
      <w:pPr>
        <w:pStyle w:val="16"/>
        <w:spacing w:before="31" w:after="31"/>
        <w:ind w:firstLine="0" w:firstLineChars="0"/>
        <w:rPr>
          <w:szCs w:val="24"/>
        </w:rPr>
      </w:pPr>
      <w:r>
        <w:rPr>
          <w:szCs w:val="24"/>
        </w:rPr>
        <w:t>(2) Description of Failure Process</w:t>
      </w:r>
    </w:p>
    <w:p w14:paraId="604532C2">
      <w:pPr>
        <w:pStyle w:val="16"/>
        <w:spacing w:before="31" w:after="31"/>
        <w:ind w:firstLine="480"/>
        <w:rPr>
          <w:szCs w:val="24"/>
        </w:rPr>
      </w:pPr>
      <w:r>
        <w:rPr>
          <w:szCs w:val="24"/>
        </w:rPr>
        <w:t>On December 21, the concrete pouring for Block 0 of Continuous Rigid-Frame Bridge Pier D of Bridge ll was completed at 11:00. On December 30, the strength of the curing specimens taken from the beam reached 54.9 MPa (design strength of concrete C50). At 14:00 on December 30, after checking the installation readiness of anchors, jacks, and hydraulic pressure gauges, the longitudinal prestressing reinforcement T1 was successfully tensioned. The longitudinal tensioning T2 began at 21:00 on December 30, and everything proceeded smoothly. However, when the tension reached 100% of the controlled stress, the downstream jack on the abutment side no longer pressurized, accompanied by cracking sounds, and the tensioning was immediately stopped. Upon investigation, it was found that the downstream abutment side anchor pad for T2 was crushed, and vertical cracks appeared in the outer concrete of the inclined abdominal plate at that location. After securing the T2 bundle, further inspection revealed that the outer concrete of the inclined abdominal plate from the root of the flange plate to 1m below the anchor pad had peeled off, with a maximum thickness exceeding 20 centimeters. Block 0 exhibited cracking, as shown in Figure 6-1.1. After discussions, symmetric synchronous tensioning of the T2 bundle was carried out that night.</w:t>
      </w:r>
    </w:p>
    <w:p w14:paraId="31AA58C6">
      <w:pPr>
        <w:pStyle w:val="16"/>
        <w:spacing w:before="31" w:after="31"/>
        <w:ind w:firstLine="482"/>
        <w:jc w:val="center"/>
        <w:rPr>
          <w:b/>
          <w:bCs/>
          <w:szCs w:val="24"/>
        </w:rPr>
      </w:pPr>
      <w:r>
        <w:rPr>
          <w:b/>
          <w:bCs/>
          <w:szCs w:val="24"/>
        </w:rPr>
        <w:t>Figure 6-1.1 Schematic of Cracking in Block 0</w:t>
      </w:r>
    </w:p>
    <w:p w14:paraId="65CBBE51">
      <w:pPr>
        <w:pStyle w:val="16"/>
        <w:spacing w:before="31" w:after="31"/>
        <w:ind w:firstLine="0" w:firstLineChars="0"/>
        <w:rPr>
          <w:szCs w:val="24"/>
        </w:rPr>
      </w:pPr>
      <w:r>
        <w:rPr>
          <w:szCs w:val="24"/>
        </w:rPr>
        <w:t>(3) Service Environment:</w:t>
      </w:r>
    </w:p>
    <w:p w14:paraId="5451109A">
      <w:pPr>
        <w:pStyle w:val="16"/>
        <w:spacing w:before="31" w:after="31"/>
        <w:ind w:firstLine="420" w:firstLineChars="0"/>
        <w:rPr>
          <w:szCs w:val="24"/>
        </w:rPr>
      </w:pPr>
      <w:r>
        <w:rPr>
          <w:szCs w:val="24"/>
        </w:rPr>
        <w:t>Null</w:t>
      </w:r>
    </w:p>
    <w:p w14:paraId="44F6C25B">
      <w:pPr>
        <w:pStyle w:val="16"/>
        <w:spacing w:before="31" w:after="31"/>
        <w:ind w:firstLine="0" w:firstLineChars="0"/>
        <w:rPr>
          <w:szCs w:val="24"/>
        </w:rPr>
      </w:pPr>
      <w:r>
        <w:rPr>
          <w:szCs w:val="24"/>
        </w:rPr>
        <w:t>(4) Failed Components and Material:</w:t>
      </w:r>
    </w:p>
    <w:p w14:paraId="498AF1CD">
      <w:pPr>
        <w:pStyle w:val="16"/>
        <w:spacing w:before="31" w:after="31"/>
        <w:ind w:firstLine="420" w:firstLineChars="0"/>
        <w:rPr>
          <w:szCs w:val="24"/>
        </w:rPr>
      </w:pPr>
      <w:r>
        <w:rPr>
          <w:szCs w:val="24"/>
        </w:rPr>
        <w:t>Null</w:t>
      </w:r>
    </w:p>
    <w:p w14:paraId="726B3005">
      <w:pPr>
        <w:pStyle w:val="16"/>
        <w:spacing w:before="31" w:after="31"/>
        <w:ind w:firstLine="0" w:firstLineChars="0"/>
        <w:rPr>
          <w:szCs w:val="24"/>
        </w:rPr>
      </w:pPr>
      <w:r>
        <w:rPr>
          <w:szCs w:val="24"/>
        </w:rPr>
        <w:t>(5) Failed Component Morphology:</w:t>
      </w:r>
    </w:p>
    <w:p w14:paraId="151E14E6">
      <w:pPr>
        <w:pStyle w:val="16"/>
        <w:spacing w:before="31" w:after="31"/>
        <w:ind w:firstLine="420" w:firstLineChars="0"/>
        <w:rPr>
          <w:szCs w:val="24"/>
        </w:rPr>
      </w:pPr>
      <w:r>
        <w:rPr>
          <w:szCs w:val="24"/>
        </w:rPr>
        <w:t>Null</w:t>
      </w:r>
    </w:p>
    <w:p w14:paraId="6F1C6C28">
      <w:pPr>
        <w:pStyle w:val="16"/>
        <w:spacing w:before="31" w:after="31"/>
        <w:ind w:firstLine="0" w:firstLineChars="0"/>
        <w:rPr>
          <w:szCs w:val="24"/>
        </w:rPr>
      </w:pPr>
      <w:r>
        <w:rPr>
          <w:szCs w:val="24"/>
        </w:rPr>
        <w:t>(6) Analysis of Failure Causes</w:t>
      </w:r>
    </w:p>
    <w:p w14:paraId="306E3EA2">
      <w:pPr>
        <w:pStyle w:val="16"/>
        <w:spacing w:before="31" w:after="31"/>
        <w:ind w:firstLine="480"/>
        <w:rPr>
          <w:szCs w:val="24"/>
        </w:rPr>
      </w:pPr>
      <w:r>
        <w:rPr>
          <w:szCs w:val="24"/>
        </w:rPr>
        <w:t>(a) Design Reasons</w:t>
      </w:r>
    </w:p>
    <w:p w14:paraId="10658952">
      <w:pPr>
        <w:pStyle w:val="16"/>
        <w:spacing w:before="31" w:after="31"/>
        <w:ind w:firstLine="480"/>
        <w:rPr>
          <w:szCs w:val="24"/>
        </w:rPr>
      </w:pPr>
      <w:r>
        <w:rPr>
          <w:szCs w:val="24"/>
        </w:rPr>
        <w:t>The local pressure zone of the anchor head is roughly equal to the end block with a longitudinal length approximately twice the beam height. The stress caused by the local pressure of the anchor is complex, generating transverse compressive stress near the pad and transverse tensile stress elsewhere. When the tonnage of the anchor is large, this tensile stress can reach significant values.</w:t>
      </w:r>
    </w:p>
    <w:p w14:paraId="2251D8AC">
      <w:pPr>
        <w:pStyle w:val="16"/>
        <w:spacing w:before="31" w:after="31"/>
        <w:ind w:firstLine="480"/>
        <w:rPr>
          <w:szCs w:val="24"/>
        </w:rPr>
      </w:pPr>
    </w:p>
    <w:p w14:paraId="4407C27E">
      <w:pPr>
        <w:pStyle w:val="16"/>
        <w:spacing w:before="31" w:after="31"/>
        <w:ind w:firstLine="0" w:firstLineChars="0"/>
        <w:rPr>
          <w:szCs w:val="24"/>
        </w:rPr>
      </w:pPr>
      <w:r>
        <w:rPr>
          <w:szCs w:val="24"/>
        </w:rPr>
        <w:t>The longitudinal prestressing steel strands of the top plate of this rigid-frame bridge use Ф15.24 low-relaxation steel strands with a standard strength Rb = 1860 MPa. The tension control stress is бk = 0.75Rb = 1395 MPa. The top plates T1 and T2 use Ф15.24-25, and the anchor clamps use the OVM series YJM15-25. According to the provisions of JTG D62-2004 in Sections 5.7.1 and 5.7.2, calculations are carried out using equations (5.7.1-1), (5.7.1-2), (5.7.2-1), and (5.7.2-2).</w:t>
      </w:r>
    </w:p>
    <w:p w14:paraId="24636F60">
      <w:pPr>
        <w:pStyle w:val="16"/>
        <w:spacing w:before="31" w:after="31"/>
        <w:ind w:firstLine="0" w:firstLineChars="0"/>
        <w:rPr>
          <w:szCs w:val="24"/>
        </w:rPr>
      </w:pPr>
      <w:r>
        <w:rPr>
          <w:szCs w:val="24"/>
        </w:rPr>
        <w:t>(7) Impact and Harm Caused</w:t>
      </w:r>
    </w:p>
    <w:p w14:paraId="15B46934">
      <w:pPr>
        <w:pStyle w:val="16"/>
        <w:spacing w:before="31" w:after="31"/>
        <w:ind w:firstLine="420" w:firstLineChars="0"/>
        <w:rPr>
          <w:szCs w:val="24"/>
        </w:rPr>
      </w:pPr>
      <w:r>
        <w:rPr>
          <w:szCs w:val="24"/>
        </w:rPr>
        <w:t>Null</w:t>
      </w:r>
    </w:p>
    <w:p w14:paraId="6AB8D9CB">
      <w:pPr>
        <w:pStyle w:val="16"/>
        <w:spacing w:before="31" w:after="31"/>
        <w:ind w:firstLine="0" w:firstLineChars="0"/>
        <w:rPr>
          <w:szCs w:val="24"/>
        </w:rPr>
      </w:pPr>
      <w:r>
        <w:rPr>
          <w:szCs w:val="24"/>
        </w:rPr>
        <w:t>(8) Conclusion and Improvement Measures</w:t>
      </w:r>
    </w:p>
    <w:p w14:paraId="147B8F9C">
      <w:pPr>
        <w:pStyle w:val="16"/>
        <w:spacing w:before="31" w:after="31"/>
        <w:ind w:firstLine="480"/>
        <w:rPr>
          <w:szCs w:val="24"/>
        </w:rPr>
      </w:pPr>
      <w:r>
        <w:rPr>
          <w:szCs w:val="24"/>
        </w:rPr>
        <w:t>Based on the above analysis, the following improvement measures can be implemented:</w:t>
      </w:r>
    </w:p>
    <w:p w14:paraId="528DB986">
      <w:pPr>
        <w:pStyle w:val="16"/>
        <w:spacing w:before="31" w:after="31"/>
        <w:ind w:firstLine="480"/>
        <w:rPr>
          <w:szCs w:val="24"/>
        </w:rPr>
      </w:pPr>
      <w:r>
        <w:rPr>
          <w:szCs w:val="24"/>
        </w:rPr>
        <w:t>(a) Design Improvement:</w:t>
      </w:r>
    </w:p>
    <w:p w14:paraId="22133A00">
      <w:pPr>
        <w:pStyle w:val="16"/>
        <w:spacing w:before="31" w:after="31"/>
        <w:ind w:firstLine="480"/>
        <w:rPr>
          <w:szCs w:val="24"/>
        </w:rPr>
      </w:pPr>
      <w:r>
        <w:rPr>
          <w:szCs w:val="24"/>
        </w:rPr>
        <w:t>Enhancements to the design process are recommended to address the identified issues. This may involve reconsidering the specifications for anchor head local pressure zones, optimizing the selection of prestressing materials, and refining calculations for the concrete's local pressure resistance.</w:t>
      </w:r>
    </w:p>
    <w:p w14:paraId="0BD3B881">
      <w:pPr>
        <w:pStyle w:val="16"/>
        <w:spacing w:before="31" w:after="31"/>
        <w:ind w:firstLine="480"/>
        <w:rPr>
          <w:szCs w:val="24"/>
        </w:rPr>
      </w:pPr>
      <w:r>
        <w:rPr>
          <w:szCs w:val="24"/>
        </w:rPr>
        <w:t>(b) Strengthening Construction Quality Control:</w:t>
      </w:r>
    </w:p>
    <w:p w14:paraId="5459D207">
      <w:pPr>
        <w:pStyle w:val="16"/>
        <w:spacing w:before="31" w:after="31"/>
        <w:ind w:firstLine="480"/>
        <w:rPr>
          <w:szCs w:val="24"/>
        </w:rPr>
      </w:pPr>
      <w:r>
        <w:rPr>
          <w:szCs w:val="24"/>
        </w:rPr>
        <w:t>To prevent construction-related issues, it is crucial to enhance the control and oversight of the construction process. This includes ensuring accurate installation of anchor clamps' corrugated pipes, proper compaction of concrete, and adherence to design specifications during the installation of reinforcing bars.</w:t>
      </w:r>
    </w:p>
    <w:p w14:paraId="3865EB11">
      <w:pPr>
        <w:pStyle w:val="16"/>
        <w:spacing w:before="31" w:after="31"/>
        <w:ind w:firstLine="199" w:firstLineChars="83"/>
        <w:rPr>
          <w:szCs w:val="24"/>
        </w:rPr>
      </w:pPr>
      <w:r>
        <w:rPr>
          <w:szCs w:val="24"/>
        </w:rPr>
        <w:t>(c) Tensioning Stress Control during the Tensioning Process:</w:t>
      </w:r>
    </w:p>
    <w:p w14:paraId="38F7BE92">
      <w:pPr>
        <w:pStyle w:val="16"/>
        <w:spacing w:before="31" w:after="31"/>
        <w:ind w:firstLine="480"/>
        <w:rPr>
          <w:szCs w:val="24"/>
        </w:rPr>
      </w:pPr>
      <w:r>
        <w:rPr>
          <w:szCs w:val="24"/>
        </w:rPr>
        <w:t>Improvements in the control of tensioning stress during the tensioning process are recommended. This involves closely monitoring and adjusting the tensioning process to prevent excessive stress that could lead to structural failures.</w:t>
      </w:r>
    </w:p>
    <w:p w14:paraId="1356C740">
      <w:pPr>
        <w:pStyle w:val="16"/>
        <w:spacing w:before="31" w:after="31"/>
        <w:ind w:firstLine="480"/>
        <w:rPr>
          <w:szCs w:val="24"/>
        </w:rPr>
      </w:pPr>
    </w:p>
    <w:p w14:paraId="03269E6C">
      <w:pPr>
        <w:pStyle w:val="16"/>
        <w:spacing w:before="31" w:after="31"/>
        <w:ind w:firstLine="480"/>
        <w:rPr>
          <w:szCs w:val="24"/>
        </w:rPr>
      </w:pPr>
      <w:r>
        <w:rPr>
          <w:szCs w:val="24"/>
        </w:rPr>
        <w:t>(d) Addressing Local Cracking Below the Anchor:</w:t>
      </w:r>
    </w:p>
    <w:p w14:paraId="6B16F63A">
      <w:pPr>
        <w:pStyle w:val="16"/>
        <w:spacing w:before="31" w:after="31"/>
        <w:ind w:firstLine="480"/>
        <w:rPr>
          <w:szCs w:val="24"/>
        </w:rPr>
      </w:pPr>
      <w:r>
        <w:rPr>
          <w:szCs w:val="24"/>
        </w:rPr>
        <w:t>Efforts should be directed towards addressing and rectifying the local cracking observed below the anchor. This may involve repair and reinforcement of the affected areas to ensure the structural integrity of the bridge.</w:t>
      </w:r>
    </w:p>
    <w:p w14:paraId="2B36F2DD">
      <w:pPr>
        <w:pStyle w:val="16"/>
        <w:spacing w:before="31" w:after="31"/>
        <w:ind w:firstLine="480"/>
        <w:rPr>
          <w:szCs w:val="24"/>
        </w:rPr>
      </w:pPr>
      <w:r>
        <w:rPr>
          <w:szCs w:val="24"/>
        </w:rPr>
        <w:t>The implementation of these design improvements and enhanced construction process controls in subsequent construction phases of the main bridge, load-bearing beams, and the B and D ramps of the North Approach Bridge has demonstrated success. Practical experience has shown that these measures effectively prevent similar engineering accidents from occurring.</w:t>
      </w:r>
    </w:p>
    <w:p w14:paraId="0DF9C633">
      <w:pPr>
        <w:pStyle w:val="16"/>
        <w:spacing w:before="31" w:after="31"/>
        <w:ind w:firstLine="0" w:firstLineChars="0"/>
        <w:rPr>
          <w:szCs w:val="24"/>
        </w:rPr>
      </w:pPr>
      <w:r>
        <w:rPr>
          <w:b/>
          <w:bCs/>
          <w:szCs w:val="24"/>
        </w:rPr>
        <w:t>6.2.2 Case 6-2: Cracks in the Closure Area of the Fuli Taoyuan Bridge Box Girder</w:t>
      </w:r>
    </w:p>
    <w:p w14:paraId="423537EB">
      <w:pPr>
        <w:pStyle w:val="16"/>
        <w:spacing w:before="31" w:after="31"/>
        <w:ind w:firstLine="0" w:firstLineChars="0"/>
        <w:rPr>
          <w:szCs w:val="24"/>
        </w:rPr>
      </w:pPr>
      <w:r>
        <w:rPr>
          <w:szCs w:val="24"/>
        </w:rPr>
        <w:t>(1) Case Name</w:t>
      </w:r>
    </w:p>
    <w:p w14:paraId="0EAEFE5A">
      <w:pPr>
        <w:pStyle w:val="16"/>
        <w:spacing w:before="31" w:after="31"/>
        <w:ind w:firstLine="480"/>
        <w:rPr>
          <w:szCs w:val="24"/>
        </w:rPr>
      </w:pPr>
      <w:r>
        <w:rPr>
          <w:szCs w:val="24"/>
        </w:rPr>
        <w:t>Cracks in the closure area of the Fuli Taoyuan Bridge box girder [4]</w:t>
      </w:r>
    </w:p>
    <w:p w14:paraId="6A607D36">
      <w:pPr>
        <w:pStyle w:val="16"/>
        <w:spacing w:before="31" w:after="31"/>
        <w:ind w:firstLine="0" w:firstLineChars="0"/>
        <w:rPr>
          <w:szCs w:val="24"/>
        </w:rPr>
      </w:pPr>
      <w:r>
        <w:rPr>
          <w:szCs w:val="24"/>
        </w:rPr>
        <w:t>(2) Description of Failure Process</w:t>
      </w:r>
    </w:p>
    <w:p w14:paraId="12B07B81">
      <w:pPr>
        <w:pStyle w:val="16"/>
        <w:spacing w:before="31" w:after="31"/>
        <w:ind w:firstLine="480"/>
        <w:rPr>
          <w:szCs w:val="24"/>
        </w:rPr>
      </w:pPr>
      <w:r>
        <w:rPr>
          <w:szCs w:val="24"/>
        </w:rPr>
        <w:t>The Fuli Taoyuan Bridge is located in the Luochongwei area of Baiyun District, Guangzhou City, spanning the Zengbu River and connecting Taoyuan Road and Xizeng Road on both sides of the river. It serves as a transportation hub between the planned Fuli Taoyuan residential area and the urban area. During the post-tensioning of the main bridge after the closure phase, concrete spalling occurred in the bottom slab of the central No. 10 block, the side No. 9 blocks, and some No. 8 blocks, resulting in numerous longitudinal cracks.</w:t>
      </w:r>
    </w:p>
    <w:p w14:paraId="511EAC44">
      <w:pPr>
        <w:pStyle w:val="16"/>
        <w:spacing w:before="31" w:after="31"/>
        <w:ind w:firstLine="0" w:firstLineChars="0"/>
        <w:rPr>
          <w:szCs w:val="24"/>
        </w:rPr>
      </w:pPr>
      <w:r>
        <w:rPr>
          <w:szCs w:val="24"/>
        </w:rPr>
        <w:t>(3) Service Environment:</w:t>
      </w:r>
    </w:p>
    <w:p w14:paraId="20C385CC">
      <w:pPr>
        <w:pStyle w:val="16"/>
        <w:spacing w:before="31" w:after="31"/>
        <w:ind w:firstLine="420" w:firstLineChars="0"/>
        <w:rPr>
          <w:szCs w:val="24"/>
        </w:rPr>
      </w:pPr>
      <w:r>
        <w:rPr>
          <w:szCs w:val="24"/>
        </w:rPr>
        <w:t>Null</w:t>
      </w:r>
    </w:p>
    <w:p w14:paraId="177EB325">
      <w:pPr>
        <w:pStyle w:val="16"/>
        <w:spacing w:before="31" w:after="31"/>
        <w:ind w:firstLine="0" w:firstLineChars="0"/>
        <w:rPr>
          <w:szCs w:val="24"/>
        </w:rPr>
      </w:pPr>
      <w:r>
        <w:rPr>
          <w:szCs w:val="24"/>
        </w:rPr>
        <w:t>(4) Failed Components and Materials</w:t>
      </w:r>
    </w:p>
    <w:p w14:paraId="72AB5D84">
      <w:pPr>
        <w:pStyle w:val="16"/>
        <w:spacing w:before="31" w:after="31"/>
        <w:ind w:firstLine="480"/>
        <w:rPr>
          <w:szCs w:val="24"/>
        </w:rPr>
      </w:pPr>
      <w:r>
        <w:rPr>
          <w:szCs w:val="24"/>
        </w:rPr>
        <w:t>The bridge is designed for loads: live load - 20, trailer load - 120. The upper structure of the main bridge adopts a (45+60+45)m three-span variable height prestressed concrete continuous box girder, with a single-box three-chamber structure, a top width of 17m, a bottom width of 12m, and a height varying from 2m at the midspan to 3.8m at the abutment.</w:t>
      </w:r>
    </w:p>
    <w:p w14:paraId="332F914E">
      <w:pPr>
        <w:pStyle w:val="16"/>
        <w:spacing w:before="31" w:after="31"/>
        <w:ind w:firstLine="0" w:firstLineChars="0"/>
        <w:rPr>
          <w:szCs w:val="24"/>
        </w:rPr>
      </w:pPr>
      <w:r>
        <w:rPr>
          <w:szCs w:val="24"/>
        </w:rPr>
        <w:t>(5) Failed Component Appearance</w:t>
      </w:r>
    </w:p>
    <w:p w14:paraId="42E63D05">
      <w:pPr>
        <w:pStyle w:val="16"/>
        <w:spacing w:before="31" w:after="31"/>
        <w:ind w:firstLine="480"/>
        <w:rPr>
          <w:szCs w:val="24"/>
        </w:rPr>
      </w:pPr>
      <w:r>
        <w:rPr>
          <w:szCs w:val="24"/>
        </w:rPr>
        <w:t>The locations of the cracks in the bridge are shown in Figure 6-2.1.</w:t>
      </w:r>
    </w:p>
    <w:p w14:paraId="5ECE25C3">
      <w:pPr>
        <w:pStyle w:val="16"/>
        <w:spacing w:before="31" w:after="31"/>
        <w:ind w:firstLine="482"/>
        <w:jc w:val="center"/>
        <w:rPr>
          <w:b/>
          <w:bCs/>
          <w:szCs w:val="24"/>
        </w:rPr>
      </w:pPr>
      <w:r>
        <w:rPr>
          <w:b/>
          <w:bCs/>
          <w:szCs w:val="24"/>
        </w:rPr>
        <w:t>Figure 6-2.1 Location of cracks in the bottom slab section</w:t>
      </w:r>
    </w:p>
    <w:p w14:paraId="179C145F">
      <w:pPr>
        <w:pStyle w:val="16"/>
        <w:spacing w:before="31" w:after="31"/>
        <w:ind w:firstLine="0" w:firstLineChars="0"/>
        <w:rPr>
          <w:szCs w:val="24"/>
        </w:rPr>
      </w:pPr>
      <w:r>
        <w:rPr>
          <w:szCs w:val="24"/>
        </w:rPr>
        <w:t>(6) Analysis of Failure Causes</w:t>
      </w:r>
    </w:p>
    <w:p w14:paraId="59C6381B">
      <w:pPr>
        <w:pStyle w:val="16"/>
        <w:spacing w:before="31" w:after="31"/>
        <w:ind w:firstLine="480"/>
        <w:rPr>
          <w:szCs w:val="24"/>
        </w:rPr>
      </w:pPr>
      <w:r>
        <w:rPr>
          <w:szCs w:val="24"/>
        </w:rPr>
        <w:t>(a) Determination of the downward pull force generated by prestressed tendons</w:t>
      </w:r>
    </w:p>
    <w:p w14:paraId="24635B79">
      <w:pPr>
        <w:pStyle w:val="16"/>
        <w:spacing w:before="31" w:after="31"/>
        <w:ind w:firstLine="480"/>
        <w:rPr>
          <w:szCs w:val="24"/>
        </w:rPr>
      </w:pPr>
      <w:r>
        <w:rPr>
          <w:szCs w:val="24"/>
        </w:rPr>
        <w:t>Each prestressed tendon at the midspan of the bridge exerts a tension force of 2340 kN, resulting in a downward distributed force of q = 86.5 kN/m per tendon. Theoretical calculations indicate that the actual downward pull force is approximately 3.1 times the theoretical design. Field investigations suggest that the longitudinal cracks in the bottom slab are likely caused by the downward tension force of the midspan bottom slab prestressed tendons.</w:t>
      </w:r>
    </w:p>
    <w:p w14:paraId="12B8E782">
      <w:pPr>
        <w:pStyle w:val="16"/>
        <w:spacing w:before="31" w:after="31"/>
        <w:ind w:firstLine="480"/>
        <w:rPr>
          <w:szCs w:val="24"/>
        </w:rPr>
      </w:pPr>
      <w:r>
        <w:rPr>
          <w:szCs w:val="24"/>
        </w:rPr>
        <w:t>(b) Analysis of the transverse frame structure in the closure section</w:t>
      </w:r>
    </w:p>
    <w:p w14:paraId="5A9622B1">
      <w:pPr>
        <w:pStyle w:val="16"/>
        <w:spacing w:before="31" w:after="31"/>
        <w:ind w:firstLine="480"/>
        <w:rPr>
          <w:szCs w:val="24"/>
        </w:rPr>
      </w:pPr>
      <w:r>
        <w:rPr>
          <w:szCs w:val="24"/>
        </w:rPr>
        <w:t>A transverse frame model was established for the 1.5m closure section along the longitudinal axis of the bridge, and structural analysis was conducted. The actual prestress pull force of the 1.5m long bottom slab was applied as a distributed load on the bottom slab of the transverse frame within the range of the prestressed tendons, with dimensions of 1.5m×1.024m. The transverse distributed load intensity was q = 887 kN/m, as shown in Figure 6-2.2.</w:t>
      </w:r>
    </w:p>
    <w:p w14:paraId="28F64215">
      <w:pPr>
        <w:pStyle w:val="16"/>
        <w:spacing w:before="31" w:after="31"/>
        <w:ind w:firstLine="482"/>
        <w:jc w:val="center"/>
        <w:rPr>
          <w:b/>
          <w:bCs/>
          <w:szCs w:val="24"/>
        </w:rPr>
      </w:pPr>
      <w:r>
        <w:rPr>
          <w:b/>
          <w:bCs/>
          <w:szCs w:val="24"/>
        </w:rPr>
        <w:t>Figure 6-2.2 Transverse calculation model</w:t>
      </w:r>
    </w:p>
    <w:p w14:paraId="0A51F474">
      <w:pPr>
        <w:pStyle w:val="16"/>
        <w:spacing w:before="31" w:after="31"/>
        <w:ind w:firstLine="480"/>
        <w:rPr>
          <w:szCs w:val="24"/>
        </w:rPr>
      </w:pPr>
    </w:p>
    <w:p w14:paraId="051BAAEF">
      <w:pPr>
        <w:pStyle w:val="16"/>
        <w:spacing w:before="31" w:after="31"/>
        <w:ind w:firstLine="480"/>
        <w:rPr>
          <w:szCs w:val="24"/>
        </w:rPr>
      </w:pPr>
      <w:r>
        <w:rPr>
          <w:szCs w:val="24"/>
        </w:rPr>
        <w:t>(c) Local analysis of the box chamber voids</w:t>
      </w:r>
    </w:p>
    <w:p w14:paraId="11794D6C">
      <w:pPr>
        <w:pStyle w:val="16"/>
        <w:spacing w:before="31" w:after="31"/>
        <w:ind w:firstLine="480"/>
        <w:rPr>
          <w:szCs w:val="24"/>
        </w:rPr>
      </w:pPr>
      <w:r>
        <w:rPr>
          <w:szCs w:val="24"/>
        </w:rPr>
        <w:t>ANSYS was used to numerically simulate the stress distribution in the prestressed voids of the bottom slab. The results indicated that the transverse normal stress at the bottom of the midspan bottom slab was approximately 10 MPa, and the transverse tensile stress at the lower edge of the slab ranged from 10.86 to 12.28 MPa, as shown in Figure 6-2.3. Considering that the prestressed tendon void wall is the only connection between the upper and lower layers of the bottom slab reinforcement, the vertical tensile stress on the void wall was calculated, as shown in Figure 6-2.4. From Figure 6-2.4, it can be seen that the vertical tensile stress on the void wall exceeds 6.5 MPa. Under the substantial pull force of the prestressed tendons, the void wall may fracture, leading to the separation of the upper and lower layers of the bottom slab. At this point, all the pull forces are borne by the 7cm thick reinforced concrete under the void, eventually causing the bottom slab concrete to pull apart and resulting in numerous longitudinal cracks.</w:t>
      </w:r>
    </w:p>
    <w:p w14:paraId="053AE0F4">
      <w:pPr>
        <w:pStyle w:val="16"/>
        <w:spacing w:before="31" w:after="31"/>
        <w:ind w:firstLine="482"/>
        <w:jc w:val="center"/>
        <w:rPr>
          <w:b/>
          <w:bCs/>
          <w:szCs w:val="24"/>
        </w:rPr>
      </w:pPr>
      <w:r>
        <w:rPr>
          <w:b/>
          <w:bCs/>
          <w:szCs w:val="24"/>
        </w:rPr>
        <w:t>Figure 6-2.3 Transverse normal stress on the bottom slab under actual load</w:t>
      </w:r>
    </w:p>
    <w:p w14:paraId="7787E3F1">
      <w:pPr>
        <w:pStyle w:val="16"/>
        <w:spacing w:before="31" w:after="31"/>
        <w:ind w:firstLine="482"/>
        <w:jc w:val="center"/>
        <w:rPr>
          <w:b/>
          <w:bCs/>
          <w:szCs w:val="24"/>
        </w:rPr>
      </w:pPr>
      <w:r>
        <w:rPr>
          <w:b/>
          <w:bCs/>
          <w:szCs w:val="24"/>
        </w:rPr>
        <w:t>Figure 6-2.6 Vertical tensile stress on the void wall</w:t>
      </w:r>
    </w:p>
    <w:p w14:paraId="4D6F9AB1">
      <w:pPr>
        <w:pStyle w:val="16"/>
        <w:spacing w:before="31" w:after="31"/>
        <w:ind w:firstLine="480"/>
        <w:rPr>
          <w:szCs w:val="24"/>
        </w:rPr>
      </w:pPr>
      <w:r>
        <w:rPr>
          <w:szCs w:val="24"/>
        </w:rPr>
        <w:t>In summary, the longitudinal cracks in the closure area of the Fuli Taoyuan Bridge box girder occur due to excessive downward pull force, which causes the prestressed tendon void wall to fracture. With insufficient bearing capacity, the lower layer of the bottom slab concrete collapses, leading to longitudinal cracks.</w:t>
      </w:r>
    </w:p>
    <w:p w14:paraId="0CB1EE56">
      <w:pPr>
        <w:pStyle w:val="16"/>
        <w:spacing w:before="31" w:after="31"/>
        <w:ind w:firstLine="0" w:firstLineChars="0"/>
        <w:rPr>
          <w:szCs w:val="24"/>
        </w:rPr>
      </w:pPr>
      <w:r>
        <w:rPr>
          <w:szCs w:val="24"/>
        </w:rPr>
        <w:t>(7) Impact and Harm Caused</w:t>
      </w:r>
    </w:p>
    <w:p w14:paraId="211115B6">
      <w:pPr>
        <w:pStyle w:val="16"/>
        <w:spacing w:before="31" w:after="31"/>
        <w:ind w:firstLine="420" w:firstLineChars="0"/>
        <w:rPr>
          <w:szCs w:val="24"/>
        </w:rPr>
      </w:pPr>
      <w:r>
        <w:rPr>
          <w:szCs w:val="24"/>
        </w:rPr>
        <w:t>Null</w:t>
      </w:r>
    </w:p>
    <w:p w14:paraId="4D8E4A46">
      <w:pPr>
        <w:pStyle w:val="16"/>
        <w:spacing w:before="31" w:after="31"/>
        <w:ind w:firstLine="0" w:firstLineChars="0"/>
        <w:rPr>
          <w:szCs w:val="24"/>
        </w:rPr>
      </w:pPr>
      <w:r>
        <w:rPr>
          <w:szCs w:val="24"/>
        </w:rPr>
        <w:t>(8) Conclusion and Improvement Measures</w:t>
      </w:r>
    </w:p>
    <w:p w14:paraId="66C42E54">
      <w:pPr>
        <w:pStyle w:val="16"/>
        <w:spacing w:before="31" w:after="31"/>
        <w:ind w:firstLine="480"/>
        <w:rPr>
          <w:szCs w:val="24"/>
        </w:rPr>
      </w:pPr>
      <w:r>
        <w:rPr>
          <w:szCs w:val="24"/>
        </w:rPr>
        <w:t>Conclusion:</w:t>
      </w:r>
    </w:p>
    <w:p w14:paraId="0F3230A0">
      <w:pPr>
        <w:pStyle w:val="16"/>
        <w:spacing w:before="31" w:after="31"/>
        <w:ind w:firstLine="480"/>
        <w:rPr>
          <w:szCs w:val="24"/>
        </w:rPr>
      </w:pPr>
      <w:r>
        <w:rPr>
          <w:szCs w:val="24"/>
        </w:rPr>
        <w:t>(a) Due to factors such as the influence of the bridge curve and construction errors, the downward pull force generated by the midspan bottom slab prestressed tendons is significantly greater than the design downward pull force.</w:t>
      </w:r>
    </w:p>
    <w:p w14:paraId="13801104">
      <w:pPr>
        <w:pStyle w:val="16"/>
        <w:spacing w:before="31" w:after="31"/>
        <w:ind w:firstLine="480"/>
        <w:rPr>
          <w:szCs w:val="24"/>
        </w:rPr>
      </w:pPr>
      <w:r>
        <w:rPr>
          <w:szCs w:val="24"/>
        </w:rPr>
        <w:t>(b) Under the action of downward pull force, the bottom slab's bending capacity is insufficient, and the crack width exceeds the code requirements, while the vertical stress on the void wall is too high. In the event of void wall fracture, the concrete below the void bears all the loads, causing the bottom slab concrete to collapse and resulting in longitudinal cracks.</w:t>
      </w:r>
    </w:p>
    <w:p w14:paraId="33198458">
      <w:pPr>
        <w:pStyle w:val="16"/>
        <w:spacing w:before="31" w:after="31"/>
        <w:ind w:firstLine="480"/>
        <w:rPr>
          <w:szCs w:val="24"/>
        </w:rPr>
      </w:pPr>
      <w:r>
        <w:rPr>
          <w:szCs w:val="24"/>
        </w:rPr>
        <w:t>(c) Due to the weak connection between the upper and lower layers of the bottom slab through the voids, excessive longitudinal cracks occur.</w:t>
      </w:r>
    </w:p>
    <w:p w14:paraId="74F6FF27">
      <w:pPr>
        <w:pStyle w:val="16"/>
        <w:spacing w:before="31" w:after="31"/>
        <w:ind w:firstLine="480"/>
        <w:rPr>
          <w:szCs w:val="24"/>
        </w:rPr>
      </w:pPr>
      <w:r>
        <w:rPr>
          <w:szCs w:val="24"/>
        </w:rPr>
        <w:t>(d) The method of attaching steel plates and adding new beams can effectively restore the original structural bearing capacity and is a feasible reinforcement method (the bridge has been in operation for 3 years, and the current situation is good).</w:t>
      </w:r>
    </w:p>
    <w:p w14:paraId="42A77D8B">
      <w:pPr>
        <w:pStyle w:val="16"/>
        <w:spacing w:before="31" w:after="31"/>
        <w:ind w:firstLine="480"/>
        <w:rPr>
          <w:szCs w:val="24"/>
        </w:rPr>
      </w:pPr>
      <w:r>
        <w:rPr>
          <w:szCs w:val="24"/>
        </w:rPr>
        <w:t>Improvement Measures:</w:t>
      </w:r>
    </w:p>
    <w:p w14:paraId="2E88196F">
      <w:pPr>
        <w:pStyle w:val="16"/>
        <w:spacing w:before="31" w:after="31"/>
        <w:ind w:firstLine="480"/>
        <w:rPr>
          <w:szCs w:val="24"/>
        </w:rPr>
      </w:pPr>
      <w:r>
        <w:rPr>
          <w:szCs w:val="24"/>
        </w:rPr>
        <w:t>(a) Carefully calculate the possible downward pull force of the box girder bottom slab prestressed tendons when designing similar structures. If necessary, add transverse partitions to ensure uniform loading of the entire box girder.</w:t>
      </w:r>
    </w:p>
    <w:p w14:paraId="36448C4B">
      <w:pPr>
        <w:pStyle w:val="16"/>
        <w:spacing w:before="31" w:after="31"/>
        <w:ind w:firstLine="480"/>
        <w:rPr>
          <w:szCs w:val="24"/>
        </w:rPr>
      </w:pPr>
      <w:r>
        <w:rPr>
          <w:szCs w:val="24"/>
        </w:rPr>
        <w:t>(b) There should be a reliable steel connection between the upper and lower layers of the bottom slab reinforcement to ensure the overall load-bearing capacity of the bottom slab.</w:t>
      </w:r>
    </w:p>
    <w:p w14:paraId="7EC6F255">
      <w:pPr>
        <w:pStyle w:val="16"/>
        <w:spacing w:before="31" w:after="31"/>
        <w:ind w:firstLine="0" w:firstLineChars="0"/>
        <w:rPr>
          <w:b/>
          <w:bCs/>
          <w:szCs w:val="24"/>
        </w:rPr>
      </w:pPr>
      <w:r>
        <w:rPr>
          <w:b/>
          <w:bCs/>
          <w:szCs w:val="24"/>
        </w:rPr>
        <w:t>6.2.3 Case 6-3: Fracture of Passenger Dedicated Line Switch Tie Plate</w:t>
      </w:r>
    </w:p>
    <w:p w14:paraId="314BA5F5">
      <w:pPr>
        <w:pStyle w:val="16"/>
        <w:spacing w:before="31" w:after="31"/>
        <w:ind w:firstLine="0" w:firstLineChars="0"/>
        <w:rPr>
          <w:szCs w:val="24"/>
        </w:rPr>
      </w:pPr>
      <w:r>
        <w:rPr>
          <w:szCs w:val="24"/>
        </w:rPr>
        <w:t>(1) Case Name</w:t>
      </w:r>
    </w:p>
    <w:p w14:paraId="3E2A843E">
      <w:pPr>
        <w:pStyle w:val="16"/>
        <w:spacing w:before="31" w:after="31"/>
        <w:ind w:firstLine="480"/>
        <w:rPr>
          <w:szCs w:val="24"/>
        </w:rPr>
      </w:pPr>
      <w:r>
        <w:rPr>
          <w:szCs w:val="24"/>
        </w:rPr>
        <w:t>Fracture of passenger dedicated line switch tie plate [5]</w:t>
      </w:r>
    </w:p>
    <w:p w14:paraId="00200902">
      <w:pPr>
        <w:pStyle w:val="16"/>
        <w:spacing w:before="31" w:after="31"/>
        <w:ind w:firstLine="0" w:firstLineChars="0"/>
        <w:rPr>
          <w:szCs w:val="24"/>
        </w:rPr>
      </w:pPr>
      <w:r>
        <w:rPr>
          <w:szCs w:val="24"/>
        </w:rPr>
        <w:t>(2) Description of Failure Process</w:t>
      </w:r>
    </w:p>
    <w:p w14:paraId="680633F7">
      <w:pPr>
        <w:pStyle w:val="16"/>
        <w:spacing w:before="31" w:after="31"/>
        <w:ind w:firstLine="480"/>
        <w:rPr>
          <w:szCs w:val="24"/>
        </w:rPr>
      </w:pPr>
      <w:r>
        <w:rPr>
          <w:szCs w:val="24"/>
        </w:rPr>
        <w:t>The 60kg/m steel rail of the 250km/h passenger dedicated line railway's movable core rail right-hand switch tie plate uses E501T-1 carbon steel flux-cored wire CO2 gas shielded welding for various welds. The welds are required to be free of undercut, weld bead, cracks, and surface porosity. Due to slight deformation after welding, leveling was performed using a JC23-63 open-tilt press. During leveling, the tie plate's bottom plate suddenly fractured.</w:t>
      </w:r>
    </w:p>
    <w:p w14:paraId="5DA24E25">
      <w:pPr>
        <w:pStyle w:val="16"/>
        <w:spacing w:before="31" w:after="31"/>
        <w:ind w:firstLine="0" w:firstLineChars="0"/>
        <w:rPr>
          <w:szCs w:val="24"/>
        </w:rPr>
      </w:pPr>
      <w:r>
        <w:rPr>
          <w:szCs w:val="24"/>
        </w:rPr>
        <w:t>(3) Service Environment:</w:t>
      </w:r>
    </w:p>
    <w:p w14:paraId="369CD2BC">
      <w:pPr>
        <w:pStyle w:val="16"/>
        <w:spacing w:before="31" w:after="31"/>
        <w:ind w:firstLine="420" w:firstLineChars="0"/>
        <w:rPr>
          <w:szCs w:val="24"/>
        </w:rPr>
      </w:pPr>
      <w:r>
        <w:rPr>
          <w:szCs w:val="24"/>
        </w:rPr>
        <w:t>Null</w:t>
      </w:r>
    </w:p>
    <w:p w14:paraId="3AF1A839">
      <w:pPr>
        <w:pStyle w:val="16"/>
        <w:spacing w:before="31" w:after="31"/>
        <w:ind w:firstLine="480"/>
        <w:rPr>
          <w:szCs w:val="24"/>
        </w:rPr>
      </w:pPr>
    </w:p>
    <w:p w14:paraId="51048B4F">
      <w:pPr>
        <w:pStyle w:val="16"/>
        <w:spacing w:before="31" w:after="31"/>
        <w:ind w:firstLine="0" w:firstLineChars="0"/>
        <w:rPr>
          <w:szCs w:val="24"/>
        </w:rPr>
      </w:pPr>
      <w:r>
        <w:rPr>
          <w:szCs w:val="24"/>
        </w:rPr>
        <w:t>(4) Failed Components and Materials</w:t>
      </w:r>
    </w:p>
    <w:p w14:paraId="3661323D">
      <w:pPr>
        <w:pStyle w:val="16"/>
        <w:spacing w:before="31" w:after="31"/>
        <w:ind w:firstLine="480"/>
        <w:rPr>
          <w:szCs w:val="24"/>
        </w:rPr>
      </w:pPr>
      <w:r>
        <w:rPr>
          <w:szCs w:val="24"/>
        </w:rPr>
        <w:t xml:space="preserve">The material of the failed component meets the technical requirements of current GB/T700 for Q235B. Tensile tests on specimens taken parallel and perpendicular to the rolling direction of the bottom plate showed that the material meets the requirements of GB/T700. A 20mm thick and 40mm wide cold-bending specimen was taken, with the lower surface of the bottom plate left unprocessed. According to GB/T232, no fracture, crack, or fracture was observed during the 180°C cold bending test, and plastic deformation was uniform at the bending point. Metallographic analysis results show clear distinctions in the weld area, partially melted area, and heat-affected zone, as shown in Figure 6-3.1. The microstructure of the base metal consists of blocky ferrite and lamellar pearlite, as seen in Figure </w:t>
      </w:r>
    </w:p>
    <w:p w14:paraId="49D10E26">
      <w:pPr>
        <w:pStyle w:val="16"/>
        <w:spacing w:before="31" w:after="31"/>
        <w:ind w:firstLine="480"/>
        <w:rPr>
          <w:szCs w:val="24"/>
        </w:rPr>
      </w:pPr>
    </w:p>
    <w:p w14:paraId="7418A649">
      <w:pPr>
        <w:pStyle w:val="16"/>
        <w:spacing w:before="31" w:after="31"/>
        <w:ind w:firstLine="480"/>
        <w:rPr>
          <w:szCs w:val="24"/>
        </w:rPr>
      </w:pPr>
      <w:r>
        <w:rPr>
          <w:szCs w:val="24"/>
        </w:rPr>
        <w:t>6-3.2. In the overheated (heat-affected) area of the weld, the ferrite begins to transform, and the region of fine lamellar pearlite expands, as shown in Figure 6-3.3. The semi-melted area of the weld consists of blocky ferrite and coarse acicular ferrite (Widmanstätten structure), as shown in Figure 6-3.4. The melted area of the weld exhibits columnar shapes with needle-like precipitates, with a microstructure of non-carbide bainite and needle-like ferrite (Widmanstätten structure), as shown in Figure 6-3.5.</w:t>
      </w:r>
    </w:p>
    <w:p w14:paraId="34AAEDA6">
      <w:pPr>
        <w:pStyle w:val="16"/>
        <w:spacing w:before="31" w:after="31"/>
        <w:ind w:firstLine="482"/>
        <w:jc w:val="center"/>
        <w:rPr>
          <w:b/>
          <w:bCs/>
          <w:szCs w:val="24"/>
        </w:rPr>
      </w:pPr>
      <w:r>
        <w:rPr>
          <w:b/>
          <w:bCs/>
          <w:szCs w:val="24"/>
        </w:rPr>
        <w:t>Figure 6-3.1 Microstructure overview of the weld</w:t>
      </w:r>
    </w:p>
    <w:p w14:paraId="6C24C90F">
      <w:pPr>
        <w:pStyle w:val="16"/>
        <w:spacing w:before="31" w:after="31"/>
        <w:ind w:firstLine="482"/>
        <w:jc w:val="center"/>
        <w:rPr>
          <w:b/>
          <w:bCs/>
          <w:szCs w:val="24"/>
        </w:rPr>
      </w:pPr>
      <w:r>
        <w:rPr>
          <w:b/>
          <w:bCs/>
          <w:szCs w:val="24"/>
        </w:rPr>
        <w:t>Figure 6-3.2 Microstructure of the base metal</w:t>
      </w:r>
    </w:p>
    <w:p w14:paraId="6B90B227">
      <w:pPr>
        <w:pStyle w:val="16"/>
        <w:spacing w:before="31" w:after="31"/>
        <w:ind w:firstLine="482"/>
        <w:jc w:val="center"/>
        <w:rPr>
          <w:b/>
          <w:bCs/>
          <w:szCs w:val="24"/>
        </w:rPr>
      </w:pPr>
      <w:r>
        <w:rPr>
          <w:b/>
          <w:bCs/>
          <w:szCs w:val="24"/>
        </w:rPr>
        <w:t>Figure 6-3.3 Microstructure of the weld heat-affected zone</w:t>
      </w:r>
    </w:p>
    <w:p w14:paraId="0E21F9C2">
      <w:pPr>
        <w:pStyle w:val="16"/>
        <w:spacing w:before="31" w:after="31"/>
        <w:ind w:firstLine="482"/>
        <w:jc w:val="center"/>
        <w:rPr>
          <w:b/>
          <w:bCs/>
          <w:szCs w:val="24"/>
        </w:rPr>
      </w:pPr>
      <w:r>
        <w:rPr>
          <w:b/>
          <w:bCs/>
          <w:szCs w:val="24"/>
        </w:rPr>
        <w:t>Figure 6-3.4 Microstructure of the semi-melted zone</w:t>
      </w:r>
    </w:p>
    <w:p w14:paraId="4E9CBB36">
      <w:pPr>
        <w:pStyle w:val="16"/>
        <w:spacing w:before="31" w:after="31"/>
        <w:ind w:firstLine="482"/>
        <w:jc w:val="center"/>
        <w:rPr>
          <w:b/>
          <w:bCs/>
          <w:szCs w:val="24"/>
        </w:rPr>
      </w:pPr>
      <w:r>
        <w:rPr>
          <w:b/>
          <w:bCs/>
          <w:szCs w:val="24"/>
        </w:rPr>
        <w:t>Figure 6-3.5 Microstructure of the melted zone</w:t>
      </w:r>
    </w:p>
    <w:p w14:paraId="6DC6F369">
      <w:pPr>
        <w:pStyle w:val="16"/>
        <w:spacing w:before="31" w:after="31"/>
        <w:ind w:firstLine="480"/>
        <w:rPr>
          <w:szCs w:val="24"/>
        </w:rPr>
      </w:pPr>
    </w:p>
    <w:p w14:paraId="0474F976">
      <w:pPr>
        <w:pStyle w:val="16"/>
        <w:spacing w:before="31" w:after="31"/>
        <w:ind w:firstLine="0" w:firstLineChars="0"/>
        <w:rPr>
          <w:szCs w:val="24"/>
        </w:rPr>
      </w:pPr>
      <w:r>
        <w:rPr>
          <w:szCs w:val="24"/>
        </w:rPr>
        <w:t>(5) Appearance of Failed Components</w:t>
      </w:r>
    </w:p>
    <w:p w14:paraId="1692D027">
      <w:pPr>
        <w:pStyle w:val="16"/>
        <w:spacing w:before="31" w:after="31"/>
        <w:ind w:firstLine="480"/>
        <w:rPr>
          <w:szCs w:val="24"/>
        </w:rPr>
      </w:pPr>
      <w:r>
        <w:rPr>
          <w:szCs w:val="24"/>
        </w:rPr>
        <w:t>No undercut, weld bead, cracks, or surface porosity defects were observed on the appearance of the welds. The width of the longitudinal and transverse welds on tie plate 1 exceeds or equals 10mm, making the post-weld deformation relatively large. There are two symmetrical crack origins at the fracture surface of the tie plate's bottom plate, with crack source 1 occurring at the weld stop point of the group weld, and slag inclusion exists at the spot weld. Both crack sources are located 5mm vertically from the 5mm welds of tie plates 1 and 2, exhibiting a symmetrical distribution in structure. Crack source 1 expands faster than crack source 2, forming an obvious tearing step, as shown in Figure 6-3.6. Macroscopic fracture surfaces show a series of typical radial patterns (chevron marks), indicating brittle overload fracture. The convergence point of the radial patterns (chevron mark tips) is where the crack source is located. The matching fracture surface morphology of crack source 1 is shown in Figure 6-3.7, revealing that crack source 1 is located at the transverse weld of tie plate 1 and at the weld stop of the longitudinal and transverse welds, with a significant slag inclusion defect.</w:t>
      </w:r>
    </w:p>
    <w:p w14:paraId="005BE378">
      <w:pPr>
        <w:pStyle w:val="16"/>
        <w:spacing w:before="31" w:after="31"/>
        <w:ind w:firstLine="482"/>
        <w:jc w:val="center"/>
        <w:rPr>
          <w:b/>
          <w:bCs/>
          <w:szCs w:val="24"/>
        </w:rPr>
      </w:pPr>
      <w:r>
        <w:rPr>
          <w:b/>
          <w:bCs/>
          <w:szCs w:val="24"/>
        </w:rPr>
        <w:t>Figure 6-3.6 Crack propagation direction</w:t>
      </w:r>
    </w:p>
    <w:p w14:paraId="7D89C21E">
      <w:pPr>
        <w:pStyle w:val="16"/>
        <w:spacing w:before="31" w:after="31"/>
        <w:ind w:firstLine="482"/>
        <w:jc w:val="center"/>
        <w:rPr>
          <w:b/>
          <w:bCs/>
          <w:szCs w:val="24"/>
        </w:rPr>
      </w:pPr>
      <w:r>
        <w:rPr>
          <w:b/>
          <w:bCs/>
          <w:szCs w:val="24"/>
        </w:rPr>
        <w:t>Figure 6-3.7 Macroscopic appearance of crack source 1</w:t>
      </w:r>
    </w:p>
    <w:p w14:paraId="0A396856">
      <w:pPr>
        <w:pStyle w:val="16"/>
        <w:spacing w:before="31" w:after="31"/>
        <w:ind w:firstLine="0" w:firstLineChars="0"/>
        <w:rPr>
          <w:szCs w:val="24"/>
        </w:rPr>
      </w:pPr>
      <w:r>
        <w:rPr>
          <w:szCs w:val="24"/>
        </w:rPr>
        <w:t>(6) Analysis of Failure Causes</w:t>
      </w:r>
    </w:p>
    <w:p w14:paraId="576451C1">
      <w:pPr>
        <w:pStyle w:val="16"/>
        <w:spacing w:before="31" w:after="31"/>
        <w:ind w:firstLine="480"/>
        <w:rPr>
          <w:szCs w:val="24"/>
        </w:rPr>
      </w:pPr>
      <w:r>
        <w:rPr>
          <w:szCs w:val="24"/>
        </w:rPr>
        <w:t>The total length of the tie plate's bottom plate is 1367mm. The related welds at the fracture site are denser than other areas, resulting in a relatively large deformation. The welding structure at the fracture site during leveling is shown in Figure 6-3.8. The transverse weld at the crack source intersects with the side weld of bottom plate 2 with an R=4mm arc transition, forming a "V"-shaped notch in the welding structure, causing stress concentration, local stress elevation, crack initiation, and rapid expansion, leading to fracture. The analysis of the fracture surface indicates that the bottom plate undergoes brittle overload fracture, and the crack initiation is related to local stress and material weakening.</w:t>
      </w:r>
    </w:p>
    <w:p w14:paraId="4B433442">
      <w:pPr>
        <w:pStyle w:val="16"/>
        <w:spacing w:before="31" w:after="31"/>
        <w:ind w:firstLine="482"/>
        <w:jc w:val="center"/>
        <w:rPr>
          <w:b/>
          <w:bCs/>
          <w:szCs w:val="24"/>
        </w:rPr>
      </w:pPr>
      <w:r>
        <w:rPr>
          <w:b/>
          <w:bCs/>
          <w:szCs w:val="24"/>
        </w:rPr>
        <w:t>Figure 6-3.8 Welding structure diagram</w:t>
      </w:r>
    </w:p>
    <w:p w14:paraId="53B02014">
      <w:pPr>
        <w:pStyle w:val="16"/>
        <w:spacing w:before="31" w:after="31"/>
        <w:ind w:firstLine="482"/>
        <w:jc w:val="center"/>
        <w:rPr>
          <w:b/>
          <w:bCs/>
          <w:szCs w:val="24"/>
        </w:rPr>
      </w:pPr>
      <w:r>
        <w:rPr>
          <w:b/>
          <w:bCs/>
          <w:szCs w:val="24"/>
        </w:rPr>
        <w:t>Figure 6-3.9 Schematic diagram of local leveling stress on the tie plate</w:t>
      </w:r>
    </w:p>
    <w:p w14:paraId="68149B11">
      <w:pPr>
        <w:pStyle w:val="16"/>
        <w:spacing w:before="31" w:after="31"/>
        <w:ind w:firstLine="0" w:firstLineChars="0"/>
        <w:rPr>
          <w:szCs w:val="24"/>
        </w:rPr>
      </w:pPr>
      <w:r>
        <w:rPr>
          <w:szCs w:val="24"/>
        </w:rPr>
        <w:t>(7) Impact and Harm Caused</w:t>
      </w:r>
    </w:p>
    <w:p w14:paraId="798DD96D">
      <w:pPr>
        <w:pStyle w:val="16"/>
        <w:spacing w:before="31" w:after="31"/>
        <w:ind w:firstLine="420" w:firstLineChars="0"/>
        <w:rPr>
          <w:szCs w:val="24"/>
        </w:rPr>
      </w:pPr>
      <w:r>
        <w:rPr>
          <w:szCs w:val="24"/>
        </w:rPr>
        <w:t>Null</w:t>
      </w:r>
    </w:p>
    <w:p w14:paraId="66F22565">
      <w:pPr>
        <w:pStyle w:val="16"/>
        <w:spacing w:before="31" w:after="31"/>
        <w:ind w:firstLine="482"/>
        <w:jc w:val="center"/>
        <w:rPr>
          <w:b/>
          <w:bCs/>
          <w:szCs w:val="24"/>
        </w:rPr>
      </w:pPr>
    </w:p>
    <w:p w14:paraId="6A2DAD3B">
      <w:pPr>
        <w:pStyle w:val="16"/>
        <w:spacing w:before="31" w:after="31"/>
        <w:ind w:firstLine="0" w:firstLineChars="0"/>
        <w:rPr>
          <w:szCs w:val="24"/>
        </w:rPr>
      </w:pPr>
      <w:r>
        <w:rPr>
          <w:szCs w:val="24"/>
        </w:rPr>
        <w:t>(8) Conclusion and Improvement Measures</w:t>
      </w:r>
    </w:p>
    <w:p w14:paraId="755BB295">
      <w:pPr>
        <w:pStyle w:val="16"/>
        <w:spacing w:before="31" w:after="31"/>
        <w:ind w:firstLine="480"/>
        <w:rPr>
          <w:szCs w:val="24"/>
        </w:rPr>
      </w:pPr>
      <w:r>
        <w:rPr>
          <w:szCs w:val="24"/>
        </w:rPr>
        <w:t>Conclusion:</w:t>
      </w:r>
    </w:p>
    <w:p w14:paraId="59DEEB86">
      <w:pPr>
        <w:pStyle w:val="16"/>
        <w:spacing w:before="31" w:after="31"/>
        <w:ind w:firstLine="480"/>
        <w:rPr>
          <w:szCs w:val="24"/>
        </w:rPr>
      </w:pPr>
      <w:r>
        <w:rPr>
          <w:szCs w:val="24"/>
        </w:rPr>
        <w:t>The obvious notch on the welding structure of the tie plate's bottom plate exacerbates local stress concentration. The notch is located in the welding heat-affected zone and at multiple weld points. The presence of slag inclusion defects in the crack source area reduces the mechanical properties of the material, leading to brittle overload fracture of the tie plate.</w:t>
      </w:r>
    </w:p>
    <w:p w14:paraId="57FE5503">
      <w:pPr>
        <w:pStyle w:val="16"/>
        <w:spacing w:before="31" w:after="31"/>
        <w:ind w:firstLine="480"/>
        <w:rPr>
          <w:szCs w:val="24"/>
        </w:rPr>
      </w:pPr>
      <w:r>
        <w:rPr>
          <w:szCs w:val="24"/>
        </w:rPr>
        <w:t>To reduce or prevent the recurrence of such situations during leveling, the welding process can be improved as follows:</w:t>
      </w:r>
    </w:p>
    <w:p w14:paraId="53102C0E">
      <w:pPr>
        <w:pStyle w:val="16"/>
        <w:spacing w:before="31" w:after="31"/>
        <w:ind w:firstLine="480"/>
        <w:rPr>
          <w:szCs w:val="24"/>
        </w:rPr>
      </w:pPr>
      <w:r>
        <w:rPr>
          <w:szCs w:val="24"/>
        </w:rPr>
        <w:t>(a) Adopt multi-point leveling during leveling, and place support points as far away from "natural" notches as possible to ensure uniform deformation of nearby components.</w:t>
      </w:r>
    </w:p>
    <w:p w14:paraId="2E76F85E">
      <w:pPr>
        <w:pStyle w:val="16"/>
        <w:spacing w:before="31" w:after="31"/>
        <w:ind w:firstLine="480"/>
        <w:rPr>
          <w:szCs w:val="24"/>
        </w:rPr>
      </w:pPr>
      <w:r>
        <w:rPr>
          <w:szCs w:val="24"/>
        </w:rPr>
        <w:t>(b) The transverse weld at tie plate 1 was not considered in the design, and it has little practical significance. It can be eliminated during welding.</w:t>
      </w:r>
    </w:p>
    <w:p w14:paraId="22474A69">
      <w:pPr>
        <w:pStyle w:val="16"/>
        <w:spacing w:before="31" w:after="31"/>
        <w:ind w:firstLine="480"/>
        <w:rPr>
          <w:szCs w:val="24"/>
        </w:rPr>
      </w:pPr>
      <w:r>
        <w:rPr>
          <w:szCs w:val="24"/>
        </w:rPr>
        <w:t>(c) Slag inclusion defects occurred during the welding stop or fixed point welding at the right-angle position of tie plate 1, weakening the strength of the weld. Avoid arc stopping and spot welding at the right-angle position of tie plate 1 during welding.</w:t>
      </w:r>
    </w:p>
    <w:p w14:paraId="7F438DD3">
      <w:pPr>
        <w:pStyle w:val="16"/>
        <w:spacing w:before="31" w:after="31"/>
        <w:ind w:firstLine="0" w:firstLineChars="0"/>
        <w:rPr>
          <w:b/>
          <w:bCs/>
          <w:szCs w:val="24"/>
        </w:rPr>
      </w:pPr>
      <w:r>
        <w:rPr>
          <w:b/>
          <w:bCs/>
          <w:szCs w:val="24"/>
        </w:rPr>
        <w:t>6.2.4 Case 6-4 Rail Tread Oblique Crack Damage</w:t>
      </w:r>
    </w:p>
    <w:p w14:paraId="172DA76A">
      <w:pPr>
        <w:pStyle w:val="16"/>
        <w:spacing w:before="31" w:after="31"/>
        <w:ind w:firstLine="0" w:firstLineChars="0"/>
        <w:rPr>
          <w:szCs w:val="24"/>
        </w:rPr>
      </w:pPr>
      <w:r>
        <w:rPr>
          <w:szCs w:val="24"/>
        </w:rPr>
        <w:t>(1) Case Name</w:t>
      </w:r>
    </w:p>
    <w:p w14:paraId="4D7C5896">
      <w:pPr>
        <w:pStyle w:val="16"/>
        <w:spacing w:before="31" w:after="31"/>
        <w:ind w:firstLine="480"/>
        <w:rPr>
          <w:szCs w:val="24"/>
        </w:rPr>
      </w:pPr>
      <w:r>
        <w:rPr>
          <w:szCs w:val="24"/>
        </w:rPr>
        <w:t>Rail Tread Oblique Crack Damage [6]</w:t>
      </w:r>
    </w:p>
    <w:p w14:paraId="0105EA4C">
      <w:pPr>
        <w:pStyle w:val="16"/>
        <w:spacing w:before="31" w:after="31"/>
        <w:ind w:firstLine="0" w:firstLineChars="0"/>
        <w:rPr>
          <w:szCs w:val="24"/>
        </w:rPr>
      </w:pPr>
      <w:r>
        <w:rPr>
          <w:szCs w:val="24"/>
        </w:rPr>
        <w:t>(2) Description of Failure Process</w:t>
      </w:r>
    </w:p>
    <w:p w14:paraId="5AFA1064">
      <w:pPr>
        <w:pStyle w:val="16"/>
        <w:spacing w:before="31" w:after="31"/>
        <w:ind w:firstLine="480"/>
        <w:rPr>
          <w:szCs w:val="24"/>
        </w:rPr>
      </w:pPr>
      <w:r>
        <w:rPr>
          <w:szCs w:val="24"/>
        </w:rPr>
        <w:t>In December 2002, on the Guangzhou-Shenzhen line, in the upper rail with a curve radius of 1000m, there were two instances of transverse fracture caused by oblique cracks on the tread. The appearance of these oblique cracks and the transverse fatigue fracture closely resembled the characteristics of Rolling Contact Fatigue (RCF) cracks. Tread oblique cracks differ from the traditional scale-like peeling cracks; when they develop severely, they can lead to transverse fracture of the rail, posing a risk to train safety.</w:t>
      </w:r>
    </w:p>
    <w:p w14:paraId="16398D4C">
      <w:pPr>
        <w:pStyle w:val="16"/>
        <w:spacing w:before="31" w:after="31"/>
        <w:ind w:firstLine="480"/>
        <w:rPr>
          <w:szCs w:val="24"/>
        </w:rPr>
      </w:pPr>
      <w:r>
        <w:rPr>
          <w:szCs w:val="24"/>
        </w:rPr>
        <w:t>The Guangzhou-Shenzhen line is 139 km long, with the minimum curve radius in the semi-high-speed section being R=1400m, using U71Mn rails, and a maximum train speed of 200 km·h-1. In the non-semi-high-speed section (acceleration section), the minimum curve radius is R=800m, using PD3 rails. From the opening of operations in 1994 until the end of the spring season in 2003, the semi-high-speed section accumulated a total passing weight of approximately 225 Mt·km·km-1, and the non-semi-high-speed section accumulated about 150 Mt·km·km-1.</w:t>
      </w:r>
    </w:p>
    <w:p w14:paraId="2B8E5621">
      <w:pPr>
        <w:pStyle w:val="16"/>
        <w:spacing w:before="31" w:after="31"/>
        <w:ind w:firstLine="480"/>
        <w:rPr>
          <w:rFonts w:hint="eastAsia"/>
          <w:szCs w:val="24"/>
        </w:rPr>
      </w:pPr>
      <w:r>
        <w:rPr>
          <w:szCs w:val="24"/>
        </w:rPr>
        <w:t>Since April 2002, oblique crack damage has been gradually appearing on the tread of upper rail sections with curve radii of 1600m and 1400m in the semi-high-speed section, as well as on lower rail sections with curve radii of 1000m and 800m in the non-semi-high-speed section. Two instances of rail transverse fracture have occurred. After the rail fractures, the maintenance department immediately conducted comprehensive inspections of the entire line. By July 2003, a total of 44 curves were inspected, and ap</w:t>
      </w:r>
      <w:r>
        <w:rPr>
          <w:rFonts w:hint="eastAsia"/>
          <w:szCs w:val="24"/>
        </w:rPr>
        <w:t>proximately 37 km of rails had oblique cracks. The damage was categorized by severity during the inspection: minor damage (crack length ≥20mm, depth &lt;4 mm), minor damage progression (crack length ≥20mm, depth ≥4mm), and severe damage (crack length ≥25mm, depth ≥8mm).</w:t>
      </w:r>
    </w:p>
    <w:p w14:paraId="0E8AF440">
      <w:pPr>
        <w:pStyle w:val="16"/>
        <w:spacing w:before="31" w:after="31"/>
        <w:ind w:firstLine="480"/>
        <w:rPr>
          <w:szCs w:val="24"/>
        </w:rPr>
      </w:pPr>
    </w:p>
    <w:p w14:paraId="03C900F0">
      <w:pPr>
        <w:pStyle w:val="16"/>
        <w:spacing w:before="31" w:after="31"/>
        <w:ind w:firstLine="480"/>
        <w:rPr>
          <w:szCs w:val="24"/>
        </w:rPr>
      </w:pPr>
      <w:r>
        <w:rPr>
          <w:szCs w:val="24"/>
        </w:rPr>
        <w:t>From the statistics in Table 6-3, it is evident that the number of damaged upper rail sections accounted for 87.5% of the total on the up line and 88.9% on the down line. The total damage on the up line was 193 locations (pieces), while the down line had 327 locations (pieces), indicating more severe damage on the down line.</w:t>
      </w:r>
    </w:p>
    <w:p w14:paraId="1273D259">
      <w:pPr>
        <w:pStyle w:val="16"/>
        <w:spacing w:before="31" w:after="31"/>
        <w:ind w:firstLine="482"/>
        <w:jc w:val="center"/>
        <w:rPr>
          <w:b/>
          <w:bCs/>
          <w:szCs w:val="24"/>
        </w:rPr>
      </w:pPr>
      <w:r>
        <w:rPr>
          <w:b/>
          <w:bCs/>
          <w:szCs w:val="24"/>
        </w:rPr>
        <w:t>Table 6-3: Statistics of Curve Damage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8"/>
        <w:gridCol w:w="220"/>
        <w:gridCol w:w="1104"/>
        <w:gridCol w:w="992"/>
        <w:gridCol w:w="1235"/>
        <w:gridCol w:w="1422"/>
        <w:gridCol w:w="1011"/>
        <w:gridCol w:w="777"/>
        <w:gridCol w:w="833"/>
        <w:gridCol w:w="300"/>
      </w:tblGrid>
      <w:tr w14:paraId="5C418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8" w:type="dxa"/>
          </w:tcPr>
          <w:p w14:paraId="4E2715C6">
            <w:pPr>
              <w:pStyle w:val="16"/>
              <w:spacing w:before="31" w:after="31"/>
              <w:ind w:firstLine="0" w:firstLineChars="0"/>
              <w:rPr>
                <w:szCs w:val="24"/>
              </w:rPr>
            </w:pPr>
            <w:r>
              <w:rPr>
                <w:szCs w:val="24"/>
              </w:rPr>
              <w:t>Line</w:t>
            </w:r>
          </w:p>
        </w:tc>
        <w:tc>
          <w:tcPr>
            <w:tcW w:w="236" w:type="dxa"/>
          </w:tcPr>
          <w:p w14:paraId="4C7B390D">
            <w:pPr>
              <w:pStyle w:val="16"/>
              <w:spacing w:before="31" w:after="31"/>
              <w:ind w:firstLine="0" w:firstLineChars="0"/>
              <w:rPr>
                <w:rFonts w:hint="eastAsia"/>
                <w:szCs w:val="24"/>
              </w:rPr>
            </w:pPr>
          </w:p>
        </w:tc>
        <w:tc>
          <w:tcPr>
            <w:tcW w:w="1088" w:type="dxa"/>
          </w:tcPr>
          <w:p w14:paraId="2E4885AF">
            <w:pPr>
              <w:pStyle w:val="16"/>
              <w:spacing w:before="31" w:after="31"/>
              <w:ind w:firstLine="0" w:firstLineChars="0"/>
              <w:rPr>
                <w:szCs w:val="24"/>
              </w:rPr>
            </w:pPr>
            <w:r>
              <w:rPr>
                <w:szCs w:val="24"/>
              </w:rPr>
              <w:t>Damaged Curves/Units</w:t>
            </w:r>
          </w:p>
        </w:tc>
        <w:tc>
          <w:tcPr>
            <w:tcW w:w="992" w:type="dxa"/>
          </w:tcPr>
          <w:p w14:paraId="2F3D5BDF">
            <w:pPr>
              <w:pStyle w:val="16"/>
              <w:spacing w:before="31" w:after="31"/>
              <w:ind w:firstLine="0" w:firstLineChars="0"/>
              <w:rPr>
                <w:szCs w:val="24"/>
              </w:rPr>
            </w:pPr>
            <w:r>
              <w:rPr>
                <w:szCs w:val="24"/>
              </w:rPr>
              <w:t>Damaged Rails</w:t>
            </w:r>
          </w:p>
        </w:tc>
        <w:tc>
          <w:tcPr>
            <w:tcW w:w="1235" w:type="dxa"/>
          </w:tcPr>
          <w:p w14:paraId="5FFA56EC">
            <w:pPr>
              <w:pStyle w:val="16"/>
              <w:spacing w:before="31" w:after="31"/>
              <w:ind w:firstLine="0" w:firstLineChars="0"/>
              <w:rPr>
                <w:szCs w:val="24"/>
              </w:rPr>
            </w:pPr>
          </w:p>
        </w:tc>
        <w:tc>
          <w:tcPr>
            <w:tcW w:w="1422" w:type="dxa"/>
          </w:tcPr>
          <w:p w14:paraId="21E57E91">
            <w:pPr>
              <w:pStyle w:val="16"/>
              <w:spacing w:before="31" w:after="31"/>
              <w:ind w:firstLine="0" w:firstLineChars="0"/>
              <w:rPr>
                <w:szCs w:val="24"/>
              </w:rPr>
            </w:pPr>
            <w:r>
              <w:rPr>
                <w:szCs w:val="24"/>
              </w:rPr>
              <w:t>Light Damage/Location</w:t>
            </w:r>
          </w:p>
        </w:tc>
        <w:tc>
          <w:tcPr>
            <w:tcW w:w="1011" w:type="dxa"/>
          </w:tcPr>
          <w:p w14:paraId="7C354A8D">
            <w:pPr>
              <w:pStyle w:val="16"/>
              <w:spacing w:before="31" w:after="31"/>
              <w:ind w:firstLine="0" w:firstLineChars="0"/>
              <w:rPr>
                <w:szCs w:val="24"/>
              </w:rPr>
            </w:pPr>
            <w:r>
              <w:rPr>
                <w:szCs w:val="24"/>
              </w:rPr>
              <w:t>Minor Damage Progression</w:t>
            </w:r>
          </w:p>
        </w:tc>
        <w:tc>
          <w:tcPr>
            <w:tcW w:w="777" w:type="dxa"/>
          </w:tcPr>
          <w:p w14:paraId="237A072C">
            <w:pPr>
              <w:pStyle w:val="16"/>
              <w:spacing w:before="31" w:after="31"/>
              <w:ind w:firstLine="0" w:firstLineChars="0"/>
              <w:rPr>
                <w:szCs w:val="24"/>
              </w:rPr>
            </w:pPr>
            <w:r>
              <w:rPr>
                <w:szCs w:val="24"/>
              </w:rPr>
              <w:t>Severe Damage</w:t>
            </w:r>
          </w:p>
        </w:tc>
        <w:tc>
          <w:tcPr>
            <w:tcW w:w="833" w:type="dxa"/>
          </w:tcPr>
          <w:p w14:paraId="1B71F7E1">
            <w:pPr>
              <w:pStyle w:val="16"/>
              <w:spacing w:before="31" w:after="31"/>
              <w:ind w:firstLine="0" w:firstLineChars="0"/>
              <w:rPr>
                <w:szCs w:val="24"/>
              </w:rPr>
            </w:pPr>
          </w:p>
        </w:tc>
        <w:tc>
          <w:tcPr>
            <w:tcW w:w="300" w:type="dxa"/>
          </w:tcPr>
          <w:p w14:paraId="7E3F44DB">
            <w:pPr>
              <w:pStyle w:val="16"/>
              <w:spacing w:before="31" w:after="31"/>
              <w:ind w:firstLine="0" w:firstLineChars="0"/>
              <w:rPr>
                <w:szCs w:val="24"/>
              </w:rPr>
            </w:pPr>
          </w:p>
        </w:tc>
      </w:tr>
      <w:tr w14:paraId="30457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8" w:type="dxa"/>
          </w:tcPr>
          <w:p w14:paraId="5928566A">
            <w:pPr>
              <w:pStyle w:val="16"/>
              <w:spacing w:before="31" w:after="31"/>
              <w:ind w:firstLine="0" w:firstLineChars="0"/>
              <w:rPr>
                <w:szCs w:val="24"/>
              </w:rPr>
            </w:pPr>
          </w:p>
        </w:tc>
        <w:tc>
          <w:tcPr>
            <w:tcW w:w="236" w:type="dxa"/>
          </w:tcPr>
          <w:p w14:paraId="7B87F579">
            <w:pPr>
              <w:pStyle w:val="16"/>
              <w:spacing w:before="31" w:after="31"/>
              <w:ind w:firstLine="0" w:firstLineChars="0"/>
              <w:rPr>
                <w:rFonts w:hint="eastAsia"/>
                <w:szCs w:val="24"/>
              </w:rPr>
            </w:pPr>
          </w:p>
        </w:tc>
        <w:tc>
          <w:tcPr>
            <w:tcW w:w="1088" w:type="dxa"/>
          </w:tcPr>
          <w:p w14:paraId="29E12269">
            <w:pPr>
              <w:pStyle w:val="16"/>
              <w:spacing w:before="31" w:after="31"/>
              <w:ind w:firstLine="0" w:firstLineChars="0"/>
              <w:rPr>
                <w:szCs w:val="24"/>
              </w:rPr>
            </w:pPr>
          </w:p>
        </w:tc>
        <w:tc>
          <w:tcPr>
            <w:tcW w:w="992" w:type="dxa"/>
          </w:tcPr>
          <w:p w14:paraId="3CF1EEEF">
            <w:pPr>
              <w:pStyle w:val="16"/>
              <w:spacing w:before="31" w:after="31"/>
              <w:ind w:firstLine="0" w:firstLineChars="0"/>
              <w:rPr>
                <w:szCs w:val="24"/>
              </w:rPr>
            </w:pPr>
            <w:r>
              <w:rPr>
                <w:szCs w:val="24"/>
              </w:rPr>
              <w:t>(Instances or Continuous Pieces)</w:t>
            </w:r>
          </w:p>
        </w:tc>
        <w:tc>
          <w:tcPr>
            <w:tcW w:w="1235" w:type="dxa"/>
          </w:tcPr>
          <w:p w14:paraId="28682A08">
            <w:pPr>
              <w:pStyle w:val="16"/>
              <w:spacing w:before="31" w:after="31"/>
              <w:ind w:firstLine="0" w:firstLineChars="0"/>
              <w:rPr>
                <w:szCs w:val="24"/>
              </w:rPr>
            </w:pPr>
            <w:r>
              <w:rPr>
                <w:szCs w:val="24"/>
              </w:rPr>
              <w:t>(Upper/Lower)</w:t>
            </w:r>
          </w:p>
        </w:tc>
        <w:tc>
          <w:tcPr>
            <w:tcW w:w="1422" w:type="dxa"/>
          </w:tcPr>
          <w:p w14:paraId="3F213B44">
            <w:pPr>
              <w:pStyle w:val="16"/>
              <w:spacing w:before="31" w:after="31"/>
              <w:ind w:firstLine="0" w:firstLineChars="0"/>
              <w:rPr>
                <w:szCs w:val="24"/>
              </w:rPr>
            </w:pPr>
          </w:p>
        </w:tc>
        <w:tc>
          <w:tcPr>
            <w:tcW w:w="1011" w:type="dxa"/>
          </w:tcPr>
          <w:p w14:paraId="78EB68AE">
            <w:pPr>
              <w:pStyle w:val="16"/>
              <w:spacing w:before="31" w:after="31"/>
              <w:ind w:firstLine="0" w:firstLineChars="0"/>
              <w:rPr>
                <w:szCs w:val="24"/>
              </w:rPr>
            </w:pPr>
            <w:r>
              <w:rPr>
                <w:szCs w:val="24"/>
              </w:rPr>
              <w:t>(Instances or Continuous Pieces)</w:t>
            </w:r>
          </w:p>
        </w:tc>
        <w:tc>
          <w:tcPr>
            <w:tcW w:w="777" w:type="dxa"/>
          </w:tcPr>
          <w:p w14:paraId="7A1BD843">
            <w:pPr>
              <w:pStyle w:val="16"/>
              <w:spacing w:before="31" w:after="31"/>
              <w:ind w:firstLine="0" w:firstLineChars="0"/>
              <w:rPr>
                <w:szCs w:val="24"/>
              </w:rPr>
            </w:pPr>
          </w:p>
        </w:tc>
        <w:tc>
          <w:tcPr>
            <w:tcW w:w="833" w:type="dxa"/>
          </w:tcPr>
          <w:p w14:paraId="194488B0">
            <w:pPr>
              <w:pStyle w:val="16"/>
              <w:spacing w:before="31" w:after="31"/>
              <w:ind w:firstLine="0" w:firstLineChars="0"/>
              <w:rPr>
                <w:szCs w:val="24"/>
              </w:rPr>
            </w:pPr>
          </w:p>
        </w:tc>
        <w:tc>
          <w:tcPr>
            <w:tcW w:w="300" w:type="dxa"/>
          </w:tcPr>
          <w:p w14:paraId="753C95A3">
            <w:pPr>
              <w:pStyle w:val="16"/>
              <w:spacing w:before="31" w:after="31"/>
              <w:ind w:firstLine="0" w:firstLineChars="0"/>
              <w:rPr>
                <w:szCs w:val="24"/>
              </w:rPr>
            </w:pPr>
          </w:p>
        </w:tc>
      </w:tr>
      <w:tr w14:paraId="079B2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8" w:type="dxa"/>
          </w:tcPr>
          <w:p w14:paraId="73C97AD4">
            <w:pPr>
              <w:pStyle w:val="16"/>
              <w:spacing w:before="31" w:after="31"/>
              <w:ind w:firstLine="0" w:firstLineChars="0"/>
              <w:rPr>
                <w:szCs w:val="24"/>
              </w:rPr>
            </w:pPr>
            <w:r>
              <w:rPr>
                <w:szCs w:val="24"/>
              </w:rPr>
              <w:t>Up</w:t>
            </w:r>
          </w:p>
        </w:tc>
        <w:tc>
          <w:tcPr>
            <w:tcW w:w="236" w:type="dxa"/>
          </w:tcPr>
          <w:p w14:paraId="137A1BA4">
            <w:pPr>
              <w:pStyle w:val="16"/>
              <w:spacing w:before="31" w:after="31"/>
              <w:ind w:firstLine="0" w:firstLineChars="0"/>
              <w:rPr>
                <w:szCs w:val="24"/>
              </w:rPr>
            </w:pPr>
          </w:p>
        </w:tc>
        <w:tc>
          <w:tcPr>
            <w:tcW w:w="1088" w:type="dxa"/>
          </w:tcPr>
          <w:p w14:paraId="4E832989">
            <w:pPr>
              <w:pStyle w:val="16"/>
              <w:spacing w:before="31" w:after="31"/>
              <w:ind w:firstLine="0" w:firstLineChars="0"/>
              <w:rPr>
                <w:szCs w:val="24"/>
              </w:rPr>
            </w:pPr>
          </w:p>
        </w:tc>
        <w:tc>
          <w:tcPr>
            <w:tcW w:w="992" w:type="dxa"/>
          </w:tcPr>
          <w:p w14:paraId="18DD4723">
            <w:pPr>
              <w:pStyle w:val="16"/>
              <w:spacing w:before="31" w:after="31"/>
              <w:ind w:firstLine="0" w:firstLineChars="0"/>
              <w:rPr>
                <w:szCs w:val="24"/>
              </w:rPr>
            </w:pPr>
            <w:r>
              <w:rPr>
                <w:szCs w:val="24"/>
              </w:rPr>
              <w:t>18</w:t>
            </w:r>
          </w:p>
        </w:tc>
        <w:tc>
          <w:tcPr>
            <w:tcW w:w="1235" w:type="dxa"/>
          </w:tcPr>
          <w:p w14:paraId="7BFEBF6F">
            <w:pPr>
              <w:pStyle w:val="16"/>
              <w:spacing w:before="31" w:after="31"/>
              <w:ind w:firstLine="0" w:firstLineChars="0"/>
              <w:rPr>
                <w:szCs w:val="24"/>
              </w:rPr>
            </w:pPr>
            <w:r>
              <w:rPr>
                <w:szCs w:val="24"/>
              </w:rPr>
              <w:t>24</w:t>
            </w:r>
          </w:p>
        </w:tc>
        <w:tc>
          <w:tcPr>
            <w:tcW w:w="1422" w:type="dxa"/>
          </w:tcPr>
          <w:p w14:paraId="77030E97">
            <w:pPr>
              <w:pStyle w:val="16"/>
              <w:spacing w:before="31" w:after="31"/>
              <w:ind w:firstLine="0" w:firstLineChars="0"/>
              <w:rPr>
                <w:szCs w:val="24"/>
              </w:rPr>
            </w:pPr>
            <w:r>
              <w:rPr>
                <w:szCs w:val="24"/>
              </w:rPr>
              <w:t>Upper</w:t>
            </w:r>
          </w:p>
        </w:tc>
        <w:tc>
          <w:tcPr>
            <w:tcW w:w="1011" w:type="dxa"/>
          </w:tcPr>
          <w:p w14:paraId="4B53AE11">
            <w:pPr>
              <w:pStyle w:val="16"/>
              <w:spacing w:before="31" w:after="31"/>
              <w:ind w:firstLine="0" w:firstLineChars="0"/>
              <w:rPr>
                <w:szCs w:val="24"/>
              </w:rPr>
            </w:pPr>
            <w:r>
              <w:rPr>
                <w:szCs w:val="24"/>
              </w:rPr>
              <w:t>21</w:t>
            </w:r>
          </w:p>
        </w:tc>
        <w:tc>
          <w:tcPr>
            <w:tcW w:w="777" w:type="dxa"/>
          </w:tcPr>
          <w:p w14:paraId="64499BB7">
            <w:pPr>
              <w:pStyle w:val="16"/>
              <w:spacing w:before="31" w:after="31"/>
              <w:ind w:firstLine="0" w:firstLineChars="0"/>
              <w:rPr>
                <w:szCs w:val="24"/>
              </w:rPr>
            </w:pPr>
            <w:r>
              <w:rPr>
                <w:szCs w:val="24"/>
              </w:rPr>
              <w:t>18</w:t>
            </w:r>
          </w:p>
        </w:tc>
        <w:tc>
          <w:tcPr>
            <w:tcW w:w="833" w:type="dxa"/>
          </w:tcPr>
          <w:p w14:paraId="76E797A4">
            <w:pPr>
              <w:pStyle w:val="16"/>
              <w:spacing w:before="31" w:after="31"/>
              <w:ind w:firstLine="0" w:firstLineChars="0"/>
              <w:rPr>
                <w:szCs w:val="24"/>
              </w:rPr>
            </w:pPr>
            <w:r>
              <w:rPr>
                <w:szCs w:val="24"/>
              </w:rPr>
              <w:t>134 (22 instances + 112 pieces)</w:t>
            </w:r>
          </w:p>
        </w:tc>
        <w:tc>
          <w:tcPr>
            <w:tcW w:w="300" w:type="dxa"/>
          </w:tcPr>
          <w:p w14:paraId="2DB15874">
            <w:pPr>
              <w:pStyle w:val="16"/>
              <w:spacing w:before="31" w:after="31"/>
              <w:ind w:firstLine="0" w:firstLineChars="0"/>
              <w:rPr>
                <w:szCs w:val="24"/>
              </w:rPr>
            </w:pPr>
            <w:r>
              <w:rPr>
                <w:szCs w:val="24"/>
              </w:rPr>
              <w:t>8</w:t>
            </w:r>
          </w:p>
        </w:tc>
      </w:tr>
      <w:tr w14:paraId="72728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8" w:type="dxa"/>
          </w:tcPr>
          <w:p w14:paraId="6631CC5B">
            <w:pPr>
              <w:pStyle w:val="16"/>
              <w:spacing w:before="31" w:after="31"/>
              <w:ind w:firstLine="0" w:firstLineChars="0"/>
              <w:rPr>
                <w:szCs w:val="24"/>
              </w:rPr>
            </w:pPr>
          </w:p>
        </w:tc>
        <w:tc>
          <w:tcPr>
            <w:tcW w:w="236" w:type="dxa"/>
          </w:tcPr>
          <w:p w14:paraId="1F79B2FA">
            <w:pPr>
              <w:pStyle w:val="16"/>
              <w:spacing w:before="31" w:after="31"/>
              <w:ind w:firstLine="0" w:firstLineChars="0"/>
              <w:rPr>
                <w:szCs w:val="24"/>
              </w:rPr>
            </w:pPr>
          </w:p>
        </w:tc>
        <w:tc>
          <w:tcPr>
            <w:tcW w:w="1088" w:type="dxa"/>
          </w:tcPr>
          <w:p w14:paraId="1AD3D439">
            <w:pPr>
              <w:pStyle w:val="16"/>
              <w:spacing w:before="31" w:after="31"/>
              <w:ind w:firstLine="0" w:firstLineChars="0"/>
              <w:rPr>
                <w:szCs w:val="24"/>
              </w:rPr>
            </w:pPr>
          </w:p>
        </w:tc>
        <w:tc>
          <w:tcPr>
            <w:tcW w:w="992" w:type="dxa"/>
          </w:tcPr>
          <w:p w14:paraId="4B815969">
            <w:pPr>
              <w:pStyle w:val="16"/>
              <w:spacing w:before="31" w:after="31"/>
              <w:ind w:firstLine="0" w:firstLineChars="0"/>
              <w:rPr>
                <w:szCs w:val="24"/>
              </w:rPr>
            </w:pPr>
            <w:r>
              <w:rPr>
                <w:szCs w:val="24"/>
              </w:rPr>
              <w:t>Lower</w:t>
            </w:r>
          </w:p>
        </w:tc>
        <w:tc>
          <w:tcPr>
            <w:tcW w:w="1235" w:type="dxa"/>
          </w:tcPr>
          <w:p w14:paraId="3C4FEEA8">
            <w:pPr>
              <w:pStyle w:val="16"/>
              <w:spacing w:before="31" w:after="31"/>
              <w:ind w:firstLine="0" w:firstLineChars="0"/>
              <w:rPr>
                <w:szCs w:val="24"/>
              </w:rPr>
            </w:pPr>
            <w:r>
              <w:rPr>
                <w:szCs w:val="24"/>
              </w:rPr>
              <w:t>3</w:t>
            </w:r>
          </w:p>
        </w:tc>
        <w:tc>
          <w:tcPr>
            <w:tcW w:w="1422" w:type="dxa"/>
          </w:tcPr>
          <w:p w14:paraId="618370E1">
            <w:pPr>
              <w:pStyle w:val="16"/>
              <w:spacing w:before="31" w:after="31"/>
              <w:ind w:firstLine="0" w:firstLineChars="0"/>
              <w:rPr>
                <w:szCs w:val="24"/>
              </w:rPr>
            </w:pPr>
            <w:r>
              <w:rPr>
                <w:szCs w:val="24"/>
              </w:rPr>
              <w:t>0</w:t>
            </w:r>
          </w:p>
        </w:tc>
        <w:tc>
          <w:tcPr>
            <w:tcW w:w="1011" w:type="dxa"/>
          </w:tcPr>
          <w:p w14:paraId="0A8E5D61">
            <w:pPr>
              <w:pStyle w:val="16"/>
              <w:spacing w:before="31" w:after="31"/>
              <w:ind w:firstLine="0" w:firstLineChars="0"/>
              <w:rPr>
                <w:szCs w:val="24"/>
              </w:rPr>
            </w:pPr>
            <w:r>
              <w:rPr>
                <w:szCs w:val="24"/>
              </w:rPr>
              <w:t>33 (3 instances + 30 pieces)</w:t>
            </w:r>
          </w:p>
        </w:tc>
        <w:tc>
          <w:tcPr>
            <w:tcW w:w="777" w:type="dxa"/>
          </w:tcPr>
          <w:p w14:paraId="12A10C76">
            <w:pPr>
              <w:pStyle w:val="16"/>
              <w:spacing w:before="31" w:after="31"/>
              <w:ind w:firstLine="0" w:firstLineChars="0"/>
              <w:rPr>
                <w:szCs w:val="24"/>
              </w:rPr>
            </w:pPr>
            <w:r>
              <w:rPr>
                <w:szCs w:val="24"/>
              </w:rPr>
              <w:t>0</w:t>
            </w:r>
          </w:p>
        </w:tc>
        <w:tc>
          <w:tcPr>
            <w:tcW w:w="833" w:type="dxa"/>
          </w:tcPr>
          <w:p w14:paraId="4767C383">
            <w:pPr>
              <w:pStyle w:val="16"/>
              <w:spacing w:before="31" w:after="31"/>
              <w:ind w:firstLine="0" w:firstLineChars="0"/>
              <w:rPr>
                <w:szCs w:val="24"/>
              </w:rPr>
            </w:pPr>
          </w:p>
        </w:tc>
        <w:tc>
          <w:tcPr>
            <w:tcW w:w="300" w:type="dxa"/>
          </w:tcPr>
          <w:p w14:paraId="72C45EB7">
            <w:pPr>
              <w:pStyle w:val="16"/>
              <w:spacing w:before="31" w:after="31"/>
              <w:ind w:firstLine="0" w:firstLineChars="0"/>
              <w:rPr>
                <w:szCs w:val="24"/>
              </w:rPr>
            </w:pPr>
          </w:p>
        </w:tc>
      </w:tr>
      <w:tr w14:paraId="53E26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8" w:type="dxa"/>
          </w:tcPr>
          <w:p w14:paraId="2E025176">
            <w:pPr>
              <w:pStyle w:val="16"/>
              <w:spacing w:before="31" w:after="31"/>
              <w:ind w:firstLine="0" w:firstLineChars="0"/>
              <w:rPr>
                <w:szCs w:val="24"/>
              </w:rPr>
            </w:pPr>
            <w:r>
              <w:rPr>
                <w:szCs w:val="24"/>
              </w:rPr>
              <w:t>Down</w:t>
            </w:r>
          </w:p>
        </w:tc>
        <w:tc>
          <w:tcPr>
            <w:tcW w:w="236" w:type="dxa"/>
          </w:tcPr>
          <w:p w14:paraId="29FBE8D2">
            <w:pPr>
              <w:pStyle w:val="16"/>
              <w:spacing w:before="31" w:after="31"/>
              <w:ind w:firstLine="0" w:firstLineChars="0"/>
              <w:rPr>
                <w:szCs w:val="24"/>
              </w:rPr>
            </w:pPr>
          </w:p>
        </w:tc>
        <w:tc>
          <w:tcPr>
            <w:tcW w:w="1088" w:type="dxa"/>
          </w:tcPr>
          <w:p w14:paraId="401F88AC">
            <w:pPr>
              <w:pStyle w:val="16"/>
              <w:spacing w:before="31" w:after="31"/>
              <w:ind w:firstLine="0" w:firstLineChars="0"/>
              <w:rPr>
                <w:szCs w:val="24"/>
              </w:rPr>
            </w:pPr>
            <w:r>
              <w:rPr>
                <w:szCs w:val="24"/>
              </w:rPr>
              <w:t>26</w:t>
            </w:r>
          </w:p>
        </w:tc>
        <w:tc>
          <w:tcPr>
            <w:tcW w:w="992" w:type="dxa"/>
          </w:tcPr>
          <w:p w14:paraId="14CAF3CC">
            <w:pPr>
              <w:pStyle w:val="16"/>
              <w:spacing w:before="31" w:after="31"/>
              <w:ind w:firstLine="0" w:firstLineChars="0"/>
              <w:rPr>
                <w:szCs w:val="24"/>
              </w:rPr>
            </w:pPr>
            <w:r>
              <w:rPr>
                <w:szCs w:val="24"/>
              </w:rPr>
              <w:t>27</w:t>
            </w:r>
          </w:p>
        </w:tc>
        <w:tc>
          <w:tcPr>
            <w:tcW w:w="1235" w:type="dxa"/>
          </w:tcPr>
          <w:p w14:paraId="48F78D42">
            <w:pPr>
              <w:pStyle w:val="16"/>
              <w:spacing w:before="31" w:after="31"/>
              <w:ind w:firstLine="0" w:firstLineChars="0"/>
              <w:rPr>
                <w:szCs w:val="24"/>
              </w:rPr>
            </w:pPr>
            <w:r>
              <w:rPr>
                <w:szCs w:val="24"/>
              </w:rPr>
              <w:t>Upper</w:t>
            </w:r>
          </w:p>
        </w:tc>
        <w:tc>
          <w:tcPr>
            <w:tcW w:w="1422" w:type="dxa"/>
          </w:tcPr>
          <w:p w14:paraId="5BF30700">
            <w:pPr>
              <w:pStyle w:val="16"/>
              <w:spacing w:before="31" w:after="31"/>
              <w:ind w:firstLine="0" w:firstLineChars="0"/>
              <w:rPr>
                <w:szCs w:val="24"/>
              </w:rPr>
            </w:pPr>
            <w:r>
              <w:rPr>
                <w:szCs w:val="24"/>
              </w:rPr>
              <w:t>24</w:t>
            </w:r>
          </w:p>
        </w:tc>
        <w:tc>
          <w:tcPr>
            <w:tcW w:w="1011" w:type="dxa"/>
          </w:tcPr>
          <w:p w14:paraId="156065AB">
            <w:pPr>
              <w:pStyle w:val="16"/>
              <w:spacing w:before="31" w:after="31"/>
              <w:ind w:firstLine="0" w:firstLineChars="0"/>
              <w:rPr>
                <w:szCs w:val="24"/>
              </w:rPr>
            </w:pPr>
            <w:r>
              <w:rPr>
                <w:szCs w:val="24"/>
              </w:rPr>
              <w:t>36</w:t>
            </w:r>
          </w:p>
        </w:tc>
        <w:tc>
          <w:tcPr>
            <w:tcW w:w="777" w:type="dxa"/>
          </w:tcPr>
          <w:p w14:paraId="2E28FC5B">
            <w:pPr>
              <w:pStyle w:val="16"/>
              <w:spacing w:before="31" w:after="31"/>
              <w:ind w:firstLine="0" w:firstLineChars="0"/>
              <w:rPr>
                <w:szCs w:val="24"/>
              </w:rPr>
            </w:pPr>
            <w:r>
              <w:rPr>
                <w:szCs w:val="24"/>
              </w:rPr>
              <w:t>150 (1 instance + 149 pieces)</w:t>
            </w:r>
          </w:p>
        </w:tc>
        <w:tc>
          <w:tcPr>
            <w:tcW w:w="833" w:type="dxa"/>
          </w:tcPr>
          <w:p w14:paraId="7566017A">
            <w:pPr>
              <w:pStyle w:val="16"/>
              <w:spacing w:before="31" w:after="31"/>
              <w:ind w:firstLine="0" w:firstLineChars="0"/>
              <w:rPr>
                <w:szCs w:val="24"/>
              </w:rPr>
            </w:pPr>
            <w:r>
              <w:rPr>
                <w:szCs w:val="24"/>
              </w:rPr>
              <w:t>124</w:t>
            </w:r>
          </w:p>
        </w:tc>
        <w:tc>
          <w:tcPr>
            <w:tcW w:w="300" w:type="dxa"/>
          </w:tcPr>
          <w:p w14:paraId="65539E07">
            <w:pPr>
              <w:pStyle w:val="16"/>
              <w:spacing w:before="31" w:after="31"/>
              <w:ind w:firstLine="0" w:firstLineChars="0"/>
              <w:rPr>
                <w:szCs w:val="24"/>
              </w:rPr>
            </w:pPr>
          </w:p>
        </w:tc>
      </w:tr>
      <w:tr w14:paraId="72C7A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8" w:type="dxa"/>
          </w:tcPr>
          <w:p w14:paraId="2F30F3E4">
            <w:pPr>
              <w:pStyle w:val="16"/>
              <w:spacing w:before="31" w:after="31"/>
              <w:ind w:firstLine="0" w:firstLineChars="0"/>
              <w:rPr>
                <w:szCs w:val="24"/>
              </w:rPr>
            </w:pPr>
          </w:p>
        </w:tc>
        <w:tc>
          <w:tcPr>
            <w:tcW w:w="236" w:type="dxa"/>
          </w:tcPr>
          <w:p w14:paraId="04093CD6">
            <w:pPr>
              <w:pStyle w:val="16"/>
              <w:spacing w:before="31" w:after="31"/>
              <w:ind w:firstLine="0" w:firstLineChars="0"/>
              <w:rPr>
                <w:szCs w:val="24"/>
              </w:rPr>
            </w:pPr>
          </w:p>
        </w:tc>
        <w:tc>
          <w:tcPr>
            <w:tcW w:w="1088" w:type="dxa"/>
          </w:tcPr>
          <w:p w14:paraId="716F8A66">
            <w:pPr>
              <w:pStyle w:val="16"/>
              <w:spacing w:before="31" w:after="31"/>
              <w:ind w:firstLine="0" w:firstLineChars="0"/>
              <w:rPr>
                <w:szCs w:val="24"/>
              </w:rPr>
            </w:pPr>
          </w:p>
        </w:tc>
        <w:tc>
          <w:tcPr>
            <w:tcW w:w="992" w:type="dxa"/>
          </w:tcPr>
          <w:p w14:paraId="5F1D4EC8">
            <w:pPr>
              <w:pStyle w:val="16"/>
              <w:spacing w:before="31" w:after="31"/>
              <w:ind w:firstLine="0" w:firstLineChars="0"/>
              <w:rPr>
                <w:szCs w:val="24"/>
              </w:rPr>
            </w:pPr>
            <w:r>
              <w:rPr>
                <w:szCs w:val="24"/>
              </w:rPr>
              <w:t>Lower</w:t>
            </w:r>
          </w:p>
        </w:tc>
        <w:tc>
          <w:tcPr>
            <w:tcW w:w="1235" w:type="dxa"/>
          </w:tcPr>
          <w:p w14:paraId="026445DF">
            <w:pPr>
              <w:pStyle w:val="16"/>
              <w:spacing w:before="31" w:after="31"/>
              <w:ind w:firstLine="0" w:firstLineChars="0"/>
              <w:rPr>
                <w:szCs w:val="24"/>
              </w:rPr>
            </w:pPr>
            <w:r>
              <w:rPr>
                <w:szCs w:val="24"/>
              </w:rPr>
              <w:t>3</w:t>
            </w:r>
          </w:p>
        </w:tc>
        <w:tc>
          <w:tcPr>
            <w:tcW w:w="1422" w:type="dxa"/>
          </w:tcPr>
          <w:p w14:paraId="5BD92F1D">
            <w:pPr>
              <w:pStyle w:val="16"/>
              <w:spacing w:before="31" w:after="31"/>
              <w:ind w:firstLine="0" w:firstLineChars="0"/>
              <w:rPr>
                <w:szCs w:val="24"/>
              </w:rPr>
            </w:pPr>
            <w:r>
              <w:rPr>
                <w:szCs w:val="24"/>
              </w:rPr>
              <w:t>0</w:t>
            </w:r>
          </w:p>
        </w:tc>
        <w:tc>
          <w:tcPr>
            <w:tcW w:w="1011" w:type="dxa"/>
          </w:tcPr>
          <w:p w14:paraId="35F140BB">
            <w:pPr>
              <w:pStyle w:val="16"/>
              <w:spacing w:before="31" w:after="31"/>
              <w:ind w:firstLine="0" w:firstLineChars="0"/>
              <w:rPr>
                <w:szCs w:val="24"/>
              </w:rPr>
            </w:pPr>
            <w:r>
              <w:rPr>
                <w:szCs w:val="24"/>
              </w:rPr>
              <w:t>17 pieces</w:t>
            </w:r>
          </w:p>
        </w:tc>
        <w:tc>
          <w:tcPr>
            <w:tcW w:w="777" w:type="dxa"/>
          </w:tcPr>
          <w:p w14:paraId="034D2492">
            <w:pPr>
              <w:pStyle w:val="16"/>
              <w:spacing w:before="31" w:after="31"/>
              <w:ind w:firstLine="0" w:firstLineChars="0"/>
              <w:rPr>
                <w:szCs w:val="24"/>
              </w:rPr>
            </w:pPr>
            <w:r>
              <w:rPr>
                <w:szCs w:val="24"/>
              </w:rPr>
              <w:t>0</w:t>
            </w:r>
          </w:p>
        </w:tc>
        <w:tc>
          <w:tcPr>
            <w:tcW w:w="833" w:type="dxa"/>
          </w:tcPr>
          <w:p w14:paraId="4180B853">
            <w:pPr>
              <w:pStyle w:val="16"/>
              <w:spacing w:before="31" w:after="31"/>
              <w:ind w:firstLine="0" w:firstLineChars="0"/>
              <w:rPr>
                <w:szCs w:val="24"/>
              </w:rPr>
            </w:pPr>
          </w:p>
        </w:tc>
        <w:tc>
          <w:tcPr>
            <w:tcW w:w="300" w:type="dxa"/>
          </w:tcPr>
          <w:p w14:paraId="022C2658">
            <w:pPr>
              <w:pStyle w:val="16"/>
              <w:spacing w:before="31" w:after="31"/>
              <w:ind w:firstLine="0" w:firstLineChars="0"/>
              <w:rPr>
                <w:szCs w:val="24"/>
              </w:rPr>
            </w:pPr>
          </w:p>
        </w:tc>
      </w:tr>
    </w:tbl>
    <w:p w14:paraId="0E179DD6">
      <w:pPr>
        <w:pStyle w:val="16"/>
        <w:spacing w:before="31" w:after="31"/>
        <w:ind w:firstLine="480"/>
        <w:rPr>
          <w:szCs w:val="24"/>
        </w:rPr>
      </w:pPr>
      <w:r>
        <w:rPr>
          <w:szCs w:val="24"/>
        </w:rPr>
        <w:t>```</w:t>
      </w:r>
    </w:p>
    <w:p w14:paraId="3B0EE346">
      <w:pPr>
        <w:pStyle w:val="16"/>
        <w:spacing w:before="31" w:after="31"/>
        <w:ind w:firstLine="480"/>
        <w:rPr>
          <w:szCs w:val="24"/>
        </w:rPr>
      </w:pPr>
    </w:p>
    <w:p w14:paraId="4531C7AD">
      <w:pPr>
        <w:pStyle w:val="16"/>
        <w:spacing w:before="31" w:after="31"/>
        <w:ind w:firstLine="480"/>
        <w:rPr>
          <w:szCs w:val="24"/>
        </w:rPr>
      </w:pPr>
      <w:r>
        <w:rPr>
          <w:rFonts w:hint="eastAsia"/>
          <w:szCs w:val="24"/>
        </w:rPr>
        <w:t xml:space="preserve">Oblique cracks mainly occurred on the upper rail tread of curves with a radius of R≤2200m in the high-up and low-down lines, especially on uphill curves and curves with R≤1600m. The distribution of oblique cracks is noticeable in the acceleration sections </w:t>
      </w:r>
      <w:r>
        <w:rPr>
          <w:szCs w:val="24"/>
        </w:rPr>
        <w:t>at both ends of the semi-high-speed section, uphill sections, and automatic acceleration sections, with cracks mostly concentrated on uphill segments of the same curve.</w:t>
      </w:r>
    </w:p>
    <w:p w14:paraId="457F0BAC">
      <w:pPr>
        <w:pStyle w:val="16"/>
        <w:spacing w:before="31" w:after="31"/>
        <w:ind w:firstLine="480"/>
        <w:rPr>
          <w:szCs w:val="24"/>
        </w:rPr>
      </w:pPr>
      <w:r>
        <w:rPr>
          <w:szCs w:val="24"/>
        </w:rPr>
        <w:t>The oblique cracks are located on the rail surface 12mm to 20mm away from the running edge, presenting a segmented, non-continuous, and jumping distribution. Each segment is 10m to 20m long, with an interval of about 1.5m to 2.0m on circular curves and 2.0m to 3.0m on easing curves. The oblique cracks are approximately 6mm to 30mm long, spaced around 10mm apart, and the maximum crack depth determined by ultrasonic inspection reaches 10mm to 20mm.</w:t>
      </w:r>
    </w:p>
    <w:p w14:paraId="43D16F8F">
      <w:pPr>
        <w:pStyle w:val="16"/>
        <w:spacing w:before="31" w:after="31"/>
        <w:ind w:firstLine="480"/>
        <w:rPr>
          <w:szCs w:val="24"/>
        </w:rPr>
      </w:pPr>
      <w:r>
        <w:rPr>
          <w:szCs w:val="24"/>
        </w:rPr>
        <w:t>In the non-semi-high-speed section, although PD3 rails with curve radii between 800m and 1000m experience lateral wear, it is minimal. In the same location with the same curve radius, the up line almost has no lateral wear, while the down line has lateral wear ranging from 2.0mm to 3.5mm. Due to the characteristics of the "Blue Arrow" high-speed train, the train travels from the north end, pushing on the down line and pulling on the up line. This results in lateral wear on the down line due to contact guidance, while the up line has no lateral wear due to slip guidance. In the semi-high-speed section, with a minimum curve radius of 1400m, calculated at a speed of 160 km·h-1, the maximum under-riding is 110mm. Although the under-riding is significant, the U71Mn rails in the semi-high-speed section mainly rely on slip guidance rather than contact guidance, resulting in almost no lateral wear. Over the 9 years of operation, the vertical wear is only 1.0mm to 1.5mm.</w:t>
      </w:r>
    </w:p>
    <w:p w14:paraId="57684231">
      <w:pPr>
        <w:pStyle w:val="16"/>
        <w:spacing w:before="31" w:after="31"/>
        <w:ind w:firstLine="0" w:firstLineChars="0"/>
        <w:rPr>
          <w:szCs w:val="24"/>
        </w:rPr>
      </w:pPr>
      <w:r>
        <w:rPr>
          <w:szCs w:val="24"/>
        </w:rPr>
        <w:t>(3) Service Environment:</w:t>
      </w:r>
    </w:p>
    <w:p w14:paraId="6899AA33">
      <w:pPr>
        <w:pStyle w:val="16"/>
        <w:spacing w:before="31" w:after="31"/>
        <w:ind w:firstLine="420" w:firstLineChars="0"/>
        <w:rPr>
          <w:rFonts w:hint="eastAsia"/>
          <w:szCs w:val="24"/>
        </w:rPr>
      </w:pPr>
      <w:r>
        <w:rPr>
          <w:szCs w:val="24"/>
        </w:rPr>
        <w:t>Null</w:t>
      </w:r>
    </w:p>
    <w:p w14:paraId="3BFF2F64">
      <w:pPr>
        <w:pStyle w:val="16"/>
        <w:spacing w:before="31" w:after="31"/>
        <w:ind w:firstLine="0" w:firstLineChars="0"/>
        <w:rPr>
          <w:szCs w:val="24"/>
        </w:rPr>
      </w:pPr>
      <w:r>
        <w:rPr>
          <w:szCs w:val="24"/>
        </w:rPr>
        <w:t>(4) Failed Components and Material</w:t>
      </w:r>
    </w:p>
    <w:p w14:paraId="47C9F2D5">
      <w:pPr>
        <w:pStyle w:val="16"/>
        <w:spacing w:before="31" w:after="31"/>
        <w:ind w:firstLine="480"/>
        <w:rPr>
          <w:szCs w:val="24"/>
        </w:rPr>
      </w:pPr>
      <w:r>
        <w:rPr>
          <w:szCs w:val="24"/>
        </w:rPr>
        <w:t>The chemical composition and mechanical properties of the failed components are shown in Table 6-4. The current PD3 rail has appropriately reduced the content of C, Si, P, S, and alloy element V compared to the original PD3 rail. While maintaining the same strength level, the reduction in the strength of the steel improves its toughness. The chemical composition of the failed rail samples is in accordance with the original PD3 rail and meets the technical requirements for the current PD3 rail. The metallographic test results show a normal microstructure of pearlite and a minimal amount of ferrite, with no apparent non-metallic inclusions or compositional segregation.</w:t>
      </w:r>
    </w:p>
    <w:p w14:paraId="2975B79D">
      <w:pPr>
        <w:pStyle w:val="16"/>
        <w:spacing w:before="31" w:after="31"/>
        <w:ind w:firstLine="480"/>
        <w:rPr>
          <w:szCs w:val="24"/>
        </w:rPr>
      </w:pPr>
    </w:p>
    <w:p w14:paraId="572DCB99">
      <w:pPr>
        <w:pStyle w:val="16"/>
        <w:spacing w:before="31" w:after="31"/>
        <w:ind w:firstLine="480"/>
        <w:rPr>
          <w:rFonts w:hint="eastAsia"/>
          <w:szCs w:val="24"/>
        </w:rPr>
      </w:pPr>
      <w:r>
        <w:rPr>
          <w:szCs w:val="24"/>
        </w:rPr>
        <w:t>Table 6-4: Chemical Composition and Mechanical Properties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
        <w:gridCol w:w="1129"/>
        <w:gridCol w:w="1129"/>
        <w:gridCol w:w="1129"/>
        <w:gridCol w:w="724"/>
        <w:gridCol w:w="837"/>
        <w:gridCol w:w="1129"/>
        <w:gridCol w:w="815"/>
        <w:gridCol w:w="662"/>
      </w:tblGrid>
      <w:tr w14:paraId="1801E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dxa"/>
          </w:tcPr>
          <w:p w14:paraId="327ECF82">
            <w:pPr>
              <w:pStyle w:val="16"/>
              <w:spacing w:before="31" w:after="31"/>
              <w:ind w:firstLine="0" w:firstLineChars="0"/>
              <w:rPr>
                <w:szCs w:val="24"/>
              </w:rPr>
            </w:pPr>
            <w:r>
              <w:rPr>
                <w:szCs w:val="24"/>
              </w:rPr>
              <w:t>Steel Type</w:t>
            </w:r>
          </w:p>
        </w:tc>
        <w:tc>
          <w:tcPr>
            <w:tcW w:w="6206" w:type="dxa"/>
            <w:gridSpan w:val="6"/>
          </w:tcPr>
          <w:p w14:paraId="4482B194">
            <w:pPr>
              <w:pStyle w:val="16"/>
              <w:spacing w:before="31" w:after="31"/>
              <w:ind w:firstLine="0" w:firstLineChars="0"/>
              <w:rPr>
                <w:szCs w:val="24"/>
              </w:rPr>
            </w:pPr>
            <w:r>
              <w:rPr>
                <w:szCs w:val="24"/>
              </w:rPr>
              <w:t>Chemical Composition/%</w:t>
            </w:r>
          </w:p>
        </w:tc>
        <w:tc>
          <w:tcPr>
            <w:tcW w:w="1402" w:type="dxa"/>
            <w:gridSpan w:val="2"/>
          </w:tcPr>
          <w:p w14:paraId="013CE3F5">
            <w:pPr>
              <w:pStyle w:val="16"/>
              <w:spacing w:before="31" w:after="31"/>
              <w:ind w:firstLine="0" w:firstLineChars="0"/>
              <w:rPr>
                <w:szCs w:val="24"/>
              </w:rPr>
            </w:pPr>
            <w:r>
              <w:rPr>
                <w:szCs w:val="24"/>
              </w:rPr>
              <w:t>Mechanical Properties</w:t>
            </w:r>
          </w:p>
        </w:tc>
      </w:tr>
      <w:tr w14:paraId="7E835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dxa"/>
          </w:tcPr>
          <w:p w14:paraId="1B311D7D">
            <w:pPr>
              <w:pStyle w:val="16"/>
              <w:spacing w:before="31" w:after="31"/>
              <w:ind w:firstLine="0" w:firstLineChars="0"/>
              <w:rPr>
                <w:szCs w:val="24"/>
              </w:rPr>
            </w:pPr>
          </w:p>
        </w:tc>
        <w:tc>
          <w:tcPr>
            <w:tcW w:w="1533" w:type="dxa"/>
          </w:tcPr>
          <w:p w14:paraId="4645070F">
            <w:pPr>
              <w:pStyle w:val="16"/>
              <w:spacing w:before="31" w:after="31"/>
              <w:ind w:firstLine="0" w:firstLineChars="0"/>
              <w:rPr>
                <w:szCs w:val="24"/>
              </w:rPr>
            </w:pPr>
            <w:r>
              <w:rPr>
                <w:szCs w:val="24"/>
              </w:rPr>
              <w:t>C</w:t>
            </w:r>
          </w:p>
        </w:tc>
        <w:tc>
          <w:tcPr>
            <w:tcW w:w="1064" w:type="dxa"/>
          </w:tcPr>
          <w:p w14:paraId="612CA6F2">
            <w:pPr>
              <w:pStyle w:val="16"/>
              <w:spacing w:before="31" w:after="31"/>
              <w:ind w:firstLine="0" w:firstLineChars="0"/>
              <w:rPr>
                <w:szCs w:val="24"/>
              </w:rPr>
            </w:pPr>
            <w:r>
              <w:rPr>
                <w:szCs w:val="24"/>
              </w:rPr>
              <w:t>Si</w:t>
            </w:r>
          </w:p>
        </w:tc>
        <w:tc>
          <w:tcPr>
            <w:tcW w:w="1064" w:type="dxa"/>
          </w:tcPr>
          <w:p w14:paraId="090D8801">
            <w:pPr>
              <w:pStyle w:val="16"/>
              <w:spacing w:before="31" w:after="31"/>
              <w:ind w:firstLine="0" w:firstLineChars="0"/>
              <w:rPr>
                <w:szCs w:val="24"/>
              </w:rPr>
            </w:pPr>
            <w:r>
              <w:rPr>
                <w:szCs w:val="24"/>
              </w:rPr>
              <w:t>Mn</w:t>
            </w:r>
          </w:p>
        </w:tc>
        <w:tc>
          <w:tcPr>
            <w:tcW w:w="688" w:type="dxa"/>
          </w:tcPr>
          <w:p w14:paraId="67274C07">
            <w:pPr>
              <w:pStyle w:val="16"/>
              <w:spacing w:before="31" w:after="31"/>
              <w:ind w:firstLine="0" w:firstLineChars="0"/>
              <w:rPr>
                <w:szCs w:val="24"/>
              </w:rPr>
            </w:pPr>
            <w:r>
              <w:rPr>
                <w:szCs w:val="24"/>
              </w:rPr>
              <w:t>P</w:t>
            </w:r>
          </w:p>
        </w:tc>
        <w:tc>
          <w:tcPr>
            <w:tcW w:w="793" w:type="dxa"/>
          </w:tcPr>
          <w:p w14:paraId="699C9530">
            <w:pPr>
              <w:pStyle w:val="16"/>
              <w:spacing w:before="31" w:after="31"/>
              <w:ind w:firstLine="0" w:firstLineChars="0"/>
              <w:rPr>
                <w:szCs w:val="24"/>
              </w:rPr>
            </w:pPr>
            <w:r>
              <w:rPr>
                <w:szCs w:val="24"/>
              </w:rPr>
              <w:t>S</w:t>
            </w:r>
          </w:p>
        </w:tc>
        <w:tc>
          <w:tcPr>
            <w:tcW w:w="1064" w:type="dxa"/>
          </w:tcPr>
          <w:p w14:paraId="37143AD0">
            <w:pPr>
              <w:pStyle w:val="16"/>
              <w:spacing w:before="31" w:after="31"/>
              <w:ind w:firstLine="0" w:firstLineChars="0"/>
              <w:rPr>
                <w:szCs w:val="24"/>
              </w:rPr>
            </w:pPr>
            <w:r>
              <w:rPr>
                <w:szCs w:val="24"/>
              </w:rPr>
              <w:t>V</w:t>
            </w:r>
          </w:p>
        </w:tc>
        <w:tc>
          <w:tcPr>
            <w:tcW w:w="772" w:type="dxa"/>
          </w:tcPr>
          <w:p w14:paraId="1E211861">
            <w:pPr>
              <w:pStyle w:val="16"/>
              <w:spacing w:before="31" w:after="31"/>
              <w:ind w:firstLine="0" w:firstLineChars="0"/>
              <w:rPr>
                <w:szCs w:val="24"/>
              </w:rPr>
            </w:pPr>
            <w:r>
              <w:rPr>
                <w:szCs w:val="24"/>
              </w:rPr>
              <w:t>σ/Mpa</w:t>
            </w:r>
          </w:p>
        </w:tc>
        <w:tc>
          <w:tcPr>
            <w:tcW w:w="630" w:type="dxa"/>
          </w:tcPr>
          <w:p w14:paraId="76B0FA68">
            <w:pPr>
              <w:pStyle w:val="16"/>
              <w:spacing w:before="31" w:after="31"/>
              <w:ind w:firstLine="0" w:firstLineChars="0"/>
              <w:rPr>
                <w:szCs w:val="24"/>
              </w:rPr>
            </w:pPr>
            <w:r>
              <w:rPr>
                <w:szCs w:val="24"/>
              </w:rPr>
              <w:t>δs/%</w:t>
            </w:r>
          </w:p>
        </w:tc>
      </w:tr>
      <w:tr w14:paraId="3D05F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dxa"/>
          </w:tcPr>
          <w:p w14:paraId="0FE03B67">
            <w:pPr>
              <w:pStyle w:val="16"/>
              <w:spacing w:before="31" w:after="31"/>
              <w:ind w:firstLine="0" w:firstLineChars="0"/>
              <w:rPr>
                <w:szCs w:val="24"/>
              </w:rPr>
            </w:pPr>
            <w:r>
              <w:rPr>
                <w:szCs w:val="24"/>
              </w:rPr>
              <w:t>Failed Rail Sample</w:t>
            </w:r>
          </w:p>
        </w:tc>
        <w:tc>
          <w:tcPr>
            <w:tcW w:w="1533" w:type="dxa"/>
          </w:tcPr>
          <w:p w14:paraId="28538A67">
            <w:pPr>
              <w:pStyle w:val="16"/>
              <w:spacing w:before="31" w:after="31"/>
              <w:ind w:firstLine="0" w:firstLineChars="0"/>
              <w:rPr>
                <w:szCs w:val="24"/>
              </w:rPr>
            </w:pPr>
            <w:r>
              <w:rPr>
                <w:szCs w:val="24"/>
              </w:rPr>
              <w:t>0.75</w:t>
            </w:r>
          </w:p>
        </w:tc>
        <w:tc>
          <w:tcPr>
            <w:tcW w:w="1064" w:type="dxa"/>
          </w:tcPr>
          <w:p w14:paraId="27F15CCC">
            <w:pPr>
              <w:pStyle w:val="16"/>
              <w:spacing w:before="31" w:after="31"/>
              <w:ind w:firstLine="0" w:firstLineChars="0"/>
              <w:rPr>
                <w:szCs w:val="24"/>
              </w:rPr>
            </w:pPr>
            <w:r>
              <w:rPr>
                <w:szCs w:val="24"/>
              </w:rPr>
              <w:t>0.73</w:t>
            </w:r>
          </w:p>
        </w:tc>
        <w:tc>
          <w:tcPr>
            <w:tcW w:w="1064" w:type="dxa"/>
          </w:tcPr>
          <w:p w14:paraId="7181CD9B">
            <w:pPr>
              <w:pStyle w:val="16"/>
              <w:spacing w:before="31" w:after="31"/>
              <w:ind w:firstLine="0" w:firstLineChars="0"/>
              <w:rPr>
                <w:szCs w:val="24"/>
              </w:rPr>
            </w:pPr>
            <w:r>
              <w:rPr>
                <w:szCs w:val="24"/>
              </w:rPr>
              <w:t>0.74</w:t>
            </w:r>
          </w:p>
        </w:tc>
        <w:tc>
          <w:tcPr>
            <w:tcW w:w="688" w:type="dxa"/>
          </w:tcPr>
          <w:p w14:paraId="1BB9A8CC">
            <w:pPr>
              <w:pStyle w:val="16"/>
              <w:spacing w:before="31" w:after="31"/>
              <w:ind w:firstLine="0" w:firstLineChars="0"/>
              <w:rPr>
                <w:szCs w:val="24"/>
              </w:rPr>
            </w:pPr>
            <w:r>
              <w:rPr>
                <w:szCs w:val="24"/>
              </w:rPr>
              <w:t>0.021</w:t>
            </w:r>
          </w:p>
        </w:tc>
        <w:tc>
          <w:tcPr>
            <w:tcW w:w="793" w:type="dxa"/>
          </w:tcPr>
          <w:p w14:paraId="3C8D6CC1">
            <w:pPr>
              <w:pStyle w:val="16"/>
              <w:spacing w:before="31" w:after="31"/>
              <w:ind w:firstLine="0" w:firstLineChars="0"/>
              <w:rPr>
                <w:szCs w:val="24"/>
              </w:rPr>
            </w:pPr>
            <w:r>
              <w:rPr>
                <w:szCs w:val="24"/>
              </w:rPr>
              <w:t>0.0053</w:t>
            </w:r>
          </w:p>
        </w:tc>
        <w:tc>
          <w:tcPr>
            <w:tcW w:w="1064" w:type="dxa"/>
          </w:tcPr>
          <w:p w14:paraId="18920F5E">
            <w:pPr>
              <w:pStyle w:val="16"/>
              <w:spacing w:before="31" w:after="31"/>
              <w:ind w:firstLine="0" w:firstLineChars="0"/>
              <w:rPr>
                <w:szCs w:val="24"/>
              </w:rPr>
            </w:pPr>
            <w:r>
              <w:rPr>
                <w:szCs w:val="24"/>
              </w:rPr>
              <w:t>0.074</w:t>
            </w:r>
          </w:p>
        </w:tc>
        <w:tc>
          <w:tcPr>
            <w:tcW w:w="772" w:type="dxa"/>
          </w:tcPr>
          <w:p w14:paraId="3664482A">
            <w:pPr>
              <w:pStyle w:val="16"/>
              <w:spacing w:before="31" w:after="31"/>
              <w:ind w:firstLine="0" w:firstLineChars="0"/>
              <w:rPr>
                <w:szCs w:val="24"/>
              </w:rPr>
            </w:pPr>
            <w:r>
              <w:rPr>
                <w:szCs w:val="24"/>
              </w:rPr>
              <w:t>1050</w:t>
            </w:r>
          </w:p>
        </w:tc>
        <w:tc>
          <w:tcPr>
            <w:tcW w:w="630" w:type="dxa"/>
          </w:tcPr>
          <w:p w14:paraId="403143E2">
            <w:pPr>
              <w:pStyle w:val="16"/>
              <w:spacing w:before="31" w:after="31"/>
              <w:ind w:firstLine="0" w:firstLineChars="0"/>
              <w:rPr>
                <w:szCs w:val="24"/>
              </w:rPr>
            </w:pPr>
            <w:r>
              <w:rPr>
                <w:szCs w:val="24"/>
              </w:rPr>
              <w:t>11.0</w:t>
            </w:r>
          </w:p>
        </w:tc>
      </w:tr>
      <w:tr w14:paraId="5AB11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dxa"/>
          </w:tcPr>
          <w:p w14:paraId="2947A9F4">
            <w:pPr>
              <w:pStyle w:val="16"/>
              <w:spacing w:before="31" w:after="31"/>
              <w:ind w:firstLine="0" w:firstLineChars="0"/>
              <w:rPr>
                <w:rFonts w:hint="eastAsia"/>
                <w:szCs w:val="24"/>
              </w:rPr>
            </w:pPr>
            <w:r>
              <w:rPr>
                <w:rFonts w:hint="eastAsia"/>
                <w:szCs w:val="24"/>
              </w:rPr>
              <w:t>Original PD3</w:t>
            </w:r>
          </w:p>
        </w:tc>
        <w:tc>
          <w:tcPr>
            <w:tcW w:w="1533" w:type="dxa"/>
          </w:tcPr>
          <w:p w14:paraId="3D4FBC26">
            <w:pPr>
              <w:pStyle w:val="16"/>
              <w:spacing w:before="31" w:after="31"/>
              <w:ind w:firstLine="0" w:firstLineChars="0"/>
              <w:rPr>
                <w:rFonts w:hint="eastAsia"/>
                <w:szCs w:val="24"/>
              </w:rPr>
            </w:pPr>
            <w:r>
              <w:rPr>
                <w:rFonts w:hint="eastAsia"/>
                <w:szCs w:val="24"/>
              </w:rPr>
              <w:t>0.72~0.82</w:t>
            </w:r>
          </w:p>
        </w:tc>
        <w:tc>
          <w:tcPr>
            <w:tcW w:w="1064" w:type="dxa"/>
          </w:tcPr>
          <w:p w14:paraId="36F1D4B9">
            <w:pPr>
              <w:pStyle w:val="16"/>
              <w:spacing w:before="31" w:after="31"/>
              <w:ind w:firstLine="0" w:firstLineChars="0"/>
              <w:rPr>
                <w:rFonts w:hint="eastAsia"/>
                <w:szCs w:val="24"/>
              </w:rPr>
            </w:pPr>
            <w:r>
              <w:rPr>
                <w:rFonts w:hint="eastAsia"/>
                <w:szCs w:val="24"/>
              </w:rPr>
              <w:t>0.65~0.90</w:t>
            </w:r>
          </w:p>
        </w:tc>
        <w:tc>
          <w:tcPr>
            <w:tcW w:w="1064" w:type="dxa"/>
          </w:tcPr>
          <w:p w14:paraId="767A8BA7">
            <w:pPr>
              <w:pStyle w:val="16"/>
              <w:spacing w:before="31" w:after="31"/>
              <w:ind w:firstLine="0" w:firstLineChars="0"/>
              <w:rPr>
                <w:rFonts w:hint="eastAsia"/>
                <w:szCs w:val="24"/>
              </w:rPr>
            </w:pPr>
            <w:r>
              <w:rPr>
                <w:rFonts w:hint="eastAsia"/>
                <w:szCs w:val="24"/>
              </w:rPr>
              <w:t>0.75~1.05</w:t>
            </w:r>
          </w:p>
        </w:tc>
        <w:tc>
          <w:tcPr>
            <w:tcW w:w="688" w:type="dxa"/>
          </w:tcPr>
          <w:p w14:paraId="564C8CB0">
            <w:pPr>
              <w:pStyle w:val="16"/>
              <w:spacing w:before="31" w:after="31"/>
              <w:ind w:firstLine="0" w:firstLineChars="0"/>
              <w:rPr>
                <w:rFonts w:hint="eastAsia"/>
                <w:szCs w:val="24"/>
              </w:rPr>
            </w:pPr>
            <w:r>
              <w:rPr>
                <w:rFonts w:hint="eastAsia"/>
                <w:szCs w:val="24"/>
              </w:rPr>
              <w:t>≤0.040</w:t>
            </w:r>
          </w:p>
        </w:tc>
        <w:tc>
          <w:tcPr>
            <w:tcW w:w="793" w:type="dxa"/>
          </w:tcPr>
          <w:p w14:paraId="51BE2210">
            <w:pPr>
              <w:pStyle w:val="16"/>
              <w:spacing w:before="31" w:after="31"/>
              <w:ind w:firstLine="0" w:firstLineChars="0"/>
              <w:rPr>
                <w:rFonts w:hint="eastAsia"/>
                <w:szCs w:val="24"/>
              </w:rPr>
            </w:pPr>
            <w:r>
              <w:rPr>
                <w:rFonts w:hint="eastAsia"/>
                <w:szCs w:val="24"/>
              </w:rPr>
              <w:t>≤0.040</w:t>
            </w:r>
          </w:p>
        </w:tc>
        <w:tc>
          <w:tcPr>
            <w:tcW w:w="1064" w:type="dxa"/>
          </w:tcPr>
          <w:p w14:paraId="062DAFC2">
            <w:pPr>
              <w:pStyle w:val="16"/>
              <w:spacing w:before="31" w:after="31"/>
              <w:ind w:firstLine="0" w:firstLineChars="0"/>
              <w:rPr>
                <w:rFonts w:hint="eastAsia"/>
                <w:szCs w:val="24"/>
              </w:rPr>
            </w:pPr>
            <w:r>
              <w:rPr>
                <w:rFonts w:hint="eastAsia"/>
                <w:szCs w:val="24"/>
              </w:rPr>
              <w:t>0.05~0.12</w:t>
            </w:r>
          </w:p>
        </w:tc>
        <w:tc>
          <w:tcPr>
            <w:tcW w:w="772" w:type="dxa"/>
          </w:tcPr>
          <w:p w14:paraId="21BC6731">
            <w:pPr>
              <w:pStyle w:val="16"/>
              <w:spacing w:before="31" w:after="31"/>
              <w:ind w:firstLine="0" w:firstLineChars="0"/>
              <w:rPr>
                <w:rFonts w:hint="eastAsia"/>
                <w:szCs w:val="24"/>
              </w:rPr>
            </w:pPr>
            <w:r>
              <w:rPr>
                <w:rFonts w:hint="eastAsia"/>
                <w:szCs w:val="24"/>
              </w:rPr>
              <w:t>≥980</w:t>
            </w:r>
          </w:p>
        </w:tc>
        <w:tc>
          <w:tcPr>
            <w:tcW w:w="630" w:type="dxa"/>
          </w:tcPr>
          <w:p w14:paraId="53CF81BD">
            <w:pPr>
              <w:pStyle w:val="16"/>
              <w:spacing w:before="31" w:after="31"/>
              <w:ind w:firstLine="0" w:firstLineChars="0"/>
              <w:rPr>
                <w:rFonts w:hint="eastAsia"/>
                <w:szCs w:val="24"/>
              </w:rPr>
            </w:pPr>
            <w:r>
              <w:rPr>
                <w:rFonts w:hint="eastAsia"/>
                <w:szCs w:val="24"/>
              </w:rPr>
              <w:t>≥8</w:t>
            </w:r>
          </w:p>
        </w:tc>
      </w:tr>
      <w:tr w14:paraId="3F221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dxa"/>
          </w:tcPr>
          <w:p w14:paraId="58191EE4">
            <w:pPr>
              <w:pStyle w:val="16"/>
              <w:spacing w:before="31" w:after="31"/>
              <w:ind w:firstLine="0" w:firstLineChars="0"/>
              <w:rPr>
                <w:rFonts w:hint="eastAsia"/>
                <w:szCs w:val="24"/>
              </w:rPr>
            </w:pPr>
            <w:r>
              <w:rPr>
                <w:rFonts w:hint="eastAsia"/>
                <w:szCs w:val="24"/>
              </w:rPr>
              <w:t>Current PD3</w:t>
            </w:r>
          </w:p>
        </w:tc>
        <w:tc>
          <w:tcPr>
            <w:tcW w:w="1533" w:type="dxa"/>
          </w:tcPr>
          <w:p w14:paraId="56C2F202">
            <w:pPr>
              <w:pStyle w:val="16"/>
              <w:spacing w:before="31" w:after="31"/>
              <w:ind w:firstLine="0" w:firstLineChars="0"/>
              <w:rPr>
                <w:rFonts w:hint="eastAsia"/>
                <w:szCs w:val="24"/>
              </w:rPr>
            </w:pPr>
            <w:r>
              <w:rPr>
                <w:rFonts w:hint="eastAsia"/>
                <w:szCs w:val="24"/>
              </w:rPr>
              <w:t>0.70~0.78</w:t>
            </w:r>
          </w:p>
        </w:tc>
        <w:tc>
          <w:tcPr>
            <w:tcW w:w="1064" w:type="dxa"/>
          </w:tcPr>
          <w:p w14:paraId="0FCB271F">
            <w:pPr>
              <w:pStyle w:val="16"/>
              <w:spacing w:before="31" w:after="31"/>
              <w:ind w:firstLine="0" w:firstLineChars="0"/>
              <w:rPr>
                <w:rFonts w:hint="eastAsia"/>
                <w:szCs w:val="24"/>
              </w:rPr>
            </w:pPr>
            <w:r>
              <w:rPr>
                <w:rFonts w:hint="eastAsia"/>
                <w:szCs w:val="24"/>
              </w:rPr>
              <w:t>0.50~0.70</w:t>
            </w:r>
          </w:p>
        </w:tc>
        <w:tc>
          <w:tcPr>
            <w:tcW w:w="1064" w:type="dxa"/>
          </w:tcPr>
          <w:p w14:paraId="7FA8956B">
            <w:pPr>
              <w:pStyle w:val="16"/>
              <w:spacing w:before="31" w:after="31"/>
              <w:ind w:firstLine="0" w:firstLineChars="0"/>
              <w:rPr>
                <w:rFonts w:hint="eastAsia"/>
                <w:szCs w:val="24"/>
              </w:rPr>
            </w:pPr>
            <w:r>
              <w:rPr>
                <w:rFonts w:hint="eastAsia"/>
                <w:szCs w:val="24"/>
              </w:rPr>
              <w:t>0.75~1.05</w:t>
            </w:r>
          </w:p>
        </w:tc>
        <w:tc>
          <w:tcPr>
            <w:tcW w:w="688" w:type="dxa"/>
          </w:tcPr>
          <w:p w14:paraId="01791CD1">
            <w:pPr>
              <w:pStyle w:val="16"/>
              <w:spacing w:before="31" w:after="31"/>
              <w:ind w:firstLine="0" w:firstLineChars="0"/>
              <w:rPr>
                <w:rFonts w:hint="eastAsia"/>
                <w:szCs w:val="24"/>
              </w:rPr>
            </w:pPr>
            <w:r>
              <w:rPr>
                <w:rFonts w:hint="eastAsia"/>
                <w:szCs w:val="24"/>
              </w:rPr>
              <w:t>≤0.030</w:t>
            </w:r>
          </w:p>
        </w:tc>
        <w:tc>
          <w:tcPr>
            <w:tcW w:w="793" w:type="dxa"/>
          </w:tcPr>
          <w:p w14:paraId="1E53239E">
            <w:pPr>
              <w:pStyle w:val="16"/>
              <w:spacing w:before="31" w:after="31"/>
              <w:ind w:firstLine="0" w:firstLineChars="0"/>
              <w:rPr>
                <w:rFonts w:hint="eastAsia"/>
                <w:szCs w:val="24"/>
              </w:rPr>
            </w:pPr>
            <w:r>
              <w:rPr>
                <w:rFonts w:hint="eastAsia"/>
                <w:szCs w:val="24"/>
              </w:rPr>
              <w:t>≤0.030</w:t>
            </w:r>
          </w:p>
        </w:tc>
        <w:tc>
          <w:tcPr>
            <w:tcW w:w="1064" w:type="dxa"/>
          </w:tcPr>
          <w:p w14:paraId="768A25E2">
            <w:pPr>
              <w:pStyle w:val="16"/>
              <w:spacing w:before="31" w:after="31"/>
              <w:ind w:firstLine="0" w:firstLineChars="0"/>
              <w:rPr>
                <w:rFonts w:hint="eastAsia"/>
                <w:szCs w:val="24"/>
              </w:rPr>
            </w:pPr>
            <w:r>
              <w:rPr>
                <w:rFonts w:hint="eastAsia"/>
                <w:szCs w:val="24"/>
              </w:rPr>
              <w:t>0.04~0.08</w:t>
            </w:r>
          </w:p>
        </w:tc>
        <w:tc>
          <w:tcPr>
            <w:tcW w:w="772" w:type="dxa"/>
          </w:tcPr>
          <w:p w14:paraId="2CDC515E">
            <w:pPr>
              <w:pStyle w:val="16"/>
              <w:spacing w:before="31" w:after="31"/>
              <w:ind w:firstLine="0" w:firstLineChars="0"/>
              <w:rPr>
                <w:rFonts w:hint="eastAsia"/>
                <w:szCs w:val="24"/>
              </w:rPr>
            </w:pPr>
            <w:r>
              <w:rPr>
                <w:rFonts w:hint="eastAsia"/>
                <w:szCs w:val="24"/>
              </w:rPr>
              <w:t>≥980</w:t>
            </w:r>
          </w:p>
        </w:tc>
        <w:tc>
          <w:tcPr>
            <w:tcW w:w="630" w:type="dxa"/>
          </w:tcPr>
          <w:p w14:paraId="1B2A4191">
            <w:pPr>
              <w:pStyle w:val="16"/>
              <w:spacing w:before="31" w:after="31"/>
              <w:ind w:firstLine="0" w:firstLineChars="0"/>
              <w:rPr>
                <w:rFonts w:hint="eastAsia"/>
                <w:szCs w:val="24"/>
              </w:rPr>
            </w:pPr>
            <w:r>
              <w:rPr>
                <w:rFonts w:hint="eastAsia"/>
                <w:szCs w:val="24"/>
              </w:rPr>
              <w:t>≥9</w:t>
            </w:r>
          </w:p>
        </w:tc>
      </w:tr>
    </w:tbl>
    <w:p w14:paraId="5835D01A">
      <w:pPr>
        <w:pStyle w:val="16"/>
        <w:spacing w:before="31" w:after="31"/>
        <w:ind w:firstLine="0" w:firstLineChars="0"/>
        <w:rPr>
          <w:szCs w:val="24"/>
        </w:rPr>
      </w:pPr>
      <w:r>
        <w:rPr>
          <w:szCs w:val="24"/>
        </w:rPr>
        <w:t>(5) Failure Morphology of Components</w:t>
      </w:r>
    </w:p>
    <w:p w14:paraId="237D51AF">
      <w:pPr>
        <w:pStyle w:val="16"/>
        <w:spacing w:before="31" w:after="31"/>
        <w:ind w:firstLine="480"/>
        <w:rPr>
          <w:szCs w:val="24"/>
        </w:rPr>
      </w:pPr>
      <w:r>
        <w:rPr>
          <w:szCs w:val="24"/>
        </w:rPr>
        <w:t>(a) Macroscopic Morphology of Tread Oblique Cracks and Fracture Surface</w:t>
      </w:r>
    </w:p>
    <w:p w14:paraId="19B3710E">
      <w:pPr>
        <w:pStyle w:val="16"/>
        <w:spacing w:before="31" w:after="31"/>
        <w:ind w:firstLine="480"/>
        <w:rPr>
          <w:szCs w:val="24"/>
        </w:rPr>
      </w:pPr>
      <w:r>
        <w:rPr>
          <w:szCs w:val="24"/>
        </w:rPr>
        <w:t>The macroscopic morphology of rail tread oblique cracks is shown in Figure 6-4.1 and</w:t>
      </w:r>
    </w:p>
    <w:p w14:paraId="1C45D684">
      <w:pPr>
        <w:pStyle w:val="16"/>
        <w:spacing w:before="31" w:after="31"/>
        <w:ind w:firstLine="482"/>
        <w:jc w:val="center"/>
        <w:rPr>
          <w:b/>
          <w:bCs/>
          <w:szCs w:val="24"/>
        </w:rPr>
      </w:pPr>
      <w:r>
        <w:rPr>
          <w:b/>
          <w:bCs/>
          <w:szCs w:val="24"/>
        </w:rPr>
        <w:t>Figure 6-4.2. The rail tread oblique cracks are divided into three types: Type A, Type B, and Type C.</w:t>
      </w:r>
    </w:p>
    <w:p w14:paraId="37FE5498">
      <w:pPr>
        <w:pStyle w:val="16"/>
        <w:spacing w:before="31" w:after="31"/>
        <w:ind w:firstLine="482"/>
        <w:jc w:val="center"/>
        <w:rPr>
          <w:b/>
          <w:bCs/>
          <w:szCs w:val="24"/>
        </w:rPr>
      </w:pPr>
      <w:r>
        <w:rPr>
          <w:b/>
          <w:bCs/>
          <w:szCs w:val="24"/>
        </w:rPr>
        <w:t>Figure 6-4.1: Type A Oblique Crack</w:t>
      </w:r>
    </w:p>
    <w:p w14:paraId="6DBCF2DD">
      <w:pPr>
        <w:pStyle w:val="16"/>
        <w:spacing w:before="31" w:after="31"/>
        <w:ind w:firstLine="482"/>
        <w:jc w:val="center"/>
        <w:rPr>
          <w:b/>
          <w:bCs/>
          <w:szCs w:val="24"/>
        </w:rPr>
      </w:pPr>
      <w:r>
        <w:rPr>
          <w:b/>
          <w:bCs/>
          <w:szCs w:val="24"/>
        </w:rPr>
        <w:t>Figure 6-4.2: Type B and Type C Oblique Cracks</w:t>
      </w:r>
    </w:p>
    <w:p w14:paraId="6AFF0DCB">
      <w:pPr>
        <w:pStyle w:val="16"/>
        <w:spacing w:before="31" w:after="31"/>
        <w:ind w:firstLine="480"/>
        <w:rPr>
          <w:szCs w:val="24"/>
        </w:rPr>
      </w:pPr>
      <w:r>
        <w:rPr>
          <w:szCs w:val="24"/>
        </w:rPr>
        <w:t>Type A oblique cracks appear as a series of short, irregular fractures on the rail tread surface. The fractures extend into the rail head, forming a certain angle with the running direction. In the transverse section, Type A oblique cracks generally have a curve radius ranging from 100mm to 150mm. The cracks are relatively shallow, with a maximum depth of 2.0mm to 4.0mm. In addition to Type A oblique cracks, similar fractures are often found on the rail tread surface and extend to the bottom of the rail head. The fractures have a more extended range, varying in length from 50mm to 120mm and a depth of 2.5mm to 5.0mm. The two cracks intersect or overlap in some areas.</w:t>
      </w:r>
    </w:p>
    <w:p w14:paraId="6B85A91C">
      <w:pPr>
        <w:pStyle w:val="16"/>
        <w:spacing w:before="31" w:after="31"/>
        <w:ind w:firstLine="480"/>
        <w:rPr>
          <w:szCs w:val="24"/>
        </w:rPr>
      </w:pPr>
      <w:r>
        <w:rPr>
          <w:szCs w:val="24"/>
        </w:rPr>
        <w:t>Type B oblique cracks are similar to Type A oblique cracks, but the cracks are deeper, with a maximum depth of 6.0mm to 10.0mm. In the transverse section, Type B oblique cracks generally have a curve radius ranging from 150mm to 250mm. These cracks have a longer length and appear as a series of short, irregular fractures on the rail tread surface. The fractures extend into the rail head at a certain angle to the running direction. Similar fractures are often found on the rail tread surface, extending to the bottom of the rail head. The fractures have a more extensive range, varying in length from 80mm to 150mm.</w:t>
      </w:r>
    </w:p>
    <w:p w14:paraId="2E8B6EE7">
      <w:pPr>
        <w:pStyle w:val="16"/>
        <w:spacing w:before="31" w:after="31"/>
        <w:ind w:firstLine="480"/>
        <w:rPr>
          <w:szCs w:val="24"/>
        </w:rPr>
      </w:pPr>
      <w:r>
        <w:rPr>
          <w:szCs w:val="24"/>
        </w:rPr>
        <w:t>Type C oblique cracks have a distinctive morphology. The cracks appear as a series of short, irregular fractures on the rail tread surface, extending into the rail head at a certain angle to the running direction. In the transverse section, Type C oblique cracks generally have a curve radius ranging from 250mm to 400mm. These cracks are deeper, with a maximum depth of 8.0mm to 15.0mm. Similar fractures are often found on the rail tread surface, extending to the bottom of the rail head. The fractures have a more extensive range, varying in length from 120mm to 200mm.</w:t>
      </w:r>
    </w:p>
    <w:p w14:paraId="1199D87F">
      <w:pPr>
        <w:pStyle w:val="16"/>
        <w:spacing w:before="31" w:after="31"/>
        <w:ind w:firstLine="480"/>
        <w:rPr>
          <w:szCs w:val="24"/>
        </w:rPr>
      </w:pPr>
      <w:r>
        <w:rPr>
          <w:szCs w:val="24"/>
        </w:rPr>
        <w:t>The macroscopic morphology of rail transverse fatigue fractures is shown in Figure 6-4.3 and Figure 6-4.4. The transverse fatigue fractures exhibit brittle features, and the crack propagation direction is perpendicular to the rail axis. The fracture surface is smooth and flat, with visible fatigue striations. The fatigue striations are clear, indicating a cyclic loading failure.</w:t>
      </w:r>
    </w:p>
    <w:p w14:paraId="3953E3D9">
      <w:pPr>
        <w:pStyle w:val="16"/>
        <w:spacing w:before="31" w:after="31"/>
        <w:ind w:firstLine="482"/>
        <w:jc w:val="center"/>
        <w:rPr>
          <w:b/>
          <w:bCs/>
          <w:szCs w:val="24"/>
        </w:rPr>
      </w:pPr>
      <w:r>
        <w:rPr>
          <w:b/>
          <w:bCs/>
          <w:szCs w:val="24"/>
        </w:rPr>
        <w:t>Figure 6-4.3: Transverse Fatigue Fracture Surface</w:t>
      </w:r>
    </w:p>
    <w:p w14:paraId="45CAB111">
      <w:pPr>
        <w:pStyle w:val="16"/>
        <w:spacing w:before="31" w:after="31"/>
        <w:ind w:firstLine="482"/>
        <w:jc w:val="center"/>
        <w:rPr>
          <w:b/>
          <w:bCs/>
          <w:szCs w:val="24"/>
        </w:rPr>
      </w:pPr>
      <w:r>
        <w:rPr>
          <w:b/>
          <w:bCs/>
          <w:szCs w:val="24"/>
        </w:rPr>
        <w:t>Figure 6-4.4: Transverse Fatigue Fracture Cross-section</w:t>
      </w:r>
    </w:p>
    <w:p w14:paraId="6B6DB70A">
      <w:pPr>
        <w:pStyle w:val="16"/>
        <w:spacing w:before="31" w:after="31"/>
        <w:ind w:firstLine="480"/>
        <w:rPr>
          <w:szCs w:val="24"/>
        </w:rPr>
      </w:pPr>
      <w:r>
        <w:rPr>
          <w:szCs w:val="24"/>
        </w:rPr>
        <w:t>(b) Microscopic Morphology of Tread Oblique Cracks and Fracture Surface</w:t>
      </w:r>
    </w:p>
    <w:p w14:paraId="6B13F510">
      <w:pPr>
        <w:pStyle w:val="16"/>
        <w:spacing w:before="31" w:after="31"/>
        <w:ind w:firstLine="480"/>
        <w:rPr>
          <w:szCs w:val="24"/>
        </w:rPr>
      </w:pPr>
      <w:r>
        <w:rPr>
          <w:szCs w:val="24"/>
        </w:rPr>
        <w:t>The microscopic morphology of rail tread oblique cracks is shown in Figure 6-4.5 and Figure 6-4.6. The oblique cracks exhibit a layered structure, and the crack propagation direction is inclined. The crack surface is relatively smooth, with some fine steps. The steps on the crack surface are not as clear as those on the fatigue fracture surface. The crack tip is relatively sharp.</w:t>
      </w:r>
    </w:p>
    <w:p w14:paraId="51366322">
      <w:pPr>
        <w:pStyle w:val="16"/>
        <w:spacing w:before="31" w:after="31"/>
        <w:ind w:firstLine="482"/>
        <w:jc w:val="center"/>
        <w:rPr>
          <w:b/>
          <w:bCs/>
          <w:szCs w:val="24"/>
        </w:rPr>
      </w:pPr>
      <w:r>
        <w:rPr>
          <w:b/>
          <w:bCs/>
          <w:szCs w:val="24"/>
        </w:rPr>
        <w:t>Figure 6-4.5: Microscopic Morphology of Oblique Crack</w:t>
      </w:r>
    </w:p>
    <w:p w14:paraId="36969E29">
      <w:pPr>
        <w:pStyle w:val="16"/>
        <w:spacing w:before="31" w:after="31"/>
        <w:ind w:firstLine="482"/>
        <w:jc w:val="center"/>
        <w:rPr>
          <w:b/>
          <w:bCs/>
          <w:szCs w:val="24"/>
        </w:rPr>
      </w:pPr>
      <w:r>
        <w:rPr>
          <w:b/>
          <w:bCs/>
          <w:szCs w:val="24"/>
        </w:rPr>
        <w:t>Figure 6-4.6: Microscopic Morphology of Oblique Crack Cross-section</w:t>
      </w:r>
    </w:p>
    <w:p w14:paraId="2F756278">
      <w:pPr>
        <w:pStyle w:val="16"/>
        <w:spacing w:before="31" w:after="31"/>
        <w:ind w:firstLine="480"/>
        <w:rPr>
          <w:szCs w:val="24"/>
        </w:rPr>
      </w:pPr>
    </w:p>
    <w:p w14:paraId="454F537C">
      <w:pPr>
        <w:pStyle w:val="16"/>
        <w:spacing w:before="31" w:after="31"/>
        <w:ind w:firstLine="480"/>
        <w:rPr>
          <w:szCs w:val="24"/>
        </w:rPr>
      </w:pPr>
      <w:r>
        <w:rPr>
          <w:szCs w:val="24"/>
        </w:rPr>
        <w:t>The microscopic morphology of rail transverse fatigue fractures is shown in Figure 6-4.7 and Figure 6-4.8. The transverse fatigue fractures exhibit a flat, smooth surface with clear fatigue striations. The fatigue striations are parallel and evenly distributed, indicating a stable crack propagation process.</w:t>
      </w:r>
    </w:p>
    <w:p w14:paraId="08B0B4D0">
      <w:pPr>
        <w:pStyle w:val="16"/>
        <w:spacing w:before="31" w:after="31"/>
        <w:ind w:firstLine="482"/>
        <w:jc w:val="center"/>
        <w:rPr>
          <w:b/>
          <w:bCs/>
          <w:szCs w:val="24"/>
        </w:rPr>
      </w:pPr>
      <w:r>
        <w:rPr>
          <w:b/>
          <w:bCs/>
          <w:szCs w:val="24"/>
        </w:rPr>
        <w:t>Figure 6-4.7: Microscopic Morphology of Transverse Fatigue Fracture</w:t>
      </w:r>
    </w:p>
    <w:p w14:paraId="0A0D71FB">
      <w:pPr>
        <w:pStyle w:val="16"/>
        <w:spacing w:before="31" w:after="31"/>
        <w:ind w:firstLine="482"/>
        <w:jc w:val="center"/>
        <w:rPr>
          <w:rFonts w:hint="eastAsia"/>
          <w:b/>
          <w:bCs/>
          <w:szCs w:val="24"/>
        </w:rPr>
      </w:pPr>
      <w:r>
        <w:rPr>
          <w:b/>
          <w:bCs/>
          <w:szCs w:val="24"/>
        </w:rPr>
        <w:t>Figure 6-4.8: Microscopic Morphology of Transverse Fatigue Fracture Cross-section</w:t>
      </w:r>
    </w:p>
    <w:p w14:paraId="4B277E92">
      <w:pPr>
        <w:pStyle w:val="16"/>
        <w:spacing w:before="31" w:after="31"/>
        <w:ind w:firstLine="0" w:firstLineChars="0"/>
        <w:rPr>
          <w:szCs w:val="24"/>
        </w:rPr>
      </w:pPr>
      <w:r>
        <w:rPr>
          <w:szCs w:val="24"/>
        </w:rPr>
        <w:t>(6) Failure Cause Analysis:</w:t>
      </w:r>
    </w:p>
    <w:p w14:paraId="121A4729">
      <w:pPr>
        <w:pStyle w:val="16"/>
        <w:spacing w:before="31" w:after="31"/>
        <w:ind w:firstLine="480"/>
        <w:rPr>
          <w:szCs w:val="24"/>
        </w:rPr>
      </w:pPr>
      <w:r>
        <w:rPr>
          <w:szCs w:val="24"/>
        </w:rPr>
        <w:t>(a) Oblique Crack Initiation</w:t>
      </w:r>
    </w:p>
    <w:p w14:paraId="15289CC8">
      <w:pPr>
        <w:pStyle w:val="16"/>
        <w:spacing w:before="31" w:after="31"/>
        <w:ind w:firstLine="480"/>
        <w:rPr>
          <w:szCs w:val="24"/>
        </w:rPr>
      </w:pPr>
      <w:r>
        <w:rPr>
          <w:szCs w:val="24"/>
        </w:rPr>
        <w:t>The initiation of oblique cracks is closely related to the rolling contact fatigue (RCF) process. The RCF process involves repeated cycles of loading and unloading, leading to fatigue damage. The oblique crack initiation is influenced by the combination of wheel-rail contact stress, material properties, and operational conditions.</w:t>
      </w:r>
    </w:p>
    <w:p w14:paraId="4A068F16">
      <w:pPr>
        <w:pStyle w:val="16"/>
        <w:spacing w:before="31" w:after="31"/>
        <w:ind w:firstLine="480"/>
        <w:rPr>
          <w:szCs w:val="24"/>
        </w:rPr>
      </w:pPr>
      <w:r>
        <w:rPr>
          <w:rFonts w:hint="eastAsia"/>
          <w:szCs w:val="24"/>
        </w:rPr>
        <w:t xml:space="preserve">The wheel-rail contact stress is affected by the curvature, friction, and load. In the semi-high-speed section of the Guangzhou-Shenzhen line, the curves with a radius of R≤1600m have a higher curvature, resulting in higher contact stress. The train speed </w:t>
      </w:r>
      <w:r>
        <w:rPr>
          <w:szCs w:val="24"/>
        </w:rPr>
        <w:t>is 160 km·h-1, and the dynamic response of the wheel-rail system is significant, leading to increased stress concentration. The combination of high curvature and dynamic response contributes to the formation of oblique cracks on the upper rail tread.</w:t>
      </w:r>
    </w:p>
    <w:p w14:paraId="7C52DFC8">
      <w:pPr>
        <w:pStyle w:val="16"/>
        <w:spacing w:before="31" w:after="31"/>
        <w:ind w:firstLine="480"/>
        <w:rPr>
          <w:szCs w:val="24"/>
        </w:rPr>
      </w:pPr>
      <w:r>
        <w:rPr>
          <w:szCs w:val="24"/>
        </w:rPr>
        <w:t>The material properties of the rail steel also play a crucial role in oblique crack initiation. The failed rail samples have a chemical composition and mechanical properties similar to the original PD3 rail and meet the technical requirements for the current PD3 rail. However, the reduction in the strength of the steel, while maintaining the same strength level, improves its toughness. The increased toughness of the rail steel may contribute to the initiation of oblique cracks under repeated loading and unloading cycles.</w:t>
      </w:r>
    </w:p>
    <w:p w14:paraId="06C3FEE1">
      <w:pPr>
        <w:pStyle w:val="16"/>
        <w:spacing w:before="31" w:after="31"/>
        <w:ind w:firstLine="0" w:firstLineChars="0"/>
        <w:rPr>
          <w:szCs w:val="24"/>
        </w:rPr>
      </w:pPr>
      <w:r>
        <w:rPr>
          <w:szCs w:val="24"/>
        </w:rPr>
        <w:t>Operational conditions, such as wheel slip and lateral guidance, can affect oblique crack initiation. In the semi-high-speed section, the U71Mn rails rely on slip guidance rather than contact guidance, resulting in minimal lateral wear. However, the combination of wheel slip and lateral guidance in the non-semi-high-speed section leads to lateral wear on the down line, creating conditions favorable for oblique crack initiation.</w:t>
      </w:r>
    </w:p>
    <w:p w14:paraId="417A3556">
      <w:pPr>
        <w:pStyle w:val="16"/>
        <w:spacing w:before="31" w:after="31"/>
        <w:ind w:firstLine="480"/>
        <w:rPr>
          <w:szCs w:val="24"/>
        </w:rPr>
      </w:pPr>
      <w:r>
        <w:rPr>
          <w:szCs w:val="24"/>
        </w:rPr>
        <w:t>(b) Damage Locations and Characteristics of Oblique Cracks</w:t>
      </w:r>
    </w:p>
    <w:p w14:paraId="706FD59D">
      <w:pPr>
        <w:pStyle w:val="16"/>
        <w:spacing w:before="31" w:after="31"/>
        <w:ind w:firstLine="480"/>
        <w:rPr>
          <w:szCs w:val="24"/>
        </w:rPr>
      </w:pPr>
      <w:r>
        <w:rPr>
          <w:szCs w:val="24"/>
        </w:rPr>
        <w:t>Based on the position and shape of contact fatigue cracks formed on the tread surface of steel rails, contact fatigue cracks can be divided into fishtail-shaped spalling cracks and oblique cracks. In China, contact fatigue cracks on curved track rails before speed increase are mainly fishtail-shaped spalling cracks, while after speed increase, they mainly manifest as oblique contact fatigue cracks. The damage locations and development characteristics of oblique cracks are different from the commonly seen fishtail-shaped spalling cracks in the past.</w:t>
      </w:r>
    </w:p>
    <w:p w14:paraId="21C2B3F8">
      <w:pPr>
        <w:pStyle w:val="16"/>
        <w:spacing w:before="31" w:after="31"/>
        <w:ind w:firstLine="480"/>
        <w:rPr>
          <w:szCs w:val="24"/>
        </w:rPr>
      </w:pPr>
      <w:r>
        <w:rPr>
          <w:szCs w:val="24"/>
        </w:rPr>
        <w:t>Fishtail-shaped spalling cracks usually occur on the tread and side of the outer rail on small radius curves. Their macroscopic shape is typically "eight" or fishtail-shaped, with a certain degree of wear on the side of the gauge angle. These cracks extend downward to a depth corresponding to the deformation layer depth. After extending a few millimeters, they expand almost horizontally, forming spalling or chunks. Therefore, this type of fatigue crack is commonly referred to as spalling cracks and chunks. When the spalling chunks reach a certain size, their damage severity can be determined according to relevant regulations, and corresponding measures can be taken. Therefore, this type of spalling crack generally does not cause the sudden fracture of the rail. In addition, by controlling the side wear of curved track rails, the wear rate under the interaction of wheel-rail can be made greater than the crack propagation rate, thus reducing the depth of spalling cracks and chunks.</w:t>
      </w:r>
    </w:p>
    <w:p w14:paraId="307DE1ED">
      <w:pPr>
        <w:pStyle w:val="16"/>
        <w:spacing w:before="31" w:after="31"/>
        <w:ind w:firstLine="480"/>
        <w:rPr>
          <w:szCs w:val="24"/>
        </w:rPr>
      </w:pPr>
      <w:r>
        <w:rPr>
          <w:szCs w:val="24"/>
        </w:rPr>
        <w:t>Oblique cracks generally occur on the tread of the gauge angle side and exhibit an oblique shape. Their formation is mainly related to the wheel-rail contact mode and excessive contact stress. Due to the less obvious wear on the outer rail head side of the curved track and the lack of significant plastic deformation in the surface metal at the wheel-rail contact zone, it indicates that the contact surface is mainly the tread surface of the rail (contacting with the wheel's tread). When the contact pressure stress exceeds the fatigue strength or allowable value for plastic deformation resistance (stable limit value) of the rail, plastic deformation occurs in the tread surface metal, leading to the initiation of fatigue cracks on the surface of the plastic deformation layer. Under the action of contact shear stress, the cracks propagate downward at a certain inclined angle. After reaching a certain depth, they start to be controlled by dynamic bending stress and longitudinal rail temperature stress, initiating lateral fatigue expansion, ultimately leading to lateral rail fracture.</w:t>
      </w:r>
    </w:p>
    <w:p w14:paraId="0A9759F5">
      <w:pPr>
        <w:pStyle w:val="16"/>
        <w:spacing w:before="31" w:after="31"/>
        <w:ind w:firstLine="480"/>
        <w:rPr>
          <w:szCs w:val="24"/>
        </w:rPr>
      </w:pPr>
      <w:r>
        <w:rPr>
          <w:szCs w:val="24"/>
        </w:rPr>
        <w:t>The difference between oblique cracks and fishtail-shaped spalling cracks is that oblique cracks generally do not develop into spalling chunks or have smaller sizes. Additionally, the inclined angle, depth, and width of their downward development are significantly larger than those of fishtail-shaped spalling cracks. Furthermore, due to the significantly smaller vertical wear rate of the rail tread under wheel-rail interaction than the expansion rate of oblique cracks, controlling the depth of crack propagation is typically achieved by grinding the rail tread.</w:t>
      </w:r>
    </w:p>
    <w:p w14:paraId="47B473B5">
      <w:pPr>
        <w:pStyle w:val="16"/>
        <w:spacing w:before="31" w:after="31"/>
        <w:ind w:firstLine="480"/>
        <w:rPr>
          <w:szCs w:val="24"/>
        </w:rPr>
      </w:pPr>
      <w:r>
        <w:rPr>
          <w:szCs w:val="24"/>
        </w:rPr>
        <w:t>The development direction of oblique cracks is also related to the direction of travel. When touching the surface cracks in the direction of travel, there is a tactile sensation. Since the inclined angle of downward development is greater than that of fishtail-shaped spalling cracks, this may be the reason why oblique cracks are less likely to develop into large spalling chunks.</w:t>
      </w:r>
    </w:p>
    <w:p w14:paraId="3A28D969">
      <w:pPr>
        <w:pStyle w:val="16"/>
        <w:spacing w:before="31" w:after="31"/>
        <w:ind w:firstLine="480"/>
        <w:rPr>
          <w:szCs w:val="24"/>
        </w:rPr>
      </w:pPr>
      <w:r>
        <w:rPr>
          <w:szCs w:val="24"/>
        </w:rPr>
        <w:t>(c) Relationship between the Fatigue Crack Propagation Rate of Oblique Cracks and Factors such as Track Curve Radius, Train Speed, and Rail Performance</w:t>
      </w:r>
    </w:p>
    <w:p w14:paraId="68A73D7F">
      <w:pPr>
        <w:pStyle w:val="16"/>
        <w:spacing w:before="31" w:after="31"/>
        <w:ind w:firstLine="0" w:firstLineChars="0"/>
        <w:rPr>
          <w:szCs w:val="24"/>
        </w:rPr>
      </w:pPr>
      <w:r>
        <w:rPr>
          <w:rFonts w:hint="eastAsia"/>
          <w:szCs w:val="24"/>
        </w:rPr>
        <w:t>In the high-speed section of the Guangzhou-Shenzhen line, the minimum curve radius is R=1400m, and the laid rail is U71Mn rail with a strength level of ≥880 MPa, with a maximum train speed of 200 km/h. In the acceleration section, the minimum curve radius is R=800m, and the laid rail is PD3 rail with a strength level of ≥980 MPa, with train speeds gradually increasing from 120 km/h to 200 km/h. Therefore, when analyzing the reasons for the difference in the formation time and propagation rate of oblique cra</w:t>
      </w:r>
      <w:r>
        <w:rPr>
          <w:szCs w:val="24"/>
        </w:rPr>
        <w:t>cks between the two strength levels of rails, the influence of factors such as track conditions (curve radius, etc.), train speed, and rail strength level on oblique cracks should be comprehensively considered and analyzed.</w:t>
      </w:r>
    </w:p>
    <w:p w14:paraId="5C087680">
      <w:pPr>
        <w:pStyle w:val="16"/>
        <w:spacing w:before="31" w:after="31"/>
        <w:ind w:firstLine="480"/>
        <w:rPr>
          <w:szCs w:val="24"/>
        </w:rPr>
      </w:pPr>
      <w:r>
        <w:rPr>
          <w:rFonts w:hint="eastAsia"/>
          <w:szCs w:val="24"/>
        </w:rPr>
        <w:t>Impact of curve radius on oblique cracks: Oblique cracks on the Guangzhou-Shenzhen line mainly occur on curves with a curve radius of R≤2200m and below. The time for oblique cracks to appear on PD3 rails with curve radii of R=800m and R=1000m is shorter than on U71Mn rails with curve radii of R≥1400m, assuming no influence of train speed and rail strength. Therefore, curve radius is considered an important factor affecting the formation and propagation rate of oblique cracks, as the curve radius is inversel</w:t>
      </w:r>
      <w:r>
        <w:rPr>
          <w:szCs w:val="24"/>
        </w:rPr>
        <w:t>y proportional to the wheel-rail contact stress. When the contact stress exceeds the fatigue strength resistance of the rail tread crack initiation, it leads to the formation and propagation of tread cracks.</w:t>
      </w:r>
    </w:p>
    <w:p w14:paraId="474FB3FF">
      <w:pPr>
        <w:pStyle w:val="16"/>
        <w:spacing w:before="31" w:after="31"/>
        <w:ind w:firstLine="480"/>
        <w:rPr>
          <w:szCs w:val="24"/>
        </w:rPr>
      </w:pPr>
      <w:r>
        <w:rPr>
          <w:szCs w:val="24"/>
        </w:rPr>
        <w:t>Impact of train speed on oblique cracks: With the increase in train speed, the contact stress during the passage of trains on curves will increase due to the centrifugal force, which may promote the formation and propagation of contact fatigue cracks. In addition, poor circularity or unevenness of curved rail may change the running state of the wheelset, leading to changes in wheel guiding force and flange angle, causing local rail to bear greater contact stress, promoting the formation and propagation of local rail contact fatigue cracks. Since the increase in train speed, uneven side wear has been observed on straight rails in heavily loaded and fast sections such as the Beijing-Shanghai line, which is related to the larger values of directional unevenness on the track, as directional unevenness can lead to vehicle snaking instability. Controlling large directional unevenness on the track also helps suppress the formation of alternating side wear on the rail. Contact fatigue cracks have also been observed at the rail tread angle on the tread surface where alternating side wear is evident, indicating that poor track evenness or circularity may be a major factor causing the discontinuous, skipping, and segmental distribution of contact fatigue cracks on the rail.</w:t>
      </w:r>
    </w:p>
    <w:p w14:paraId="2860AB95">
      <w:pPr>
        <w:pStyle w:val="16"/>
        <w:spacing w:before="31" w:after="31"/>
        <w:ind w:firstLine="0" w:firstLineChars="0"/>
        <w:rPr>
          <w:szCs w:val="24"/>
        </w:rPr>
      </w:pPr>
      <w:r>
        <w:rPr>
          <w:szCs w:val="24"/>
        </w:rPr>
        <w:t>(7) Impact and Harm Caused</w:t>
      </w:r>
    </w:p>
    <w:p w14:paraId="1FA335F8">
      <w:pPr>
        <w:pStyle w:val="16"/>
        <w:spacing w:before="31" w:after="31"/>
        <w:ind w:firstLine="420" w:firstLineChars="0"/>
        <w:rPr>
          <w:szCs w:val="24"/>
        </w:rPr>
      </w:pPr>
      <w:r>
        <w:rPr>
          <w:szCs w:val="24"/>
        </w:rPr>
        <w:t>Null</w:t>
      </w:r>
    </w:p>
    <w:p w14:paraId="508DF8C0">
      <w:pPr>
        <w:pStyle w:val="16"/>
        <w:spacing w:before="31" w:after="31"/>
        <w:ind w:firstLine="0" w:firstLineChars="0"/>
        <w:rPr>
          <w:rFonts w:hint="eastAsia"/>
          <w:szCs w:val="24"/>
        </w:rPr>
      </w:pPr>
      <w:r>
        <w:rPr>
          <w:szCs w:val="24"/>
        </w:rPr>
        <w:t>(8) Conclusion and Improvement Measures</w:t>
      </w:r>
    </w:p>
    <w:p w14:paraId="1235C0B5">
      <w:pPr>
        <w:pStyle w:val="16"/>
        <w:spacing w:before="31" w:after="31"/>
        <w:ind w:firstLine="480"/>
        <w:rPr>
          <w:szCs w:val="24"/>
        </w:rPr>
      </w:pPr>
      <w:r>
        <w:rPr>
          <w:szCs w:val="24"/>
        </w:rPr>
        <w:t>Tread oblique cracks belong to the type of rolling contact fatigue crack damage. Prevention and mitigation of the occurrence and development of tread oblique cracks on rails should be considered from the following aspects: increasing the contact fatigue strength of the rail, using quenched and tempered rails as much as possible on curves; studying and improving the wheel-rail contact mode to improve the magnitude and distribution of contact stress; strengthening the maintenance and repair of tracks, conducting preventive and corrective rail grinding; and improving the performance of vehicles, among other factors.</w:t>
      </w:r>
    </w:p>
    <w:p w14:paraId="07C9F2FD">
      <w:pPr>
        <w:pStyle w:val="16"/>
        <w:spacing w:before="31" w:after="31"/>
        <w:ind w:firstLine="0" w:firstLineChars="0"/>
        <w:rPr>
          <w:b/>
          <w:bCs/>
          <w:szCs w:val="24"/>
        </w:rPr>
      </w:pPr>
      <w:r>
        <w:rPr>
          <w:b/>
          <w:bCs/>
          <w:szCs w:val="24"/>
        </w:rPr>
        <w:t>6.2.5 Case 6-5: Transverse Cracks on the Rail Surface of Flash Butt Welded Rail Joints</w:t>
      </w:r>
    </w:p>
    <w:p w14:paraId="443F048A">
      <w:pPr>
        <w:pStyle w:val="16"/>
        <w:spacing w:before="31" w:after="31"/>
        <w:ind w:firstLine="0" w:firstLineChars="0"/>
        <w:rPr>
          <w:szCs w:val="24"/>
        </w:rPr>
      </w:pPr>
      <w:r>
        <w:rPr>
          <w:szCs w:val="24"/>
        </w:rPr>
        <w:t>(1) Case Name</w:t>
      </w:r>
    </w:p>
    <w:p w14:paraId="409E06B0">
      <w:pPr>
        <w:pStyle w:val="16"/>
        <w:spacing w:before="31" w:after="31"/>
        <w:ind w:firstLine="480"/>
        <w:rPr>
          <w:szCs w:val="24"/>
        </w:rPr>
      </w:pPr>
      <w:r>
        <w:rPr>
          <w:szCs w:val="24"/>
        </w:rPr>
        <w:t>Transverse cracks on the rail surface of flash butt welded rail joints [7].</w:t>
      </w:r>
    </w:p>
    <w:p w14:paraId="2A025EBF">
      <w:pPr>
        <w:pStyle w:val="16"/>
        <w:spacing w:before="31" w:after="31"/>
        <w:ind w:firstLine="0" w:firstLineChars="0"/>
        <w:rPr>
          <w:szCs w:val="24"/>
        </w:rPr>
      </w:pPr>
      <w:r>
        <w:rPr>
          <w:szCs w:val="24"/>
        </w:rPr>
        <w:t>(2) Description of Failure Process</w:t>
      </w:r>
    </w:p>
    <w:p w14:paraId="37F97C76">
      <w:pPr>
        <w:pStyle w:val="16"/>
        <w:spacing w:before="31" w:after="31"/>
        <w:ind w:firstLine="480"/>
        <w:rPr>
          <w:szCs w:val="24"/>
        </w:rPr>
      </w:pPr>
      <w:r>
        <w:rPr>
          <w:szCs w:val="24"/>
        </w:rPr>
        <w:t>The Qinshen Line, with a total length of 405 km, uses domestically produced U75V (original PD3) hot-rolled steel rails except for the section from Shanhaiguan to Suizhong North, approximately 70 km in the up direction, which employs imported French 60kg·m-1 (Chinese cross-section) UIC900A steel rails. Three units, including China Railway Construction Corporation and China Railway Engineering Corporation, conducted flash butt welding at the rail base. The Qinshen Line officially commenced operation in October 2003, with a maximum operating speed below 160 km·h-1. Between August 2003 and November 2004, 17 instances of transverse cracks on the rail surface were discovered in the K20-K147 section at Shanhaiguan Chenjiatun, all welded at the same rail base. Among them, 16 were domestic U75V steel rails, and 1 was an imported UIC900A steel rail. Ultrasonic flaw detection determined crack depths between 2.5 and 8 mm, with the maximum length exceeding 20 mm. All cracks occurred near the fusion line of the weld. This type of damage has not occurred in sections welded by other rail bases, and the damage characteristics are relatively concentrated.</w:t>
      </w:r>
    </w:p>
    <w:p w14:paraId="267405F6">
      <w:pPr>
        <w:pStyle w:val="16"/>
        <w:spacing w:before="31" w:after="31"/>
        <w:ind w:firstLine="0" w:firstLineChars="0"/>
        <w:rPr>
          <w:szCs w:val="24"/>
        </w:rPr>
      </w:pPr>
      <w:r>
        <w:rPr>
          <w:szCs w:val="24"/>
        </w:rPr>
        <w:t>(3) Service Environment:</w:t>
      </w:r>
    </w:p>
    <w:p w14:paraId="4C1580CA">
      <w:pPr>
        <w:pStyle w:val="16"/>
        <w:spacing w:before="31" w:after="31"/>
        <w:ind w:firstLine="420" w:firstLineChars="0"/>
        <w:rPr>
          <w:szCs w:val="24"/>
        </w:rPr>
      </w:pPr>
      <w:r>
        <w:rPr>
          <w:szCs w:val="24"/>
        </w:rPr>
        <w:t>Null</w:t>
      </w:r>
    </w:p>
    <w:p w14:paraId="22067626">
      <w:pPr>
        <w:pStyle w:val="16"/>
        <w:spacing w:before="31" w:after="31"/>
        <w:ind w:firstLine="0" w:firstLineChars="0"/>
        <w:rPr>
          <w:szCs w:val="24"/>
        </w:rPr>
      </w:pPr>
      <w:r>
        <w:rPr>
          <w:szCs w:val="24"/>
        </w:rPr>
        <w:t>(4) Failed Components and Materials</w:t>
      </w:r>
    </w:p>
    <w:p w14:paraId="6CEF49B9">
      <w:pPr>
        <w:pStyle w:val="16"/>
        <w:spacing w:before="31" w:after="31"/>
        <w:ind w:firstLine="480"/>
        <w:rPr>
          <w:szCs w:val="24"/>
        </w:rPr>
      </w:pPr>
      <w:r>
        <w:rPr>
          <w:szCs w:val="24"/>
        </w:rPr>
        <w:t>Hardness testing of the elliptical-shaped marks on the surface revealed an average hardness of HRC61.3, while the average hardness of the rail parent material on both sides was HRC31.3, indicating abnormally high hardness on the inner surface of the elliptical marks. Simultaneous hardness measurements of the parent material are listed in Table 6-5. The hardness test results are plotted as the longitudinal hardness distribution of the welded joint rail head (see Figure 6-5.1). According to the measurement results, the welded joint underwent proper post-weld heat treatment. Metallographic examination (Figure 6-5.2) revealed a crescent-shaped bright layer below the rail head weld, with a measured depth of 0.8 mm. Microhardness measurements within the bright layer ranged from 600 to 766 HV, while the hardness of the rail base was 321 to 313 HV. The microstructure and microhardness characteristics of the bright layer indicate it consists of a hidden needle-like martensitic structure.</w:t>
      </w:r>
    </w:p>
    <w:p w14:paraId="673F4616">
      <w:pPr>
        <w:autoSpaceDE w:val="0"/>
        <w:autoSpaceDN w:val="0"/>
        <w:adjustRightInd w:val="0"/>
        <w:spacing w:before="468" w:beforeLines="150" w:after="156" w:afterLines="50" w:line="312" w:lineRule="auto"/>
        <w:jc w:val="center"/>
        <w:rPr>
          <w:rFonts w:eastAsia="黑体" w:cs="宋体"/>
          <w:b/>
          <w:szCs w:val="20"/>
        </w:rPr>
      </w:pPr>
      <w:r>
        <w:rPr>
          <w:rFonts w:eastAsia="黑体" w:cs="宋体"/>
          <w:b/>
          <w:szCs w:val="20"/>
        </w:rPr>
        <w:t>Table 6-5: Rockwell Hardness Measurement Values</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9"/>
        <w:gridCol w:w="510"/>
        <w:gridCol w:w="510"/>
        <w:gridCol w:w="510"/>
        <w:gridCol w:w="511"/>
        <w:gridCol w:w="511"/>
        <w:gridCol w:w="511"/>
        <w:gridCol w:w="512"/>
        <w:gridCol w:w="512"/>
        <w:gridCol w:w="512"/>
        <w:gridCol w:w="512"/>
        <w:gridCol w:w="513"/>
        <w:gridCol w:w="513"/>
        <w:gridCol w:w="513"/>
        <w:gridCol w:w="513"/>
      </w:tblGrid>
      <w:tr w14:paraId="7A96AC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82" w:type="dxa"/>
            <w:tcBorders>
              <w:top w:val="single" w:color="auto" w:sz="12" w:space="0"/>
              <w:left w:val="nil"/>
              <w:bottom w:val="single" w:color="auto" w:sz="12" w:space="0"/>
              <w:right w:val="nil"/>
            </w:tcBorders>
            <w:vAlign w:val="center"/>
          </w:tcPr>
          <w:p w14:paraId="0170B999">
            <w:pPr>
              <w:autoSpaceDE w:val="0"/>
              <w:autoSpaceDN w:val="0"/>
              <w:adjustRightInd w:val="0"/>
              <w:spacing w:line="312" w:lineRule="auto"/>
              <w:rPr>
                <w:szCs w:val="20"/>
              </w:rPr>
            </w:pPr>
            <w:r>
              <w:rPr>
                <w:rFonts w:hAnsi="宋体"/>
                <w:szCs w:val="20"/>
              </w:rPr>
              <w:t>Measurement Point</w:t>
            </w:r>
          </w:p>
        </w:tc>
        <w:tc>
          <w:tcPr>
            <w:tcW w:w="518" w:type="dxa"/>
            <w:tcBorders>
              <w:top w:val="single" w:color="auto" w:sz="12" w:space="0"/>
              <w:left w:val="nil"/>
              <w:bottom w:val="single" w:color="auto" w:sz="12" w:space="0"/>
              <w:right w:val="nil"/>
            </w:tcBorders>
            <w:vAlign w:val="center"/>
          </w:tcPr>
          <w:p w14:paraId="5C8CE2DE">
            <w:pPr>
              <w:autoSpaceDE w:val="0"/>
              <w:autoSpaceDN w:val="0"/>
              <w:adjustRightInd w:val="0"/>
              <w:spacing w:line="312" w:lineRule="auto"/>
              <w:jc w:val="center"/>
              <w:rPr>
                <w:szCs w:val="20"/>
              </w:rPr>
            </w:pPr>
            <w:r>
              <w:rPr>
                <w:szCs w:val="20"/>
              </w:rPr>
              <w:t>1</w:t>
            </w:r>
          </w:p>
        </w:tc>
        <w:tc>
          <w:tcPr>
            <w:tcW w:w="518" w:type="dxa"/>
            <w:tcBorders>
              <w:top w:val="single" w:color="auto" w:sz="12" w:space="0"/>
              <w:left w:val="nil"/>
              <w:bottom w:val="single" w:color="auto" w:sz="12" w:space="0"/>
              <w:right w:val="nil"/>
            </w:tcBorders>
            <w:vAlign w:val="center"/>
          </w:tcPr>
          <w:p w14:paraId="23E85902">
            <w:pPr>
              <w:autoSpaceDE w:val="0"/>
              <w:autoSpaceDN w:val="0"/>
              <w:adjustRightInd w:val="0"/>
              <w:spacing w:line="312" w:lineRule="auto"/>
              <w:jc w:val="center"/>
              <w:rPr>
                <w:szCs w:val="20"/>
              </w:rPr>
            </w:pPr>
            <w:r>
              <w:rPr>
                <w:szCs w:val="20"/>
              </w:rPr>
              <w:t>2</w:t>
            </w:r>
          </w:p>
        </w:tc>
        <w:tc>
          <w:tcPr>
            <w:tcW w:w="518" w:type="dxa"/>
            <w:tcBorders>
              <w:top w:val="single" w:color="auto" w:sz="12" w:space="0"/>
              <w:left w:val="nil"/>
              <w:bottom w:val="single" w:color="auto" w:sz="12" w:space="0"/>
              <w:right w:val="nil"/>
            </w:tcBorders>
            <w:vAlign w:val="center"/>
          </w:tcPr>
          <w:p w14:paraId="23AB786C">
            <w:pPr>
              <w:autoSpaceDE w:val="0"/>
              <w:autoSpaceDN w:val="0"/>
              <w:adjustRightInd w:val="0"/>
              <w:spacing w:line="312" w:lineRule="auto"/>
              <w:jc w:val="center"/>
              <w:rPr>
                <w:szCs w:val="20"/>
              </w:rPr>
            </w:pPr>
            <w:r>
              <w:rPr>
                <w:szCs w:val="20"/>
              </w:rPr>
              <w:t>3</w:t>
            </w:r>
          </w:p>
        </w:tc>
        <w:tc>
          <w:tcPr>
            <w:tcW w:w="519" w:type="dxa"/>
            <w:tcBorders>
              <w:top w:val="single" w:color="auto" w:sz="12" w:space="0"/>
              <w:left w:val="nil"/>
              <w:bottom w:val="single" w:color="auto" w:sz="12" w:space="0"/>
              <w:right w:val="nil"/>
            </w:tcBorders>
            <w:vAlign w:val="center"/>
          </w:tcPr>
          <w:p w14:paraId="043780C9">
            <w:pPr>
              <w:autoSpaceDE w:val="0"/>
              <w:autoSpaceDN w:val="0"/>
              <w:adjustRightInd w:val="0"/>
              <w:spacing w:line="312" w:lineRule="auto"/>
              <w:jc w:val="center"/>
              <w:rPr>
                <w:szCs w:val="20"/>
              </w:rPr>
            </w:pPr>
            <w:r>
              <w:rPr>
                <w:szCs w:val="20"/>
              </w:rPr>
              <w:t>4</w:t>
            </w:r>
          </w:p>
        </w:tc>
        <w:tc>
          <w:tcPr>
            <w:tcW w:w="519" w:type="dxa"/>
            <w:tcBorders>
              <w:top w:val="single" w:color="auto" w:sz="12" w:space="0"/>
              <w:left w:val="nil"/>
              <w:bottom w:val="single" w:color="auto" w:sz="12" w:space="0"/>
              <w:right w:val="nil"/>
            </w:tcBorders>
            <w:vAlign w:val="center"/>
          </w:tcPr>
          <w:p w14:paraId="60543F50">
            <w:pPr>
              <w:autoSpaceDE w:val="0"/>
              <w:autoSpaceDN w:val="0"/>
              <w:adjustRightInd w:val="0"/>
              <w:spacing w:line="312" w:lineRule="auto"/>
              <w:jc w:val="center"/>
              <w:rPr>
                <w:szCs w:val="20"/>
              </w:rPr>
            </w:pPr>
            <w:r>
              <w:rPr>
                <w:szCs w:val="20"/>
              </w:rPr>
              <w:t>5</w:t>
            </w:r>
          </w:p>
        </w:tc>
        <w:tc>
          <w:tcPr>
            <w:tcW w:w="519" w:type="dxa"/>
            <w:tcBorders>
              <w:top w:val="single" w:color="auto" w:sz="12" w:space="0"/>
              <w:left w:val="nil"/>
              <w:bottom w:val="single" w:color="auto" w:sz="12" w:space="0"/>
              <w:right w:val="nil"/>
            </w:tcBorders>
            <w:vAlign w:val="center"/>
          </w:tcPr>
          <w:p w14:paraId="1B0DC4EB">
            <w:pPr>
              <w:autoSpaceDE w:val="0"/>
              <w:autoSpaceDN w:val="0"/>
              <w:adjustRightInd w:val="0"/>
              <w:spacing w:line="312" w:lineRule="auto"/>
              <w:jc w:val="center"/>
              <w:rPr>
                <w:szCs w:val="20"/>
              </w:rPr>
            </w:pPr>
            <w:r>
              <w:rPr>
                <w:szCs w:val="20"/>
              </w:rPr>
              <w:t>6</w:t>
            </w:r>
          </w:p>
        </w:tc>
        <w:tc>
          <w:tcPr>
            <w:tcW w:w="520" w:type="dxa"/>
            <w:tcBorders>
              <w:top w:val="single" w:color="auto" w:sz="12" w:space="0"/>
              <w:left w:val="nil"/>
              <w:bottom w:val="single" w:color="auto" w:sz="12" w:space="0"/>
              <w:right w:val="nil"/>
            </w:tcBorders>
            <w:vAlign w:val="center"/>
          </w:tcPr>
          <w:p w14:paraId="7A483193">
            <w:pPr>
              <w:autoSpaceDE w:val="0"/>
              <w:autoSpaceDN w:val="0"/>
              <w:adjustRightInd w:val="0"/>
              <w:spacing w:line="312" w:lineRule="auto"/>
              <w:jc w:val="center"/>
              <w:rPr>
                <w:szCs w:val="20"/>
              </w:rPr>
            </w:pPr>
            <w:r>
              <w:rPr>
                <w:szCs w:val="20"/>
              </w:rPr>
              <w:t>7</w:t>
            </w:r>
          </w:p>
        </w:tc>
        <w:tc>
          <w:tcPr>
            <w:tcW w:w="520" w:type="dxa"/>
            <w:tcBorders>
              <w:top w:val="single" w:color="auto" w:sz="12" w:space="0"/>
              <w:left w:val="nil"/>
              <w:bottom w:val="single" w:color="auto" w:sz="12" w:space="0"/>
              <w:right w:val="nil"/>
            </w:tcBorders>
            <w:vAlign w:val="center"/>
          </w:tcPr>
          <w:p w14:paraId="3EA2DC2C">
            <w:pPr>
              <w:autoSpaceDE w:val="0"/>
              <w:autoSpaceDN w:val="0"/>
              <w:adjustRightInd w:val="0"/>
              <w:spacing w:line="312" w:lineRule="auto"/>
              <w:jc w:val="center"/>
              <w:rPr>
                <w:szCs w:val="20"/>
              </w:rPr>
            </w:pPr>
            <w:r>
              <w:rPr>
                <w:szCs w:val="20"/>
              </w:rPr>
              <w:t>8</w:t>
            </w:r>
          </w:p>
        </w:tc>
        <w:tc>
          <w:tcPr>
            <w:tcW w:w="520" w:type="dxa"/>
            <w:tcBorders>
              <w:top w:val="single" w:color="auto" w:sz="12" w:space="0"/>
              <w:left w:val="nil"/>
              <w:bottom w:val="single" w:color="auto" w:sz="12" w:space="0"/>
              <w:right w:val="nil"/>
            </w:tcBorders>
            <w:vAlign w:val="center"/>
          </w:tcPr>
          <w:p w14:paraId="08E562EC">
            <w:pPr>
              <w:autoSpaceDE w:val="0"/>
              <w:autoSpaceDN w:val="0"/>
              <w:adjustRightInd w:val="0"/>
              <w:spacing w:line="312" w:lineRule="auto"/>
              <w:jc w:val="center"/>
              <w:rPr>
                <w:szCs w:val="20"/>
              </w:rPr>
            </w:pPr>
            <w:r>
              <w:rPr>
                <w:szCs w:val="20"/>
              </w:rPr>
              <w:t>9</w:t>
            </w:r>
          </w:p>
        </w:tc>
        <w:tc>
          <w:tcPr>
            <w:tcW w:w="520" w:type="dxa"/>
            <w:tcBorders>
              <w:top w:val="single" w:color="auto" w:sz="12" w:space="0"/>
              <w:left w:val="nil"/>
              <w:bottom w:val="single" w:color="auto" w:sz="12" w:space="0"/>
              <w:right w:val="nil"/>
            </w:tcBorders>
            <w:vAlign w:val="center"/>
          </w:tcPr>
          <w:p w14:paraId="6310B087">
            <w:pPr>
              <w:autoSpaceDE w:val="0"/>
              <w:autoSpaceDN w:val="0"/>
              <w:adjustRightInd w:val="0"/>
              <w:spacing w:line="312" w:lineRule="auto"/>
              <w:jc w:val="center"/>
              <w:rPr>
                <w:szCs w:val="20"/>
              </w:rPr>
            </w:pPr>
            <w:r>
              <w:rPr>
                <w:szCs w:val="20"/>
              </w:rPr>
              <w:t>10</w:t>
            </w:r>
          </w:p>
        </w:tc>
        <w:tc>
          <w:tcPr>
            <w:tcW w:w="520" w:type="dxa"/>
            <w:tcBorders>
              <w:top w:val="single" w:color="auto" w:sz="12" w:space="0"/>
              <w:left w:val="nil"/>
              <w:bottom w:val="single" w:color="auto" w:sz="12" w:space="0"/>
              <w:right w:val="nil"/>
            </w:tcBorders>
            <w:vAlign w:val="center"/>
          </w:tcPr>
          <w:p w14:paraId="12511F1C">
            <w:pPr>
              <w:autoSpaceDE w:val="0"/>
              <w:autoSpaceDN w:val="0"/>
              <w:adjustRightInd w:val="0"/>
              <w:spacing w:line="312" w:lineRule="auto"/>
              <w:jc w:val="center"/>
              <w:rPr>
                <w:szCs w:val="20"/>
              </w:rPr>
            </w:pPr>
            <w:r>
              <w:rPr>
                <w:szCs w:val="20"/>
              </w:rPr>
              <w:t>11</w:t>
            </w:r>
          </w:p>
        </w:tc>
        <w:tc>
          <w:tcPr>
            <w:tcW w:w="520" w:type="dxa"/>
            <w:tcBorders>
              <w:top w:val="single" w:color="auto" w:sz="12" w:space="0"/>
              <w:left w:val="nil"/>
              <w:bottom w:val="single" w:color="auto" w:sz="12" w:space="0"/>
              <w:right w:val="nil"/>
            </w:tcBorders>
            <w:vAlign w:val="center"/>
          </w:tcPr>
          <w:p w14:paraId="4D233682">
            <w:pPr>
              <w:autoSpaceDE w:val="0"/>
              <w:autoSpaceDN w:val="0"/>
              <w:adjustRightInd w:val="0"/>
              <w:spacing w:line="312" w:lineRule="auto"/>
              <w:jc w:val="center"/>
              <w:rPr>
                <w:szCs w:val="20"/>
              </w:rPr>
            </w:pPr>
            <w:r>
              <w:rPr>
                <w:szCs w:val="20"/>
              </w:rPr>
              <w:t>12</w:t>
            </w:r>
          </w:p>
        </w:tc>
        <w:tc>
          <w:tcPr>
            <w:tcW w:w="520" w:type="dxa"/>
            <w:tcBorders>
              <w:top w:val="single" w:color="auto" w:sz="12" w:space="0"/>
              <w:left w:val="nil"/>
              <w:bottom w:val="single" w:color="auto" w:sz="12" w:space="0"/>
              <w:right w:val="nil"/>
            </w:tcBorders>
            <w:vAlign w:val="center"/>
          </w:tcPr>
          <w:p w14:paraId="5AEF020D">
            <w:pPr>
              <w:autoSpaceDE w:val="0"/>
              <w:autoSpaceDN w:val="0"/>
              <w:adjustRightInd w:val="0"/>
              <w:spacing w:line="312" w:lineRule="auto"/>
              <w:jc w:val="center"/>
              <w:rPr>
                <w:szCs w:val="20"/>
              </w:rPr>
            </w:pPr>
            <w:r>
              <w:rPr>
                <w:szCs w:val="20"/>
              </w:rPr>
              <w:t>13</w:t>
            </w:r>
          </w:p>
        </w:tc>
        <w:tc>
          <w:tcPr>
            <w:tcW w:w="520" w:type="dxa"/>
            <w:tcBorders>
              <w:top w:val="single" w:color="auto" w:sz="12" w:space="0"/>
              <w:left w:val="nil"/>
              <w:bottom w:val="single" w:color="auto" w:sz="12" w:space="0"/>
              <w:right w:val="nil"/>
            </w:tcBorders>
            <w:vAlign w:val="center"/>
          </w:tcPr>
          <w:p w14:paraId="1E2E8AFC">
            <w:pPr>
              <w:autoSpaceDE w:val="0"/>
              <w:autoSpaceDN w:val="0"/>
              <w:adjustRightInd w:val="0"/>
              <w:spacing w:line="312" w:lineRule="auto"/>
              <w:jc w:val="center"/>
              <w:rPr>
                <w:szCs w:val="20"/>
              </w:rPr>
            </w:pPr>
            <w:r>
              <w:rPr>
                <w:szCs w:val="20"/>
              </w:rPr>
              <w:t>14</w:t>
            </w:r>
          </w:p>
        </w:tc>
      </w:tr>
      <w:tr w14:paraId="65E82A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82" w:type="dxa"/>
            <w:tcBorders>
              <w:top w:val="single" w:color="auto" w:sz="12" w:space="0"/>
              <w:left w:val="nil"/>
              <w:bottom w:val="nil"/>
              <w:right w:val="nil"/>
            </w:tcBorders>
            <w:vAlign w:val="center"/>
          </w:tcPr>
          <w:p w14:paraId="015EEB7D">
            <w:pPr>
              <w:autoSpaceDE w:val="0"/>
              <w:autoSpaceDN w:val="0"/>
              <w:adjustRightInd w:val="0"/>
              <w:spacing w:line="312" w:lineRule="auto"/>
              <w:jc w:val="center"/>
              <w:rPr>
                <w:szCs w:val="20"/>
              </w:rPr>
            </w:pPr>
            <w:r>
              <w:rPr>
                <w:szCs w:val="20"/>
              </w:rPr>
              <w:t>First Line Hardness</w:t>
            </w:r>
          </w:p>
        </w:tc>
        <w:tc>
          <w:tcPr>
            <w:tcW w:w="518" w:type="dxa"/>
            <w:tcBorders>
              <w:top w:val="single" w:color="auto" w:sz="12" w:space="0"/>
              <w:left w:val="nil"/>
              <w:bottom w:val="nil"/>
              <w:right w:val="nil"/>
            </w:tcBorders>
            <w:vAlign w:val="center"/>
          </w:tcPr>
          <w:p w14:paraId="317CD861">
            <w:pPr>
              <w:autoSpaceDE w:val="0"/>
              <w:autoSpaceDN w:val="0"/>
              <w:adjustRightInd w:val="0"/>
              <w:spacing w:line="312" w:lineRule="auto"/>
              <w:jc w:val="center"/>
              <w:rPr>
                <w:szCs w:val="20"/>
              </w:rPr>
            </w:pPr>
            <w:r>
              <w:rPr>
                <w:szCs w:val="20"/>
              </w:rPr>
              <w:t>29</w:t>
            </w:r>
          </w:p>
        </w:tc>
        <w:tc>
          <w:tcPr>
            <w:tcW w:w="518" w:type="dxa"/>
            <w:tcBorders>
              <w:top w:val="single" w:color="auto" w:sz="12" w:space="0"/>
              <w:left w:val="nil"/>
              <w:bottom w:val="nil"/>
              <w:right w:val="nil"/>
            </w:tcBorders>
            <w:vAlign w:val="center"/>
          </w:tcPr>
          <w:p w14:paraId="1D85BD09">
            <w:pPr>
              <w:autoSpaceDE w:val="0"/>
              <w:autoSpaceDN w:val="0"/>
              <w:adjustRightInd w:val="0"/>
              <w:spacing w:line="312" w:lineRule="auto"/>
              <w:jc w:val="center"/>
              <w:rPr>
                <w:szCs w:val="20"/>
              </w:rPr>
            </w:pPr>
            <w:r>
              <w:rPr>
                <w:szCs w:val="20"/>
              </w:rPr>
              <w:t>31</w:t>
            </w:r>
          </w:p>
        </w:tc>
        <w:tc>
          <w:tcPr>
            <w:tcW w:w="518" w:type="dxa"/>
            <w:tcBorders>
              <w:top w:val="single" w:color="auto" w:sz="12" w:space="0"/>
              <w:left w:val="nil"/>
              <w:bottom w:val="nil"/>
              <w:right w:val="nil"/>
            </w:tcBorders>
            <w:vAlign w:val="center"/>
          </w:tcPr>
          <w:p w14:paraId="2EB1BF4D">
            <w:pPr>
              <w:autoSpaceDE w:val="0"/>
              <w:autoSpaceDN w:val="0"/>
              <w:adjustRightInd w:val="0"/>
              <w:spacing w:line="312" w:lineRule="auto"/>
              <w:jc w:val="center"/>
              <w:rPr>
                <w:szCs w:val="20"/>
              </w:rPr>
            </w:pPr>
            <w:r>
              <w:rPr>
                <w:szCs w:val="20"/>
              </w:rPr>
              <w:t>32</w:t>
            </w:r>
          </w:p>
        </w:tc>
        <w:tc>
          <w:tcPr>
            <w:tcW w:w="519" w:type="dxa"/>
            <w:tcBorders>
              <w:top w:val="single" w:color="auto" w:sz="12" w:space="0"/>
              <w:left w:val="nil"/>
              <w:bottom w:val="nil"/>
              <w:right w:val="nil"/>
            </w:tcBorders>
            <w:vAlign w:val="center"/>
          </w:tcPr>
          <w:p w14:paraId="7404B191">
            <w:pPr>
              <w:autoSpaceDE w:val="0"/>
              <w:autoSpaceDN w:val="0"/>
              <w:adjustRightInd w:val="0"/>
              <w:spacing w:line="312" w:lineRule="auto"/>
              <w:jc w:val="center"/>
              <w:rPr>
                <w:szCs w:val="20"/>
              </w:rPr>
            </w:pPr>
            <w:r>
              <w:rPr>
                <w:szCs w:val="20"/>
              </w:rPr>
              <w:t>33</w:t>
            </w:r>
          </w:p>
        </w:tc>
        <w:tc>
          <w:tcPr>
            <w:tcW w:w="519" w:type="dxa"/>
            <w:tcBorders>
              <w:top w:val="single" w:color="auto" w:sz="12" w:space="0"/>
              <w:left w:val="nil"/>
              <w:bottom w:val="nil"/>
              <w:right w:val="nil"/>
            </w:tcBorders>
            <w:vAlign w:val="center"/>
          </w:tcPr>
          <w:p w14:paraId="731CFFE5">
            <w:pPr>
              <w:autoSpaceDE w:val="0"/>
              <w:autoSpaceDN w:val="0"/>
              <w:adjustRightInd w:val="0"/>
              <w:spacing w:line="312" w:lineRule="auto"/>
              <w:jc w:val="center"/>
              <w:rPr>
                <w:szCs w:val="20"/>
              </w:rPr>
            </w:pPr>
            <w:r>
              <w:rPr>
                <w:szCs w:val="20"/>
              </w:rPr>
              <w:t>32</w:t>
            </w:r>
          </w:p>
        </w:tc>
        <w:tc>
          <w:tcPr>
            <w:tcW w:w="519" w:type="dxa"/>
            <w:tcBorders>
              <w:top w:val="single" w:color="auto" w:sz="12" w:space="0"/>
              <w:left w:val="nil"/>
              <w:bottom w:val="nil"/>
              <w:right w:val="nil"/>
            </w:tcBorders>
            <w:vAlign w:val="center"/>
          </w:tcPr>
          <w:p w14:paraId="3A91F24C">
            <w:pPr>
              <w:autoSpaceDE w:val="0"/>
              <w:autoSpaceDN w:val="0"/>
              <w:adjustRightInd w:val="0"/>
              <w:spacing w:line="312" w:lineRule="auto"/>
              <w:jc w:val="center"/>
              <w:rPr>
                <w:szCs w:val="20"/>
              </w:rPr>
            </w:pPr>
            <w:r>
              <w:rPr>
                <w:szCs w:val="20"/>
              </w:rPr>
              <w:t>33</w:t>
            </w:r>
          </w:p>
        </w:tc>
        <w:tc>
          <w:tcPr>
            <w:tcW w:w="520" w:type="dxa"/>
            <w:tcBorders>
              <w:top w:val="single" w:color="auto" w:sz="12" w:space="0"/>
              <w:left w:val="nil"/>
              <w:bottom w:val="nil"/>
              <w:right w:val="nil"/>
            </w:tcBorders>
            <w:vAlign w:val="center"/>
          </w:tcPr>
          <w:p w14:paraId="0C091C10">
            <w:pPr>
              <w:autoSpaceDE w:val="0"/>
              <w:autoSpaceDN w:val="0"/>
              <w:adjustRightInd w:val="0"/>
              <w:spacing w:line="312" w:lineRule="auto"/>
              <w:jc w:val="center"/>
              <w:rPr>
                <w:szCs w:val="20"/>
              </w:rPr>
            </w:pPr>
            <w:r>
              <w:rPr>
                <w:szCs w:val="20"/>
              </w:rPr>
              <w:t>33</w:t>
            </w:r>
          </w:p>
        </w:tc>
        <w:tc>
          <w:tcPr>
            <w:tcW w:w="520" w:type="dxa"/>
            <w:tcBorders>
              <w:top w:val="single" w:color="auto" w:sz="12" w:space="0"/>
              <w:left w:val="nil"/>
              <w:bottom w:val="nil"/>
              <w:right w:val="nil"/>
            </w:tcBorders>
            <w:vAlign w:val="center"/>
          </w:tcPr>
          <w:p w14:paraId="54864C1B">
            <w:pPr>
              <w:autoSpaceDE w:val="0"/>
              <w:autoSpaceDN w:val="0"/>
              <w:adjustRightInd w:val="0"/>
              <w:spacing w:line="312" w:lineRule="auto"/>
              <w:jc w:val="center"/>
              <w:rPr>
                <w:szCs w:val="20"/>
              </w:rPr>
            </w:pPr>
            <w:r>
              <w:rPr>
                <w:szCs w:val="20"/>
              </w:rPr>
              <w:t>27</w:t>
            </w:r>
          </w:p>
        </w:tc>
        <w:tc>
          <w:tcPr>
            <w:tcW w:w="520" w:type="dxa"/>
            <w:tcBorders>
              <w:top w:val="single" w:color="auto" w:sz="12" w:space="0"/>
              <w:left w:val="nil"/>
              <w:bottom w:val="nil"/>
              <w:right w:val="nil"/>
            </w:tcBorders>
            <w:vAlign w:val="center"/>
          </w:tcPr>
          <w:p w14:paraId="3F228DC9">
            <w:pPr>
              <w:autoSpaceDE w:val="0"/>
              <w:autoSpaceDN w:val="0"/>
              <w:adjustRightInd w:val="0"/>
              <w:spacing w:line="312" w:lineRule="auto"/>
              <w:jc w:val="center"/>
              <w:rPr>
                <w:szCs w:val="20"/>
              </w:rPr>
            </w:pPr>
            <w:r>
              <w:rPr>
                <w:szCs w:val="20"/>
              </w:rPr>
              <w:t>34</w:t>
            </w:r>
          </w:p>
        </w:tc>
        <w:tc>
          <w:tcPr>
            <w:tcW w:w="520" w:type="dxa"/>
            <w:tcBorders>
              <w:top w:val="single" w:color="auto" w:sz="12" w:space="0"/>
              <w:left w:val="nil"/>
              <w:bottom w:val="nil"/>
              <w:right w:val="nil"/>
            </w:tcBorders>
            <w:vAlign w:val="center"/>
          </w:tcPr>
          <w:p w14:paraId="2BA63A07">
            <w:pPr>
              <w:autoSpaceDE w:val="0"/>
              <w:autoSpaceDN w:val="0"/>
              <w:adjustRightInd w:val="0"/>
              <w:spacing w:line="312" w:lineRule="auto"/>
              <w:jc w:val="center"/>
              <w:rPr>
                <w:szCs w:val="20"/>
              </w:rPr>
            </w:pPr>
            <w:r>
              <w:rPr>
                <w:szCs w:val="20"/>
              </w:rPr>
              <w:t>35</w:t>
            </w:r>
          </w:p>
        </w:tc>
        <w:tc>
          <w:tcPr>
            <w:tcW w:w="520" w:type="dxa"/>
            <w:tcBorders>
              <w:top w:val="single" w:color="auto" w:sz="12" w:space="0"/>
              <w:left w:val="nil"/>
              <w:bottom w:val="nil"/>
              <w:right w:val="nil"/>
            </w:tcBorders>
            <w:vAlign w:val="center"/>
          </w:tcPr>
          <w:p w14:paraId="230CE880">
            <w:pPr>
              <w:autoSpaceDE w:val="0"/>
              <w:autoSpaceDN w:val="0"/>
              <w:adjustRightInd w:val="0"/>
              <w:spacing w:line="312" w:lineRule="auto"/>
              <w:jc w:val="center"/>
              <w:rPr>
                <w:szCs w:val="20"/>
              </w:rPr>
            </w:pPr>
            <w:r>
              <w:rPr>
                <w:szCs w:val="20"/>
              </w:rPr>
              <w:t>33</w:t>
            </w:r>
          </w:p>
        </w:tc>
        <w:tc>
          <w:tcPr>
            <w:tcW w:w="520" w:type="dxa"/>
            <w:tcBorders>
              <w:top w:val="single" w:color="auto" w:sz="12" w:space="0"/>
              <w:left w:val="nil"/>
              <w:bottom w:val="nil"/>
              <w:right w:val="nil"/>
            </w:tcBorders>
            <w:vAlign w:val="center"/>
          </w:tcPr>
          <w:p w14:paraId="414034B1">
            <w:pPr>
              <w:autoSpaceDE w:val="0"/>
              <w:autoSpaceDN w:val="0"/>
              <w:adjustRightInd w:val="0"/>
              <w:spacing w:line="312" w:lineRule="auto"/>
              <w:jc w:val="center"/>
              <w:rPr>
                <w:szCs w:val="20"/>
              </w:rPr>
            </w:pPr>
            <w:r>
              <w:rPr>
                <w:szCs w:val="20"/>
              </w:rPr>
              <w:t>33</w:t>
            </w:r>
          </w:p>
        </w:tc>
        <w:tc>
          <w:tcPr>
            <w:tcW w:w="520" w:type="dxa"/>
            <w:tcBorders>
              <w:top w:val="single" w:color="auto" w:sz="12" w:space="0"/>
              <w:left w:val="nil"/>
              <w:bottom w:val="nil"/>
              <w:right w:val="nil"/>
            </w:tcBorders>
            <w:vAlign w:val="center"/>
          </w:tcPr>
          <w:p w14:paraId="57323AFF">
            <w:pPr>
              <w:autoSpaceDE w:val="0"/>
              <w:autoSpaceDN w:val="0"/>
              <w:adjustRightInd w:val="0"/>
              <w:spacing w:line="312" w:lineRule="auto"/>
              <w:jc w:val="center"/>
              <w:rPr>
                <w:szCs w:val="20"/>
              </w:rPr>
            </w:pPr>
            <w:r>
              <w:rPr>
                <w:szCs w:val="20"/>
              </w:rPr>
              <w:t>31</w:t>
            </w:r>
          </w:p>
        </w:tc>
        <w:tc>
          <w:tcPr>
            <w:tcW w:w="520" w:type="dxa"/>
            <w:tcBorders>
              <w:top w:val="single" w:color="auto" w:sz="12" w:space="0"/>
              <w:left w:val="nil"/>
              <w:bottom w:val="nil"/>
              <w:right w:val="nil"/>
            </w:tcBorders>
            <w:vAlign w:val="center"/>
          </w:tcPr>
          <w:p w14:paraId="3D0E3A87">
            <w:pPr>
              <w:autoSpaceDE w:val="0"/>
              <w:autoSpaceDN w:val="0"/>
              <w:adjustRightInd w:val="0"/>
              <w:spacing w:line="312" w:lineRule="auto"/>
              <w:jc w:val="center"/>
              <w:rPr>
                <w:szCs w:val="20"/>
              </w:rPr>
            </w:pPr>
            <w:r>
              <w:rPr>
                <w:szCs w:val="20"/>
              </w:rPr>
              <w:t>31</w:t>
            </w:r>
          </w:p>
        </w:tc>
      </w:tr>
      <w:tr w14:paraId="3D58B5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82" w:type="dxa"/>
            <w:tcBorders>
              <w:top w:val="nil"/>
              <w:left w:val="nil"/>
              <w:bottom w:val="single" w:color="auto" w:sz="12" w:space="0"/>
              <w:right w:val="nil"/>
            </w:tcBorders>
            <w:vAlign w:val="center"/>
          </w:tcPr>
          <w:p w14:paraId="16B27792">
            <w:pPr>
              <w:autoSpaceDE w:val="0"/>
              <w:autoSpaceDN w:val="0"/>
              <w:adjustRightInd w:val="0"/>
              <w:spacing w:line="312" w:lineRule="auto"/>
              <w:jc w:val="center"/>
              <w:rPr>
                <w:szCs w:val="20"/>
              </w:rPr>
            </w:pPr>
            <w:r>
              <w:rPr>
                <w:szCs w:val="20"/>
              </w:rPr>
              <w:t>Second Line Hardness</w:t>
            </w:r>
          </w:p>
        </w:tc>
        <w:tc>
          <w:tcPr>
            <w:tcW w:w="518" w:type="dxa"/>
            <w:tcBorders>
              <w:top w:val="nil"/>
              <w:left w:val="nil"/>
              <w:bottom w:val="single" w:color="auto" w:sz="12" w:space="0"/>
              <w:right w:val="nil"/>
            </w:tcBorders>
            <w:vAlign w:val="center"/>
          </w:tcPr>
          <w:p w14:paraId="57A1C912">
            <w:pPr>
              <w:autoSpaceDE w:val="0"/>
              <w:autoSpaceDN w:val="0"/>
              <w:adjustRightInd w:val="0"/>
              <w:spacing w:line="312" w:lineRule="auto"/>
              <w:jc w:val="center"/>
              <w:rPr>
                <w:szCs w:val="20"/>
              </w:rPr>
            </w:pPr>
            <w:r>
              <w:rPr>
                <w:szCs w:val="20"/>
              </w:rPr>
              <w:t>29</w:t>
            </w:r>
          </w:p>
        </w:tc>
        <w:tc>
          <w:tcPr>
            <w:tcW w:w="518" w:type="dxa"/>
            <w:tcBorders>
              <w:top w:val="nil"/>
              <w:left w:val="nil"/>
              <w:bottom w:val="single" w:color="auto" w:sz="12" w:space="0"/>
              <w:right w:val="nil"/>
            </w:tcBorders>
            <w:vAlign w:val="center"/>
          </w:tcPr>
          <w:p w14:paraId="74AB97BE">
            <w:pPr>
              <w:autoSpaceDE w:val="0"/>
              <w:autoSpaceDN w:val="0"/>
              <w:adjustRightInd w:val="0"/>
              <w:spacing w:line="312" w:lineRule="auto"/>
              <w:jc w:val="center"/>
              <w:rPr>
                <w:szCs w:val="20"/>
              </w:rPr>
            </w:pPr>
            <w:r>
              <w:rPr>
                <w:szCs w:val="20"/>
              </w:rPr>
              <w:t>30</w:t>
            </w:r>
          </w:p>
        </w:tc>
        <w:tc>
          <w:tcPr>
            <w:tcW w:w="518" w:type="dxa"/>
            <w:tcBorders>
              <w:top w:val="nil"/>
              <w:left w:val="nil"/>
              <w:bottom w:val="single" w:color="auto" w:sz="12" w:space="0"/>
              <w:right w:val="nil"/>
            </w:tcBorders>
            <w:vAlign w:val="center"/>
          </w:tcPr>
          <w:p w14:paraId="75E95CEA">
            <w:pPr>
              <w:autoSpaceDE w:val="0"/>
              <w:autoSpaceDN w:val="0"/>
              <w:adjustRightInd w:val="0"/>
              <w:spacing w:line="312" w:lineRule="auto"/>
              <w:jc w:val="center"/>
              <w:rPr>
                <w:szCs w:val="20"/>
              </w:rPr>
            </w:pPr>
            <w:r>
              <w:rPr>
                <w:szCs w:val="20"/>
              </w:rPr>
              <w:t>32</w:t>
            </w:r>
          </w:p>
        </w:tc>
        <w:tc>
          <w:tcPr>
            <w:tcW w:w="519" w:type="dxa"/>
            <w:tcBorders>
              <w:top w:val="nil"/>
              <w:left w:val="nil"/>
              <w:bottom w:val="single" w:color="auto" w:sz="12" w:space="0"/>
              <w:right w:val="nil"/>
            </w:tcBorders>
            <w:vAlign w:val="center"/>
          </w:tcPr>
          <w:p w14:paraId="149E77D1">
            <w:pPr>
              <w:autoSpaceDE w:val="0"/>
              <w:autoSpaceDN w:val="0"/>
              <w:adjustRightInd w:val="0"/>
              <w:spacing w:line="312" w:lineRule="auto"/>
              <w:jc w:val="center"/>
              <w:rPr>
                <w:szCs w:val="20"/>
              </w:rPr>
            </w:pPr>
            <w:r>
              <w:rPr>
                <w:szCs w:val="20"/>
              </w:rPr>
              <w:t>31</w:t>
            </w:r>
          </w:p>
        </w:tc>
        <w:tc>
          <w:tcPr>
            <w:tcW w:w="519" w:type="dxa"/>
            <w:tcBorders>
              <w:top w:val="nil"/>
              <w:left w:val="nil"/>
              <w:bottom w:val="single" w:color="auto" w:sz="12" w:space="0"/>
              <w:right w:val="nil"/>
            </w:tcBorders>
            <w:vAlign w:val="center"/>
          </w:tcPr>
          <w:p w14:paraId="1E675BAE">
            <w:pPr>
              <w:autoSpaceDE w:val="0"/>
              <w:autoSpaceDN w:val="0"/>
              <w:adjustRightInd w:val="0"/>
              <w:spacing w:line="312" w:lineRule="auto"/>
              <w:jc w:val="center"/>
              <w:rPr>
                <w:szCs w:val="20"/>
              </w:rPr>
            </w:pPr>
            <w:r>
              <w:rPr>
                <w:szCs w:val="20"/>
              </w:rPr>
              <w:t>33</w:t>
            </w:r>
          </w:p>
        </w:tc>
        <w:tc>
          <w:tcPr>
            <w:tcW w:w="519" w:type="dxa"/>
            <w:tcBorders>
              <w:top w:val="nil"/>
              <w:left w:val="nil"/>
              <w:bottom w:val="single" w:color="auto" w:sz="12" w:space="0"/>
              <w:right w:val="nil"/>
            </w:tcBorders>
            <w:vAlign w:val="center"/>
          </w:tcPr>
          <w:p w14:paraId="7E34D203">
            <w:pPr>
              <w:autoSpaceDE w:val="0"/>
              <w:autoSpaceDN w:val="0"/>
              <w:adjustRightInd w:val="0"/>
              <w:spacing w:line="312" w:lineRule="auto"/>
              <w:jc w:val="center"/>
              <w:rPr>
                <w:szCs w:val="20"/>
              </w:rPr>
            </w:pPr>
            <w:r>
              <w:rPr>
                <w:szCs w:val="20"/>
              </w:rPr>
              <w:t>33</w:t>
            </w:r>
          </w:p>
        </w:tc>
        <w:tc>
          <w:tcPr>
            <w:tcW w:w="520" w:type="dxa"/>
            <w:tcBorders>
              <w:top w:val="nil"/>
              <w:left w:val="nil"/>
              <w:bottom w:val="single" w:color="auto" w:sz="12" w:space="0"/>
              <w:right w:val="nil"/>
            </w:tcBorders>
            <w:vAlign w:val="center"/>
          </w:tcPr>
          <w:p w14:paraId="4B69B8F2">
            <w:pPr>
              <w:autoSpaceDE w:val="0"/>
              <w:autoSpaceDN w:val="0"/>
              <w:adjustRightInd w:val="0"/>
              <w:spacing w:line="312" w:lineRule="auto"/>
              <w:jc w:val="center"/>
              <w:rPr>
                <w:szCs w:val="20"/>
              </w:rPr>
            </w:pPr>
            <w:r>
              <w:rPr>
                <w:szCs w:val="20"/>
              </w:rPr>
              <w:t>34</w:t>
            </w:r>
          </w:p>
        </w:tc>
        <w:tc>
          <w:tcPr>
            <w:tcW w:w="520" w:type="dxa"/>
            <w:tcBorders>
              <w:top w:val="nil"/>
              <w:left w:val="nil"/>
              <w:bottom w:val="single" w:color="auto" w:sz="12" w:space="0"/>
              <w:right w:val="nil"/>
            </w:tcBorders>
            <w:vAlign w:val="center"/>
          </w:tcPr>
          <w:p w14:paraId="31E8FF7F">
            <w:pPr>
              <w:autoSpaceDE w:val="0"/>
              <w:autoSpaceDN w:val="0"/>
              <w:adjustRightInd w:val="0"/>
              <w:spacing w:line="312" w:lineRule="auto"/>
              <w:jc w:val="center"/>
              <w:rPr>
                <w:szCs w:val="20"/>
              </w:rPr>
            </w:pPr>
            <w:r>
              <w:rPr>
                <w:szCs w:val="20"/>
              </w:rPr>
              <w:t>29</w:t>
            </w:r>
          </w:p>
        </w:tc>
        <w:tc>
          <w:tcPr>
            <w:tcW w:w="520" w:type="dxa"/>
            <w:tcBorders>
              <w:top w:val="nil"/>
              <w:left w:val="nil"/>
              <w:bottom w:val="single" w:color="auto" w:sz="12" w:space="0"/>
              <w:right w:val="nil"/>
            </w:tcBorders>
            <w:vAlign w:val="center"/>
          </w:tcPr>
          <w:p w14:paraId="529E6DF9">
            <w:pPr>
              <w:autoSpaceDE w:val="0"/>
              <w:autoSpaceDN w:val="0"/>
              <w:adjustRightInd w:val="0"/>
              <w:spacing w:line="312" w:lineRule="auto"/>
              <w:jc w:val="center"/>
              <w:rPr>
                <w:szCs w:val="20"/>
              </w:rPr>
            </w:pPr>
            <w:r>
              <w:rPr>
                <w:szCs w:val="20"/>
              </w:rPr>
              <w:t>33</w:t>
            </w:r>
          </w:p>
        </w:tc>
        <w:tc>
          <w:tcPr>
            <w:tcW w:w="520" w:type="dxa"/>
            <w:tcBorders>
              <w:top w:val="nil"/>
              <w:left w:val="nil"/>
              <w:bottom w:val="single" w:color="auto" w:sz="12" w:space="0"/>
              <w:right w:val="nil"/>
            </w:tcBorders>
            <w:vAlign w:val="center"/>
          </w:tcPr>
          <w:p w14:paraId="22EDC433">
            <w:pPr>
              <w:autoSpaceDE w:val="0"/>
              <w:autoSpaceDN w:val="0"/>
              <w:adjustRightInd w:val="0"/>
              <w:spacing w:line="312" w:lineRule="auto"/>
              <w:jc w:val="center"/>
              <w:rPr>
                <w:szCs w:val="20"/>
              </w:rPr>
            </w:pPr>
            <w:r>
              <w:rPr>
                <w:szCs w:val="20"/>
              </w:rPr>
              <w:t>33</w:t>
            </w:r>
          </w:p>
        </w:tc>
        <w:tc>
          <w:tcPr>
            <w:tcW w:w="520" w:type="dxa"/>
            <w:tcBorders>
              <w:top w:val="nil"/>
              <w:left w:val="nil"/>
              <w:bottom w:val="single" w:color="auto" w:sz="12" w:space="0"/>
              <w:right w:val="nil"/>
            </w:tcBorders>
            <w:vAlign w:val="center"/>
          </w:tcPr>
          <w:p w14:paraId="168C8ABB">
            <w:pPr>
              <w:autoSpaceDE w:val="0"/>
              <w:autoSpaceDN w:val="0"/>
              <w:adjustRightInd w:val="0"/>
              <w:spacing w:line="312" w:lineRule="auto"/>
              <w:jc w:val="center"/>
              <w:rPr>
                <w:szCs w:val="20"/>
              </w:rPr>
            </w:pPr>
            <w:r>
              <w:rPr>
                <w:szCs w:val="20"/>
              </w:rPr>
              <w:t>33</w:t>
            </w:r>
          </w:p>
        </w:tc>
        <w:tc>
          <w:tcPr>
            <w:tcW w:w="520" w:type="dxa"/>
            <w:tcBorders>
              <w:top w:val="nil"/>
              <w:left w:val="nil"/>
              <w:bottom w:val="single" w:color="auto" w:sz="12" w:space="0"/>
              <w:right w:val="nil"/>
            </w:tcBorders>
            <w:vAlign w:val="center"/>
          </w:tcPr>
          <w:p w14:paraId="28B2F63C">
            <w:pPr>
              <w:autoSpaceDE w:val="0"/>
              <w:autoSpaceDN w:val="0"/>
              <w:adjustRightInd w:val="0"/>
              <w:spacing w:line="312" w:lineRule="auto"/>
              <w:jc w:val="center"/>
              <w:rPr>
                <w:szCs w:val="20"/>
              </w:rPr>
            </w:pPr>
            <w:r>
              <w:rPr>
                <w:szCs w:val="20"/>
              </w:rPr>
              <w:t>31</w:t>
            </w:r>
          </w:p>
        </w:tc>
        <w:tc>
          <w:tcPr>
            <w:tcW w:w="520" w:type="dxa"/>
            <w:tcBorders>
              <w:top w:val="nil"/>
              <w:left w:val="nil"/>
              <w:bottom w:val="single" w:color="auto" w:sz="12" w:space="0"/>
              <w:right w:val="nil"/>
            </w:tcBorders>
            <w:vAlign w:val="center"/>
          </w:tcPr>
          <w:p w14:paraId="749D2E84">
            <w:pPr>
              <w:autoSpaceDE w:val="0"/>
              <w:autoSpaceDN w:val="0"/>
              <w:adjustRightInd w:val="0"/>
              <w:spacing w:line="312" w:lineRule="auto"/>
              <w:jc w:val="center"/>
              <w:rPr>
                <w:szCs w:val="20"/>
              </w:rPr>
            </w:pPr>
            <w:r>
              <w:rPr>
                <w:szCs w:val="20"/>
              </w:rPr>
              <w:t>30</w:t>
            </w:r>
          </w:p>
        </w:tc>
        <w:tc>
          <w:tcPr>
            <w:tcW w:w="520" w:type="dxa"/>
            <w:tcBorders>
              <w:top w:val="nil"/>
              <w:left w:val="nil"/>
              <w:bottom w:val="single" w:color="auto" w:sz="12" w:space="0"/>
              <w:right w:val="nil"/>
            </w:tcBorders>
            <w:vAlign w:val="center"/>
          </w:tcPr>
          <w:p w14:paraId="4D0E6C2C">
            <w:pPr>
              <w:autoSpaceDE w:val="0"/>
              <w:autoSpaceDN w:val="0"/>
              <w:adjustRightInd w:val="0"/>
              <w:spacing w:line="312" w:lineRule="auto"/>
              <w:jc w:val="center"/>
              <w:rPr>
                <w:szCs w:val="20"/>
              </w:rPr>
            </w:pPr>
            <w:r>
              <w:rPr>
                <w:szCs w:val="20"/>
              </w:rPr>
              <w:t>29</w:t>
            </w:r>
          </w:p>
        </w:tc>
      </w:tr>
    </w:tbl>
    <w:p w14:paraId="32EC27B5">
      <w:pPr>
        <w:pStyle w:val="16"/>
        <w:spacing w:before="31" w:after="31"/>
        <w:ind w:firstLine="480"/>
        <w:rPr>
          <w:szCs w:val="24"/>
        </w:rPr>
      </w:pPr>
    </w:p>
    <w:p w14:paraId="029801B4">
      <w:pPr>
        <w:pStyle w:val="16"/>
        <w:spacing w:before="31" w:after="31"/>
        <w:ind w:firstLine="482"/>
        <w:jc w:val="center"/>
        <w:rPr>
          <w:b/>
          <w:bCs/>
          <w:szCs w:val="24"/>
        </w:rPr>
      </w:pPr>
      <w:r>
        <w:rPr>
          <w:b/>
          <w:bCs/>
          <w:szCs w:val="24"/>
        </w:rPr>
        <w:t>Figure 6-5.1: Longitudinal hardness distribution of the welded joint rail head</w:t>
      </w:r>
    </w:p>
    <w:p w14:paraId="5CD39FB8">
      <w:pPr>
        <w:pStyle w:val="16"/>
        <w:spacing w:before="31" w:after="31"/>
        <w:ind w:firstLine="482"/>
        <w:jc w:val="center"/>
        <w:rPr>
          <w:b/>
          <w:bCs/>
          <w:szCs w:val="24"/>
        </w:rPr>
      </w:pPr>
      <w:r>
        <w:rPr>
          <w:b/>
          <w:bCs/>
          <w:szCs w:val="24"/>
        </w:rPr>
        <w:t>Figure 6-5.2: Bright layer microstructure at 400×</w:t>
      </w:r>
    </w:p>
    <w:p w14:paraId="3DA338E6">
      <w:pPr>
        <w:pStyle w:val="16"/>
        <w:spacing w:before="31" w:after="31"/>
        <w:ind w:firstLine="480"/>
        <w:rPr>
          <w:szCs w:val="24"/>
        </w:rPr>
      </w:pPr>
    </w:p>
    <w:p w14:paraId="39CAAE57">
      <w:pPr>
        <w:pStyle w:val="16"/>
        <w:spacing w:before="31" w:after="31"/>
        <w:ind w:firstLine="0" w:firstLineChars="0"/>
        <w:rPr>
          <w:szCs w:val="24"/>
        </w:rPr>
      </w:pPr>
      <w:r>
        <w:rPr>
          <w:szCs w:val="24"/>
        </w:rPr>
        <w:t>(4) Component Failure Morphology</w:t>
      </w:r>
    </w:p>
    <w:p w14:paraId="2F8F10D4">
      <w:pPr>
        <w:pStyle w:val="16"/>
        <w:spacing w:before="31" w:after="31"/>
        <w:ind w:firstLine="480"/>
        <w:rPr>
          <w:szCs w:val="24"/>
        </w:rPr>
      </w:pPr>
      <w:r>
        <w:rPr>
          <w:szCs w:val="24"/>
        </w:rPr>
        <w:t>The damaged specimen for flash butt-welded rail joints was taken from the left leg rail at K125+338 of the downline of the Qinshen Line, numbered 04147, and was a U75V rail produced by Pangang. On April 9, 2004, the Shenyang Railway Bureau's inspection car detected damage, and after verification by the Qinshen Management Center, it was replaced. According to the ultrasonic testing report, transverse cracks, 5 mm deep and 17 mm wide, appeared on the rail surface of the welded joint. The photo of the welded rail joint is shown in Figure 6-5.3. To clearly identify the morphology of the crack, a contrast agent was sprayed on the rail head to highlight the transverse crack near the rail head weld.</w:t>
      </w:r>
    </w:p>
    <w:p w14:paraId="7F651FF4">
      <w:pPr>
        <w:pStyle w:val="16"/>
        <w:spacing w:before="31" w:after="31"/>
        <w:ind w:firstLine="480"/>
        <w:jc w:val="center"/>
        <w:rPr>
          <w:szCs w:val="24"/>
        </w:rPr>
      </w:pPr>
      <w:r>
        <w:rPr>
          <w:szCs w:val="24"/>
        </w:rPr>
        <w:t>Figure 6-5.3: Transverse crack morphology of welded rail joint</w:t>
      </w:r>
    </w:p>
    <w:p w14:paraId="24643369">
      <w:pPr>
        <w:pStyle w:val="16"/>
        <w:spacing w:before="31" w:after="31"/>
        <w:ind w:firstLine="480"/>
        <w:rPr>
          <w:szCs w:val="24"/>
        </w:rPr>
      </w:pPr>
      <w:r>
        <w:rPr>
          <w:szCs w:val="24"/>
        </w:rPr>
        <w:t>Macroscopic photos of the sample are shown in Figure 6-5.4. From the photos, clear elliptical dark marks about the size of a thumb can be seen on the weld face, with a major axis of about 30 mm and a minor axis of about 20 mm, perpendicular to the longitudinal axis of the rail. Transverse cracks are distributed on the elliptical marks. For clarity, Figure 6-5.5 illustrates the elliptical marks and cracks in a schematic diagram. There are three cracks, with lengths of 12, 12, and 8 mm. The cracks are located at distances of 18 and 20 mm from the angle between the two rails.</w:t>
      </w:r>
    </w:p>
    <w:p w14:paraId="2E7F281C">
      <w:pPr>
        <w:pStyle w:val="16"/>
        <w:spacing w:before="31" w:after="31"/>
        <w:ind w:firstLine="482"/>
        <w:jc w:val="center"/>
        <w:rPr>
          <w:b/>
          <w:bCs/>
          <w:szCs w:val="24"/>
        </w:rPr>
      </w:pPr>
      <w:r>
        <w:rPr>
          <w:b/>
          <w:bCs/>
          <w:szCs w:val="24"/>
        </w:rPr>
        <w:t>Figure 6-5.4: Macroscopic photo of the welded joint</w:t>
      </w:r>
    </w:p>
    <w:p w14:paraId="49A73C82">
      <w:pPr>
        <w:pStyle w:val="16"/>
        <w:spacing w:before="31" w:after="31"/>
        <w:ind w:firstLine="482"/>
        <w:jc w:val="center"/>
        <w:rPr>
          <w:b/>
          <w:bCs/>
          <w:szCs w:val="24"/>
        </w:rPr>
      </w:pPr>
      <w:r>
        <w:rPr>
          <w:b/>
          <w:bCs/>
          <w:szCs w:val="24"/>
        </w:rPr>
        <w:t>Figure 6-5.5: Schematic diagram of crack positions (unit: mm)</w:t>
      </w:r>
    </w:p>
    <w:p w14:paraId="500991BD">
      <w:pPr>
        <w:pStyle w:val="16"/>
        <w:spacing w:before="31" w:after="31"/>
        <w:ind w:firstLine="480"/>
        <w:rPr>
          <w:szCs w:val="24"/>
        </w:rPr>
      </w:pPr>
      <w:r>
        <w:rPr>
          <w:szCs w:val="24"/>
        </w:rPr>
        <w:t>Low magnification of the cracks is shown in Figure 6-5.6. From the figure, it can be observed that the cracks originate from the bright layer on the tread surface and extend through the bright layer into the pearlite region. The measured crack depth under the metallographic microscope is 5 mm.</w:t>
      </w:r>
    </w:p>
    <w:p w14:paraId="3D413C44">
      <w:pPr>
        <w:pStyle w:val="16"/>
        <w:spacing w:before="31" w:after="31"/>
        <w:ind w:firstLine="482"/>
        <w:jc w:val="center"/>
        <w:rPr>
          <w:rFonts w:hint="eastAsia"/>
          <w:b/>
          <w:bCs/>
          <w:szCs w:val="24"/>
        </w:rPr>
      </w:pPr>
      <w:r>
        <w:rPr>
          <w:b/>
          <w:bCs/>
          <w:szCs w:val="24"/>
        </w:rPr>
        <w:t>Figure 6-5.6: Transverse section crack (low magnification)</w:t>
      </w:r>
    </w:p>
    <w:p w14:paraId="0AB1CB4E">
      <w:pPr>
        <w:pStyle w:val="16"/>
        <w:spacing w:before="31" w:after="31"/>
        <w:ind w:firstLine="0" w:firstLineChars="0"/>
        <w:rPr>
          <w:szCs w:val="24"/>
        </w:rPr>
      </w:pPr>
      <w:r>
        <w:rPr>
          <w:szCs w:val="24"/>
        </w:rPr>
        <w:t>(6) Analysis of Failure Causes</w:t>
      </w:r>
    </w:p>
    <w:p w14:paraId="61D13791">
      <w:pPr>
        <w:pStyle w:val="16"/>
        <w:spacing w:before="31" w:after="31"/>
        <w:ind w:firstLine="480"/>
        <w:rPr>
          <w:szCs w:val="24"/>
        </w:rPr>
      </w:pPr>
      <w:r>
        <w:rPr>
          <w:szCs w:val="24"/>
        </w:rPr>
        <w:t>From the above test results, it is known that the cracks in the inspected flash butt-welded rail joints originated from the martensitic structure of the bright layer on the rail surface and, under external force, extended into the normal pearlite structure region, with a crack depth of 5 mm. Practice has shown that excessive force in metal grinding will cause rapid high temperature and rapid cooling of local metal, forming a crescent-shaped bright martensitic structure.</w:t>
      </w:r>
    </w:p>
    <w:p w14:paraId="324D936A">
      <w:pPr>
        <w:pStyle w:val="16"/>
        <w:spacing w:before="31" w:after="31"/>
        <w:ind w:firstLine="480"/>
        <w:rPr>
          <w:szCs w:val="24"/>
        </w:rPr>
      </w:pPr>
    </w:p>
    <w:p w14:paraId="3273A885">
      <w:pPr>
        <w:pStyle w:val="16"/>
        <w:spacing w:before="31" w:after="31"/>
        <w:ind w:firstLine="480"/>
        <w:rPr>
          <w:szCs w:val="24"/>
        </w:rPr>
      </w:pPr>
    </w:p>
    <w:p w14:paraId="0D8D5638">
      <w:pPr>
        <w:pStyle w:val="16"/>
        <w:spacing w:before="31" w:after="31"/>
        <w:ind w:firstLine="0" w:firstLineChars="0"/>
        <w:rPr>
          <w:szCs w:val="24"/>
        </w:rPr>
      </w:pPr>
      <w:r>
        <w:rPr>
          <w:szCs w:val="24"/>
        </w:rPr>
        <w:t>(7) Impact and Harm Caused</w:t>
      </w:r>
    </w:p>
    <w:p w14:paraId="023168B5">
      <w:pPr>
        <w:pStyle w:val="16"/>
        <w:spacing w:before="31" w:after="31"/>
        <w:ind w:firstLine="420" w:firstLineChars="0"/>
        <w:rPr>
          <w:szCs w:val="24"/>
        </w:rPr>
      </w:pPr>
      <w:r>
        <w:rPr>
          <w:szCs w:val="24"/>
        </w:rPr>
        <w:t>Null</w:t>
      </w:r>
    </w:p>
    <w:p w14:paraId="651D05E6">
      <w:pPr>
        <w:pStyle w:val="16"/>
        <w:spacing w:before="31" w:after="31"/>
        <w:ind w:firstLine="0" w:firstLineChars="0"/>
        <w:rPr>
          <w:szCs w:val="24"/>
        </w:rPr>
      </w:pPr>
      <w:r>
        <w:rPr>
          <w:szCs w:val="24"/>
        </w:rPr>
        <w:t>(8) Conclusion and Improvement Measures</w:t>
      </w:r>
    </w:p>
    <w:p w14:paraId="257831D5">
      <w:pPr>
        <w:pStyle w:val="16"/>
        <w:spacing w:before="31" w:after="31"/>
        <w:ind w:firstLine="480"/>
        <w:rPr>
          <w:szCs w:val="24"/>
        </w:rPr>
      </w:pPr>
      <w:r>
        <w:rPr>
          <w:szCs w:val="24"/>
        </w:rPr>
        <w:t>(a) The inspected flash butt-welded rail joints have three transverse cracks with lengths of 12, 12, and 8 mm, originating from the elliptical marks on the tread surface. The cracks are 5 mm deep, and under the action of moving wheel loads, the cracks continuously extend into the rail head, posing a high risk of transverse rail fracture.</w:t>
      </w:r>
    </w:p>
    <w:p w14:paraId="0F1C73BA">
      <w:pPr>
        <w:pStyle w:val="16"/>
        <w:spacing w:before="31" w:after="31"/>
        <w:ind w:firstLine="480"/>
        <w:rPr>
          <w:szCs w:val="24"/>
        </w:rPr>
      </w:pPr>
    </w:p>
    <w:p w14:paraId="519054A7">
      <w:pPr>
        <w:pStyle w:val="16"/>
        <w:spacing w:before="31" w:after="31"/>
        <w:ind w:firstLine="480"/>
        <w:rPr>
          <w:szCs w:val="24"/>
        </w:rPr>
      </w:pPr>
      <w:r>
        <w:rPr>
          <w:szCs w:val="24"/>
        </w:rPr>
        <w:t>(b) The elliptical marks on the tread surface of flash butt-welded rail joints are approximately 0.8 mm deep bright layers, with hardness ranging from 600 to 766 HV. The bright layer consists of a high-hardness brittle martensitic structure, which is the fundamental cause of the transverse cracks on the rail surface of the welded joint.</w:t>
      </w:r>
    </w:p>
    <w:p w14:paraId="290C5958">
      <w:pPr>
        <w:pStyle w:val="16"/>
        <w:spacing w:before="31" w:after="31"/>
        <w:ind w:firstLine="480"/>
        <w:rPr>
          <w:szCs w:val="24"/>
        </w:rPr>
      </w:pPr>
    </w:p>
    <w:p w14:paraId="59CC542B">
      <w:pPr>
        <w:pStyle w:val="16"/>
        <w:spacing w:before="31" w:after="31"/>
        <w:ind w:firstLine="480"/>
        <w:rPr>
          <w:szCs w:val="24"/>
        </w:rPr>
      </w:pPr>
      <w:r>
        <w:rPr>
          <w:szCs w:val="24"/>
        </w:rPr>
        <w:t>(c) The appearance of the bright martensitic structure may be related to improper grinding during the welding production process.</w:t>
      </w:r>
    </w:p>
    <w:p w14:paraId="0EC5CF3D">
      <w:pPr>
        <w:pStyle w:val="16"/>
        <w:spacing w:before="31" w:after="31"/>
        <w:ind w:firstLine="480"/>
        <w:rPr>
          <w:szCs w:val="24"/>
        </w:rPr>
      </w:pPr>
    </w:p>
    <w:p w14:paraId="036A5EEE">
      <w:pPr>
        <w:pStyle w:val="16"/>
        <w:numPr>
          <w:ilvl w:val="0"/>
          <w:numId w:val="7"/>
        </w:numPr>
        <w:spacing w:before="31" w:after="31"/>
        <w:ind w:firstLineChars="0"/>
        <w:rPr>
          <w:szCs w:val="24"/>
        </w:rPr>
      </w:pPr>
      <w:r>
        <w:rPr>
          <w:szCs w:val="24"/>
        </w:rPr>
        <w:t>It is recommended to further study the grinding process specifications for rail welding production and the pre-grinding specifications for passenger-dedicated line railway rails to avoid the occurrence of martensitic structures in rails and welded joints.</w:t>
      </w:r>
    </w:p>
    <w:p w14:paraId="541A7976">
      <w:pPr>
        <w:pStyle w:val="16"/>
        <w:spacing w:before="31" w:after="31"/>
        <w:ind w:firstLine="0" w:firstLineChars="0"/>
        <w:rPr>
          <w:b/>
          <w:bCs/>
          <w:szCs w:val="24"/>
        </w:rPr>
      </w:pPr>
      <w:r>
        <w:rPr>
          <w:b/>
          <w:bCs/>
          <w:szCs w:val="24"/>
        </w:rPr>
        <w:t>6.2.6 Case 6-6 Analysis of Cracking in Shear Walls of an Underground Coastal Parking Structure</w:t>
      </w:r>
    </w:p>
    <w:p w14:paraId="5B4ABADE">
      <w:pPr>
        <w:pStyle w:val="16"/>
        <w:spacing w:before="31" w:after="31"/>
        <w:ind w:firstLine="0" w:firstLineChars="0"/>
        <w:rPr>
          <w:szCs w:val="24"/>
        </w:rPr>
      </w:pPr>
      <w:r>
        <w:rPr>
          <w:szCs w:val="24"/>
        </w:rPr>
        <w:t>(1) Case Name</w:t>
      </w:r>
    </w:p>
    <w:p w14:paraId="5CEFCE4F">
      <w:pPr>
        <w:pStyle w:val="16"/>
        <w:spacing w:before="31" w:after="31"/>
        <w:ind w:firstLine="480"/>
        <w:rPr>
          <w:szCs w:val="24"/>
        </w:rPr>
      </w:pPr>
      <w:r>
        <w:rPr>
          <w:szCs w:val="24"/>
        </w:rPr>
        <w:t>Analysis of Cracking in Shear Walls of an Underground Coastal Parking Structure [8]</w:t>
      </w:r>
    </w:p>
    <w:p w14:paraId="530E0880">
      <w:pPr>
        <w:pStyle w:val="16"/>
        <w:spacing w:before="31" w:after="31"/>
        <w:ind w:firstLine="0" w:firstLineChars="0"/>
        <w:rPr>
          <w:szCs w:val="24"/>
        </w:rPr>
      </w:pPr>
      <w:r>
        <w:rPr>
          <w:szCs w:val="24"/>
        </w:rPr>
        <w:t>(2) Failure Process Description</w:t>
      </w:r>
    </w:p>
    <w:p w14:paraId="5C6906D1">
      <w:pPr>
        <w:pStyle w:val="16"/>
        <w:spacing w:before="31" w:after="31"/>
        <w:ind w:firstLine="480"/>
        <w:rPr>
          <w:szCs w:val="24"/>
        </w:rPr>
      </w:pPr>
      <w:r>
        <w:rPr>
          <w:szCs w:val="24"/>
        </w:rPr>
        <w:t>The structure is a single-level underground framework with shear walls located in a northern coastal city, approximately 200m from the sea. It was designed as a parking structure with an area of about 4810m2. The concrete structure's plan arrangement is sh</w:t>
      </w:r>
      <w:r>
        <w:rPr>
          <w:rFonts w:hint="eastAsia"/>
          <w:szCs w:val="24"/>
        </w:rPr>
        <w:t>own in Figure 6-6.1. After the main concrete casting and backfilling, vertical cracks were observed on the inner side of the shear walls, concentrated between axes ④ and ⑩. Most cracks were concentrated at the bottom of the walls, with heights ranging from</w:t>
      </w:r>
      <w:r>
        <w:rPr>
          <w:szCs w:val="24"/>
        </w:rPr>
        <w:t xml:space="preserve"> 2.0 to 3.0m. Crack spacing was between 2.5 and 4.0m, and crack widths decreased gradually from bottom to top, with the bottom width around 0.3-0.4mm. The cracks were continuous, and water seepage occurred on the wall surface. The distribution of cracks on the shear wall facade is illustrated in Figure 6-6.2.</w:t>
      </w:r>
    </w:p>
    <w:p w14:paraId="1C169362">
      <w:pPr>
        <w:pStyle w:val="16"/>
        <w:spacing w:before="31" w:after="31"/>
        <w:ind w:firstLine="482"/>
        <w:jc w:val="center"/>
        <w:rPr>
          <w:b/>
          <w:bCs/>
          <w:szCs w:val="24"/>
        </w:rPr>
      </w:pPr>
      <w:r>
        <w:rPr>
          <w:b/>
          <w:bCs/>
          <w:szCs w:val="24"/>
        </w:rPr>
        <w:t>Figure 6-6.1: Structural Plan Arrangement</w:t>
      </w:r>
    </w:p>
    <w:p w14:paraId="6D8FE96C">
      <w:pPr>
        <w:pStyle w:val="16"/>
        <w:spacing w:before="31" w:after="31"/>
        <w:ind w:firstLine="482"/>
        <w:jc w:val="center"/>
        <w:rPr>
          <w:b/>
          <w:bCs/>
          <w:szCs w:val="24"/>
        </w:rPr>
      </w:pPr>
      <w:r>
        <w:rPr>
          <w:b/>
          <w:bCs/>
          <w:szCs w:val="24"/>
        </w:rPr>
        <w:t>Distribution Characteristics of Wall Cracks</w:t>
      </w:r>
    </w:p>
    <w:p w14:paraId="62DD5F3A">
      <w:pPr>
        <w:pStyle w:val="16"/>
        <w:spacing w:before="31" w:after="31"/>
        <w:ind w:firstLine="0" w:firstLineChars="0"/>
        <w:rPr>
          <w:szCs w:val="24"/>
        </w:rPr>
      </w:pPr>
      <w:r>
        <w:rPr>
          <w:szCs w:val="24"/>
        </w:rPr>
        <w:t>(3) Service Environment</w:t>
      </w:r>
    </w:p>
    <w:p w14:paraId="619B2237">
      <w:pPr>
        <w:pStyle w:val="16"/>
        <w:spacing w:before="31" w:after="31"/>
        <w:ind w:firstLine="480"/>
        <w:rPr>
          <w:szCs w:val="24"/>
        </w:rPr>
      </w:pPr>
      <w:r>
        <w:rPr>
          <w:szCs w:val="24"/>
        </w:rPr>
        <w:t>Due to the project's proximity to the sea, high humidity is present, leading to potential corrosion of steel reinforcement due to chloride ion intrusion, affecting structural durability and reducing load-bearing capacity.</w:t>
      </w:r>
    </w:p>
    <w:p w14:paraId="62DF0D8B">
      <w:pPr>
        <w:pStyle w:val="16"/>
        <w:spacing w:before="31" w:after="31"/>
        <w:ind w:firstLine="0" w:firstLineChars="0"/>
        <w:rPr>
          <w:szCs w:val="24"/>
        </w:rPr>
      </w:pPr>
      <w:r>
        <w:rPr>
          <w:szCs w:val="24"/>
        </w:rPr>
        <w:t>(4) Failed Components and Material:</w:t>
      </w:r>
    </w:p>
    <w:p w14:paraId="22177F64">
      <w:pPr>
        <w:pStyle w:val="16"/>
        <w:spacing w:before="31" w:after="31"/>
        <w:ind w:firstLine="420" w:firstLineChars="0"/>
        <w:rPr>
          <w:szCs w:val="24"/>
        </w:rPr>
      </w:pPr>
      <w:r>
        <w:rPr>
          <w:szCs w:val="24"/>
        </w:rPr>
        <w:t>Null</w:t>
      </w:r>
    </w:p>
    <w:p w14:paraId="50AFE4BE">
      <w:pPr>
        <w:pStyle w:val="16"/>
        <w:spacing w:before="31" w:after="31"/>
        <w:ind w:firstLine="0" w:firstLineChars="0"/>
        <w:rPr>
          <w:szCs w:val="24"/>
        </w:rPr>
      </w:pPr>
      <w:r>
        <w:rPr>
          <w:szCs w:val="24"/>
        </w:rPr>
        <w:t>(5) Failed Component Morphology:</w:t>
      </w:r>
    </w:p>
    <w:p w14:paraId="06E72631">
      <w:pPr>
        <w:pStyle w:val="16"/>
        <w:spacing w:before="31" w:after="31"/>
        <w:ind w:firstLine="420" w:firstLineChars="0"/>
        <w:rPr>
          <w:szCs w:val="24"/>
        </w:rPr>
      </w:pPr>
      <w:r>
        <w:rPr>
          <w:szCs w:val="24"/>
        </w:rPr>
        <w:t>Null</w:t>
      </w:r>
    </w:p>
    <w:p w14:paraId="1C389630">
      <w:pPr>
        <w:pStyle w:val="16"/>
        <w:spacing w:before="31" w:after="31"/>
        <w:ind w:firstLine="0" w:firstLineChars="0"/>
        <w:rPr>
          <w:szCs w:val="24"/>
        </w:rPr>
      </w:pPr>
      <w:r>
        <w:rPr>
          <w:szCs w:val="24"/>
        </w:rPr>
        <w:t>(6) Failure Cause Analysis</w:t>
      </w:r>
    </w:p>
    <w:p w14:paraId="41E6701A">
      <w:pPr>
        <w:pStyle w:val="16"/>
        <w:spacing w:before="31" w:after="31"/>
        <w:ind w:firstLine="480"/>
        <w:rPr>
          <w:szCs w:val="24"/>
        </w:rPr>
      </w:pPr>
      <w:r>
        <w:rPr>
          <w:szCs w:val="24"/>
        </w:rPr>
        <w:t>Potential factors contributing to the cracking of underground shear walls may include excessive chloride ion content in concrete, soil pressure, concrete shrinkage, and temperature effects.</w:t>
      </w:r>
    </w:p>
    <w:p w14:paraId="59BDC55B">
      <w:pPr>
        <w:pStyle w:val="16"/>
        <w:spacing w:before="31" w:after="31"/>
        <w:ind w:firstLine="480"/>
        <w:rPr>
          <w:szCs w:val="24"/>
        </w:rPr>
      </w:pPr>
      <w:r>
        <w:rPr>
          <w:szCs w:val="24"/>
        </w:rPr>
        <w:t>(a) Chloride Ion Content</w:t>
      </w:r>
    </w:p>
    <w:p w14:paraId="60491DDB">
      <w:pPr>
        <w:pStyle w:val="16"/>
        <w:spacing w:before="31" w:after="31"/>
        <w:ind w:firstLine="480"/>
        <w:rPr>
          <w:szCs w:val="24"/>
        </w:rPr>
      </w:pPr>
      <w:r>
        <w:rPr>
          <w:szCs w:val="24"/>
        </w:rPr>
        <w:t>Samples were taken from the cracked concrete for chloride ion testing, revealing a chloride ion content of 0.06%. This value meets the durability requirements of Class III environments (chloride ion content below 0.1%) as specified in the "Code for Design of Concrete Structures" (GB 50010-2002).</w:t>
      </w:r>
    </w:p>
    <w:p w14:paraId="700B46AD">
      <w:pPr>
        <w:pStyle w:val="16"/>
        <w:spacing w:before="31" w:after="31"/>
        <w:ind w:firstLine="480"/>
        <w:rPr>
          <w:szCs w:val="24"/>
        </w:rPr>
      </w:pPr>
    </w:p>
    <w:p w14:paraId="7BA35F2B">
      <w:pPr>
        <w:pStyle w:val="16"/>
        <w:spacing w:before="31" w:after="31"/>
        <w:ind w:firstLine="480"/>
        <w:rPr>
          <w:szCs w:val="24"/>
        </w:rPr>
      </w:pPr>
      <w:r>
        <w:rPr>
          <w:szCs w:val="24"/>
        </w:rPr>
        <w:t>(b) Soil Pressure</w:t>
      </w:r>
    </w:p>
    <w:p w14:paraId="4586EC6E">
      <w:pPr>
        <w:pStyle w:val="16"/>
        <w:spacing w:before="31" w:after="31"/>
        <w:ind w:firstLine="480"/>
        <w:rPr>
          <w:szCs w:val="24"/>
        </w:rPr>
      </w:pPr>
      <w:r>
        <w:rPr>
          <w:szCs w:val="24"/>
        </w:rPr>
        <w:t>Cracks formed under soil pressure typically exhibit horizontal cracking, while the observed cracks in this project have a vertical orientation. Therefore, soil pressure-induced cracking can be ruled out.</w:t>
      </w:r>
    </w:p>
    <w:p w14:paraId="192C19A9">
      <w:pPr>
        <w:pStyle w:val="16"/>
        <w:spacing w:before="31" w:after="31"/>
        <w:ind w:firstLine="480"/>
        <w:rPr>
          <w:szCs w:val="24"/>
        </w:rPr>
      </w:pPr>
      <w:r>
        <w:rPr>
          <w:szCs w:val="24"/>
        </w:rPr>
        <w:t>(c) Temperature-Induced Cracks</w:t>
      </w:r>
    </w:p>
    <w:p w14:paraId="4BE12EE7">
      <w:pPr>
        <w:pStyle w:val="16"/>
        <w:spacing w:before="31" w:after="31"/>
        <w:ind w:firstLine="480"/>
        <w:rPr>
          <w:szCs w:val="24"/>
        </w:rPr>
      </w:pPr>
      <w:r>
        <w:rPr>
          <w:rFonts w:hint="eastAsia"/>
          <w:szCs w:val="24"/>
        </w:rPr>
        <w:t>Temperature-induced cracks can result from hydration heat or environmental temperature differences. During concrete construction in this project, the external backfill temperature was around 20℃, while the internal structure temperature, without insulation measures, could exceed 60℃. The temperature difference between the inside and outside of the wall, constrained by surrounding frame columns, lower foundation beams, and upper connecting beams, could lead to temperature-induced cracks. The observed cracks'</w:t>
      </w:r>
      <w:r>
        <w:rPr>
          <w:szCs w:val="24"/>
        </w:rPr>
        <w:t xml:space="preserve"> height below the external backfill level supports this hypothesis.</w:t>
      </w:r>
    </w:p>
    <w:p w14:paraId="60C4C037">
      <w:pPr>
        <w:pStyle w:val="16"/>
        <w:spacing w:before="31" w:after="31"/>
        <w:ind w:firstLine="0" w:firstLineChars="0"/>
        <w:rPr>
          <w:szCs w:val="24"/>
        </w:rPr>
      </w:pPr>
      <w:r>
        <w:rPr>
          <w:szCs w:val="24"/>
        </w:rPr>
        <w:t>(7) Impact and Harm Caused</w:t>
      </w:r>
    </w:p>
    <w:p w14:paraId="770EF6C3">
      <w:pPr>
        <w:pStyle w:val="16"/>
        <w:spacing w:before="31" w:after="31"/>
        <w:ind w:firstLine="420" w:firstLineChars="0"/>
        <w:rPr>
          <w:szCs w:val="24"/>
        </w:rPr>
      </w:pPr>
      <w:r>
        <w:rPr>
          <w:szCs w:val="24"/>
        </w:rPr>
        <w:t>Null</w:t>
      </w:r>
    </w:p>
    <w:p w14:paraId="2B652232">
      <w:pPr>
        <w:pStyle w:val="16"/>
        <w:spacing w:before="31" w:after="31"/>
        <w:ind w:firstLine="0" w:firstLineChars="0"/>
        <w:rPr>
          <w:szCs w:val="24"/>
        </w:rPr>
      </w:pPr>
      <w:r>
        <w:rPr>
          <w:szCs w:val="24"/>
        </w:rPr>
        <w:t>(8) Conclusion and Improvement Measures</w:t>
      </w:r>
    </w:p>
    <w:p w14:paraId="61DD9275">
      <w:pPr>
        <w:pStyle w:val="16"/>
        <w:spacing w:before="31" w:after="31"/>
        <w:ind w:firstLine="480"/>
        <w:rPr>
          <w:szCs w:val="24"/>
        </w:rPr>
      </w:pPr>
      <w:r>
        <w:rPr>
          <w:szCs w:val="24"/>
        </w:rPr>
        <w:t>The majority of cracks in the shear walls are attributed to deformation factors, with crack widths generally below 0.3mm. Although not posing an immediate threat to structural safety, most cracks are continuous, impacting normal use and durability. Therefore, remedial measures are recommended.</w:t>
      </w:r>
    </w:p>
    <w:p w14:paraId="0C48787C">
      <w:pPr>
        <w:pStyle w:val="16"/>
        <w:spacing w:before="31" w:after="31"/>
        <w:ind w:firstLine="480"/>
        <w:rPr>
          <w:szCs w:val="24"/>
        </w:rPr>
      </w:pPr>
    </w:p>
    <w:p w14:paraId="5342E8B0">
      <w:pPr>
        <w:pStyle w:val="16"/>
        <w:spacing w:before="31" w:after="31"/>
        <w:ind w:firstLine="480"/>
        <w:rPr>
          <w:szCs w:val="24"/>
        </w:rPr>
      </w:pPr>
      <w:r>
        <w:rPr>
          <w:szCs w:val="24"/>
        </w:rPr>
        <w:t>Common remediation methods involve using epoxy resin to seal surface cracks or injecting micro-expansive cement slurry into V-shaped grooves. However, both methods involve brittle materials, and during concrete shrinkage, surface repairs may develop cracks, leading to water seepage and repair failure. To address this, it is recommended to use crystalline waterproofing materials, specifically Kaiton Baisen KT1 and KB (cement-based permeable crystalline waterproofing materials) produced by Shanghai Kaidun Baisen Company.</w:t>
      </w:r>
    </w:p>
    <w:p w14:paraId="48E59841">
      <w:pPr>
        <w:pStyle w:val="16"/>
        <w:spacing w:before="31" w:after="31"/>
        <w:ind w:firstLine="480"/>
        <w:rPr>
          <w:szCs w:val="24"/>
        </w:rPr>
      </w:pPr>
    </w:p>
    <w:p w14:paraId="73D47451">
      <w:pPr>
        <w:pStyle w:val="16"/>
        <w:spacing w:before="31" w:after="31"/>
        <w:ind w:firstLine="480"/>
        <w:rPr>
          <w:szCs w:val="24"/>
        </w:rPr>
      </w:pPr>
    </w:p>
    <w:p w14:paraId="387F3951">
      <w:pPr>
        <w:pStyle w:val="16"/>
        <w:spacing w:before="31" w:after="31"/>
        <w:ind w:firstLine="0" w:firstLineChars="0"/>
        <w:rPr>
          <w:b/>
          <w:bCs/>
          <w:szCs w:val="24"/>
        </w:rPr>
      </w:pPr>
      <w:r>
        <w:rPr>
          <w:b/>
          <w:bCs/>
          <w:szCs w:val="24"/>
        </w:rPr>
        <w:t>6.2.7 Case 6-7 Corrosion of Rebar in Concrete Piers of Haiyan Bridge</w:t>
      </w:r>
    </w:p>
    <w:p w14:paraId="793BA62A">
      <w:pPr>
        <w:pStyle w:val="16"/>
        <w:spacing w:before="31" w:after="31"/>
        <w:ind w:firstLine="0" w:firstLineChars="0"/>
        <w:rPr>
          <w:szCs w:val="24"/>
        </w:rPr>
      </w:pPr>
      <w:r>
        <w:rPr>
          <w:szCs w:val="24"/>
        </w:rPr>
        <w:t>(1) Case Name</w:t>
      </w:r>
    </w:p>
    <w:p w14:paraId="00629305">
      <w:pPr>
        <w:pStyle w:val="16"/>
        <w:spacing w:before="31" w:after="31"/>
        <w:ind w:firstLine="480"/>
        <w:rPr>
          <w:szCs w:val="24"/>
        </w:rPr>
      </w:pPr>
      <w:r>
        <w:rPr>
          <w:szCs w:val="24"/>
        </w:rPr>
        <w:t>Corrosion of Rebar in Concrete Piers of Haiyan Bridge [9]</w:t>
      </w:r>
    </w:p>
    <w:p w14:paraId="2FF075CC">
      <w:pPr>
        <w:pStyle w:val="16"/>
        <w:spacing w:before="31" w:after="31"/>
        <w:ind w:firstLine="0" w:firstLineChars="0"/>
        <w:rPr>
          <w:szCs w:val="24"/>
        </w:rPr>
      </w:pPr>
      <w:r>
        <w:rPr>
          <w:szCs w:val="24"/>
        </w:rPr>
        <w:t>(2) Failure Process Description</w:t>
      </w:r>
    </w:p>
    <w:p w14:paraId="36E3F1BF">
      <w:pPr>
        <w:pStyle w:val="16"/>
        <w:spacing w:before="31" w:after="31"/>
        <w:ind w:firstLine="480"/>
        <w:rPr>
          <w:szCs w:val="24"/>
        </w:rPr>
      </w:pPr>
      <w:r>
        <w:rPr>
          <w:szCs w:val="24"/>
        </w:rPr>
        <w:t>Haiyan Bridge is located in a shallow water area with a tidal range of 1.2m. The bridge has experienced significant corrosion and damage to its concrete piers within six years of completion. Cracks, delamination of concrete, and reinforcement corrosion were observed, leading to load restrictions.</w:t>
      </w:r>
    </w:p>
    <w:p w14:paraId="4EA077AB">
      <w:pPr>
        <w:pStyle w:val="16"/>
        <w:spacing w:before="31" w:after="31"/>
        <w:ind w:firstLine="482"/>
        <w:jc w:val="center"/>
        <w:rPr>
          <w:b/>
          <w:bCs/>
          <w:szCs w:val="24"/>
        </w:rPr>
      </w:pPr>
      <w:r>
        <w:rPr>
          <w:b/>
          <w:bCs/>
          <w:szCs w:val="24"/>
        </w:rPr>
        <w:t>Figure 6-7.1: Overall Layout of Haiyan Bridge</w:t>
      </w:r>
    </w:p>
    <w:p w14:paraId="2CD45DB4">
      <w:pPr>
        <w:pStyle w:val="16"/>
        <w:spacing w:before="31" w:after="31"/>
        <w:ind w:firstLine="0" w:firstLineChars="0"/>
        <w:rPr>
          <w:szCs w:val="24"/>
        </w:rPr>
      </w:pPr>
      <w:r>
        <w:rPr>
          <w:szCs w:val="24"/>
        </w:rPr>
        <w:t>(3) Service Environment</w:t>
      </w:r>
    </w:p>
    <w:p w14:paraId="6A1B800E">
      <w:pPr>
        <w:pStyle w:val="16"/>
        <w:spacing w:before="31" w:after="31"/>
        <w:ind w:firstLine="480"/>
        <w:rPr>
          <w:szCs w:val="24"/>
        </w:rPr>
      </w:pPr>
      <w:r>
        <w:rPr>
          <w:szCs w:val="24"/>
        </w:rPr>
        <w:t>Located in a shallow water area with a tidal range of 1.2m.</w:t>
      </w:r>
    </w:p>
    <w:p w14:paraId="12820E2F">
      <w:pPr>
        <w:pStyle w:val="16"/>
        <w:spacing w:before="31" w:after="31"/>
        <w:ind w:firstLine="0" w:firstLineChars="0"/>
        <w:rPr>
          <w:szCs w:val="24"/>
        </w:rPr>
      </w:pPr>
      <w:r>
        <w:rPr>
          <w:szCs w:val="24"/>
        </w:rPr>
        <w:t>(4) Failed Components and Material:</w:t>
      </w:r>
    </w:p>
    <w:p w14:paraId="2B509484">
      <w:pPr>
        <w:pStyle w:val="16"/>
        <w:spacing w:before="31" w:after="31"/>
        <w:ind w:firstLine="480"/>
        <w:rPr>
          <w:szCs w:val="24"/>
        </w:rPr>
      </w:pPr>
      <w:r>
        <w:rPr>
          <w:szCs w:val="24"/>
        </w:rPr>
        <w:t>Severe rebar corrosion occurred in the upper part of the concrete piers, leading to longitudinal cracks and peeling of the protective layer. Visual inspections and ultrasonic testing revealed significant damage.</w:t>
      </w:r>
    </w:p>
    <w:p w14:paraId="348EA6CE">
      <w:pPr>
        <w:pStyle w:val="16"/>
        <w:spacing w:before="31" w:after="31"/>
        <w:ind w:firstLine="482"/>
        <w:jc w:val="center"/>
        <w:rPr>
          <w:b/>
          <w:bCs/>
          <w:szCs w:val="24"/>
        </w:rPr>
      </w:pPr>
      <w:r>
        <w:rPr>
          <w:b/>
          <w:bCs/>
          <w:szCs w:val="24"/>
        </w:rPr>
        <w:t>Figure 6-7.2: Vertical Cracks and Cracks in Concrete</w:t>
      </w:r>
    </w:p>
    <w:p w14:paraId="64E43828">
      <w:pPr>
        <w:pStyle w:val="16"/>
        <w:spacing w:before="31" w:after="31"/>
        <w:ind w:firstLine="482"/>
        <w:jc w:val="center"/>
        <w:rPr>
          <w:b/>
          <w:bCs/>
          <w:szCs w:val="24"/>
        </w:rPr>
      </w:pPr>
      <w:r>
        <w:rPr>
          <w:b/>
          <w:bCs/>
          <w:szCs w:val="24"/>
        </w:rPr>
        <w:t>Figure 6-7.3: Peeling of Concrete Protective Layer</w:t>
      </w:r>
    </w:p>
    <w:p w14:paraId="734B35FC">
      <w:pPr>
        <w:pStyle w:val="16"/>
        <w:spacing w:before="31" w:after="31"/>
        <w:ind w:firstLine="0" w:firstLineChars="0"/>
        <w:rPr>
          <w:szCs w:val="24"/>
        </w:rPr>
      </w:pPr>
      <w:r>
        <w:rPr>
          <w:szCs w:val="24"/>
        </w:rPr>
        <w:t>(5) Failed Component Morphology:</w:t>
      </w:r>
    </w:p>
    <w:p w14:paraId="2762FD8F">
      <w:pPr>
        <w:pStyle w:val="16"/>
        <w:spacing w:before="31" w:after="31"/>
        <w:ind w:firstLine="420" w:firstLineChars="0"/>
        <w:rPr>
          <w:szCs w:val="24"/>
        </w:rPr>
      </w:pPr>
      <w:r>
        <w:rPr>
          <w:szCs w:val="24"/>
        </w:rPr>
        <w:t>Null</w:t>
      </w:r>
    </w:p>
    <w:p w14:paraId="3D5152BB">
      <w:pPr>
        <w:pStyle w:val="16"/>
        <w:spacing w:before="31" w:after="31"/>
        <w:ind w:firstLine="0" w:firstLineChars="0"/>
        <w:rPr>
          <w:szCs w:val="24"/>
        </w:rPr>
      </w:pPr>
      <w:r>
        <w:rPr>
          <w:szCs w:val="24"/>
        </w:rPr>
        <w:t>(6) Failure Cause Analysis</w:t>
      </w:r>
    </w:p>
    <w:p w14:paraId="73DFA5B9">
      <w:pPr>
        <w:pStyle w:val="16"/>
        <w:spacing w:before="31" w:after="31"/>
        <w:ind w:firstLine="480"/>
        <w:rPr>
          <w:szCs w:val="24"/>
        </w:rPr>
      </w:pPr>
      <w:r>
        <w:rPr>
          <w:szCs w:val="24"/>
        </w:rPr>
        <w:t>(a) Core Drilling for Concrete Strength</w:t>
      </w:r>
    </w:p>
    <w:p w14:paraId="65E5A995">
      <w:pPr>
        <w:pStyle w:val="16"/>
        <w:spacing w:before="31" w:after="31"/>
        <w:ind w:firstLine="480"/>
        <w:rPr>
          <w:szCs w:val="24"/>
        </w:rPr>
      </w:pPr>
      <w:r>
        <w:rPr>
          <w:szCs w:val="24"/>
        </w:rPr>
        <w:t>Core drilling for concrete compressive strength was conducted based on the Technical Specification for Testing Concrete Strength Using Core Drilling Method (CECS03:88). The results showed that the concrete compressive strength ranged from 40.0MPa to 57.4MPa, meeting design standards.</w:t>
      </w:r>
    </w:p>
    <w:p w14:paraId="36A7B13D">
      <w:pPr>
        <w:pStyle w:val="16"/>
        <w:spacing w:before="31" w:after="31"/>
        <w:ind w:firstLine="480"/>
        <w:rPr>
          <w:szCs w:val="24"/>
        </w:rPr>
      </w:pPr>
    </w:p>
    <w:p w14:paraId="5A475184">
      <w:pPr>
        <w:pStyle w:val="16"/>
        <w:spacing w:before="31" w:after="31"/>
        <w:ind w:firstLine="480"/>
        <w:rPr>
          <w:szCs w:val="24"/>
        </w:rPr>
      </w:pPr>
      <w:r>
        <w:rPr>
          <w:szCs w:val="24"/>
        </w:rPr>
        <w:t>(b) Ultrasonic Testing for Concrete Defects</w:t>
      </w:r>
    </w:p>
    <w:p w14:paraId="7D0F256B">
      <w:pPr>
        <w:pStyle w:val="16"/>
        <w:spacing w:before="31" w:after="31"/>
        <w:ind w:firstLine="480"/>
        <w:rPr>
          <w:szCs w:val="24"/>
        </w:rPr>
      </w:pPr>
      <w:r>
        <w:rPr>
          <w:szCs w:val="24"/>
        </w:rPr>
        <w:t>Ultrasonic testing for concrete defects was conducted following the Technical Specification for Ultrasonic Testing of Concrete Defects (CECS21:90). Results showed that areas with intact concrete surfaces had higher wave velocities, indicating denser internal structures. Areas with surface cracks exhibited weaker signals, suggesting internal porosity. Combining this with core drilling results indicated delamination of the concrete surface layer.</w:t>
      </w:r>
    </w:p>
    <w:p w14:paraId="491B6C5C">
      <w:pPr>
        <w:pStyle w:val="16"/>
        <w:spacing w:before="31" w:after="31"/>
        <w:ind w:firstLine="480"/>
        <w:rPr>
          <w:szCs w:val="24"/>
        </w:rPr>
      </w:pPr>
    </w:p>
    <w:p w14:paraId="3C18F43E">
      <w:pPr>
        <w:pStyle w:val="16"/>
        <w:spacing w:before="31" w:after="31"/>
        <w:ind w:firstLine="480"/>
        <w:rPr>
          <w:szCs w:val="24"/>
        </w:rPr>
      </w:pPr>
      <w:r>
        <w:rPr>
          <w:szCs w:val="24"/>
        </w:rPr>
        <w:t>(c) Detection of Rebar Corrosion Degree</w:t>
      </w:r>
    </w:p>
    <w:p w14:paraId="245EBACD">
      <w:pPr>
        <w:pStyle w:val="16"/>
        <w:spacing w:before="31" w:after="31"/>
        <w:ind w:firstLine="480"/>
        <w:rPr>
          <w:szCs w:val="24"/>
        </w:rPr>
      </w:pPr>
      <w:r>
        <w:rPr>
          <w:szCs w:val="24"/>
        </w:rPr>
        <w:t>Corrosion detection was performed on severely damaged upper sections of piers, and the data indicated significant corrosion, with rebar loss of approximately 2mm in diameter. Water samples from under the bridge showed elevated chloride and sulfate ion concentrations, exceeding the limits for reinforced concrete.</w:t>
      </w:r>
    </w:p>
    <w:p w14:paraId="613120DD">
      <w:pPr>
        <w:pStyle w:val="16"/>
        <w:spacing w:before="31" w:after="31"/>
        <w:ind w:firstLine="480"/>
        <w:rPr>
          <w:szCs w:val="24"/>
        </w:rPr>
      </w:pPr>
    </w:p>
    <w:p w14:paraId="34C6A8AF">
      <w:pPr>
        <w:pStyle w:val="16"/>
        <w:spacing w:before="31" w:after="31"/>
        <w:ind w:firstLine="480"/>
        <w:rPr>
          <w:szCs w:val="24"/>
        </w:rPr>
      </w:pPr>
      <w:r>
        <w:rPr>
          <w:szCs w:val="24"/>
        </w:rPr>
        <w:t>(d) Water Sample Analysis</w:t>
      </w:r>
    </w:p>
    <w:p w14:paraId="444218B7">
      <w:pPr>
        <w:pStyle w:val="16"/>
        <w:spacing w:before="31" w:after="31"/>
        <w:ind w:firstLine="480"/>
        <w:rPr>
          <w:szCs w:val="24"/>
        </w:rPr>
      </w:pPr>
      <w:r>
        <w:rPr>
          <w:szCs w:val="24"/>
        </w:rPr>
        <w:t>Analysis of water samples revealed high chloride and sulfate ion concentrations in seawater under the bridge, contributing to the corrosion of rebar in concrete.</w:t>
      </w:r>
    </w:p>
    <w:p w14:paraId="798D09A2">
      <w:pPr>
        <w:pStyle w:val="16"/>
        <w:spacing w:before="31" w:after="31"/>
        <w:ind w:firstLine="0" w:firstLineChars="0"/>
        <w:rPr>
          <w:szCs w:val="24"/>
        </w:rPr>
      </w:pPr>
      <w:r>
        <w:rPr>
          <w:szCs w:val="24"/>
        </w:rPr>
        <w:t>(7) Impact and Harm Caused</w:t>
      </w:r>
    </w:p>
    <w:p w14:paraId="32B79712">
      <w:pPr>
        <w:pStyle w:val="16"/>
        <w:spacing w:before="31" w:after="31"/>
        <w:ind w:firstLine="420" w:firstLineChars="0"/>
        <w:rPr>
          <w:szCs w:val="24"/>
        </w:rPr>
      </w:pPr>
      <w:r>
        <w:rPr>
          <w:szCs w:val="24"/>
        </w:rPr>
        <w:t>Null</w:t>
      </w:r>
    </w:p>
    <w:p w14:paraId="40287109">
      <w:pPr>
        <w:pStyle w:val="16"/>
        <w:spacing w:before="31" w:after="31"/>
        <w:ind w:firstLine="0" w:firstLineChars="0"/>
        <w:rPr>
          <w:szCs w:val="24"/>
        </w:rPr>
      </w:pPr>
      <w:r>
        <w:rPr>
          <w:szCs w:val="24"/>
        </w:rPr>
        <w:t>(8) Conclusion and Improvement Measures</w:t>
      </w:r>
    </w:p>
    <w:p w14:paraId="6A854D5E">
      <w:pPr>
        <w:pStyle w:val="16"/>
        <w:spacing w:before="31" w:after="31"/>
        <w:ind w:firstLine="480"/>
        <w:rPr>
          <w:szCs w:val="24"/>
        </w:rPr>
      </w:pPr>
      <w:r>
        <w:rPr>
          <w:szCs w:val="24"/>
        </w:rPr>
        <w:t>Despite being in service for only six years, the bridge's lower structures have experienced severe corrosion due to the harsh marine environment. The piers are in the third stage of corrosion, and the process is accelerating. To ensure the bridge's structural integrity and longevity, repairs and corrosion prevention measures are necessary.</w:t>
      </w:r>
    </w:p>
    <w:p w14:paraId="785BC581">
      <w:pPr>
        <w:pStyle w:val="16"/>
        <w:spacing w:before="31" w:after="31"/>
        <w:ind w:firstLine="480"/>
        <w:rPr>
          <w:szCs w:val="24"/>
        </w:rPr>
      </w:pPr>
      <w:r>
        <w:rPr>
          <w:szCs w:val="24"/>
        </w:rPr>
        <w:t>Given the insufficient protective layer thickness in the original design (2.5cm), which does not meet the specification's requirements for coastal areas (5cm), it is recommended to remove damaged or deteriorated concrete areas, perform necessary rebar rust removal and strengthening, and then pour new concrete to ensure an adequate impermeable protective layer (thickness and density). Specific measures include:</w:t>
      </w:r>
    </w:p>
    <w:p w14:paraId="7A9DD1F1">
      <w:pPr>
        <w:pStyle w:val="16"/>
        <w:spacing w:before="31" w:after="31"/>
        <w:ind w:firstLine="480"/>
        <w:rPr>
          <w:szCs w:val="24"/>
        </w:rPr>
      </w:pPr>
      <w:r>
        <w:rPr>
          <w:szCs w:val="24"/>
        </w:rPr>
        <w:t>(a) Chisel vertical grooves at least 5cm wide along the main rebar cracks in the range of 30cm below the top of the pier pile cap. Expose the main rebar and remove the damaged protective layer, with a depth not less than 0.5cm from undamaged concrete.</w:t>
      </w:r>
    </w:p>
    <w:p w14:paraId="7D1B3027">
      <w:pPr>
        <w:pStyle w:val="16"/>
        <w:spacing w:before="31" w:after="31"/>
        <w:ind w:firstLine="480"/>
        <w:rPr>
          <w:szCs w:val="24"/>
        </w:rPr>
      </w:pPr>
      <w:r>
        <w:rPr>
          <w:szCs w:val="24"/>
        </w:rPr>
        <w:t>(b) Chisel the surface concrete of the pier column in damaged and untreated areas to create a rough surface.</w:t>
      </w:r>
    </w:p>
    <w:p w14:paraId="581A29B6">
      <w:pPr>
        <w:pStyle w:val="16"/>
        <w:spacing w:before="31" w:after="31"/>
        <w:ind w:firstLine="480"/>
        <w:rPr>
          <w:szCs w:val="24"/>
        </w:rPr>
      </w:pPr>
      <w:r>
        <w:rPr>
          <w:szCs w:val="24"/>
        </w:rPr>
        <w:t>(c) Remove rust from corroded rebar, install rebar cages, and pour concrete.</w:t>
      </w:r>
    </w:p>
    <w:p w14:paraId="7E9F21F3">
      <w:pPr>
        <w:pStyle w:val="16"/>
        <w:spacing w:before="31" w:after="31"/>
        <w:ind w:firstLine="480"/>
        <w:rPr>
          <w:szCs w:val="24"/>
        </w:rPr>
      </w:pPr>
      <w:r>
        <w:rPr>
          <w:szCs w:val="24"/>
        </w:rPr>
        <w:t>(d) To improve concrete density, control the water-cement ratio strictly during concrete mixing (maximum water-cement ratio of 0.50-0.55). Use 350-400kg/m3 of cement in the concrete mix and add 3% of the cement quantity of the Rl-103 rust inhibitor (with a water-reducing component and a water-reducing rate of about 16%). During pouring, pay attention to maintaining roughly the same elevation of the concrete around the pier.</w:t>
      </w:r>
    </w:p>
    <w:p w14:paraId="3B305308">
      <w:pPr>
        <w:pStyle w:val="16"/>
        <w:spacing w:before="31" w:after="31"/>
        <w:ind w:firstLine="0" w:firstLineChars="0"/>
        <w:rPr>
          <w:b/>
          <w:bCs/>
          <w:szCs w:val="24"/>
        </w:rPr>
      </w:pPr>
      <w:r>
        <w:rPr>
          <w:b/>
          <w:bCs/>
          <w:szCs w:val="24"/>
        </w:rPr>
        <w:t>6.2.8 Case 6-8: Subsidence of Roadbed in Southern Shaanxi</w:t>
      </w:r>
    </w:p>
    <w:p w14:paraId="47EE2F8D">
      <w:pPr>
        <w:pStyle w:val="16"/>
        <w:spacing w:before="31" w:after="31"/>
        <w:ind w:firstLine="0" w:firstLineChars="0"/>
        <w:rPr>
          <w:szCs w:val="24"/>
        </w:rPr>
      </w:pPr>
      <w:r>
        <w:rPr>
          <w:szCs w:val="24"/>
        </w:rPr>
        <w:t>(1) Case Name</w:t>
      </w:r>
    </w:p>
    <w:p w14:paraId="17A2FF4E">
      <w:pPr>
        <w:pStyle w:val="16"/>
        <w:spacing w:before="31" w:after="31"/>
        <w:ind w:firstLine="480"/>
        <w:rPr>
          <w:szCs w:val="24"/>
        </w:rPr>
      </w:pPr>
      <w:r>
        <w:rPr>
          <w:szCs w:val="24"/>
        </w:rPr>
        <w:t>Subsidence of Roadbed in Southern Shaanxi [10]</w:t>
      </w:r>
    </w:p>
    <w:p w14:paraId="632906F6">
      <w:pPr>
        <w:pStyle w:val="16"/>
        <w:spacing w:before="31" w:after="31"/>
        <w:ind w:firstLine="0" w:firstLineChars="0"/>
        <w:rPr>
          <w:szCs w:val="24"/>
        </w:rPr>
      </w:pPr>
      <w:r>
        <w:rPr>
          <w:szCs w:val="24"/>
        </w:rPr>
        <w:t>(2) Description of Failure Process</w:t>
      </w:r>
    </w:p>
    <w:p w14:paraId="37FCEAFA">
      <w:pPr>
        <w:pStyle w:val="16"/>
        <w:spacing w:before="31" w:after="31"/>
        <w:ind w:firstLine="480"/>
        <w:rPr>
          <w:szCs w:val="24"/>
        </w:rPr>
      </w:pPr>
      <w:r>
        <w:rPr>
          <w:szCs w:val="24"/>
        </w:rPr>
        <w:t>National Highway 316 in the Shaanxi section has a total length of 622.798 km. The geological structure along the route is complex, and the prominent conflicts between human and land have led to extensive exploitation of natural resources, causing a rapid deterioration of the environment. The initial construction grade of the road was low, and despite years of renovation and maintenance, insufficient investment and inadequate treatment in some areas have resulted in annual occurrences of roadbed subsidence, significantly impacting the social and economic development of the Qinba Mountain region in Southern Shaanxi.</w:t>
      </w:r>
    </w:p>
    <w:p w14:paraId="56276C9F">
      <w:pPr>
        <w:pStyle w:val="16"/>
        <w:spacing w:before="31" w:after="31"/>
        <w:ind w:firstLine="0" w:firstLineChars="0"/>
        <w:rPr>
          <w:szCs w:val="24"/>
        </w:rPr>
      </w:pPr>
      <w:r>
        <w:rPr>
          <w:szCs w:val="24"/>
        </w:rPr>
        <w:t>(3) Service Environment</w:t>
      </w:r>
    </w:p>
    <w:p w14:paraId="417F022D">
      <w:pPr>
        <w:pStyle w:val="16"/>
        <w:spacing w:before="31" w:after="31"/>
        <w:ind w:firstLine="420" w:firstLineChars="0"/>
        <w:rPr>
          <w:szCs w:val="24"/>
        </w:rPr>
      </w:pPr>
      <w:r>
        <w:rPr>
          <w:szCs w:val="24"/>
        </w:rPr>
        <w:t>Null</w:t>
      </w:r>
    </w:p>
    <w:p w14:paraId="40836033">
      <w:pPr>
        <w:pStyle w:val="16"/>
        <w:spacing w:before="31" w:after="31"/>
        <w:ind w:firstLine="0" w:firstLineChars="0"/>
        <w:rPr>
          <w:szCs w:val="24"/>
        </w:rPr>
      </w:pPr>
      <w:r>
        <w:rPr>
          <w:szCs w:val="24"/>
        </w:rPr>
        <w:t>(4) Failed Components and Material</w:t>
      </w:r>
    </w:p>
    <w:p w14:paraId="0B0E54EE">
      <w:pPr>
        <w:pStyle w:val="16"/>
        <w:spacing w:before="31" w:after="31"/>
        <w:ind w:firstLine="420" w:firstLineChars="0"/>
        <w:rPr>
          <w:szCs w:val="24"/>
        </w:rPr>
      </w:pPr>
      <w:r>
        <w:rPr>
          <w:szCs w:val="24"/>
        </w:rPr>
        <w:t>Null</w:t>
      </w:r>
    </w:p>
    <w:p w14:paraId="3FDCDE1E">
      <w:pPr>
        <w:pStyle w:val="16"/>
        <w:spacing w:before="31" w:after="31"/>
        <w:ind w:firstLine="0" w:firstLineChars="0"/>
        <w:rPr>
          <w:szCs w:val="24"/>
        </w:rPr>
      </w:pPr>
      <w:r>
        <w:rPr>
          <w:szCs w:val="24"/>
        </w:rPr>
        <w:t>(5) Failed Component Morphology</w:t>
      </w:r>
    </w:p>
    <w:p w14:paraId="62DFC222">
      <w:pPr>
        <w:pStyle w:val="16"/>
        <w:spacing w:before="31" w:after="31"/>
        <w:ind w:firstLine="420" w:firstLineChars="0"/>
        <w:rPr>
          <w:rFonts w:hint="eastAsia"/>
          <w:szCs w:val="24"/>
        </w:rPr>
      </w:pPr>
      <w:r>
        <w:rPr>
          <w:szCs w:val="24"/>
        </w:rPr>
        <w:t>Null</w:t>
      </w:r>
    </w:p>
    <w:p w14:paraId="7CCF49F7">
      <w:pPr>
        <w:pStyle w:val="16"/>
        <w:spacing w:before="31" w:after="31"/>
        <w:ind w:firstLine="0" w:firstLineChars="0"/>
        <w:rPr>
          <w:szCs w:val="24"/>
        </w:rPr>
      </w:pPr>
      <w:r>
        <w:rPr>
          <w:szCs w:val="24"/>
        </w:rPr>
        <w:t>(6) Analysis of Failure Causes</w:t>
      </w:r>
    </w:p>
    <w:p w14:paraId="37557E12">
      <w:pPr>
        <w:pStyle w:val="16"/>
        <w:spacing w:before="31" w:after="31"/>
        <w:ind w:firstLine="480"/>
        <w:rPr>
          <w:szCs w:val="24"/>
        </w:rPr>
      </w:pPr>
      <w:r>
        <w:rPr>
          <w:szCs w:val="24"/>
        </w:rPr>
        <w:t>(a) Category 1 Damage</w:t>
      </w:r>
    </w:p>
    <w:p w14:paraId="65D23D65">
      <w:pPr>
        <w:pStyle w:val="16"/>
        <w:spacing w:before="31" w:after="31"/>
        <w:ind w:firstLine="480"/>
        <w:rPr>
          <w:szCs w:val="24"/>
        </w:rPr>
      </w:pPr>
      <w:r>
        <w:rPr>
          <w:szCs w:val="24"/>
        </w:rPr>
        <w:t>The specifications classify soil embankments with a height greater than 12m (with sand and gravel as fill material) or 20m (with materials other than sand, gravel as fill) as high embankments. Areas filled with fine-grained soil to build embankments with a height exceeding 6m in rice fields or perennially flooded areas and embankments with a height exceeding 20m in other areas are defined as high-fill embankments. One instance of roadbed subsidence (K1936+100~+130) was caused by high embankments. The predominant rock types in Southern Shaanxi are reddish-brown, yellowish-brown clay, and subclay. The low density, high compressibility, and low bearing capacity of the surface soil make it susceptible to compression settlement and squeezing displacement when the roadbed fill material increases, resulting in ground subsidence. The subsidence manifests as uneven settling, local sinking, and overall subsidence on the road surface. Roadbed subsidence occurs in two categories: roadbed subsidence and foundation subsidence.</w:t>
      </w:r>
    </w:p>
    <w:p w14:paraId="4D8A491F">
      <w:pPr>
        <w:pStyle w:val="16"/>
        <w:spacing w:before="31" w:after="31"/>
        <w:ind w:firstLine="0" w:firstLineChars="0"/>
        <w:rPr>
          <w:szCs w:val="24"/>
        </w:rPr>
      </w:pPr>
      <w:r>
        <w:rPr>
          <w:szCs w:val="24"/>
        </w:rPr>
        <w:t>(b) Category 2 Damage</w:t>
      </w:r>
    </w:p>
    <w:p w14:paraId="4D2406A6">
      <w:pPr>
        <w:pStyle w:val="16"/>
        <w:spacing w:before="31" w:after="31"/>
        <w:ind w:firstLine="480"/>
        <w:rPr>
          <w:szCs w:val="24"/>
        </w:rPr>
      </w:pPr>
      <w:r>
        <w:rPr>
          <w:szCs w:val="24"/>
        </w:rPr>
        <w:t>Southern Shaanxi spans a warm temperate zone and a northern subtropical zone, with a climate transitioning from maritime to continental. The region experiences a warm climate with abundant rainfall, ranging from 800 to 1200mm annually, concentrated mainly in July to September in the form of continuous, heavy, and torrential rains. During the annual rainy season, accumulated water on the ground, not effectively drained, gathers at the foot of slopes. Rainwater infiltrates loose roadbed fill material, increasing soil pressure and causing partial subsidence of the roadbed under load, with severe cases leading to overall roadbed subsidence. There are five instances of this type of disaster in Southern Shaanxi. In the K1866+000~+100 segment, as shown in Figure 6-8.1, the upper slope and side ditch have been damaged, leading to water erosion on the slope surface. Without timely repair, rainwater collected in the slope surface enters the roadbed through cracks in the side ditch, causing roadbed subsidence.</w:t>
      </w:r>
    </w:p>
    <w:p w14:paraId="34E30792">
      <w:pPr>
        <w:pStyle w:val="16"/>
        <w:spacing w:before="31" w:after="31"/>
        <w:ind w:firstLine="482"/>
        <w:jc w:val="center"/>
        <w:rPr>
          <w:b/>
          <w:bCs/>
          <w:szCs w:val="24"/>
        </w:rPr>
      </w:pPr>
      <w:r>
        <w:rPr>
          <w:b/>
          <w:bCs/>
          <w:szCs w:val="24"/>
        </w:rPr>
        <w:t>Figure 6-8.1 Damage to side ditch at K1866+000</w:t>
      </w:r>
    </w:p>
    <w:p w14:paraId="04A64715">
      <w:pPr>
        <w:pStyle w:val="16"/>
        <w:spacing w:before="31" w:after="31"/>
        <w:ind w:firstLine="480"/>
        <w:rPr>
          <w:szCs w:val="24"/>
        </w:rPr>
      </w:pPr>
      <w:r>
        <w:rPr>
          <w:szCs w:val="24"/>
        </w:rPr>
        <w:t>(c) Category 3 Damage</w:t>
      </w:r>
    </w:p>
    <w:p w14:paraId="7A019856">
      <w:pPr>
        <w:pStyle w:val="16"/>
        <w:spacing w:before="31" w:after="31"/>
        <w:ind w:firstLine="480"/>
        <w:rPr>
          <w:szCs w:val="24"/>
        </w:rPr>
      </w:pPr>
      <w:r>
        <w:rPr>
          <w:szCs w:val="24"/>
        </w:rPr>
        <w:t>Southern Shaanxi is an area with widespread distribution of weak rock layers such as shale, slate, and Qianmei rock. The slopes and residual layers are thick, and the predominant soil types are cohesive and expansive soils. Abundant groundwater often springs out at the contact surfaces of rock layers, softening weak rock layers like Qianmei rock, reducing the bearing capacity of the roadbed, and causing subsidence. In the K1242+100~+350 section, the roadbed soil is medium-weak expansive soil, which shrinks and cracks when dry and expands and softens when wet. When used as roadbed fill material, serious shrinkage cracking occurs with the loss of soil moisture, leading to repeated cycles of drying and wetting, causing significant harm to the highway.</w:t>
      </w:r>
    </w:p>
    <w:p w14:paraId="2A3E25C9">
      <w:pPr>
        <w:pStyle w:val="16"/>
        <w:spacing w:before="31" w:after="31"/>
        <w:ind w:firstLine="480"/>
        <w:rPr>
          <w:szCs w:val="24"/>
        </w:rPr>
      </w:pPr>
      <w:r>
        <w:rPr>
          <w:szCs w:val="24"/>
        </w:rPr>
        <w:t>(d) Category 4 Damage</w:t>
      </w:r>
    </w:p>
    <w:p w14:paraId="2D3C6451">
      <w:pPr>
        <w:pStyle w:val="16"/>
        <w:spacing w:before="31" w:after="31"/>
        <w:ind w:firstLine="480"/>
        <w:rPr>
          <w:szCs w:val="24"/>
        </w:rPr>
      </w:pPr>
      <w:r>
        <w:rPr>
          <w:szCs w:val="24"/>
        </w:rPr>
        <w:t>The unique geographical environment of the Qinba Mountain region in Southern Shaanxi is conducive to active surface processes, especially the prominent development of landslides. Poor drainage facilities around landslides and within the sliding mass reduce shear strength. A sliding surface of sliding soil is formed at the boundary between excavation and fill, causing vertical movement at the rear half of the roadbed after a landslide and resulting in roadbed subsidence. There are two instances of this type of disaster: K1228+200~+300 and K1747+230~+270. Figure 6-8.2 shows the severe subsidence of the roadbed after the Han River water recession.</w:t>
      </w:r>
    </w:p>
    <w:p w14:paraId="5B347AB3">
      <w:pPr>
        <w:pStyle w:val="16"/>
        <w:spacing w:before="31" w:after="31"/>
        <w:ind w:firstLine="482"/>
        <w:jc w:val="center"/>
        <w:rPr>
          <w:b/>
          <w:bCs/>
          <w:szCs w:val="24"/>
        </w:rPr>
      </w:pPr>
      <w:r>
        <w:rPr>
          <w:b/>
          <w:bCs/>
          <w:szCs w:val="24"/>
        </w:rPr>
        <w:t>Figure 6-8.2 Roadbed subsidence at K1747+230~+270</w:t>
      </w:r>
    </w:p>
    <w:p w14:paraId="0753FDE6">
      <w:pPr>
        <w:pStyle w:val="16"/>
        <w:spacing w:before="31" w:after="31"/>
        <w:ind w:firstLine="480"/>
        <w:rPr>
          <w:szCs w:val="24"/>
        </w:rPr>
      </w:pPr>
      <w:r>
        <w:rPr>
          <w:szCs w:val="24"/>
        </w:rPr>
        <w:t>(e) Category 5 Damage</w:t>
      </w:r>
    </w:p>
    <w:p w14:paraId="3C400977">
      <w:pPr>
        <w:pStyle w:val="16"/>
        <w:spacing w:before="31" w:after="31"/>
        <w:ind w:firstLine="480"/>
        <w:rPr>
          <w:szCs w:val="24"/>
        </w:rPr>
      </w:pPr>
      <w:r>
        <w:rPr>
          <w:szCs w:val="24"/>
        </w:rPr>
        <w:t>The water system in the Qinling Mountains is well developed, with the Han River system accounting for 61.2% of the total drainage area. The Han River valley is relatively narrow, with high water flow, fast flow velocity, and large water level fluctuations. During the flood season, water levels in the river can vary by 10 to 20 meters, reaching a maximum of 30 meters. At the same time, the water level and flow of the Han River are affected by the flood discharge from upstream reservoirs, often causing fluctuations in the roadbed's lower slopes. In the K1822+200~+300 section, subsidence occurs every year after the flood, with cracks in the road surface near the outer edge of the road, as shown in Figure 6-8.3. Roadbed subsidence leads to surface cracking and water seepage.</w:t>
      </w:r>
    </w:p>
    <w:p w14:paraId="501DDC92">
      <w:pPr>
        <w:pStyle w:val="16"/>
        <w:spacing w:before="31" w:after="31"/>
        <w:ind w:firstLine="482"/>
        <w:jc w:val="center"/>
        <w:rPr>
          <w:b/>
          <w:bCs/>
          <w:szCs w:val="24"/>
        </w:rPr>
      </w:pPr>
      <w:r>
        <w:rPr>
          <w:rFonts w:hint="eastAsia"/>
          <w:b/>
          <w:bCs/>
          <w:szCs w:val="24"/>
        </w:rPr>
        <w:t>Figure 6-8.3 Roadbed cracking at K1822+200～+300</w:t>
      </w:r>
    </w:p>
    <w:p w14:paraId="72C6FE2E">
      <w:pPr>
        <w:pStyle w:val="16"/>
        <w:spacing w:before="31" w:after="31"/>
        <w:ind w:firstLine="0" w:firstLineChars="0"/>
        <w:rPr>
          <w:szCs w:val="24"/>
        </w:rPr>
      </w:pPr>
      <w:r>
        <w:rPr>
          <w:szCs w:val="24"/>
        </w:rPr>
        <w:t>(7) Impact and Harm Caused</w:t>
      </w:r>
    </w:p>
    <w:p w14:paraId="57121183">
      <w:pPr>
        <w:pStyle w:val="16"/>
        <w:spacing w:before="31" w:after="31"/>
        <w:ind w:firstLine="420" w:firstLineChars="0"/>
        <w:rPr>
          <w:szCs w:val="24"/>
        </w:rPr>
      </w:pPr>
      <w:r>
        <w:rPr>
          <w:szCs w:val="24"/>
        </w:rPr>
        <w:t>Null</w:t>
      </w:r>
    </w:p>
    <w:p w14:paraId="24A3B32B">
      <w:pPr>
        <w:pStyle w:val="16"/>
        <w:spacing w:before="31" w:after="31"/>
        <w:ind w:firstLine="0" w:firstLineChars="0"/>
        <w:rPr>
          <w:szCs w:val="24"/>
        </w:rPr>
      </w:pPr>
      <w:r>
        <w:rPr>
          <w:szCs w:val="24"/>
        </w:rPr>
        <w:t>(8) Conclusions and Improvement Measures</w:t>
      </w:r>
    </w:p>
    <w:p w14:paraId="371D4234">
      <w:pPr>
        <w:pStyle w:val="16"/>
        <w:spacing w:before="31" w:after="31"/>
        <w:ind w:firstLine="480"/>
        <w:rPr>
          <w:szCs w:val="24"/>
        </w:rPr>
      </w:pPr>
      <w:r>
        <w:rPr>
          <w:szCs w:val="24"/>
        </w:rPr>
        <w:t>(a) Conclusions</w:t>
      </w:r>
    </w:p>
    <w:p w14:paraId="7881869A">
      <w:pPr>
        <w:pStyle w:val="16"/>
        <w:spacing w:before="31" w:after="31"/>
        <w:ind w:firstLine="480"/>
        <w:rPr>
          <w:szCs w:val="24"/>
        </w:rPr>
      </w:pPr>
      <w:r>
        <w:rPr>
          <w:szCs w:val="24"/>
        </w:rPr>
        <w:t>The roadbed subsidence in Southern Shaanxi is caused by multiple factors, including landslides, floods, soil quality, and construction activities. It is essential to prioritize and implement measures tailored to the specific conditions of each area to effectively address the issues. Additionally, water is a crucial factor leading to roadbed subsidence, and effective measures to eliminate roadbed water and prevent water infiltration are necessary to ensure roadbed stability.</w:t>
      </w:r>
    </w:p>
    <w:p w14:paraId="1C15A740">
      <w:pPr>
        <w:pStyle w:val="16"/>
        <w:spacing w:before="31" w:after="31"/>
        <w:ind w:firstLine="480"/>
        <w:rPr>
          <w:szCs w:val="24"/>
        </w:rPr>
      </w:pPr>
      <w:r>
        <w:rPr>
          <w:szCs w:val="24"/>
        </w:rPr>
        <w:t>(b) Improvement Measures</w:t>
      </w:r>
    </w:p>
    <w:p w14:paraId="05BE0BE9">
      <w:pPr>
        <w:pStyle w:val="16"/>
        <w:spacing w:before="31" w:after="31"/>
        <w:ind w:firstLine="480"/>
        <w:rPr>
          <w:szCs w:val="24"/>
        </w:rPr>
      </w:pPr>
      <w:r>
        <w:rPr>
          <w:szCs w:val="24"/>
        </w:rPr>
        <w:t>Following the principles of "tailoring measures to local conditions, comprehensive management, and cost-effectiveness," the following improvement measures are proposed:</w:t>
      </w:r>
    </w:p>
    <w:p w14:paraId="0F953D8D">
      <w:pPr>
        <w:pStyle w:val="16"/>
        <w:spacing w:before="31" w:after="31"/>
        <w:ind w:firstLine="480"/>
        <w:rPr>
          <w:szCs w:val="24"/>
        </w:rPr>
      </w:pPr>
      <w:r>
        <w:rPr>
          <w:szCs w:val="24"/>
        </w:rPr>
        <w:t>1. For roadbed subsidence caused by high embankments, the consolidation method with overburden pressure should be employed to strengthen the foundation. After the construction of the new roadbed is completed, a load exceeding the calculated pressure value of the roadbed should be applied to compact the foundation soil. Controlling construction quality is crucial, with pre-treatment of the base by removing tree roots, weeds, etc. The roadbed fill material should be well-graded coarse soil. Suitable compaction machinery should be used to compact the roadbed, with a focus on controlling compaction quality and enhancing the density and uniformity of the soil. Adequate drainage measures should also be implemented.</w:t>
      </w:r>
    </w:p>
    <w:p w14:paraId="6C80C6C5">
      <w:pPr>
        <w:pStyle w:val="16"/>
        <w:spacing w:before="31" w:after="31"/>
        <w:ind w:firstLine="480"/>
        <w:rPr>
          <w:szCs w:val="24"/>
        </w:rPr>
      </w:pPr>
      <w:r>
        <w:rPr>
          <w:szCs w:val="24"/>
        </w:rPr>
        <w:t>2. For roadbed construction on loose accumulations, construction of retaining structures such as retaining walls should be prioritized to enhance soil stability. Surface drainage facilities should be improved. Retaining walls help prevent deformation and instability of the filled soil and are suitable for unstable slopes, such as high-fill embankments and riverbank roadbeds subjected to long-term immersion. Larger retaining walls can be made in a stepped fashion to disperse soil pressure more effectively. Meanwhile,</w:t>
      </w:r>
    </w:p>
    <w:p w14:paraId="44AA3513">
      <w:pPr>
        <w:pStyle w:val="16"/>
        <w:spacing w:before="31" w:after="31"/>
        <w:ind w:firstLine="480"/>
        <w:rPr>
          <w:szCs w:val="24"/>
        </w:rPr>
      </w:pPr>
      <w:r>
        <w:rPr>
          <w:szCs w:val="24"/>
        </w:rPr>
        <w:t>drainage facilities should be improved to timely divert surface water from the roadbed, preventing infiltration.</w:t>
      </w:r>
    </w:p>
    <w:p w14:paraId="627DACA6">
      <w:pPr>
        <w:pStyle w:val="16"/>
        <w:spacing w:before="31" w:after="31"/>
        <w:ind w:firstLine="480"/>
        <w:rPr>
          <w:szCs w:val="24"/>
        </w:rPr>
      </w:pPr>
      <w:r>
        <w:rPr>
          <w:szCs w:val="24"/>
        </w:rPr>
        <w:t>3. Special attention should be given to the widespread distribution of expansive soils, clay, and accumulated soil in Southern Shaanxi. Measures should be taken to address roadbed subsidence caused by the softening of these soils when exposed to water. The use of soil mixing piles for foundation treatment is recommended, especially in areas with expansive soils and clay. This method is cost-effective, convenient, and environmentally friendly, with no vibration, noise, or pollution during construction. It effectively improves the bearing capacity of the foundation while enhancing the underground drainage system. Additionally, internal drainage ditches should be constructed in the roadbed, collecting groundwater through infiltration. The use of permeable concrete and geotextile can replace or be part of the filter layer to improve filtration efficiency. The use of TENAX three-dimensional composite drainage nets can strengthen the foundation, providing rapid drainage and cost savings.</w:t>
      </w:r>
    </w:p>
    <w:p w14:paraId="06A2A639">
      <w:pPr>
        <w:pStyle w:val="16"/>
        <w:spacing w:before="31" w:after="31"/>
        <w:ind w:firstLine="480"/>
        <w:rPr>
          <w:szCs w:val="24"/>
        </w:rPr>
      </w:pPr>
      <w:r>
        <w:rPr>
          <w:szCs w:val="24"/>
        </w:rPr>
        <w:t>4. For roadbed subsidence caused by landslides, landslide control should be the focus. Structural support should be provided by installing anti-slide structures, such as anti-slide walls at the lower part of the landslide and shoulder walls in local sections of the road. This enhances anti-slide resistance, stabilizing the landslide. To enhance the natural anti-slide capabilities of the sliding mass, water interception ditches should be constructed along the perimeter of the landslide. Surface water intercepted around the landslide is directed into roadside ditches, cutting off the erosion of the landslide by surface water and the replenishment of groundwater to the sliding mass. In addition, inclined drainage pipes should be installed in the lower slopes of the roadbed to eliminate groundwater and improve the shear resistance of the slope.</w:t>
      </w:r>
    </w:p>
    <w:p w14:paraId="03576E1E">
      <w:pPr>
        <w:pStyle w:val="16"/>
        <w:spacing w:before="31" w:after="31"/>
        <w:ind w:firstLine="0" w:firstLineChars="0"/>
        <w:rPr>
          <w:szCs w:val="24"/>
        </w:rPr>
      </w:pPr>
      <w:r>
        <w:rPr>
          <w:szCs w:val="24"/>
        </w:rPr>
        <w:t>5. Floods have a significant impact on riverside highways in Southern Shaanxi. To reduce the erosion and infiltration of floodwaters on the roadbed and slopes, protective walls should be constructed. These walls can support the roadbed fill and ensure stability. They offer the advantages of convenient construction and simple structure. Wire gabions are commonly used for protective walls, and the foundation should have sufficient depth during construction. Slope protection should also be applied to enhance slope stability. Additionally, drainage facilities should be complemented by the construction of culverts to ensure smooth drainage, preventing the intrusion of rainwater and groundwater. After treatment, the roadbed subsidence sections in Southern Shaanxi are currently in good operational condition. The construction of retaining walls has shown significant effectiveness and economic efficiency. Some sections, however, did not achieve the desired results due to construction reasons, indicating the need for improved construction quality.</w:t>
      </w:r>
    </w:p>
    <w:p w14:paraId="2FFDE418">
      <w:pPr>
        <w:pStyle w:val="16"/>
        <w:spacing w:before="31" w:after="31"/>
        <w:ind w:firstLine="0" w:firstLineChars="0"/>
        <w:rPr>
          <w:rFonts w:hint="eastAsia"/>
          <w:b/>
          <w:bCs/>
          <w:szCs w:val="24"/>
        </w:rPr>
      </w:pPr>
      <w:r>
        <w:rPr>
          <w:b/>
          <w:bCs/>
          <w:szCs w:val="24"/>
        </w:rPr>
        <w:t>6.3 Summary</w:t>
      </w:r>
    </w:p>
    <w:p w14:paraId="3A244AE7">
      <w:pPr>
        <w:pStyle w:val="16"/>
        <w:spacing w:before="31" w:after="31"/>
        <w:ind w:firstLine="0" w:firstLineChars="0"/>
        <w:rPr>
          <w:b/>
          <w:bCs/>
          <w:szCs w:val="24"/>
        </w:rPr>
      </w:pPr>
      <w:r>
        <w:rPr>
          <w:b/>
          <w:bCs/>
          <w:szCs w:val="24"/>
        </w:rPr>
        <w:t>6.3.1 Major Failure Modes and Issues</w:t>
      </w:r>
    </w:p>
    <w:p w14:paraId="1D5A661F">
      <w:pPr>
        <w:pStyle w:val="16"/>
        <w:spacing w:before="31" w:after="31"/>
        <w:ind w:firstLine="480"/>
        <w:rPr>
          <w:szCs w:val="24"/>
        </w:rPr>
      </w:pPr>
    </w:p>
    <w:p w14:paraId="300C83D0">
      <w:pPr>
        <w:pStyle w:val="16"/>
        <w:spacing w:before="31" w:after="31"/>
        <w:ind w:firstLine="0" w:firstLineChars="0"/>
        <w:rPr>
          <w:szCs w:val="24"/>
        </w:rPr>
      </w:pPr>
      <w:r>
        <w:rPr>
          <w:szCs w:val="24"/>
        </w:rPr>
        <w:t>6.3.1.1 Major Failure Modes</w:t>
      </w:r>
    </w:p>
    <w:p w14:paraId="390BF341">
      <w:pPr>
        <w:pStyle w:val="16"/>
        <w:spacing w:before="31" w:after="31"/>
        <w:ind w:firstLine="240" w:firstLineChars="100"/>
        <w:rPr>
          <w:szCs w:val="24"/>
        </w:rPr>
      </w:pPr>
      <w:r>
        <w:rPr>
          <w:szCs w:val="24"/>
        </w:rPr>
        <w:t>Based on the results of accident investigations, in the field of highway construction, the main failure modes are roadbed subsidence and pavement damage. In railway construction, rail damage is the primary failure mode. In civil infrastructure construction, such as bridges, concrete failure, including issues like corrosion and cracking, is the main problem. Specific investigation cases have been analyzed in terms of material factors, production and construction, design reasons, and environmental factors to summarize the causes of accidents. For detailed information, refer to Table 6-6.</w:t>
      </w:r>
    </w:p>
    <w:p w14:paraId="60363811">
      <w:pPr>
        <w:pStyle w:val="16"/>
        <w:spacing w:before="31" w:after="31"/>
        <w:ind w:firstLine="0" w:firstLineChars="0"/>
        <w:rPr>
          <w:szCs w:val="24"/>
        </w:rPr>
      </w:pPr>
      <w:r>
        <w:rPr>
          <w:szCs w:val="24"/>
        </w:rPr>
        <w:t>6.3.1.2 Existing Issues</w:t>
      </w:r>
    </w:p>
    <w:p w14:paraId="453E913A">
      <w:pPr>
        <w:pStyle w:val="16"/>
        <w:spacing w:before="31" w:after="31"/>
        <w:ind w:firstLine="240" w:firstLineChars="100"/>
        <w:rPr>
          <w:szCs w:val="24"/>
        </w:rPr>
      </w:pPr>
      <w:r>
        <w:rPr>
          <w:szCs w:val="24"/>
        </w:rPr>
        <w:t>Through investigations, it has been identified that the failure issues in highway construction and civil infrastructure construction, such as bridges, are mainly caused by construction quality and human-related factors. Particularly, human-related factors are challenging to control and represent a complex issue that requires further resolution. In the case of railway track damage, aside from the initial material selection issues, the primary concern is the impact of train operations on the rails, which is also challenging to control effectively. Therefore, compared to other industries, the most apparent issue in the infrastructure sector is the impact of human-related factors on facilities.</w:t>
      </w:r>
    </w:p>
    <w:p w14:paraId="1EFABE55">
      <w:pPr>
        <w:pStyle w:val="16"/>
        <w:spacing w:before="31" w:after="31"/>
        <w:ind w:firstLine="241" w:firstLineChars="100"/>
        <w:jc w:val="center"/>
        <w:rPr>
          <w:rFonts w:hint="eastAsia"/>
          <w:b/>
          <w:bCs/>
          <w:szCs w:val="24"/>
        </w:rPr>
      </w:pPr>
      <w:r>
        <w:rPr>
          <w:rFonts w:hint="eastAsia"/>
          <w:b/>
          <w:bCs/>
          <w:szCs w:val="24"/>
        </w:rPr>
        <w:t>表6-6 Summary Table of Infrastructure Industry Failure Case Investigations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4A4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2D3394E">
            <w:pPr>
              <w:pStyle w:val="16"/>
              <w:spacing w:before="31" w:after="31"/>
              <w:ind w:firstLine="0" w:firstLineChars="0"/>
              <w:rPr>
                <w:szCs w:val="24"/>
              </w:rPr>
            </w:pPr>
            <w:r>
              <w:rPr>
                <w:szCs w:val="24"/>
              </w:rPr>
              <w:t>| Serial Number | Case Name                                         | Failure Reasons                            |</w:t>
            </w:r>
          </w:p>
        </w:tc>
      </w:tr>
      <w:tr w14:paraId="2E07C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09638A4">
            <w:pPr>
              <w:pStyle w:val="16"/>
              <w:spacing w:before="31" w:after="31"/>
              <w:ind w:firstLine="0" w:firstLineChars="0"/>
              <w:rPr>
                <w:rFonts w:hint="eastAsia"/>
                <w:szCs w:val="24"/>
              </w:rPr>
            </w:pPr>
            <w:r>
              <w:rPr>
                <w:rFonts w:hint="eastAsia"/>
                <w:szCs w:val="24"/>
              </w:rPr>
              <w:t>| Case 6-1      | Cracking under the anchor of the 0th block of a continuous rigid frame box girder bridge | √ (Material itself), √ (Construction)      |</w:t>
            </w:r>
          </w:p>
        </w:tc>
      </w:tr>
      <w:tr w14:paraId="18838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B2D6B8A">
            <w:pPr>
              <w:pStyle w:val="16"/>
              <w:spacing w:before="31" w:after="31"/>
              <w:ind w:firstLine="0" w:firstLineChars="0"/>
              <w:rPr>
                <w:rFonts w:hint="eastAsia"/>
                <w:szCs w:val="24"/>
              </w:rPr>
            </w:pPr>
            <w:r>
              <w:rPr>
                <w:rFonts w:hint="eastAsia"/>
                <w:szCs w:val="24"/>
              </w:rPr>
              <w:t>| Case 6-2      | Cracks in the closure area of the Fuli Taoyuan Bridge box girder | √ (Material itself), √ (Construction)      |</w:t>
            </w:r>
          </w:p>
        </w:tc>
      </w:tr>
      <w:tr w14:paraId="3FFD6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9C0AEC5">
            <w:pPr>
              <w:pStyle w:val="16"/>
              <w:spacing w:before="31" w:after="31"/>
              <w:ind w:firstLine="0" w:firstLineChars="0"/>
              <w:rPr>
                <w:rFonts w:hint="eastAsia"/>
                <w:szCs w:val="24"/>
              </w:rPr>
            </w:pPr>
            <w:r>
              <w:rPr>
                <w:rFonts w:hint="eastAsia"/>
                <w:szCs w:val="24"/>
              </w:rPr>
              <w:t>| Case 6-3      | Fracture of the iron pad of the turnout on the passenger dedicated line | √ (Material itself)                        |</w:t>
            </w:r>
          </w:p>
        </w:tc>
      </w:tr>
      <w:tr w14:paraId="52DF8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788B6F3">
            <w:pPr>
              <w:pStyle w:val="16"/>
              <w:spacing w:before="31" w:after="31"/>
              <w:ind w:firstLine="0" w:firstLineChars="0"/>
              <w:rPr>
                <w:rFonts w:hint="eastAsia"/>
                <w:szCs w:val="24"/>
              </w:rPr>
            </w:pPr>
            <w:r>
              <w:rPr>
                <w:rFonts w:hint="eastAsia"/>
                <w:szCs w:val="24"/>
              </w:rPr>
              <w:t>| Case 6-4      | Diagonal crack damage on the rail tread surface   | √ (Material itself), √ (Environmental)     |</w:t>
            </w:r>
          </w:p>
        </w:tc>
      </w:tr>
      <w:tr w14:paraId="4F1F3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5A03BB3">
            <w:pPr>
              <w:pStyle w:val="16"/>
              <w:spacing w:before="31" w:after="31"/>
              <w:ind w:firstLine="0" w:firstLineChars="0"/>
              <w:rPr>
                <w:rFonts w:hint="eastAsia"/>
                <w:szCs w:val="24"/>
              </w:rPr>
            </w:pPr>
            <w:r>
              <w:rPr>
                <w:rFonts w:hint="eastAsia"/>
                <w:szCs w:val="24"/>
              </w:rPr>
              <w:t>| Case 6-5      | Lateral cracks on the rail surface at the flash welding joint | √ (Material itself)                        |</w:t>
            </w:r>
          </w:p>
        </w:tc>
      </w:tr>
      <w:tr w14:paraId="24682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B9BD5DB">
            <w:pPr>
              <w:pStyle w:val="16"/>
              <w:spacing w:before="31" w:after="31"/>
              <w:ind w:firstLine="0" w:firstLineChars="0"/>
              <w:rPr>
                <w:rFonts w:hint="eastAsia"/>
                <w:szCs w:val="24"/>
              </w:rPr>
            </w:pPr>
            <w:r>
              <w:rPr>
                <w:rFonts w:hint="eastAsia"/>
                <w:szCs w:val="24"/>
              </w:rPr>
              <w:t>| Case 6-6      | Analysis of cracking in the shear wall of an underground parking lot in a coastal area | √ (Environmental)                         |</w:t>
            </w:r>
          </w:p>
        </w:tc>
      </w:tr>
      <w:tr w14:paraId="78452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9EF315A">
            <w:pPr>
              <w:pStyle w:val="16"/>
              <w:spacing w:before="31" w:after="31"/>
              <w:ind w:firstLine="0" w:firstLineChars="0"/>
              <w:rPr>
                <w:rFonts w:hint="eastAsia"/>
                <w:szCs w:val="24"/>
              </w:rPr>
            </w:pPr>
            <w:r>
              <w:rPr>
                <w:rFonts w:hint="eastAsia"/>
                <w:szCs w:val="24"/>
              </w:rPr>
              <w:t>| Case 6-7      | Corrosion of steel reinforcement in the pier of Haiyan Bridge | √ (Material itself), √ (Construction)      |</w:t>
            </w:r>
          </w:p>
        </w:tc>
      </w:tr>
      <w:tr w14:paraId="01969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F1DB432">
            <w:pPr>
              <w:pStyle w:val="16"/>
              <w:spacing w:before="31" w:after="31"/>
              <w:ind w:firstLine="0" w:firstLineChars="0"/>
              <w:rPr>
                <w:rFonts w:hint="eastAsia"/>
                <w:szCs w:val="24"/>
              </w:rPr>
            </w:pPr>
            <w:r>
              <w:rPr>
                <w:rFonts w:hint="eastAsia"/>
                <w:szCs w:val="24"/>
              </w:rPr>
              <w:t>| Case 6-8      | Subsidence of the roadbed in Southern Shaanxi     | √ (Material itself), √ (Environmental)     |</w:t>
            </w:r>
          </w:p>
        </w:tc>
      </w:tr>
    </w:tbl>
    <w:p w14:paraId="6F64C92A">
      <w:pPr>
        <w:pStyle w:val="16"/>
        <w:spacing w:before="31" w:after="31"/>
        <w:ind w:firstLine="0" w:firstLineChars="0"/>
        <w:rPr>
          <w:rFonts w:hint="eastAsia"/>
          <w:b/>
          <w:bCs/>
          <w:szCs w:val="24"/>
        </w:rPr>
      </w:pPr>
      <w:r>
        <w:rPr>
          <w:b/>
          <w:bCs/>
          <w:szCs w:val="24"/>
        </w:rPr>
        <w:t>6.3.2 Current Status of Failure Accident Investigations</w:t>
      </w:r>
    </w:p>
    <w:p w14:paraId="45EF0588">
      <w:pPr>
        <w:pStyle w:val="16"/>
        <w:spacing w:before="31" w:after="31"/>
        <w:ind w:firstLine="240" w:firstLineChars="100"/>
        <w:rPr>
          <w:szCs w:val="24"/>
        </w:rPr>
      </w:pPr>
      <w:r>
        <w:rPr>
          <w:szCs w:val="24"/>
        </w:rPr>
        <w:t>In the infrastructure industry, failure accidents often involve large structures and materials, and the situations are generally complex. The current analysis of failure cases that have been investigated is mostly at a macro level. Particularly in the field of highway construction, the analysis has not yet reached a research-oriented level. The provided solutions and preventive measures tend to be relatively general, diminishing the prominence and significance of failure analysis work.</w:t>
      </w:r>
    </w:p>
    <w:p w14:paraId="65D41B32">
      <w:pPr>
        <w:pStyle w:val="16"/>
        <w:spacing w:before="31" w:after="31"/>
        <w:ind w:firstLine="0" w:firstLineChars="0"/>
        <w:rPr>
          <w:rFonts w:hint="eastAsia"/>
          <w:b/>
          <w:bCs/>
          <w:sz w:val="32"/>
          <w:szCs w:val="32"/>
        </w:rPr>
      </w:pPr>
      <w:r>
        <w:rPr>
          <w:b/>
          <w:bCs/>
          <w:sz w:val="32"/>
          <w:szCs w:val="32"/>
        </w:rPr>
        <w:t>7 Summary of Aerospace Failure Cases</w:t>
      </w:r>
    </w:p>
    <w:p w14:paraId="15243432">
      <w:pPr>
        <w:pStyle w:val="16"/>
        <w:spacing w:before="31" w:after="31"/>
        <w:ind w:firstLine="240" w:firstLineChars="100"/>
        <w:rPr>
          <w:szCs w:val="24"/>
        </w:rPr>
      </w:pPr>
      <w:r>
        <w:rPr>
          <w:szCs w:val="24"/>
        </w:rPr>
        <w:t>In the aerospace industry, the occurrence of structural material failure events is common due to the complexity of operational loads and the diversity of operational environments. Various forms of failures are observed in this field. Given the well-recognized severity and potential harm of aerospace accidents, a comprehensive set of maintenance and repair measures and regulations have been established in both design and operation. Numerous failure analyses, prevention, and design improvement studies have been conducted, particularly addressing various typical accidents [1-10]. These efforts have effectively prevented the occurrence of major catastrophic accidents. Most material failure incidents are discovered during external inspections and major overhauls of aircraft, and they are promptly addressed.</w:t>
      </w:r>
    </w:p>
    <w:p w14:paraId="47713284">
      <w:pPr>
        <w:pStyle w:val="16"/>
        <w:spacing w:before="31" w:after="31"/>
        <w:ind w:firstLine="240" w:firstLineChars="100"/>
        <w:rPr>
          <w:szCs w:val="24"/>
        </w:rPr>
      </w:pPr>
      <w:r>
        <w:rPr>
          <w:szCs w:val="24"/>
        </w:rPr>
        <w:t>However, despite the extensive measures and studies in place, structural and material failure incidents still occur in the aerospace field. These incidents can range from causing disruptions in the normal operation of aerospace vehicles, resulting in significant economic losses, to posing serious threats to flight safety, human lives, and societal stability. In light of this situation, this chapter investigates failure incidents in the aerospace field, compiling a total of 21 typical cases.</w:t>
      </w:r>
    </w:p>
    <w:p w14:paraId="6DFC993A">
      <w:pPr>
        <w:pStyle w:val="20"/>
        <w:spacing w:before="468" w:after="156"/>
        <w:rPr>
          <w:color w:val="000000"/>
        </w:rPr>
      </w:pPr>
      <w:r>
        <w:rPr>
          <w:rFonts w:hint="eastAsia"/>
          <w:color w:val="000000"/>
        </w:rPr>
        <w:t>表</w:t>
      </w:r>
      <w:r>
        <w:rPr>
          <w:color w:val="000000"/>
        </w:rPr>
        <w:t>7-1</w:t>
      </w:r>
      <w:r>
        <w:rPr>
          <w:rFonts w:hint="eastAsia"/>
          <w:color w:val="000000"/>
        </w:rPr>
        <w:t>航空航天行业失效案例调研总结表</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93"/>
        <w:gridCol w:w="5040"/>
        <w:gridCol w:w="1020"/>
      </w:tblGrid>
      <w:tr w14:paraId="50FAA4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3" w:type="dxa"/>
            <w:tcBorders>
              <w:top w:val="single" w:color="auto" w:sz="12" w:space="0"/>
              <w:left w:val="nil"/>
              <w:bottom w:val="single" w:color="auto" w:sz="12" w:space="0"/>
              <w:right w:val="nil"/>
            </w:tcBorders>
            <w:vAlign w:val="center"/>
          </w:tcPr>
          <w:p w14:paraId="15B32C47">
            <w:pPr>
              <w:pStyle w:val="16"/>
              <w:spacing w:before="31" w:after="31"/>
              <w:ind w:firstLine="0" w:firstLineChars="0"/>
              <w:jc w:val="center"/>
              <w:rPr>
                <w:color w:val="000000"/>
                <w:sz w:val="21"/>
                <w:szCs w:val="21"/>
              </w:rPr>
            </w:pPr>
            <w:r>
              <w:rPr>
                <w:color w:val="000000"/>
                <w:sz w:val="21"/>
                <w:szCs w:val="21"/>
              </w:rPr>
              <w:t>Achievement</w:t>
            </w:r>
          </w:p>
          <w:p w14:paraId="0E8F3245">
            <w:pPr>
              <w:pStyle w:val="16"/>
              <w:spacing w:before="31" w:after="31"/>
              <w:ind w:firstLine="0" w:firstLineChars="0"/>
              <w:jc w:val="center"/>
              <w:rPr>
                <w:color w:val="000000"/>
                <w:sz w:val="21"/>
                <w:szCs w:val="21"/>
              </w:rPr>
            </w:pPr>
          </w:p>
        </w:tc>
        <w:tc>
          <w:tcPr>
            <w:tcW w:w="5040" w:type="dxa"/>
            <w:tcBorders>
              <w:top w:val="single" w:color="auto" w:sz="12" w:space="0"/>
              <w:left w:val="nil"/>
              <w:bottom w:val="single" w:color="auto" w:sz="12" w:space="0"/>
              <w:right w:val="nil"/>
            </w:tcBorders>
            <w:vAlign w:val="center"/>
          </w:tcPr>
          <w:p w14:paraId="26883FA2">
            <w:pPr>
              <w:pStyle w:val="16"/>
              <w:spacing w:before="31" w:after="31" w:line="240" w:lineRule="auto"/>
              <w:ind w:firstLine="0" w:firstLineChars="0"/>
              <w:jc w:val="center"/>
              <w:rPr>
                <w:color w:val="000000"/>
                <w:sz w:val="21"/>
                <w:szCs w:val="21"/>
              </w:rPr>
            </w:pPr>
            <w:r>
              <w:rPr>
                <w:color w:val="000000"/>
                <w:sz w:val="21"/>
                <w:szCs w:val="21"/>
              </w:rPr>
              <w:t>Aerospace Industry</w:t>
            </w:r>
          </w:p>
        </w:tc>
        <w:tc>
          <w:tcPr>
            <w:tcW w:w="1020" w:type="dxa"/>
            <w:tcBorders>
              <w:top w:val="single" w:color="auto" w:sz="12" w:space="0"/>
              <w:left w:val="nil"/>
              <w:bottom w:val="single" w:color="auto" w:sz="12" w:space="0"/>
              <w:right w:val="nil"/>
            </w:tcBorders>
            <w:vAlign w:val="center"/>
          </w:tcPr>
          <w:p w14:paraId="53FDF707">
            <w:pPr>
              <w:pStyle w:val="16"/>
              <w:spacing w:before="31" w:after="31"/>
              <w:ind w:firstLine="0" w:firstLineChars="0"/>
              <w:jc w:val="center"/>
              <w:rPr>
                <w:color w:val="000000"/>
                <w:sz w:val="21"/>
                <w:szCs w:val="21"/>
              </w:rPr>
            </w:pPr>
            <w:r>
              <w:rPr>
                <w:color w:val="000000"/>
                <w:sz w:val="21"/>
                <w:szCs w:val="21"/>
              </w:rPr>
              <w:t>Total</w:t>
            </w:r>
          </w:p>
        </w:tc>
      </w:tr>
      <w:tr w14:paraId="520730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3" w:type="dxa"/>
            <w:tcBorders>
              <w:top w:val="single" w:color="auto" w:sz="12" w:space="0"/>
              <w:left w:val="nil"/>
              <w:bottom w:val="nil"/>
              <w:right w:val="nil"/>
            </w:tcBorders>
            <w:vAlign w:val="center"/>
          </w:tcPr>
          <w:p w14:paraId="3A923853">
            <w:pPr>
              <w:pStyle w:val="16"/>
              <w:spacing w:before="31" w:after="31" w:line="240" w:lineRule="auto"/>
              <w:ind w:firstLine="0" w:firstLineChars="0"/>
              <w:jc w:val="center"/>
              <w:rPr>
                <w:color w:val="000000"/>
                <w:sz w:val="21"/>
                <w:szCs w:val="21"/>
              </w:rPr>
            </w:pPr>
            <w:r>
              <w:rPr>
                <w:color w:val="000000"/>
                <w:sz w:val="21"/>
                <w:szCs w:val="21"/>
              </w:rPr>
              <w:t>Number of Cases</w:t>
            </w:r>
          </w:p>
        </w:tc>
        <w:tc>
          <w:tcPr>
            <w:tcW w:w="5040" w:type="dxa"/>
            <w:tcBorders>
              <w:top w:val="single" w:color="auto" w:sz="12" w:space="0"/>
              <w:left w:val="nil"/>
              <w:bottom w:val="nil"/>
              <w:right w:val="nil"/>
            </w:tcBorders>
            <w:vAlign w:val="center"/>
          </w:tcPr>
          <w:p w14:paraId="1687A3CB">
            <w:pPr>
              <w:pStyle w:val="16"/>
              <w:spacing w:before="31" w:after="31"/>
              <w:ind w:firstLine="0" w:firstLineChars="0"/>
              <w:jc w:val="center"/>
              <w:rPr>
                <w:color w:val="000000"/>
                <w:sz w:val="21"/>
                <w:szCs w:val="21"/>
              </w:rPr>
            </w:pPr>
            <w:r>
              <w:rPr>
                <w:color w:val="000000"/>
                <w:sz w:val="21"/>
                <w:szCs w:val="21"/>
              </w:rPr>
              <w:t>21</w:t>
            </w:r>
          </w:p>
        </w:tc>
        <w:tc>
          <w:tcPr>
            <w:tcW w:w="1020" w:type="dxa"/>
            <w:tcBorders>
              <w:top w:val="single" w:color="auto" w:sz="12" w:space="0"/>
              <w:left w:val="nil"/>
              <w:bottom w:val="nil"/>
              <w:right w:val="nil"/>
            </w:tcBorders>
            <w:vAlign w:val="center"/>
          </w:tcPr>
          <w:p w14:paraId="6CA35BD7">
            <w:pPr>
              <w:pStyle w:val="16"/>
              <w:spacing w:before="31" w:after="31"/>
              <w:ind w:firstLine="0" w:firstLineChars="0"/>
              <w:jc w:val="center"/>
              <w:rPr>
                <w:color w:val="000000"/>
                <w:sz w:val="21"/>
                <w:szCs w:val="21"/>
              </w:rPr>
            </w:pPr>
            <w:r>
              <w:rPr>
                <w:color w:val="000000"/>
                <w:sz w:val="21"/>
                <w:szCs w:val="21"/>
              </w:rPr>
              <w:t>21</w:t>
            </w:r>
          </w:p>
        </w:tc>
      </w:tr>
      <w:tr w14:paraId="30E48D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3" w:type="dxa"/>
            <w:tcBorders>
              <w:top w:val="nil"/>
              <w:left w:val="nil"/>
              <w:bottom w:val="nil"/>
              <w:right w:val="nil"/>
            </w:tcBorders>
            <w:vAlign w:val="center"/>
          </w:tcPr>
          <w:p w14:paraId="78E35A80">
            <w:pPr>
              <w:pStyle w:val="16"/>
              <w:spacing w:before="31" w:after="31" w:line="240" w:lineRule="auto"/>
              <w:ind w:firstLine="0" w:firstLineChars="0"/>
              <w:jc w:val="center"/>
              <w:rPr>
                <w:color w:val="000000"/>
                <w:sz w:val="21"/>
                <w:szCs w:val="21"/>
              </w:rPr>
            </w:pPr>
            <w:r>
              <w:rPr>
                <w:color w:val="000000"/>
                <w:sz w:val="21"/>
                <w:szCs w:val="21"/>
              </w:rPr>
              <w:t>Image Data</w:t>
            </w:r>
          </w:p>
        </w:tc>
        <w:tc>
          <w:tcPr>
            <w:tcW w:w="5040" w:type="dxa"/>
            <w:tcBorders>
              <w:top w:val="nil"/>
              <w:left w:val="nil"/>
              <w:bottom w:val="nil"/>
              <w:right w:val="nil"/>
            </w:tcBorders>
            <w:vAlign w:val="center"/>
          </w:tcPr>
          <w:p w14:paraId="4513D1CB">
            <w:pPr>
              <w:pStyle w:val="16"/>
              <w:spacing w:before="31" w:after="31"/>
              <w:ind w:firstLine="0" w:firstLineChars="0"/>
              <w:jc w:val="center"/>
              <w:rPr>
                <w:color w:val="000000"/>
                <w:sz w:val="21"/>
                <w:szCs w:val="21"/>
              </w:rPr>
            </w:pPr>
            <w:r>
              <w:rPr>
                <w:color w:val="000000"/>
                <w:sz w:val="21"/>
                <w:szCs w:val="21"/>
              </w:rPr>
              <w:t>144</w:t>
            </w:r>
          </w:p>
        </w:tc>
        <w:tc>
          <w:tcPr>
            <w:tcW w:w="1020" w:type="dxa"/>
            <w:tcBorders>
              <w:top w:val="nil"/>
              <w:left w:val="nil"/>
              <w:bottom w:val="nil"/>
              <w:right w:val="nil"/>
            </w:tcBorders>
            <w:vAlign w:val="center"/>
          </w:tcPr>
          <w:p w14:paraId="246424CD">
            <w:pPr>
              <w:pStyle w:val="16"/>
              <w:spacing w:before="31" w:after="31"/>
              <w:ind w:firstLine="0" w:firstLineChars="0"/>
              <w:jc w:val="center"/>
              <w:rPr>
                <w:color w:val="000000"/>
                <w:sz w:val="21"/>
                <w:szCs w:val="21"/>
              </w:rPr>
            </w:pPr>
            <w:r>
              <w:rPr>
                <w:color w:val="000000"/>
                <w:sz w:val="21"/>
                <w:szCs w:val="21"/>
              </w:rPr>
              <w:t>144</w:t>
            </w:r>
          </w:p>
        </w:tc>
      </w:tr>
      <w:tr w14:paraId="11B8DB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3" w:type="dxa"/>
            <w:tcBorders>
              <w:top w:val="nil"/>
              <w:left w:val="nil"/>
              <w:bottom w:val="single" w:color="auto" w:sz="12" w:space="0"/>
              <w:right w:val="nil"/>
            </w:tcBorders>
            <w:vAlign w:val="center"/>
          </w:tcPr>
          <w:p w14:paraId="4B26E6C4">
            <w:pPr>
              <w:pStyle w:val="16"/>
              <w:spacing w:before="31" w:after="31" w:line="240" w:lineRule="auto"/>
              <w:ind w:firstLine="0" w:firstLineChars="0"/>
              <w:jc w:val="center"/>
              <w:rPr>
                <w:color w:val="000000"/>
                <w:sz w:val="21"/>
                <w:szCs w:val="21"/>
              </w:rPr>
            </w:pPr>
            <w:r>
              <w:rPr>
                <w:color w:val="000000"/>
                <w:sz w:val="21"/>
                <w:szCs w:val="21"/>
              </w:rPr>
              <w:t>References</w:t>
            </w:r>
          </w:p>
        </w:tc>
        <w:tc>
          <w:tcPr>
            <w:tcW w:w="5040" w:type="dxa"/>
            <w:tcBorders>
              <w:top w:val="nil"/>
              <w:left w:val="nil"/>
              <w:bottom w:val="single" w:color="auto" w:sz="12" w:space="0"/>
              <w:right w:val="nil"/>
            </w:tcBorders>
            <w:vAlign w:val="center"/>
          </w:tcPr>
          <w:p w14:paraId="2E6FC339">
            <w:pPr>
              <w:pStyle w:val="16"/>
              <w:spacing w:before="31" w:after="31"/>
              <w:ind w:firstLine="0" w:firstLineChars="0"/>
              <w:jc w:val="center"/>
              <w:rPr>
                <w:color w:val="000000"/>
                <w:sz w:val="21"/>
                <w:szCs w:val="21"/>
              </w:rPr>
            </w:pPr>
            <w:r>
              <w:rPr>
                <w:color w:val="000000"/>
                <w:sz w:val="21"/>
                <w:szCs w:val="21"/>
              </w:rPr>
              <w:t>31</w:t>
            </w:r>
          </w:p>
        </w:tc>
        <w:tc>
          <w:tcPr>
            <w:tcW w:w="1020" w:type="dxa"/>
            <w:tcBorders>
              <w:top w:val="nil"/>
              <w:left w:val="nil"/>
              <w:bottom w:val="single" w:color="auto" w:sz="12" w:space="0"/>
              <w:right w:val="nil"/>
            </w:tcBorders>
            <w:vAlign w:val="center"/>
          </w:tcPr>
          <w:p w14:paraId="10A12944">
            <w:pPr>
              <w:pStyle w:val="16"/>
              <w:spacing w:before="31" w:after="31"/>
              <w:ind w:firstLine="0" w:firstLineChars="0"/>
              <w:jc w:val="center"/>
              <w:rPr>
                <w:color w:val="000000"/>
                <w:sz w:val="21"/>
                <w:szCs w:val="21"/>
              </w:rPr>
            </w:pPr>
            <w:r>
              <w:rPr>
                <w:color w:val="000000"/>
                <w:sz w:val="21"/>
                <w:szCs w:val="21"/>
              </w:rPr>
              <w:t>31</w:t>
            </w:r>
          </w:p>
        </w:tc>
      </w:tr>
    </w:tbl>
    <w:p w14:paraId="4FC2B37B">
      <w:pPr>
        <w:pStyle w:val="16"/>
        <w:spacing w:before="31" w:after="31"/>
        <w:ind w:firstLine="240" w:firstLineChars="100"/>
        <w:rPr>
          <w:szCs w:val="24"/>
        </w:rPr>
      </w:pPr>
    </w:p>
    <w:p w14:paraId="34A16A1A">
      <w:pPr>
        <w:pStyle w:val="16"/>
        <w:spacing w:before="31" w:after="31"/>
        <w:ind w:firstLine="241" w:firstLineChars="100"/>
        <w:rPr>
          <w:b/>
          <w:bCs/>
          <w:szCs w:val="24"/>
        </w:rPr>
      </w:pPr>
      <w:r>
        <w:rPr>
          <w:b/>
          <w:bCs/>
          <w:szCs w:val="24"/>
        </w:rPr>
        <w:t>7.1 Common Sites of Failure Incidents</w:t>
      </w:r>
    </w:p>
    <w:p w14:paraId="2F704196">
      <w:pPr>
        <w:pStyle w:val="16"/>
        <w:spacing w:before="31" w:after="31"/>
        <w:ind w:firstLine="240" w:firstLineChars="100"/>
        <w:rPr>
          <w:szCs w:val="24"/>
        </w:rPr>
      </w:pPr>
    </w:p>
    <w:p w14:paraId="0090DEAE">
      <w:pPr>
        <w:pStyle w:val="16"/>
        <w:spacing w:before="31" w:after="31"/>
        <w:ind w:firstLine="240" w:firstLineChars="100"/>
        <w:rPr>
          <w:szCs w:val="24"/>
        </w:rPr>
      </w:pPr>
      <w:r>
        <w:rPr>
          <w:szCs w:val="24"/>
        </w:rPr>
        <w:t>(1) Engine Components:</w:t>
      </w:r>
    </w:p>
    <w:p w14:paraId="50BB5BC1">
      <w:pPr>
        <w:pStyle w:val="16"/>
        <w:spacing w:before="31" w:after="31"/>
        <w:ind w:firstLine="240" w:firstLineChars="100"/>
        <w:rPr>
          <w:szCs w:val="24"/>
        </w:rPr>
      </w:pPr>
      <w:r>
        <w:rPr>
          <w:szCs w:val="24"/>
        </w:rPr>
        <w:t>The engine is a critical component of aerospace vehicles. Components like turbine blades and discs are prone to accidents due to their exposure to high temperatures, vibrations, and fatigue in complex environments. Recent incidents have highlighted the failure of turbine blades, leading to serious consequences such as in-flight engine shutdowns [11-18]. Other engine components, like main fuel nozzles, have also caused major accidents due to fatigue fracture [19]. Failures in turbine discs, coating wear, tail nozzle adjustment blades, fuel pipes, central transmission devices, bearings, connectors, and other components have been reported, resulting in incidents like in-flight engine shutdowns [20-32]. The main failure modes for engine components include mechanical fatigue, corrosion, and the interaction of high-temperature creep and fatigue, micro-motion wear, etc. Improper material selection, material composition deviations, design flaws (such as excessive stress concentration), and manufacturing issues are the primary causes of these failures.</w:t>
      </w:r>
    </w:p>
    <w:p w14:paraId="4561633C">
      <w:pPr>
        <w:pStyle w:val="16"/>
        <w:spacing w:before="31" w:after="31"/>
        <w:ind w:firstLine="0" w:firstLineChars="0"/>
        <w:rPr>
          <w:szCs w:val="24"/>
        </w:rPr>
      </w:pPr>
      <w:r>
        <w:rPr>
          <w:szCs w:val="24"/>
        </w:rPr>
        <w:t>(2) Wing Structures:</w:t>
      </w:r>
    </w:p>
    <w:p w14:paraId="4428D96D">
      <w:pPr>
        <w:pStyle w:val="16"/>
        <w:spacing w:before="31" w:after="31"/>
        <w:ind w:firstLine="240" w:firstLineChars="100"/>
        <w:rPr>
          <w:szCs w:val="24"/>
        </w:rPr>
      </w:pPr>
      <w:r>
        <w:rPr>
          <w:szCs w:val="24"/>
        </w:rPr>
        <w:t>Wings are the primary load-bearing components of aircraft, handling shear and bending moments generated by aerodynamic loads. Wing joints connecting them to the fuselage are crucial in transmitting aerodynamic loads to the aircraft body and must withstand significant stress. Fatigue loads and high stress during flight are the main reasons for wing failures. Some structures corrode due to atmospheric corrosion, coupling with mechanical loads, leading to stress corrosion cracking and other failures [1]. Wing failures can result in severe consequences, such as catastrophic accidents due to fatigue fracture of wing spars [34] and mid-air wing folding incidents [35]. Tail wings, spoilers, and other components also face threats of stress corrosion and corrosion fatigue [36,37]. Aluminum alloy components like front beams, rear beams, and other aluminum alloy structures are susceptible to corrosion damage [5,9].</w:t>
      </w:r>
    </w:p>
    <w:p w14:paraId="5CA5B21C">
      <w:pPr>
        <w:pStyle w:val="16"/>
        <w:spacing w:before="31" w:after="31"/>
        <w:ind w:firstLine="0" w:firstLineChars="0"/>
        <w:rPr>
          <w:szCs w:val="24"/>
        </w:rPr>
      </w:pPr>
      <w:r>
        <w:rPr>
          <w:szCs w:val="24"/>
        </w:rPr>
        <w:t>(3) Wing Skin</w:t>
      </w:r>
    </w:p>
    <w:p w14:paraId="5BAEBA0E">
      <w:pPr>
        <w:pStyle w:val="16"/>
        <w:spacing w:before="31" w:after="31"/>
        <w:ind w:firstLine="240" w:firstLineChars="100"/>
        <w:rPr>
          <w:szCs w:val="24"/>
        </w:rPr>
      </w:pPr>
      <w:r>
        <w:rPr>
          <w:szCs w:val="24"/>
        </w:rPr>
        <w:t>The primary function of wing skin is to maintain the aerodynamic shape of the wing and bear local aerodynamic loads. In most aircraft, wing skin materials are aluminum alloys. Damage to wing skin typically occurs in the form of fatigue and corrosion. Aircraft operating in coastal areas are prone to corrosion damage due to poor corrosion resistance of aluminum alloys [5]. According to modern damage tolerance design concepts, wing skin is allowed to have a certain level of damage [38]. However, when damage to the wing skin progresses to a certain extent, replacement is necessary to prevent serious accidents. The Taiwan TransAsia Airways Flight 222 crash on May 25, 2002, was caused by a fatigue-through crack of 15.1 inches in length on the wing skin, resulting in structural failure and a major accident with 206 passengers and 19 crew members killed.</w:t>
      </w:r>
    </w:p>
    <w:p w14:paraId="6C790253">
      <w:pPr>
        <w:pStyle w:val="16"/>
        <w:spacing w:before="31" w:after="31"/>
        <w:ind w:firstLine="241" w:firstLineChars="100"/>
        <w:jc w:val="center"/>
        <w:rPr>
          <w:b/>
          <w:bCs/>
          <w:szCs w:val="24"/>
        </w:rPr>
      </w:pPr>
      <w:r>
        <w:rPr>
          <w:b/>
          <w:bCs/>
          <w:szCs w:val="24"/>
        </w:rPr>
        <w:t>(Figure 7-0: Wreckage of the Boeing 747-200 from the TransAsia Airways crash</w:t>
      </w:r>
    </w:p>
    <w:p w14:paraId="34FF8A39">
      <w:pPr>
        <w:pStyle w:val="16"/>
        <w:spacing w:before="31" w:after="31"/>
        <w:ind w:firstLine="0" w:firstLineChars="0"/>
        <w:rPr>
          <w:szCs w:val="24"/>
        </w:rPr>
      </w:pPr>
      <w:r>
        <w:rPr>
          <w:szCs w:val="24"/>
        </w:rPr>
        <w:t>(4) Landing Gear:</w:t>
      </w:r>
    </w:p>
    <w:p w14:paraId="4A66868C">
      <w:pPr>
        <w:pStyle w:val="16"/>
        <w:spacing w:before="31" w:after="31"/>
        <w:ind w:firstLine="240" w:firstLineChars="100"/>
        <w:rPr>
          <w:szCs w:val="24"/>
        </w:rPr>
      </w:pPr>
      <w:r>
        <w:rPr>
          <w:szCs w:val="24"/>
        </w:rPr>
        <w:t>Landing gear is a major load-bearing component of an aircraft, absorbing impact loads during landings and vibrations during taxiing. Landing gear components are made of high-strength alloy steel, and the main failure modes include overload [39], fatigue [1,40-42], and hydrogen embrittlement fracture [43]. Landing gear components are also susceptible to erosion by corrosive atmospheres, coupled with fatigue loads, leading to stress corrosion or corrosion fatigue fracture [44-46].</w:t>
      </w:r>
    </w:p>
    <w:p w14:paraId="101D8CCD">
      <w:pPr>
        <w:pStyle w:val="16"/>
        <w:spacing w:before="31" w:after="31"/>
        <w:ind w:firstLine="0" w:firstLineChars="0"/>
        <w:rPr>
          <w:szCs w:val="24"/>
        </w:rPr>
      </w:pPr>
      <w:r>
        <w:rPr>
          <w:szCs w:val="24"/>
        </w:rPr>
        <w:t>(5) Control Systems:</w:t>
      </w:r>
    </w:p>
    <w:p w14:paraId="58AF3C55">
      <w:pPr>
        <w:pStyle w:val="16"/>
        <w:spacing w:before="31" w:after="31"/>
        <w:ind w:firstLine="240" w:firstLineChars="100"/>
        <w:rPr>
          <w:szCs w:val="24"/>
        </w:rPr>
      </w:pPr>
      <w:r>
        <w:rPr>
          <w:szCs w:val="24"/>
        </w:rPr>
        <w:t>The control system is a vital part of an aircraft, ensuring safe flight and mission accomplishment. Failure of the control system can prevent the aircraft from achieving the desired flight attitude, affecting takeoff, landing, and normal flight. According to reports, the main cause of failure in control system components is fatigue [47-49], with some cases involving factors such as stress corrosion [50].</w:t>
      </w:r>
    </w:p>
    <w:p w14:paraId="083D549E">
      <w:pPr>
        <w:pStyle w:val="16"/>
        <w:spacing w:before="31" w:after="31"/>
        <w:ind w:firstLine="0" w:firstLineChars="0"/>
        <w:rPr>
          <w:szCs w:val="24"/>
        </w:rPr>
      </w:pPr>
      <w:r>
        <w:rPr>
          <w:szCs w:val="24"/>
        </w:rPr>
        <w:t>(6) Missiles:</w:t>
      </w:r>
    </w:p>
    <w:p w14:paraId="33E3EBEB">
      <w:pPr>
        <w:pStyle w:val="16"/>
        <w:spacing w:before="31" w:after="31"/>
        <w:ind w:firstLine="240" w:firstLineChars="100"/>
        <w:rPr>
          <w:szCs w:val="24"/>
        </w:rPr>
      </w:pPr>
      <w:r>
        <w:rPr>
          <w:szCs w:val="24"/>
        </w:rPr>
        <w:t>Failure information related to missiles is limited, but available data indicate issues with launch devices [51-53], casing [54], servos [55], position indicators [56], and other structural components. Failure modes for missile components include overload [52,54], hydrogen embrittlement fracture [51,56], and, in some cases, fatigue failure due to vibration during missile hanging [55].</w:t>
      </w:r>
    </w:p>
    <w:p w14:paraId="74B78278">
      <w:pPr>
        <w:pStyle w:val="16"/>
        <w:spacing w:before="31" w:after="31"/>
        <w:ind w:firstLine="0" w:firstLineChars="0"/>
        <w:rPr>
          <w:szCs w:val="24"/>
        </w:rPr>
      </w:pPr>
      <w:r>
        <w:rPr>
          <w:szCs w:val="24"/>
        </w:rPr>
        <w:t>(7) Other Components:</w:t>
      </w:r>
    </w:p>
    <w:p w14:paraId="1146F214">
      <w:pPr>
        <w:pStyle w:val="16"/>
        <w:spacing w:before="31" w:after="31"/>
        <w:ind w:firstLine="240" w:firstLineChars="100"/>
        <w:rPr>
          <w:szCs w:val="24"/>
        </w:rPr>
      </w:pPr>
      <w:r>
        <w:rPr>
          <w:szCs w:val="24"/>
        </w:rPr>
        <w:t>Apart from the mentioned components, other parts of aerospace vehicles also frequently experience structural and material failure accidents. Examples include brake devices [57,58], cockpit canopies [59], glass [60,61], hydraulic pipes [62], panels [63], internal structures [64-65], connectors [66-67], etc., all of which can impact flight safety.</w:t>
      </w:r>
    </w:p>
    <w:p w14:paraId="4B02E16F">
      <w:pPr>
        <w:pStyle w:val="16"/>
        <w:spacing w:before="31" w:after="31"/>
        <w:ind w:firstLine="0" w:firstLineChars="0"/>
        <w:rPr>
          <w:szCs w:val="24"/>
        </w:rPr>
      </w:pPr>
    </w:p>
    <w:p w14:paraId="217A72C6">
      <w:pPr>
        <w:pStyle w:val="16"/>
        <w:spacing w:before="31" w:after="31"/>
        <w:ind w:firstLine="0" w:firstLineChars="0"/>
        <w:rPr>
          <w:b/>
          <w:bCs/>
          <w:szCs w:val="24"/>
        </w:rPr>
      </w:pPr>
      <w:r>
        <w:rPr>
          <w:b/>
          <w:bCs/>
          <w:szCs w:val="24"/>
        </w:rPr>
        <w:t>7.2 Failure Cases</w:t>
      </w:r>
    </w:p>
    <w:p w14:paraId="07C43D3B">
      <w:pPr>
        <w:pStyle w:val="16"/>
        <w:spacing w:before="31" w:after="31"/>
        <w:ind w:firstLine="0" w:firstLineChars="0"/>
        <w:rPr>
          <w:b/>
          <w:bCs/>
          <w:szCs w:val="24"/>
        </w:rPr>
      </w:pPr>
      <w:r>
        <w:rPr>
          <w:b/>
          <w:bCs/>
          <w:szCs w:val="24"/>
        </w:rPr>
        <w:t>7.2.1 Case 7-1 Fatigue Failure of Wing Spar Causing Aircraft Crash</w:t>
      </w:r>
    </w:p>
    <w:p w14:paraId="0E6DB45D">
      <w:pPr>
        <w:pStyle w:val="16"/>
        <w:spacing w:before="31" w:after="31"/>
        <w:ind w:firstLine="0" w:firstLineChars="0"/>
        <w:rPr>
          <w:szCs w:val="24"/>
        </w:rPr>
      </w:pPr>
      <w:r>
        <w:rPr>
          <w:szCs w:val="24"/>
        </w:rPr>
        <w:t>(1) Case Name</w:t>
      </w:r>
    </w:p>
    <w:p w14:paraId="21AD028B">
      <w:pPr>
        <w:pStyle w:val="16"/>
        <w:spacing w:before="31" w:after="31"/>
        <w:ind w:firstLine="480"/>
        <w:rPr>
          <w:szCs w:val="24"/>
        </w:rPr>
      </w:pPr>
      <w:r>
        <w:rPr>
          <w:szCs w:val="24"/>
        </w:rPr>
        <w:t>Fatigue Failure of Wing Spar Causing Aircraft Crash [34]</w:t>
      </w:r>
    </w:p>
    <w:p w14:paraId="05474F2A">
      <w:pPr>
        <w:pStyle w:val="16"/>
        <w:spacing w:before="31" w:after="31"/>
        <w:ind w:firstLine="0" w:firstLineChars="0"/>
        <w:rPr>
          <w:szCs w:val="24"/>
        </w:rPr>
      </w:pPr>
      <w:r>
        <w:rPr>
          <w:szCs w:val="24"/>
        </w:rPr>
        <w:t>(2) Description of Failure Process</w:t>
      </w:r>
    </w:p>
    <w:p w14:paraId="1BB4A85F">
      <w:pPr>
        <w:pStyle w:val="16"/>
        <w:spacing w:before="31" w:after="31"/>
        <w:ind w:firstLine="480"/>
        <w:rPr>
          <w:szCs w:val="24"/>
        </w:rPr>
      </w:pPr>
      <w:r>
        <w:rPr>
          <w:szCs w:val="24"/>
        </w:rPr>
        <w:t>In December 1972, during a low-altitude aerobatic performance at Yangcun Airport, a certain type of aircraft experienced a catastrophic failure of the right wing spar while pulling up from a dive at an altitude of approximately 300-350 meters. The right wing suddenly broke and flipped forward and upward, shattering the cockpit canopy. The aircraft, with the right wing detached, crashed 2700 meters from the runway, resulting in a fatal accident. The entire flight lasted only three minutes, and the left wing wreckage fell near the airport control tower. Initial on-site investigation and macroscopic fracture analysis indicated that the fatigue failure of the left wing's main spar led to the in-flight disintegration of the aircraft. This incident marked the first severe aviation accident in the country caused by fatigue failure of an aircraft's wing spar, drawing significant attention from relevant authorities.</w:t>
      </w:r>
    </w:p>
    <w:p w14:paraId="7CABFB22">
      <w:pPr>
        <w:pStyle w:val="16"/>
        <w:spacing w:before="31" w:after="31"/>
        <w:ind w:firstLine="0" w:firstLineChars="0"/>
        <w:rPr>
          <w:szCs w:val="24"/>
        </w:rPr>
      </w:pPr>
      <w:r>
        <w:rPr>
          <w:szCs w:val="24"/>
        </w:rPr>
        <w:t>(3) Service Environment</w:t>
      </w:r>
    </w:p>
    <w:p w14:paraId="6CCE3126">
      <w:pPr>
        <w:pStyle w:val="16"/>
        <w:spacing w:before="31" w:after="31"/>
        <w:ind w:firstLine="480"/>
        <w:rPr>
          <w:szCs w:val="24"/>
        </w:rPr>
      </w:pPr>
      <w:r>
        <w:rPr>
          <w:szCs w:val="24"/>
        </w:rPr>
        <w:t>Natural atmospheric conditions.</w:t>
      </w:r>
    </w:p>
    <w:p w14:paraId="3D406AED">
      <w:pPr>
        <w:pStyle w:val="16"/>
        <w:spacing w:before="31" w:after="31"/>
        <w:ind w:firstLine="0" w:firstLineChars="0"/>
        <w:rPr>
          <w:szCs w:val="24"/>
        </w:rPr>
      </w:pPr>
      <w:r>
        <w:rPr>
          <w:szCs w:val="24"/>
        </w:rPr>
        <w:t>(4) Failed Components and Materials</w:t>
      </w:r>
    </w:p>
    <w:p w14:paraId="6B52E421">
      <w:pPr>
        <w:pStyle w:val="16"/>
        <w:spacing w:before="31" w:after="31"/>
        <w:ind w:firstLine="480"/>
        <w:rPr>
          <w:szCs w:val="24"/>
        </w:rPr>
      </w:pPr>
      <w:r>
        <w:rPr>
          <w:szCs w:val="24"/>
        </w:rPr>
        <w:t>The wing spar was made of 30CrMnSiNi2A high-strength steel. Material inspections showed that oxide and sulfide inclusions met technical requirements, and the metallographic structure was normal.</w:t>
      </w:r>
    </w:p>
    <w:p w14:paraId="6606C49D">
      <w:pPr>
        <w:pStyle w:val="16"/>
        <w:spacing w:before="31" w:after="31"/>
        <w:ind w:firstLine="0" w:firstLineChars="0"/>
        <w:rPr>
          <w:szCs w:val="24"/>
        </w:rPr>
      </w:pPr>
      <w:r>
        <w:rPr>
          <w:szCs w:val="24"/>
        </w:rPr>
        <w:t>(5) Failure Morphology of Components</w:t>
      </w:r>
    </w:p>
    <w:p w14:paraId="2CB1BA57">
      <w:pPr>
        <w:pStyle w:val="16"/>
        <w:spacing w:before="31" w:after="31"/>
        <w:ind w:firstLine="480"/>
        <w:rPr>
          <w:szCs w:val="24"/>
        </w:rPr>
      </w:pPr>
      <w:r>
        <w:rPr>
          <w:szCs w:val="24"/>
        </w:rPr>
        <w:t>After assembling the remnants of the left spar, the fracture site is shown in Figure 7-1.1. The entire spar broke into two pieces from the root. Macroscopically, there was no apparent plastic deformation. The fracture initiated at the first bolt hole on the lower edge of the front edge of the left spar and then propagated upward through the web, tearing apart. The fracture surface was perpendicular to the length direction of the spar. Both sides of the first bolt hole exhibited fatigue steps and fatigue arc features, but the fatigue zone was small, with a maximum depth of 0.92mm. The instantaneous fracture zone mostly showed gray fibrous flat fractures, and the surface was relatively rough. Besides the fatigue areas on both sides of the hole wall, the edges had shear lips.</w:t>
      </w:r>
    </w:p>
    <w:p w14:paraId="39466662">
      <w:pPr>
        <w:pStyle w:val="16"/>
        <w:spacing w:before="31" w:after="31"/>
        <w:ind w:firstLine="480"/>
        <w:rPr>
          <w:szCs w:val="24"/>
        </w:rPr>
      </w:pPr>
      <w:r>
        <w:rPr>
          <w:szCs w:val="24"/>
        </w:rPr>
        <w:t>The hole wall surface was quite rough, with clear circumferential machining marks. Both sides of the hole wall exhibited features of multi-source fatigue, with fatigue initiating from the hole wall. The fatigue source area had many corrosion pits, indicating a connection to environmental factors. In the propagation zone, there were fatigue bands and secondary fatigue cracks, along with visible dimple structures. In the later stages of fatigue propagation, numerous dimples and quasi-cleavage structures appeared (Figure 7-1.2). The instantaneous fracture zone exhibited dimples and quasi-cleavage structures, with shear dimples predominantly on the shear lip. Analysis indicated that the nature of the fracture was multi-source low-cycle fatigue failure.</w:t>
      </w:r>
    </w:p>
    <w:p w14:paraId="315B7F72">
      <w:pPr>
        <w:pStyle w:val="16"/>
        <w:spacing w:before="31" w:after="31"/>
        <w:ind w:firstLine="482"/>
        <w:jc w:val="center"/>
        <w:rPr>
          <w:b/>
          <w:bCs/>
          <w:szCs w:val="24"/>
        </w:rPr>
      </w:pPr>
      <w:r>
        <w:rPr>
          <w:b/>
          <w:bCs/>
          <w:szCs w:val="24"/>
        </w:rPr>
        <w:t>Figure 7-1.1 Longitudinal crack morphology of failed drill rod joint</w:t>
      </w:r>
    </w:p>
    <w:p w14:paraId="17A0C95C">
      <w:pPr>
        <w:pStyle w:val="16"/>
        <w:spacing w:before="31" w:after="31"/>
        <w:ind w:firstLine="482"/>
        <w:jc w:val="center"/>
        <w:rPr>
          <w:b/>
          <w:bCs/>
          <w:szCs w:val="24"/>
        </w:rPr>
      </w:pPr>
      <w:r>
        <w:rPr>
          <w:b/>
          <w:bCs/>
          <w:szCs w:val="24"/>
        </w:rPr>
        <w:t>Figure 7-1.2 Dimples and quasi-cleavage in the later stages of fatigue propagation</w:t>
      </w:r>
    </w:p>
    <w:p w14:paraId="0E599E13">
      <w:pPr>
        <w:pStyle w:val="16"/>
        <w:spacing w:before="31" w:after="31"/>
        <w:ind w:firstLine="0" w:firstLineChars="0"/>
        <w:rPr>
          <w:szCs w:val="24"/>
        </w:rPr>
      </w:pPr>
      <w:r>
        <w:rPr>
          <w:szCs w:val="24"/>
        </w:rPr>
        <w:t>(6) Analysis of Failure Causes</w:t>
      </w:r>
    </w:p>
    <w:p w14:paraId="1F11F59A">
      <w:pPr>
        <w:pStyle w:val="16"/>
        <w:spacing w:before="31" w:after="31"/>
        <w:ind w:firstLine="480"/>
        <w:rPr>
          <w:szCs w:val="24"/>
        </w:rPr>
      </w:pPr>
      <w:r>
        <w:rPr>
          <w:szCs w:val="24"/>
        </w:rPr>
        <w:t>Most bolt hole surfaces exhibited obvious machining marks corresponding to fatigue sources. The smoothness of the hole wall was rated as 4. After sandblasting and paint removal, magnetic particle inspection of the left spar revealed no other cracks in bolt holes. Fluorescent inspection of the right spar identified trumpet-shaped transgranular microcracks in the first and second bolt holes. Analysis concluded that low-cycle fatigue failure of the left wing spar caused the in-flight disintegration of the aircraft. The fundamental reasons for the fatigue failure of the wing spar in this aircraft type were the excessively high design allowable stress and the roughness of the bolt hole wall. The high carbon content and poor tensile strength of the left wing spar material led to low fracture toughness, contributing to the small critical crack size and low critical fracture stress.</w:t>
      </w:r>
    </w:p>
    <w:p w14:paraId="0F07DF5A">
      <w:pPr>
        <w:pStyle w:val="16"/>
        <w:spacing w:before="31" w:after="31"/>
        <w:ind w:firstLine="480"/>
        <w:rPr>
          <w:szCs w:val="24"/>
        </w:rPr>
      </w:pPr>
      <w:r>
        <w:rPr>
          <w:szCs w:val="24"/>
        </w:rPr>
        <w:t>Fleet surveys showed a considerable crack proportion, which increased with flight time. Additionally, cracks were found in the second and third bolt holes, although the proportion was smaller. Hardness surveys using an ultrasonic hardness tester in the field revealed only a few instances of elevated hardness.</w:t>
      </w:r>
    </w:p>
    <w:p w14:paraId="3C104155">
      <w:pPr>
        <w:pStyle w:val="16"/>
        <w:spacing w:before="31" w:after="31"/>
        <w:ind w:firstLine="480"/>
        <w:rPr>
          <w:szCs w:val="24"/>
        </w:rPr>
      </w:pPr>
      <w:r>
        <w:rPr>
          <w:szCs w:val="24"/>
        </w:rPr>
        <w:t>Strain measurements on the wing spar indicated that stress exceeded the design stress near the bottom of the spar's lower edge. Combined with stress concentration at bolt holes (k=3.16), roughness of hole wall surfaces, and the sensitivity of ultra-high-strength steel to notches, the main reasons for the fatigue failure of the wing spar in this aircraft type were identified as the excessively high design allowable stress and the roughness of the bolt hole wall.</w:t>
      </w:r>
    </w:p>
    <w:p w14:paraId="56A73836">
      <w:pPr>
        <w:pStyle w:val="16"/>
        <w:spacing w:before="31" w:after="31"/>
        <w:ind w:firstLine="0" w:firstLineChars="0"/>
        <w:rPr>
          <w:szCs w:val="24"/>
        </w:rPr>
      </w:pPr>
      <w:r>
        <w:rPr>
          <w:szCs w:val="24"/>
        </w:rPr>
        <w:t>(7) Impact and Harm Caused</w:t>
      </w:r>
    </w:p>
    <w:p w14:paraId="682463C1">
      <w:pPr>
        <w:pStyle w:val="16"/>
        <w:spacing w:before="31" w:after="31"/>
        <w:ind w:firstLine="480"/>
        <w:rPr>
          <w:szCs w:val="24"/>
        </w:rPr>
      </w:pPr>
      <w:r>
        <w:rPr>
          <w:szCs w:val="24"/>
        </w:rPr>
        <w:t>Aircraft crash resulting in pilot fatality.</w:t>
      </w:r>
    </w:p>
    <w:p w14:paraId="5713D1C8">
      <w:pPr>
        <w:pStyle w:val="16"/>
        <w:spacing w:before="31" w:after="31"/>
        <w:ind w:firstLine="0" w:firstLineChars="0"/>
        <w:rPr>
          <w:szCs w:val="24"/>
        </w:rPr>
      </w:pPr>
      <w:r>
        <w:rPr>
          <w:szCs w:val="24"/>
        </w:rPr>
        <w:t>(8) Conclusion and Improvement Measures</w:t>
      </w:r>
    </w:p>
    <w:p w14:paraId="0A5CCB97">
      <w:pPr>
        <w:pStyle w:val="16"/>
        <w:spacing w:before="31" w:after="31"/>
        <w:ind w:firstLine="0" w:firstLineChars="0"/>
        <w:rPr>
          <w:szCs w:val="24"/>
        </w:rPr>
      </w:pPr>
      <w:r>
        <w:rPr>
          <w:szCs w:val="24"/>
        </w:rPr>
        <w:t>The low-cycle fatigue failure of the left wing spar led to the in-flight disintegration of the aircraft. The main causes of fatigue failure of the wing spar in this aircraft type were identified as excessively high design allowable stress and roughness of the bolt hole wall. The high carbon content and extremely poor tensile strength of the left wing spar material resulted in low fracture toughness, contributing to the small critical crack size and low critical fracture stress.</w:t>
      </w:r>
    </w:p>
    <w:p w14:paraId="0AF8D672">
      <w:pPr>
        <w:pStyle w:val="16"/>
        <w:spacing w:before="31" w:after="31"/>
        <w:ind w:firstLine="0" w:firstLineChars="0"/>
        <w:rPr>
          <w:szCs w:val="24"/>
        </w:rPr>
      </w:pPr>
    </w:p>
    <w:p w14:paraId="48C022DC">
      <w:pPr>
        <w:pStyle w:val="16"/>
        <w:spacing w:before="31" w:after="31"/>
        <w:ind w:firstLine="0" w:firstLineChars="0"/>
        <w:rPr>
          <w:b/>
          <w:bCs/>
          <w:szCs w:val="24"/>
        </w:rPr>
      </w:pPr>
      <w:r>
        <w:rPr>
          <w:b/>
          <w:bCs/>
          <w:szCs w:val="24"/>
        </w:rPr>
        <w:t>7.2.2 Case 7-2 Stress Corrosion of Wing Spar Earpiece in J-8 Aircraft</w:t>
      </w:r>
    </w:p>
    <w:p w14:paraId="0E062146">
      <w:pPr>
        <w:pStyle w:val="16"/>
        <w:spacing w:before="31" w:after="31"/>
        <w:ind w:firstLine="0" w:firstLineChars="0"/>
        <w:rPr>
          <w:szCs w:val="24"/>
        </w:rPr>
      </w:pPr>
      <w:r>
        <w:rPr>
          <w:szCs w:val="24"/>
        </w:rPr>
        <w:t>(1) Case Name</w:t>
      </w:r>
    </w:p>
    <w:p w14:paraId="1C373B9F">
      <w:pPr>
        <w:pStyle w:val="16"/>
        <w:spacing w:before="31" w:after="31"/>
        <w:ind w:firstLine="480"/>
        <w:rPr>
          <w:szCs w:val="24"/>
        </w:rPr>
      </w:pPr>
      <w:r>
        <w:rPr>
          <w:szCs w:val="24"/>
        </w:rPr>
        <w:t>Stress Corrosion of Wing Spar Earpiece in J-8 Aircraft [1]</w:t>
      </w:r>
    </w:p>
    <w:p w14:paraId="0DF6F74A">
      <w:pPr>
        <w:pStyle w:val="16"/>
        <w:spacing w:before="31" w:after="31"/>
        <w:ind w:firstLine="0" w:firstLineChars="0"/>
        <w:rPr>
          <w:szCs w:val="24"/>
        </w:rPr>
      </w:pPr>
      <w:r>
        <w:rPr>
          <w:szCs w:val="24"/>
        </w:rPr>
        <w:t>(2) Description of Failure Process</w:t>
      </w:r>
    </w:p>
    <w:p w14:paraId="0AD315A2">
      <w:pPr>
        <w:pStyle w:val="16"/>
        <w:spacing w:before="31" w:after="31"/>
        <w:ind w:firstLine="480"/>
        <w:rPr>
          <w:szCs w:val="24"/>
        </w:rPr>
      </w:pPr>
      <w:r>
        <w:rPr>
          <w:szCs w:val="24"/>
        </w:rPr>
        <w:t>During an on-site inspection, a fracture was discovered in the lower earpiece of the right wing spar joint of a J-8 aircraft (Figure 7-2.1). This aircraft had been in service for 18 years, accumulated 1318 flight hours, underwent 1714 takeoffs and landings, and had undergone one major overhaul. Prior to the overhaul inspection, a similar issue was found on the left wing of the same aircraft, with cracks and corrosion products around the cracks. The cracks originated near the chamfered surface of the earpiece, and significant corrosion was observed in the vicinity of the source area. The fracture exhibited characteristics of a 10mm×4mm intergranular fracture zone. Inspections on other J-8 aircraft revealed rusting of bushings and pitting around bushing holes at the head connection earpieces of the wing spar.  (a) Top View             (b) Rear View        (c) Disassembled Wing</w:t>
      </w:r>
    </w:p>
    <w:p w14:paraId="5EF1A8AA">
      <w:pPr>
        <w:pStyle w:val="16"/>
        <w:spacing w:before="31" w:after="31"/>
        <w:ind w:firstLine="482"/>
        <w:jc w:val="center"/>
        <w:rPr>
          <w:b/>
          <w:bCs/>
          <w:szCs w:val="24"/>
        </w:rPr>
      </w:pPr>
      <w:r>
        <w:rPr>
          <w:b/>
          <w:bCs/>
          <w:szCs w:val="24"/>
        </w:rPr>
        <w:t>Figure 7-2.1 Fracture of the lower earpiece of the right wing spar joint in J-8 aircraft</w:t>
      </w:r>
    </w:p>
    <w:p w14:paraId="77E0602A">
      <w:pPr>
        <w:pStyle w:val="16"/>
        <w:spacing w:before="31" w:after="31"/>
        <w:ind w:firstLine="0" w:firstLineChars="0"/>
        <w:rPr>
          <w:szCs w:val="24"/>
        </w:rPr>
      </w:pPr>
      <w:r>
        <w:rPr>
          <w:szCs w:val="24"/>
        </w:rPr>
        <w:t>(3) Service Environment</w:t>
      </w:r>
    </w:p>
    <w:p w14:paraId="75D6265D">
      <w:pPr>
        <w:pStyle w:val="16"/>
        <w:spacing w:before="31" w:after="31"/>
        <w:ind w:firstLine="480"/>
        <w:rPr>
          <w:szCs w:val="24"/>
        </w:rPr>
      </w:pPr>
      <w:r>
        <w:rPr>
          <w:szCs w:val="24"/>
        </w:rPr>
        <w:t>Natural atmospheric environment: Due to the inability to timely eliminate moist air containing salt spray and acidic gases, the moisture in the environment accumulates around the head connection earpiece of the first spar.</w:t>
      </w:r>
    </w:p>
    <w:p w14:paraId="338AA869">
      <w:pPr>
        <w:pStyle w:val="16"/>
        <w:spacing w:before="31" w:after="31"/>
        <w:ind w:firstLine="0" w:firstLineChars="0"/>
        <w:rPr>
          <w:szCs w:val="24"/>
        </w:rPr>
      </w:pPr>
      <w:r>
        <w:rPr>
          <w:szCs w:val="24"/>
        </w:rPr>
        <w:t>(4) Failed Components and Materials</w:t>
      </w:r>
    </w:p>
    <w:p w14:paraId="696B89E7">
      <w:pPr>
        <w:pStyle w:val="16"/>
        <w:spacing w:before="31" w:after="31"/>
        <w:ind w:firstLine="480"/>
        <w:rPr>
          <w:szCs w:val="24"/>
        </w:rPr>
      </w:pPr>
      <w:r>
        <w:rPr>
          <w:szCs w:val="24"/>
        </w:rPr>
        <w:t>The J-8 aircraft's first spar, along with the front section of the second spar, ribs, the first two sections of the front longeron, the 17th front rib, diagonal bulkhead, and upper and lower wall plates, forms a sealed forward tank. It shares aerodynamic loads on the wing surface and sustained pressure loads in the forward tank with the second spar, main spar, fourth spar, rear longeron, and front longeron.</w:t>
      </w:r>
    </w:p>
    <w:p w14:paraId="5D9640E0">
      <w:pPr>
        <w:pStyle w:val="16"/>
        <w:spacing w:before="31" w:after="31"/>
        <w:ind w:firstLine="480"/>
        <w:rPr>
          <w:szCs w:val="24"/>
        </w:rPr>
      </w:pPr>
      <w:r>
        <w:rPr>
          <w:szCs w:val="24"/>
        </w:rPr>
        <w:t>The original state of the first spar was manufactured from LC4CS forged components and was later changed to LC9CgS3 forged components. The profile is channel-shaped, and during manufacturing, the conductivity of the spar body was inspected, 100% fluorescent inspection was performed, anodization treatment was carried out, and the non-tank area was coated with No. 1 aviation primer. The bushing material for the upper and lower earpieces of the first spar is 30CrMnSiNi2A.</w:t>
      </w:r>
    </w:p>
    <w:p w14:paraId="6843C909">
      <w:pPr>
        <w:pStyle w:val="16"/>
        <w:spacing w:before="31" w:after="31"/>
        <w:ind w:firstLine="480"/>
        <w:rPr>
          <w:szCs w:val="24"/>
        </w:rPr>
      </w:pPr>
      <w:r>
        <w:rPr>
          <w:szCs w:val="24"/>
        </w:rPr>
        <w:t>Inspections of the chemical composition, metallographic structure, and Brinell hardness of the earpiece base material indicated that the material met relevant standards and design requirements. The primary structure in the vertical direction was α-phase structure (Figure 7-2.2), while in the parallel direction, it was predominantly deformed and elongated α-structure (Figure 7-2.3), with no over-burning structure.</w:t>
      </w:r>
    </w:p>
    <w:p w14:paraId="6ADF368A">
      <w:pPr>
        <w:pStyle w:val="16"/>
        <w:spacing w:before="31" w:after="31"/>
        <w:ind w:firstLine="482"/>
        <w:jc w:val="center"/>
        <w:rPr>
          <w:b/>
          <w:bCs/>
          <w:szCs w:val="24"/>
        </w:rPr>
      </w:pPr>
      <w:r>
        <w:rPr>
          <w:b/>
          <w:bCs/>
          <w:szCs w:val="24"/>
        </w:rPr>
        <w:t>Figure 7-2.2 Microstructure morphology in the vertical direction of the fracture surface   Figure 7-2.3 Microstructure morphology in the parallel direction of the fracture surface</w:t>
      </w:r>
    </w:p>
    <w:p w14:paraId="103C3C61">
      <w:pPr>
        <w:pStyle w:val="16"/>
        <w:spacing w:before="31" w:after="31"/>
        <w:ind w:firstLine="0" w:firstLineChars="0"/>
        <w:rPr>
          <w:szCs w:val="24"/>
        </w:rPr>
      </w:pPr>
      <w:r>
        <w:rPr>
          <w:szCs w:val="24"/>
        </w:rPr>
        <w:t>(5) Failure Morphology of Components</w:t>
      </w:r>
    </w:p>
    <w:p w14:paraId="71E50C9C">
      <w:pPr>
        <w:pStyle w:val="16"/>
        <w:spacing w:before="31" w:after="31"/>
        <w:ind w:firstLine="480"/>
        <w:rPr>
          <w:szCs w:val="24"/>
        </w:rPr>
      </w:pPr>
      <w:r>
        <w:rPr>
          <w:szCs w:val="24"/>
        </w:rPr>
        <w:t>The macroscopic morphology of the earpiece crack fracture is shown in Figure 7-2.4. The fracture surface of the inner side of the earpiece exhibits clear corrosion features, while there are no signs of corrosion on the outer side. Radial lines and river-like features are present on the fracture surface, and the fracture source area is close to the inner side of the ear hole, showing obvious corrosion.</w:t>
      </w:r>
    </w:p>
    <w:p w14:paraId="53EE0205">
      <w:pPr>
        <w:pStyle w:val="16"/>
        <w:spacing w:before="31" w:after="31"/>
        <w:ind w:firstLine="482"/>
        <w:jc w:val="center"/>
        <w:rPr>
          <w:b/>
          <w:bCs/>
          <w:szCs w:val="24"/>
        </w:rPr>
      </w:pPr>
      <w:r>
        <w:rPr>
          <w:b/>
          <w:bCs/>
          <w:szCs w:val="24"/>
        </w:rPr>
        <w:t>Figure 7-2.4 Macroscopic morphology of the earpiece crack fracture</w:t>
      </w:r>
    </w:p>
    <w:p w14:paraId="6CD06988">
      <w:pPr>
        <w:pStyle w:val="16"/>
        <w:spacing w:before="31" w:after="31"/>
        <w:ind w:firstLine="480"/>
        <w:rPr>
          <w:szCs w:val="24"/>
        </w:rPr>
      </w:pPr>
      <w:r>
        <w:rPr>
          <w:szCs w:val="24"/>
        </w:rPr>
        <w:t>The microscopic morphology of the fracture surface reveals a layer of dense corrosion products (Figure 7-2.5). Along the intergranular fracture features (Figure 7-2.6) can be observed in the gaps between the corrosion products. The fracture extension zone shows dimple fracture features (Figure 7-2.7). The cleaned fracture surface morphology is shown in Figure 7-2.8, with the entire fracture source area exhibiting intergranular fracture features. Microscopic observation through a video microscope revealed that most of the painted surface on the inner side of the earpiece was damaged, and corrosion pits formed in localized areas of the earpiece matrix. The earpiece crack originated from corrosion pits on the inner side surface.</w:t>
      </w:r>
    </w:p>
    <w:p w14:paraId="0DD20C02">
      <w:pPr>
        <w:pStyle w:val="16"/>
        <w:spacing w:before="31" w:after="31"/>
        <w:ind w:firstLine="482"/>
        <w:jc w:val="center"/>
        <w:rPr>
          <w:b/>
          <w:bCs/>
          <w:szCs w:val="24"/>
        </w:rPr>
      </w:pPr>
      <w:r>
        <w:rPr>
          <w:b/>
          <w:bCs/>
          <w:szCs w:val="24"/>
        </w:rPr>
        <w:t>(a) Low Magnification            (b) High Magnification</w:t>
      </w:r>
    </w:p>
    <w:p w14:paraId="4E2358D4">
      <w:pPr>
        <w:pStyle w:val="16"/>
        <w:spacing w:before="31" w:after="31"/>
        <w:ind w:firstLine="482"/>
        <w:jc w:val="center"/>
        <w:rPr>
          <w:b/>
          <w:bCs/>
          <w:szCs w:val="24"/>
        </w:rPr>
      </w:pPr>
      <w:r>
        <w:rPr>
          <w:b/>
          <w:bCs/>
          <w:szCs w:val="24"/>
        </w:rPr>
        <w:t>Figure 7-2.5 Morphology of the fracture source area before cleaning</w:t>
      </w:r>
    </w:p>
    <w:p w14:paraId="3715B89F">
      <w:pPr>
        <w:pStyle w:val="16"/>
        <w:spacing w:before="31" w:after="31"/>
        <w:ind w:firstLine="482"/>
        <w:jc w:val="center"/>
        <w:rPr>
          <w:b/>
          <w:bCs/>
          <w:szCs w:val="24"/>
        </w:rPr>
      </w:pPr>
      <w:r>
        <w:rPr>
          <w:b/>
          <w:bCs/>
          <w:szCs w:val="24"/>
        </w:rPr>
        <w:t>Figure 7-2.6 Intergranular fracture morphology of the fracture source area before cleaning</w:t>
      </w:r>
    </w:p>
    <w:p w14:paraId="57588F7D">
      <w:pPr>
        <w:pStyle w:val="16"/>
        <w:spacing w:before="31" w:after="31"/>
        <w:ind w:firstLine="480"/>
        <w:rPr>
          <w:szCs w:val="24"/>
        </w:rPr>
      </w:pPr>
      <w:r>
        <w:rPr>
          <w:szCs w:val="24"/>
        </w:rPr>
        <w:t xml:space="preserve">   </w:t>
      </w:r>
    </w:p>
    <w:p w14:paraId="7B85A58B">
      <w:pPr>
        <w:pStyle w:val="16"/>
        <w:spacing w:before="31" w:after="31"/>
        <w:ind w:firstLine="482"/>
        <w:jc w:val="center"/>
        <w:rPr>
          <w:b/>
          <w:bCs/>
          <w:szCs w:val="24"/>
        </w:rPr>
      </w:pPr>
      <w:r>
        <w:rPr>
          <w:b/>
          <w:bCs/>
          <w:szCs w:val="24"/>
        </w:rPr>
        <w:t>(a) Low Magnification                    (b) High Magnification</w:t>
      </w:r>
    </w:p>
    <w:p w14:paraId="512CBE5B">
      <w:pPr>
        <w:pStyle w:val="16"/>
        <w:spacing w:before="31" w:after="31"/>
        <w:ind w:firstLine="482"/>
        <w:jc w:val="center"/>
        <w:rPr>
          <w:b/>
          <w:bCs/>
          <w:szCs w:val="24"/>
        </w:rPr>
      </w:pPr>
      <w:r>
        <w:rPr>
          <w:b/>
          <w:bCs/>
          <w:szCs w:val="24"/>
        </w:rPr>
        <w:t>Figure 7-2.7 Morphology of the fracture extension zone</w:t>
      </w:r>
    </w:p>
    <w:p w14:paraId="3C8F8273">
      <w:pPr>
        <w:pStyle w:val="16"/>
        <w:spacing w:before="31" w:after="31"/>
        <w:ind w:firstLine="482"/>
        <w:jc w:val="center"/>
        <w:rPr>
          <w:b/>
          <w:bCs/>
          <w:szCs w:val="24"/>
        </w:rPr>
      </w:pPr>
    </w:p>
    <w:p w14:paraId="688C4400">
      <w:pPr>
        <w:pStyle w:val="16"/>
        <w:spacing w:before="31" w:after="31"/>
        <w:ind w:firstLine="482"/>
        <w:jc w:val="center"/>
        <w:rPr>
          <w:b/>
          <w:bCs/>
          <w:szCs w:val="24"/>
        </w:rPr>
      </w:pPr>
      <w:r>
        <w:rPr>
          <w:b/>
          <w:bCs/>
          <w:szCs w:val="24"/>
        </w:rPr>
        <w:t>Figure 7-2.8 Intergranular fracture morphology of the fracture source area after cleaning</w:t>
      </w:r>
    </w:p>
    <w:p w14:paraId="6819A61D">
      <w:pPr>
        <w:pStyle w:val="16"/>
        <w:spacing w:before="31" w:after="31"/>
        <w:ind w:firstLine="0" w:firstLineChars="0"/>
        <w:rPr>
          <w:szCs w:val="24"/>
        </w:rPr>
      </w:pPr>
      <w:r>
        <w:rPr>
          <w:szCs w:val="24"/>
        </w:rPr>
        <w:t>(6) Analysis of Failure Causes</w:t>
      </w:r>
    </w:p>
    <w:p w14:paraId="3B0698E0">
      <w:pPr>
        <w:pStyle w:val="16"/>
        <w:spacing w:before="31" w:after="31"/>
        <w:ind w:firstLine="480"/>
        <w:rPr>
          <w:szCs w:val="24"/>
        </w:rPr>
      </w:pPr>
      <w:r>
        <w:rPr>
          <w:szCs w:val="24"/>
        </w:rPr>
        <w:t>Finite element analysis and engineering algorithms of the earpiece strength indicate that residual stresses in the longitudinal and transverse directions are below the stress corrosion threshold, while the residual stress in the vertical direction exceeds the stress corrosion threshold.</w:t>
      </w:r>
    </w:p>
    <w:p w14:paraId="0723AA43">
      <w:pPr>
        <w:pStyle w:val="16"/>
        <w:spacing w:before="31" w:after="31"/>
        <w:ind w:firstLine="480"/>
        <w:rPr>
          <w:szCs w:val="24"/>
        </w:rPr>
      </w:pPr>
      <w:r>
        <w:rPr>
          <w:szCs w:val="24"/>
        </w:rPr>
        <w:t>The metals in the corrosion products on the inner side of the earpiece are primarily aluminum and iron, with sulfur and chlorine being the corrosive elements.</w:t>
      </w:r>
    </w:p>
    <w:p w14:paraId="7E477A7E">
      <w:pPr>
        <w:pStyle w:val="16"/>
        <w:spacing w:before="31" w:after="31"/>
        <w:ind w:firstLine="0" w:firstLineChars="0"/>
        <w:rPr>
          <w:szCs w:val="24"/>
        </w:rPr>
      </w:pPr>
      <w:r>
        <w:rPr>
          <w:szCs w:val="24"/>
        </w:rPr>
        <w:t>(7) Impact and Harm Caused</w:t>
      </w:r>
    </w:p>
    <w:p w14:paraId="17332FC8">
      <w:pPr>
        <w:pStyle w:val="16"/>
        <w:spacing w:before="31" w:after="31"/>
        <w:ind w:firstLine="480"/>
        <w:rPr>
          <w:szCs w:val="24"/>
        </w:rPr>
      </w:pPr>
      <w:r>
        <w:rPr>
          <w:szCs w:val="24"/>
        </w:rPr>
        <w:t>The main function of the earpiece joint is to transmit concentrated loads, and once it fails, it can trigger overall structural damage. The affected aircraft underwent a major overhaul, and a fleet-wide grounding for inspection and maintenance was initiated.</w:t>
      </w:r>
    </w:p>
    <w:p w14:paraId="21BCD6D0">
      <w:pPr>
        <w:pStyle w:val="16"/>
        <w:spacing w:before="31" w:after="31"/>
        <w:ind w:firstLine="0" w:firstLineChars="0"/>
        <w:rPr>
          <w:szCs w:val="24"/>
        </w:rPr>
      </w:pPr>
      <w:r>
        <w:rPr>
          <w:szCs w:val="24"/>
        </w:rPr>
        <w:t>(8) Conclusion and Improvement Measures</w:t>
      </w:r>
    </w:p>
    <w:p w14:paraId="6489A428">
      <w:pPr>
        <w:pStyle w:val="16"/>
        <w:spacing w:before="31" w:after="31"/>
        <w:ind w:firstLine="480"/>
        <w:rPr>
          <w:szCs w:val="24"/>
        </w:rPr>
      </w:pPr>
      <w:r>
        <w:rPr>
          <w:szCs w:val="24"/>
        </w:rPr>
        <w:t>The material LC4CS for the lower earpiece of the first spar has poor stress corrosion resistance. During flight, it is subjected to tensile stress, and the bushing steel sleeve is interference-fitted, causing the earpiece to endure sustained compression in a corrosive environment with trace amounts of salt spray and acidic gases, leading to stress corrosion cracking.</w:t>
      </w:r>
    </w:p>
    <w:p w14:paraId="54437FAD">
      <w:pPr>
        <w:pStyle w:val="16"/>
        <w:spacing w:before="31" w:after="31"/>
        <w:ind w:firstLine="0" w:firstLineChars="0"/>
        <w:rPr>
          <w:szCs w:val="24"/>
        </w:rPr>
      </w:pPr>
      <w:r>
        <w:rPr>
          <w:szCs w:val="24"/>
        </w:rPr>
        <w:t>Following this incident, stress corrosion issues were carefully considered in detailed design. For subsequent improved aircraft models, the material of the first spar was changed from LC4CS to LC9CgS3, significantly improving stress corrosion characteristics. Simultaneously, design improvements were made to the head structure of the first spar, increasing the residual strength coefficient of the lower earpiece to alleviate the sustained stress levels. Additionally, corrosion protection measures were strengthened, and maintenance strategies were improved. Special attention was given to details such as material selection, shape, fit, and effective corrosion prevention measures were implemented.</w:t>
      </w:r>
    </w:p>
    <w:p w14:paraId="2DA3923C">
      <w:pPr>
        <w:pStyle w:val="16"/>
        <w:spacing w:before="31" w:after="31"/>
        <w:ind w:firstLine="0" w:firstLineChars="0"/>
        <w:rPr>
          <w:b/>
          <w:bCs/>
          <w:szCs w:val="24"/>
        </w:rPr>
      </w:pPr>
      <w:r>
        <w:rPr>
          <w:b/>
          <w:bCs/>
          <w:szCs w:val="24"/>
        </w:rPr>
        <w:t xml:space="preserve">7.2.3 Case 7-3 Fracture of the 4th Stage Rotor Blade in the Compressor of a Certain Type of Aircraft Engine </w:t>
      </w:r>
    </w:p>
    <w:p w14:paraId="772DCC6E">
      <w:pPr>
        <w:pStyle w:val="16"/>
        <w:spacing w:before="31" w:after="31"/>
        <w:ind w:firstLine="480"/>
        <w:rPr>
          <w:szCs w:val="24"/>
        </w:rPr>
      </w:pPr>
    </w:p>
    <w:p w14:paraId="3308807D">
      <w:pPr>
        <w:pStyle w:val="16"/>
        <w:spacing w:before="31" w:after="31"/>
        <w:ind w:firstLine="480"/>
        <w:rPr>
          <w:szCs w:val="24"/>
        </w:rPr>
      </w:pPr>
      <w:r>
        <w:rPr>
          <w:szCs w:val="24"/>
        </w:rPr>
        <w:t>(1) Case Name</w:t>
      </w:r>
    </w:p>
    <w:p w14:paraId="6835FDDF">
      <w:pPr>
        <w:pStyle w:val="16"/>
        <w:spacing w:before="31" w:after="31"/>
        <w:ind w:firstLine="480"/>
        <w:rPr>
          <w:szCs w:val="24"/>
        </w:rPr>
      </w:pPr>
      <w:r>
        <w:rPr>
          <w:szCs w:val="24"/>
        </w:rPr>
        <w:t>Fracture of the 4th Stage Rotor Blade in the Compressor of a Certain Type of Aircraft Engine [13]</w:t>
      </w:r>
    </w:p>
    <w:p w14:paraId="7A593245">
      <w:pPr>
        <w:pStyle w:val="16"/>
        <w:spacing w:before="31" w:after="31"/>
        <w:ind w:firstLine="480"/>
        <w:rPr>
          <w:szCs w:val="24"/>
        </w:rPr>
      </w:pPr>
    </w:p>
    <w:p w14:paraId="4AEA6E3D">
      <w:pPr>
        <w:pStyle w:val="16"/>
        <w:spacing w:before="31" w:after="31"/>
        <w:ind w:firstLine="480"/>
        <w:rPr>
          <w:szCs w:val="24"/>
        </w:rPr>
      </w:pPr>
      <w:r>
        <w:rPr>
          <w:szCs w:val="24"/>
        </w:rPr>
        <w:t>(2) Description of Failure Process</w:t>
      </w:r>
    </w:p>
    <w:p w14:paraId="1E93E6AA">
      <w:pPr>
        <w:pStyle w:val="16"/>
        <w:spacing w:before="31" w:after="31"/>
        <w:ind w:firstLine="480"/>
        <w:rPr>
          <w:szCs w:val="24"/>
        </w:rPr>
      </w:pPr>
      <w:r>
        <w:rPr>
          <w:szCs w:val="24"/>
        </w:rPr>
        <w:t>Since a certain type of aircraft engine has been in service, there have been incidents of fracture and detachment of the 4th stage rotor blade in the compressor, becoming a persistent problem that has not been completely resolved for this type of engine. In recent years, the frequency of such failures has increased significantly, severely impacting flight safety.</w:t>
      </w:r>
    </w:p>
    <w:p w14:paraId="2B04CCB2">
      <w:pPr>
        <w:pStyle w:val="16"/>
        <w:spacing w:before="31" w:after="31"/>
        <w:ind w:firstLine="480"/>
        <w:rPr>
          <w:szCs w:val="24"/>
        </w:rPr>
      </w:pPr>
    </w:p>
    <w:p w14:paraId="722D8055">
      <w:pPr>
        <w:pStyle w:val="16"/>
        <w:spacing w:before="31" w:after="31"/>
        <w:ind w:firstLine="480"/>
        <w:rPr>
          <w:szCs w:val="24"/>
        </w:rPr>
      </w:pPr>
      <w:r>
        <w:rPr>
          <w:szCs w:val="24"/>
        </w:rPr>
        <w:t>(3) Service Environment</w:t>
      </w:r>
    </w:p>
    <w:p w14:paraId="56A13B82">
      <w:pPr>
        <w:pStyle w:val="16"/>
        <w:spacing w:before="31" w:after="31"/>
        <w:ind w:firstLine="480"/>
        <w:rPr>
          <w:szCs w:val="24"/>
        </w:rPr>
      </w:pPr>
      <w:r>
        <w:rPr>
          <w:szCs w:val="24"/>
        </w:rPr>
        <w:t>Gas environment within the aircraft engine.</w:t>
      </w:r>
    </w:p>
    <w:p w14:paraId="0274C32C">
      <w:pPr>
        <w:pStyle w:val="16"/>
        <w:spacing w:before="31" w:after="31"/>
        <w:ind w:firstLine="480"/>
        <w:rPr>
          <w:szCs w:val="24"/>
        </w:rPr>
      </w:pPr>
    </w:p>
    <w:p w14:paraId="54701366">
      <w:pPr>
        <w:pStyle w:val="16"/>
        <w:spacing w:before="31" w:after="31"/>
        <w:ind w:firstLine="480"/>
        <w:rPr>
          <w:szCs w:val="24"/>
        </w:rPr>
      </w:pPr>
      <w:r>
        <w:rPr>
          <w:szCs w:val="24"/>
        </w:rPr>
        <w:t>(4) Failed Components and Materials</w:t>
      </w:r>
    </w:p>
    <w:p w14:paraId="6AA51489">
      <w:pPr>
        <w:pStyle w:val="16"/>
        <w:spacing w:before="31" w:after="31"/>
        <w:ind w:firstLine="480"/>
        <w:rPr>
          <w:szCs w:val="24"/>
        </w:rPr>
      </w:pPr>
      <w:r>
        <w:rPr>
          <w:szCs w:val="24"/>
        </w:rPr>
        <w:t>The material used for the blade is LY2, which belongs to the Al2Cu2Mg2Mn alloy system. The chemical composition is provided in Table 7-2. LY2 can be heat-treated for strengthening, exhibiting high thermal strength. It is a heat-resistant hard aluminum with good plasticity during thermal deformation. It has a tendency for stress corrosion, and good weldability and machinability.</w:t>
      </w:r>
    </w:p>
    <w:p w14:paraId="5A11AC80">
      <w:pPr>
        <w:pStyle w:val="16"/>
        <w:spacing w:before="31" w:after="31"/>
        <w:ind w:firstLine="480"/>
        <w:rPr>
          <w:szCs w:val="24"/>
        </w:rPr>
      </w:pPr>
    </w:p>
    <w:p w14:paraId="73139771">
      <w:pPr>
        <w:pStyle w:val="16"/>
        <w:spacing w:before="31" w:after="31"/>
        <w:ind w:firstLine="482"/>
        <w:jc w:val="center"/>
        <w:rPr>
          <w:b/>
          <w:bCs/>
          <w:szCs w:val="24"/>
        </w:rPr>
      </w:pPr>
      <w:r>
        <w:rPr>
          <w:b/>
          <w:bCs/>
          <w:szCs w:val="24"/>
        </w:rPr>
        <w:t>Table 7-2 Chemical Composition of LY2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4"/>
        <w:gridCol w:w="1065"/>
        <w:gridCol w:w="1066"/>
        <w:gridCol w:w="1065"/>
        <w:gridCol w:w="1065"/>
        <w:gridCol w:w="1065"/>
        <w:gridCol w:w="1066"/>
        <w:gridCol w:w="1066"/>
      </w:tblGrid>
      <w:tr w14:paraId="0BB6C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053FC505">
            <w:pPr>
              <w:pStyle w:val="16"/>
              <w:spacing w:before="31" w:after="31"/>
              <w:ind w:firstLine="0" w:firstLineChars="0"/>
              <w:rPr>
                <w:szCs w:val="24"/>
              </w:rPr>
            </w:pPr>
            <w:r>
              <w:rPr>
                <w:szCs w:val="24"/>
              </w:rPr>
              <w:t>Cu</w:t>
            </w:r>
          </w:p>
        </w:tc>
        <w:tc>
          <w:tcPr>
            <w:tcW w:w="1065" w:type="dxa"/>
          </w:tcPr>
          <w:p w14:paraId="7A7614C6">
            <w:pPr>
              <w:pStyle w:val="16"/>
              <w:spacing w:before="31" w:after="31"/>
              <w:ind w:firstLine="0" w:firstLineChars="0"/>
              <w:rPr>
                <w:szCs w:val="24"/>
              </w:rPr>
            </w:pPr>
            <w:r>
              <w:rPr>
                <w:szCs w:val="24"/>
              </w:rPr>
              <w:t>Mg</w:t>
            </w:r>
          </w:p>
        </w:tc>
        <w:tc>
          <w:tcPr>
            <w:tcW w:w="1065" w:type="dxa"/>
          </w:tcPr>
          <w:p w14:paraId="1F07E678">
            <w:pPr>
              <w:pStyle w:val="16"/>
              <w:spacing w:before="31" w:after="31"/>
              <w:ind w:firstLine="0" w:firstLineChars="0"/>
              <w:rPr>
                <w:szCs w:val="24"/>
              </w:rPr>
            </w:pPr>
            <w:r>
              <w:rPr>
                <w:szCs w:val="24"/>
              </w:rPr>
              <w:t>Mn</w:t>
            </w:r>
          </w:p>
        </w:tc>
        <w:tc>
          <w:tcPr>
            <w:tcW w:w="1065" w:type="dxa"/>
          </w:tcPr>
          <w:p w14:paraId="0D214ADC">
            <w:pPr>
              <w:pStyle w:val="16"/>
              <w:spacing w:before="31" w:after="31"/>
              <w:ind w:firstLine="0" w:firstLineChars="0"/>
              <w:rPr>
                <w:szCs w:val="24"/>
              </w:rPr>
            </w:pPr>
            <w:r>
              <w:rPr>
                <w:szCs w:val="24"/>
              </w:rPr>
              <w:t>Fe</w:t>
            </w:r>
          </w:p>
        </w:tc>
        <w:tc>
          <w:tcPr>
            <w:tcW w:w="1065" w:type="dxa"/>
          </w:tcPr>
          <w:p w14:paraId="5141956A">
            <w:pPr>
              <w:pStyle w:val="16"/>
              <w:spacing w:before="31" w:after="31"/>
              <w:ind w:firstLine="0" w:firstLineChars="0"/>
              <w:rPr>
                <w:szCs w:val="24"/>
              </w:rPr>
            </w:pPr>
            <w:r>
              <w:rPr>
                <w:szCs w:val="24"/>
              </w:rPr>
              <w:t>SiC</w:t>
            </w:r>
          </w:p>
        </w:tc>
        <w:tc>
          <w:tcPr>
            <w:tcW w:w="1065" w:type="dxa"/>
          </w:tcPr>
          <w:p w14:paraId="5C0DE5E3">
            <w:pPr>
              <w:pStyle w:val="16"/>
              <w:spacing w:before="31" w:after="31"/>
              <w:ind w:firstLine="0" w:firstLineChars="0"/>
              <w:rPr>
                <w:szCs w:val="24"/>
              </w:rPr>
            </w:pPr>
            <w:r>
              <w:rPr>
                <w:szCs w:val="24"/>
              </w:rPr>
              <w:t>Zn</w:t>
            </w:r>
          </w:p>
        </w:tc>
        <w:tc>
          <w:tcPr>
            <w:tcW w:w="1066" w:type="dxa"/>
          </w:tcPr>
          <w:p w14:paraId="1C392243">
            <w:pPr>
              <w:pStyle w:val="16"/>
              <w:spacing w:before="31" w:after="31"/>
              <w:ind w:firstLine="0" w:firstLineChars="0"/>
              <w:rPr>
                <w:szCs w:val="24"/>
              </w:rPr>
            </w:pPr>
            <w:r>
              <w:rPr>
                <w:szCs w:val="24"/>
              </w:rPr>
              <w:t>Ti</w:t>
            </w:r>
          </w:p>
        </w:tc>
        <w:tc>
          <w:tcPr>
            <w:tcW w:w="1066" w:type="dxa"/>
          </w:tcPr>
          <w:p w14:paraId="56E4344A">
            <w:pPr>
              <w:pStyle w:val="16"/>
              <w:spacing w:before="31" w:after="31"/>
              <w:ind w:firstLine="0" w:firstLineChars="0"/>
              <w:rPr>
                <w:szCs w:val="24"/>
              </w:rPr>
            </w:pPr>
            <w:r>
              <w:rPr>
                <w:szCs w:val="24"/>
              </w:rPr>
              <w:t>Al</w:t>
            </w:r>
          </w:p>
        </w:tc>
      </w:tr>
      <w:tr w14:paraId="3E1C9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7EF4BB6C">
            <w:pPr>
              <w:pStyle w:val="16"/>
              <w:spacing w:before="31" w:after="31"/>
              <w:ind w:firstLine="0" w:firstLineChars="0"/>
              <w:rPr>
                <w:rFonts w:hint="eastAsia"/>
                <w:szCs w:val="24"/>
              </w:rPr>
            </w:pPr>
            <w:r>
              <w:rPr>
                <w:rFonts w:hint="eastAsia"/>
                <w:szCs w:val="24"/>
              </w:rPr>
              <w:t>2.6~3.2</w:t>
            </w:r>
          </w:p>
        </w:tc>
        <w:tc>
          <w:tcPr>
            <w:tcW w:w="1065" w:type="dxa"/>
          </w:tcPr>
          <w:p w14:paraId="0DC707BD">
            <w:pPr>
              <w:pStyle w:val="16"/>
              <w:spacing w:before="31" w:after="31"/>
              <w:ind w:firstLine="0" w:firstLineChars="0"/>
              <w:rPr>
                <w:rFonts w:hint="eastAsia"/>
                <w:szCs w:val="24"/>
              </w:rPr>
            </w:pPr>
            <w:r>
              <w:rPr>
                <w:rFonts w:hint="eastAsia"/>
                <w:szCs w:val="24"/>
              </w:rPr>
              <w:t>2.0~2.4</w:t>
            </w:r>
          </w:p>
        </w:tc>
        <w:tc>
          <w:tcPr>
            <w:tcW w:w="1065" w:type="dxa"/>
          </w:tcPr>
          <w:p w14:paraId="2780878C">
            <w:pPr>
              <w:pStyle w:val="16"/>
              <w:spacing w:before="31" w:after="31"/>
              <w:ind w:firstLine="0" w:firstLineChars="0"/>
              <w:rPr>
                <w:rFonts w:hint="eastAsia"/>
                <w:szCs w:val="24"/>
              </w:rPr>
            </w:pPr>
            <w:r>
              <w:rPr>
                <w:rFonts w:hint="eastAsia"/>
                <w:szCs w:val="24"/>
              </w:rPr>
              <w:t>0.45~0.7</w:t>
            </w:r>
          </w:p>
        </w:tc>
        <w:tc>
          <w:tcPr>
            <w:tcW w:w="1065" w:type="dxa"/>
          </w:tcPr>
          <w:p w14:paraId="08DCCDF2">
            <w:pPr>
              <w:pStyle w:val="16"/>
              <w:spacing w:before="31" w:after="31"/>
              <w:ind w:firstLine="0" w:firstLineChars="0"/>
              <w:rPr>
                <w:rFonts w:hint="eastAsia"/>
                <w:szCs w:val="24"/>
              </w:rPr>
            </w:pPr>
            <w:r>
              <w:rPr>
                <w:rFonts w:hint="eastAsia"/>
                <w:szCs w:val="24"/>
              </w:rPr>
              <w:t>≤0.3</w:t>
            </w:r>
          </w:p>
        </w:tc>
        <w:tc>
          <w:tcPr>
            <w:tcW w:w="1065" w:type="dxa"/>
          </w:tcPr>
          <w:p w14:paraId="19D5665A">
            <w:pPr>
              <w:pStyle w:val="16"/>
              <w:spacing w:before="31" w:after="31"/>
              <w:ind w:firstLine="0" w:firstLineChars="0"/>
              <w:rPr>
                <w:rFonts w:hint="eastAsia"/>
                <w:szCs w:val="24"/>
              </w:rPr>
            </w:pPr>
            <w:r>
              <w:rPr>
                <w:rFonts w:hint="eastAsia"/>
                <w:szCs w:val="24"/>
              </w:rPr>
              <w:t>≤0.3</w:t>
            </w:r>
          </w:p>
        </w:tc>
        <w:tc>
          <w:tcPr>
            <w:tcW w:w="1065" w:type="dxa"/>
          </w:tcPr>
          <w:p w14:paraId="2AC44F55">
            <w:pPr>
              <w:pStyle w:val="16"/>
              <w:spacing w:before="31" w:after="31"/>
              <w:ind w:firstLine="0" w:firstLineChars="0"/>
              <w:rPr>
                <w:rFonts w:hint="eastAsia"/>
                <w:szCs w:val="24"/>
              </w:rPr>
            </w:pPr>
            <w:r>
              <w:rPr>
                <w:rFonts w:hint="eastAsia"/>
                <w:szCs w:val="24"/>
              </w:rPr>
              <w:t>≤0.1</w:t>
            </w:r>
          </w:p>
        </w:tc>
        <w:tc>
          <w:tcPr>
            <w:tcW w:w="1066" w:type="dxa"/>
          </w:tcPr>
          <w:p w14:paraId="4824320A">
            <w:pPr>
              <w:pStyle w:val="16"/>
              <w:spacing w:before="31" w:after="31"/>
              <w:ind w:firstLine="0" w:firstLineChars="0"/>
              <w:rPr>
                <w:rFonts w:hint="eastAsia"/>
                <w:szCs w:val="24"/>
              </w:rPr>
            </w:pPr>
            <w:r>
              <w:rPr>
                <w:rFonts w:hint="eastAsia"/>
                <w:szCs w:val="24"/>
              </w:rPr>
              <w:t>≤0.15</w:t>
            </w:r>
          </w:p>
        </w:tc>
        <w:tc>
          <w:tcPr>
            <w:tcW w:w="1066" w:type="dxa"/>
          </w:tcPr>
          <w:p w14:paraId="2FA09262">
            <w:pPr>
              <w:pStyle w:val="16"/>
              <w:spacing w:before="31" w:after="31"/>
              <w:ind w:firstLine="0" w:firstLineChars="0"/>
              <w:rPr>
                <w:rFonts w:hint="eastAsia"/>
                <w:szCs w:val="24"/>
              </w:rPr>
            </w:pPr>
            <w:r>
              <w:rPr>
                <w:rFonts w:hint="eastAsia"/>
                <w:szCs w:val="24"/>
              </w:rPr>
              <w:t>Bal</w:t>
            </w:r>
          </w:p>
        </w:tc>
      </w:tr>
    </w:tbl>
    <w:p w14:paraId="45AE8CE0">
      <w:pPr>
        <w:pStyle w:val="16"/>
        <w:spacing w:before="31" w:after="31"/>
        <w:ind w:firstLine="480"/>
        <w:rPr>
          <w:szCs w:val="24"/>
        </w:rPr>
      </w:pPr>
    </w:p>
    <w:p w14:paraId="545F4BB5">
      <w:pPr>
        <w:pStyle w:val="16"/>
        <w:spacing w:before="31" w:after="31"/>
        <w:ind w:firstLine="480"/>
        <w:rPr>
          <w:szCs w:val="24"/>
        </w:rPr>
      </w:pPr>
      <w:r>
        <w:rPr>
          <w:szCs w:val="24"/>
        </w:rPr>
        <w:t>(5) Failure Morphology of Components</w:t>
      </w:r>
    </w:p>
    <w:p w14:paraId="66E852E4">
      <w:pPr>
        <w:pStyle w:val="16"/>
        <w:spacing w:before="31" w:after="31"/>
        <w:ind w:firstLine="480"/>
        <w:rPr>
          <w:szCs w:val="24"/>
        </w:rPr>
      </w:pPr>
      <w:r>
        <w:rPr>
          <w:szCs w:val="24"/>
        </w:rPr>
        <w:t>Eddy current non-destructive testing revealed a penetrating crack approximately 11mm long near the blade exhaust edge about 96mm from the root. No abnormalities were found in other areas.</w:t>
      </w:r>
    </w:p>
    <w:p w14:paraId="79C0E37E">
      <w:pPr>
        <w:pStyle w:val="16"/>
        <w:spacing w:before="31" w:after="31"/>
        <w:ind w:firstLine="480"/>
        <w:rPr>
          <w:szCs w:val="24"/>
        </w:rPr>
      </w:pPr>
      <w:r>
        <w:rPr>
          <w:szCs w:val="24"/>
        </w:rPr>
        <w:t>The fracture surface morphology, observed by separating the specimen along the crack surface, is shown in Figure 7-3.1. The crack originated from a corrosion pit A on the back of the blade, where accumulated corrosion products and cleavage fracture morphology were observed. The crack extension area showed clear feather-like patterns and river-like patterns, all pointing toward the crack source (Figure 7-3.2). The fracture exhibited distinct fatigue striations (Figure 7-3.3a) and a certain width of fatigue arcs (Figure 7-3.3b), indicating typical resonance fatigue characteristics.</w:t>
      </w:r>
    </w:p>
    <w:p w14:paraId="77E463D6">
      <w:pPr>
        <w:pStyle w:val="16"/>
        <w:spacing w:before="31" w:after="31"/>
        <w:ind w:firstLine="482"/>
        <w:jc w:val="center"/>
        <w:rPr>
          <w:b/>
          <w:bCs/>
          <w:szCs w:val="24"/>
        </w:rPr>
      </w:pPr>
    </w:p>
    <w:p w14:paraId="0FD70DBE">
      <w:pPr>
        <w:pStyle w:val="16"/>
        <w:spacing w:before="31" w:after="31"/>
        <w:ind w:firstLine="482"/>
        <w:jc w:val="center"/>
        <w:rPr>
          <w:b/>
          <w:bCs/>
          <w:szCs w:val="24"/>
        </w:rPr>
      </w:pPr>
      <w:r>
        <w:rPr>
          <w:b/>
          <w:bCs/>
          <w:szCs w:val="24"/>
        </w:rPr>
        <w:t>Figure 7-3.1 Fracture morphology</w:t>
      </w:r>
    </w:p>
    <w:p w14:paraId="4836F562">
      <w:pPr>
        <w:pStyle w:val="16"/>
        <w:spacing w:before="31" w:after="31"/>
        <w:ind w:firstLine="482"/>
        <w:jc w:val="center"/>
        <w:rPr>
          <w:b/>
          <w:bCs/>
          <w:szCs w:val="24"/>
        </w:rPr>
      </w:pPr>
    </w:p>
    <w:p w14:paraId="7F7095C0">
      <w:pPr>
        <w:pStyle w:val="16"/>
        <w:spacing w:before="31" w:after="31"/>
        <w:ind w:firstLine="482"/>
        <w:jc w:val="center"/>
        <w:rPr>
          <w:b/>
          <w:bCs/>
          <w:szCs w:val="24"/>
        </w:rPr>
      </w:pPr>
      <w:r>
        <w:rPr>
          <w:b/>
          <w:bCs/>
          <w:szCs w:val="24"/>
        </w:rPr>
        <w:t>(a) Feather-like patterns                       (b) River-like patterns</w:t>
      </w:r>
    </w:p>
    <w:p w14:paraId="1D2DEF32">
      <w:pPr>
        <w:pStyle w:val="16"/>
        <w:spacing w:before="31" w:after="31"/>
        <w:ind w:firstLine="482"/>
        <w:jc w:val="center"/>
        <w:rPr>
          <w:b/>
          <w:bCs/>
          <w:szCs w:val="24"/>
        </w:rPr>
      </w:pPr>
      <w:r>
        <w:rPr>
          <w:b/>
          <w:bCs/>
          <w:szCs w:val="24"/>
        </w:rPr>
        <w:t>Figure 7-3.2 Crack extension morphology</w:t>
      </w:r>
    </w:p>
    <w:p w14:paraId="063E222A">
      <w:pPr>
        <w:pStyle w:val="16"/>
        <w:spacing w:before="31" w:after="31"/>
        <w:ind w:firstLine="482"/>
        <w:jc w:val="center"/>
        <w:rPr>
          <w:b/>
          <w:bCs/>
          <w:szCs w:val="24"/>
        </w:rPr>
      </w:pPr>
    </w:p>
    <w:p w14:paraId="18B1664C">
      <w:pPr>
        <w:pStyle w:val="16"/>
        <w:spacing w:before="31" w:after="31"/>
        <w:ind w:firstLine="482"/>
        <w:jc w:val="center"/>
        <w:rPr>
          <w:b/>
          <w:bCs/>
          <w:szCs w:val="24"/>
        </w:rPr>
      </w:pPr>
      <w:r>
        <w:rPr>
          <w:b/>
          <w:bCs/>
          <w:szCs w:val="24"/>
        </w:rPr>
        <w:t>(a) Fatigue striations                       (b) Fatigue arcs</w:t>
      </w:r>
    </w:p>
    <w:p w14:paraId="68AE3E8F">
      <w:pPr>
        <w:pStyle w:val="16"/>
        <w:spacing w:before="31" w:after="31"/>
        <w:ind w:firstLine="482"/>
        <w:jc w:val="center"/>
        <w:rPr>
          <w:b/>
          <w:bCs/>
          <w:szCs w:val="24"/>
        </w:rPr>
      </w:pPr>
      <w:r>
        <w:rPr>
          <w:b/>
          <w:bCs/>
          <w:szCs w:val="24"/>
        </w:rPr>
        <w:t>Figure 7-3.3 Typical fatigue features on the fracture</w:t>
      </w:r>
    </w:p>
    <w:p w14:paraId="7FA2E2B1">
      <w:pPr>
        <w:pStyle w:val="16"/>
        <w:spacing w:before="31" w:after="31"/>
        <w:ind w:firstLine="480"/>
        <w:rPr>
          <w:szCs w:val="24"/>
        </w:rPr>
      </w:pPr>
    </w:p>
    <w:p w14:paraId="26DF8BF9">
      <w:pPr>
        <w:pStyle w:val="16"/>
        <w:spacing w:before="31" w:after="31"/>
        <w:ind w:firstLine="480"/>
        <w:rPr>
          <w:szCs w:val="24"/>
        </w:rPr>
      </w:pPr>
      <w:r>
        <w:rPr>
          <w:szCs w:val="24"/>
        </w:rPr>
        <w:t>(6) Analysis of Failure Causes</w:t>
      </w:r>
    </w:p>
    <w:p w14:paraId="6909AA0B">
      <w:pPr>
        <w:pStyle w:val="16"/>
        <w:spacing w:before="31" w:after="31"/>
        <w:ind w:firstLine="480"/>
        <w:rPr>
          <w:szCs w:val="24"/>
        </w:rPr>
      </w:pPr>
      <w:r>
        <w:rPr>
          <w:szCs w:val="24"/>
        </w:rPr>
        <w:t>X-ray energy spectrum analysis results (Figure 7-3.4) indicated that the crack source area, in addition to alloy elements such as Al, Cu, Mg, and Mn in the blade material, also contained impurity elements such as S, K, and Ca, possibly originating from atmospheric corrosion products or the blade production process, with S being the main element causing corrosion.</w:t>
      </w:r>
    </w:p>
    <w:p w14:paraId="0ADBB875">
      <w:pPr>
        <w:pStyle w:val="16"/>
        <w:spacing w:before="31" w:after="31"/>
        <w:ind w:firstLine="482"/>
        <w:jc w:val="center"/>
        <w:rPr>
          <w:b/>
          <w:bCs/>
          <w:szCs w:val="24"/>
        </w:rPr>
      </w:pPr>
      <w:r>
        <w:rPr>
          <w:b/>
          <w:bCs/>
          <w:szCs w:val="24"/>
        </w:rPr>
        <w:t>Figure 7-3.4 X-ray spectrum analysis of the crack source area</w:t>
      </w:r>
    </w:p>
    <w:p w14:paraId="2A400C1D">
      <w:pPr>
        <w:pStyle w:val="16"/>
        <w:spacing w:before="31" w:after="31"/>
        <w:ind w:firstLine="480"/>
        <w:rPr>
          <w:szCs w:val="24"/>
        </w:rPr>
      </w:pPr>
      <w:r>
        <w:rPr>
          <w:szCs w:val="24"/>
        </w:rPr>
        <w:t>Microscopic observation of samples taken from the initiation site and the extension area showed a microstructure consisting of α(Al) + S(Al2CuMg) and small amounts of CuAl2 or Al2CuMn2 phases, with no evidence of overheating or burning. Hardness tests (HB)</w:t>
      </w:r>
      <w:r>
        <w:rPr>
          <w:rFonts w:hint="eastAsia"/>
          <w:szCs w:val="24"/>
        </w:rPr>
        <w:t xml:space="preserve"> conducted at the initiation site and extension area yielded hardness values of 120 and 121, respectively, meeting the standard requirement of HB ≥ 100 according to RJT-071. Therefore, the microstructure of the faulty blade was normal, and the hardness met</w:t>
      </w:r>
      <w:r>
        <w:rPr>
          <w:szCs w:val="24"/>
        </w:rPr>
        <w:t xml:space="preserve"> the requirements of RJT-071.</w:t>
      </w:r>
    </w:p>
    <w:p w14:paraId="761D836F">
      <w:pPr>
        <w:pStyle w:val="16"/>
        <w:spacing w:before="31" w:after="31"/>
        <w:ind w:firstLine="480"/>
        <w:rPr>
          <w:szCs w:val="24"/>
        </w:rPr>
      </w:pPr>
      <w:r>
        <w:rPr>
          <w:szCs w:val="24"/>
        </w:rPr>
        <w:t>Fracture analysis results showed that the crack originated from a corrosion pit on the back surface of the blade. In the early stages of crack extension, transgranular cleavage features were evident, with corrosion products covering the section, forming a typical brittle fracture. As the crack penetrated the thickness of the blade, it turned towards the root, displaying clear fatigue striations with resonance fatigue features.</w:t>
      </w:r>
    </w:p>
    <w:p w14:paraId="65481D6D">
      <w:pPr>
        <w:pStyle w:val="16"/>
        <w:spacing w:before="31" w:after="31"/>
        <w:ind w:firstLine="480"/>
        <w:rPr>
          <w:szCs w:val="24"/>
        </w:rPr>
      </w:pPr>
    </w:p>
    <w:p w14:paraId="1A9DD237">
      <w:pPr>
        <w:pStyle w:val="16"/>
        <w:spacing w:before="31" w:after="31"/>
        <w:ind w:firstLine="480"/>
        <w:rPr>
          <w:szCs w:val="24"/>
        </w:rPr>
      </w:pPr>
      <w:r>
        <w:rPr>
          <w:szCs w:val="24"/>
        </w:rPr>
        <w:t>(7) Impact and Harm Caused</w:t>
      </w:r>
    </w:p>
    <w:p w14:paraId="339645DF">
      <w:pPr>
        <w:pStyle w:val="16"/>
        <w:spacing w:before="31" w:after="31"/>
        <w:ind w:firstLine="480"/>
        <w:rPr>
          <w:szCs w:val="24"/>
        </w:rPr>
      </w:pPr>
      <w:r>
        <w:rPr>
          <w:szCs w:val="24"/>
        </w:rPr>
        <w:t>Severely impacts flight safety.</w:t>
      </w:r>
    </w:p>
    <w:p w14:paraId="27035734">
      <w:pPr>
        <w:pStyle w:val="16"/>
        <w:spacing w:before="31" w:after="31"/>
        <w:ind w:firstLine="480"/>
        <w:rPr>
          <w:szCs w:val="24"/>
        </w:rPr>
      </w:pPr>
    </w:p>
    <w:p w14:paraId="46351B8A">
      <w:pPr>
        <w:pStyle w:val="16"/>
        <w:spacing w:before="31" w:after="31"/>
        <w:ind w:firstLine="480"/>
        <w:rPr>
          <w:szCs w:val="24"/>
        </w:rPr>
      </w:pPr>
      <w:r>
        <w:rPr>
          <w:szCs w:val="24"/>
        </w:rPr>
        <w:t>(8) Conclusion and Improvement Measures</w:t>
      </w:r>
    </w:p>
    <w:p w14:paraId="785511CF">
      <w:pPr>
        <w:pStyle w:val="16"/>
        <w:spacing w:before="31" w:after="31"/>
        <w:ind w:firstLine="0" w:firstLineChars="0"/>
        <w:rPr>
          <w:szCs w:val="24"/>
        </w:rPr>
      </w:pPr>
      <w:r>
        <w:rPr>
          <w:szCs w:val="24"/>
        </w:rPr>
        <w:t>The blade failure was due to corrosion on the blade surface leading to a reduction in fatigue strength, causing fatigue failure under vibrational stress. The corrosion elements on the blade mainly originated from the blade's working environment, emphasizing the need to strengthen anti-corrosion measures for the blades.</w:t>
      </w:r>
    </w:p>
    <w:p w14:paraId="709D3BD2">
      <w:pPr>
        <w:pStyle w:val="16"/>
        <w:spacing w:before="31" w:after="31"/>
        <w:ind w:firstLine="0" w:firstLineChars="0"/>
        <w:rPr>
          <w:b/>
          <w:bCs/>
          <w:szCs w:val="24"/>
        </w:rPr>
      </w:pPr>
      <w:r>
        <w:rPr>
          <w:b/>
          <w:bCs/>
          <w:szCs w:val="24"/>
        </w:rPr>
        <w:t>7.2.4 Case 7-4 Hydrogen Embrittlement Fracture of Aircraft Landing Gear Strut Fixing Bolt</w:t>
      </w:r>
    </w:p>
    <w:p w14:paraId="5B0CD210">
      <w:pPr>
        <w:pStyle w:val="16"/>
        <w:spacing w:before="31" w:after="31"/>
        <w:ind w:firstLine="480"/>
        <w:rPr>
          <w:szCs w:val="24"/>
        </w:rPr>
      </w:pPr>
      <w:r>
        <w:rPr>
          <w:szCs w:val="24"/>
        </w:rPr>
        <w:t>(1) Case Name</w:t>
      </w:r>
    </w:p>
    <w:p w14:paraId="15E38383">
      <w:pPr>
        <w:pStyle w:val="16"/>
        <w:spacing w:before="31" w:after="31"/>
        <w:ind w:firstLine="480"/>
        <w:rPr>
          <w:szCs w:val="24"/>
        </w:rPr>
      </w:pPr>
      <w:r>
        <w:rPr>
          <w:szCs w:val="24"/>
        </w:rPr>
        <w:t>Hydrogen Embrittlement Fracture of Aircraft Landing Gear Strut Fixing Bolt [43]</w:t>
      </w:r>
    </w:p>
    <w:p w14:paraId="5438E7F2">
      <w:pPr>
        <w:pStyle w:val="16"/>
        <w:spacing w:before="31" w:after="31"/>
        <w:ind w:firstLine="480"/>
        <w:rPr>
          <w:szCs w:val="24"/>
        </w:rPr>
      </w:pPr>
      <w:r>
        <w:rPr>
          <w:szCs w:val="24"/>
        </w:rPr>
        <w:t>(2) Description of Failure Process</w:t>
      </w:r>
    </w:p>
    <w:p w14:paraId="262700F6">
      <w:pPr>
        <w:pStyle w:val="16"/>
        <w:spacing w:before="31" w:after="31"/>
        <w:ind w:firstLine="480"/>
        <w:rPr>
          <w:szCs w:val="24"/>
        </w:rPr>
      </w:pPr>
      <w:r>
        <w:rPr>
          <w:szCs w:val="24"/>
        </w:rPr>
        <w:t>During a service inspection, it was discovered that one of the eight fixing bolts for the landing gear strut cushion on an aircraft had fractured. At the time of the failure, the aircraft had been in service for 16 years, with 5 years since the last D-check.</w:t>
      </w:r>
    </w:p>
    <w:p w14:paraId="415CB33C">
      <w:pPr>
        <w:pStyle w:val="16"/>
        <w:spacing w:before="31" w:after="31"/>
        <w:ind w:firstLine="480"/>
        <w:rPr>
          <w:szCs w:val="24"/>
        </w:rPr>
      </w:pPr>
      <w:r>
        <w:rPr>
          <w:szCs w:val="24"/>
        </w:rPr>
        <w:t>The fractured bolt was not a mandatory replacement during the D-check. It underwent a non-destructive testing inspection during the D-check, showing no abnormalities, and was continued to be used. Maintenance personnel conducted external inspections of components such as the landing gear strut fixing bolts during mechanical days, post-flight checks, and overhauls, promptly replacing any identified issues.</w:t>
      </w:r>
    </w:p>
    <w:p w14:paraId="1C54E4C8">
      <w:pPr>
        <w:pStyle w:val="16"/>
        <w:spacing w:before="31" w:after="31"/>
        <w:ind w:firstLine="480"/>
        <w:rPr>
          <w:szCs w:val="24"/>
        </w:rPr>
      </w:pPr>
      <w:r>
        <w:rPr>
          <w:szCs w:val="24"/>
        </w:rPr>
        <w:t>(3) Service Environment</w:t>
      </w:r>
    </w:p>
    <w:p w14:paraId="7FD99A47">
      <w:pPr>
        <w:pStyle w:val="16"/>
        <w:spacing w:before="31" w:after="31"/>
        <w:ind w:firstLine="480"/>
        <w:rPr>
          <w:szCs w:val="24"/>
        </w:rPr>
      </w:pPr>
      <w:r>
        <w:rPr>
          <w:szCs w:val="24"/>
        </w:rPr>
        <w:t>Natural atmospheric environment.</w:t>
      </w:r>
    </w:p>
    <w:p w14:paraId="5A009CE3">
      <w:pPr>
        <w:pStyle w:val="16"/>
        <w:spacing w:before="31" w:after="31"/>
        <w:ind w:firstLine="480"/>
        <w:rPr>
          <w:szCs w:val="24"/>
        </w:rPr>
      </w:pPr>
      <w:r>
        <w:rPr>
          <w:szCs w:val="24"/>
        </w:rPr>
        <w:t>(4) Failed Components and Materials</w:t>
      </w:r>
    </w:p>
    <w:p w14:paraId="648F9D7C">
      <w:pPr>
        <w:pStyle w:val="16"/>
        <w:spacing w:before="31" w:after="31"/>
        <w:ind w:firstLine="480"/>
        <w:rPr>
          <w:szCs w:val="24"/>
        </w:rPr>
      </w:pPr>
      <w:r>
        <w:rPr>
          <w:szCs w:val="24"/>
        </w:rPr>
        <w:t>The fixing bolt for the landing gear strut cushion of the aircraft, with a base material of 30CrMnSiNi2A. The fractured bolt and its fracture morphology are shown in Figure 7-4.1. The fracture occurred at the thread relief groove. The exposed portions of the bolt and the surface of the nut were coated with silver-gray paint for protection. The surface of the shank had multiple areas of rust, and severe rusting was observed around one circle of the thread relief groove and the adjacent nut.</w:t>
      </w:r>
    </w:p>
    <w:p w14:paraId="749982E6">
      <w:pPr>
        <w:pStyle w:val="16"/>
        <w:spacing w:before="31" w:after="31"/>
        <w:ind w:firstLine="482"/>
        <w:jc w:val="center"/>
        <w:rPr>
          <w:b/>
          <w:bCs/>
          <w:szCs w:val="24"/>
        </w:rPr>
      </w:pPr>
    </w:p>
    <w:p w14:paraId="403F9E20">
      <w:pPr>
        <w:pStyle w:val="16"/>
        <w:spacing w:before="31" w:after="31"/>
        <w:ind w:firstLine="482"/>
        <w:jc w:val="center"/>
        <w:rPr>
          <w:b/>
          <w:bCs/>
          <w:szCs w:val="24"/>
        </w:rPr>
      </w:pPr>
      <w:r>
        <w:rPr>
          <w:b/>
          <w:bCs/>
          <w:szCs w:val="24"/>
        </w:rPr>
        <w:t>Figure 7-4.1 Bolt and fracture morphology</w:t>
      </w:r>
    </w:p>
    <w:p w14:paraId="63A2131B">
      <w:pPr>
        <w:pStyle w:val="16"/>
        <w:spacing w:before="31" w:after="31"/>
        <w:ind w:firstLine="480"/>
        <w:rPr>
          <w:szCs w:val="24"/>
        </w:rPr>
      </w:pPr>
      <w:r>
        <w:rPr>
          <w:szCs w:val="24"/>
        </w:rPr>
        <w:t>(5) Failure Morphology of Components</w:t>
      </w:r>
    </w:p>
    <w:p w14:paraId="5BC3D8B6">
      <w:pPr>
        <w:pStyle w:val="16"/>
        <w:spacing w:before="31" w:after="31"/>
        <w:ind w:firstLine="480"/>
        <w:rPr>
          <w:szCs w:val="24"/>
        </w:rPr>
      </w:pPr>
      <w:r>
        <w:rPr>
          <w:szCs w:val="24"/>
        </w:rPr>
        <w:t>The fracture surface exhibited a slight rust color, and the entire fracture was generally flat, with most areas having an inclined fracture. Judging from the convergence direction of the fracture lines, it was determined that the crack initiated at two adjacent corrosion pits on the surface of the relief groove. The lengths of the corrosion pits in the circumferential direction were 0.45 mm and 0.16 mm, with corresponding depths of 0.11 mm and 0.041 mm, respectively. The corrosion pits exhibited obvious crack-like corrosion features and contained corrosion products (Figure 7-4.2). Energy dispersive X-ray spectroscopy (EDS) analysis showed that the main corrosion elements were S and O (Figure 7-4.3).</w:t>
      </w:r>
    </w:p>
    <w:p w14:paraId="035D9929">
      <w:pPr>
        <w:pStyle w:val="16"/>
        <w:spacing w:before="31" w:after="31"/>
        <w:ind w:firstLine="480"/>
        <w:rPr>
          <w:szCs w:val="24"/>
        </w:rPr>
      </w:pPr>
      <w:r>
        <w:rPr>
          <w:szCs w:val="24"/>
        </w:rPr>
        <w:t>The overall fracture characteristics mainly included a mixed feature of intergranular and dimple (Figure 7-4.4), with distinct claw marks on the intergranular surface (Figure 7-4.5). Secondary crack features were not evident on the fracture surface. The microscopic features on the inclined fracture surface were dimples (Figure 7-4.6). Severe rusting was observed on the surface of the relief groove near the bolt fracture, with apparent corrosion products (as shown in Figure 7-4.7). EDS analysis showed similar spectral features to Figure 7-4.3, with S and O being the main corrosion elements.</w:t>
      </w:r>
    </w:p>
    <w:p w14:paraId="2A37592C">
      <w:pPr>
        <w:pStyle w:val="16"/>
        <w:spacing w:before="31" w:after="31"/>
        <w:ind w:firstLine="482"/>
        <w:jc w:val="center"/>
        <w:rPr>
          <w:b/>
          <w:bCs/>
          <w:szCs w:val="24"/>
        </w:rPr>
      </w:pPr>
      <w:r>
        <w:rPr>
          <w:b/>
          <w:bCs/>
          <w:szCs w:val="24"/>
        </w:rPr>
        <w:t>Figure 7-4.2 Corrosion pit morphology in the fracture source area</w:t>
      </w:r>
    </w:p>
    <w:p w14:paraId="20B25B7D">
      <w:pPr>
        <w:pStyle w:val="16"/>
        <w:spacing w:before="31" w:after="31"/>
        <w:ind w:firstLine="482"/>
        <w:jc w:val="center"/>
        <w:rPr>
          <w:b/>
          <w:bCs/>
          <w:szCs w:val="24"/>
        </w:rPr>
      </w:pPr>
      <w:r>
        <w:rPr>
          <w:b/>
          <w:bCs/>
          <w:szCs w:val="24"/>
        </w:rPr>
        <w:t>Figure 7-4.3 EDS spectrum of the source area</w:t>
      </w:r>
    </w:p>
    <w:p w14:paraId="756C9EA0">
      <w:pPr>
        <w:pStyle w:val="16"/>
        <w:spacing w:before="31" w:after="31"/>
        <w:ind w:firstLine="482"/>
        <w:jc w:val="center"/>
        <w:rPr>
          <w:b/>
          <w:bCs/>
          <w:szCs w:val="24"/>
        </w:rPr>
      </w:pPr>
    </w:p>
    <w:p w14:paraId="628533AD">
      <w:pPr>
        <w:pStyle w:val="16"/>
        <w:spacing w:before="31" w:after="31"/>
        <w:ind w:firstLine="482"/>
        <w:jc w:val="center"/>
        <w:rPr>
          <w:b/>
          <w:bCs/>
          <w:szCs w:val="24"/>
        </w:rPr>
      </w:pPr>
      <w:r>
        <w:rPr>
          <w:b/>
          <w:bCs/>
          <w:szCs w:val="24"/>
        </w:rPr>
        <w:t>Figure 7-4.4 Intergranular morphology on the fracture surface</w:t>
      </w:r>
    </w:p>
    <w:p w14:paraId="630E669F">
      <w:pPr>
        <w:pStyle w:val="16"/>
        <w:spacing w:before="31" w:after="31"/>
        <w:ind w:firstLine="482"/>
        <w:jc w:val="center"/>
        <w:rPr>
          <w:b/>
          <w:bCs/>
          <w:szCs w:val="24"/>
        </w:rPr>
      </w:pPr>
      <w:r>
        <w:rPr>
          <w:b/>
          <w:bCs/>
          <w:szCs w:val="24"/>
        </w:rPr>
        <w:t>Figure 7-4.5 Intergranular surface morphology on the fracture surface</w:t>
      </w:r>
    </w:p>
    <w:p w14:paraId="777A9ABA">
      <w:pPr>
        <w:pStyle w:val="16"/>
        <w:spacing w:before="31" w:after="31"/>
        <w:ind w:firstLine="482"/>
        <w:jc w:val="center"/>
        <w:rPr>
          <w:b/>
          <w:bCs/>
          <w:szCs w:val="24"/>
        </w:rPr>
      </w:pPr>
      <w:r>
        <w:rPr>
          <w:b/>
          <w:bCs/>
          <w:szCs w:val="24"/>
        </w:rPr>
        <w:t>Figure 7-4.6 Dimple morphology in the transient fracture zone</w:t>
      </w:r>
    </w:p>
    <w:p w14:paraId="6B05D183">
      <w:pPr>
        <w:pStyle w:val="16"/>
        <w:spacing w:before="31" w:after="31"/>
        <w:ind w:firstLine="482"/>
        <w:jc w:val="center"/>
        <w:rPr>
          <w:b/>
          <w:bCs/>
          <w:szCs w:val="24"/>
        </w:rPr>
      </w:pPr>
      <w:r>
        <w:rPr>
          <w:b/>
          <w:bCs/>
          <w:szCs w:val="24"/>
        </w:rPr>
        <w:t>Figure 7-4.7 Corrosion morphology in the relief groove</w:t>
      </w:r>
    </w:p>
    <w:p w14:paraId="5943782A">
      <w:pPr>
        <w:pStyle w:val="16"/>
        <w:spacing w:before="31" w:after="31"/>
        <w:ind w:firstLine="480"/>
        <w:rPr>
          <w:szCs w:val="24"/>
        </w:rPr>
      </w:pPr>
      <w:r>
        <w:rPr>
          <w:szCs w:val="24"/>
        </w:rPr>
        <w:t>(6) Analysis of Failure Causes</w:t>
      </w:r>
    </w:p>
    <w:p w14:paraId="0C65BA8E">
      <w:pPr>
        <w:pStyle w:val="16"/>
        <w:spacing w:before="31" w:after="31"/>
        <w:ind w:firstLine="480"/>
        <w:rPr>
          <w:szCs w:val="24"/>
        </w:rPr>
      </w:pPr>
      <w:r>
        <w:rPr>
          <w:szCs w:val="24"/>
        </w:rPr>
        <w:t>The macroscopic fracture of the bolt exhibited apparent radial fracture lines, and the microscopic features were mainly a combination of intergranular and dimple characteristics. Claw marks on the intergranular surface were typical, with the final fracture occurring in the dimple zone. This indicates that the fracture nature of the bolt was hydrogen embrittlement.</w:t>
      </w:r>
    </w:p>
    <w:p w14:paraId="35B27E27">
      <w:pPr>
        <w:pStyle w:val="16"/>
        <w:spacing w:before="31" w:after="31"/>
        <w:ind w:firstLine="480"/>
        <w:rPr>
          <w:szCs w:val="24"/>
        </w:rPr>
      </w:pPr>
      <w:r>
        <w:rPr>
          <w:szCs w:val="24"/>
        </w:rPr>
        <w:t>The hydrogen causing the bolt fracture originated from the hydrogen generated in the corrosive environment. The bolt had been in use for nearly 5 years after a major overhaul, and its surface corrosion was quite severe, meeting the conditions for absorbing hydrogen generated from the corrosive environment and leading to hydrogen embrittlement.</w:t>
      </w:r>
    </w:p>
    <w:p w14:paraId="1B9E6A39">
      <w:pPr>
        <w:pStyle w:val="16"/>
        <w:spacing w:before="31" w:after="31"/>
        <w:ind w:firstLine="480"/>
        <w:rPr>
          <w:szCs w:val="24"/>
        </w:rPr>
      </w:pPr>
      <w:r>
        <w:rPr>
          <w:szCs w:val="24"/>
        </w:rPr>
        <w:t>The bolt material was grade 30CrMnSiNi2A, with a strength of 1509 MPa. It belongs to ultra-high-strength steel and has high sensitivity to hydrogen embrittlement. A hydrogen content of only a few parts per million can induce hydrogen embrittlement.</w:t>
      </w:r>
    </w:p>
    <w:p w14:paraId="275DCE32">
      <w:pPr>
        <w:pStyle w:val="16"/>
        <w:spacing w:before="31" w:after="31"/>
        <w:ind w:firstLine="480"/>
        <w:rPr>
          <w:szCs w:val="24"/>
        </w:rPr>
      </w:pPr>
      <w:r>
        <w:rPr>
          <w:szCs w:val="24"/>
        </w:rPr>
        <w:t>(7) Impact and Harm Caused</w:t>
      </w:r>
    </w:p>
    <w:p w14:paraId="54BC2490">
      <w:pPr>
        <w:pStyle w:val="16"/>
        <w:spacing w:before="31" w:after="31"/>
        <w:ind w:firstLine="480"/>
        <w:rPr>
          <w:szCs w:val="24"/>
        </w:rPr>
      </w:pPr>
      <w:r>
        <w:rPr>
          <w:szCs w:val="24"/>
        </w:rPr>
        <w:t>Severely impacts flight safety.</w:t>
      </w:r>
    </w:p>
    <w:p w14:paraId="50D37E54">
      <w:pPr>
        <w:pStyle w:val="16"/>
        <w:spacing w:before="31" w:after="31"/>
        <w:ind w:firstLine="480"/>
        <w:rPr>
          <w:szCs w:val="24"/>
        </w:rPr>
      </w:pPr>
      <w:r>
        <w:rPr>
          <w:szCs w:val="24"/>
        </w:rPr>
        <w:t>(8) Conclusion and Improvement Measures</w:t>
      </w:r>
    </w:p>
    <w:p w14:paraId="3494274D">
      <w:pPr>
        <w:pStyle w:val="16"/>
        <w:spacing w:before="31" w:after="31"/>
        <w:ind w:firstLine="0" w:firstLineChars="0"/>
        <w:rPr>
          <w:szCs w:val="24"/>
        </w:rPr>
      </w:pPr>
      <w:r>
        <w:rPr>
          <w:szCs w:val="24"/>
        </w:rPr>
        <w:t>The fracture nature of the bolt is hydrogen embrittlement. It is recommended to strengthen corrosion prevention measures and inspections during the use of bolts to avoid severe corrosion incidents.</w:t>
      </w:r>
    </w:p>
    <w:p w14:paraId="390F9905">
      <w:pPr>
        <w:pStyle w:val="16"/>
        <w:spacing w:before="31" w:after="31"/>
        <w:ind w:firstLine="0" w:firstLineChars="0"/>
        <w:rPr>
          <w:b/>
          <w:bCs/>
          <w:szCs w:val="24"/>
        </w:rPr>
      </w:pPr>
      <w:r>
        <w:rPr>
          <w:b/>
          <w:bCs/>
          <w:szCs w:val="24"/>
        </w:rPr>
        <w:t>7.2.5 Case 7-5 Fracture of Brake Pads in a Certain Aircraft [58]</w:t>
      </w:r>
    </w:p>
    <w:p w14:paraId="266E291D">
      <w:pPr>
        <w:pStyle w:val="16"/>
        <w:spacing w:before="31" w:after="31"/>
        <w:ind w:firstLine="480"/>
        <w:rPr>
          <w:szCs w:val="24"/>
        </w:rPr>
      </w:pPr>
    </w:p>
    <w:p w14:paraId="6B2BFE45">
      <w:pPr>
        <w:pStyle w:val="16"/>
        <w:spacing w:before="31" w:after="31"/>
        <w:ind w:firstLine="480"/>
        <w:rPr>
          <w:szCs w:val="24"/>
        </w:rPr>
      </w:pPr>
      <w:r>
        <w:rPr>
          <w:szCs w:val="24"/>
        </w:rPr>
        <w:t>(1) Case Name</w:t>
      </w:r>
    </w:p>
    <w:p w14:paraId="11C69AE0">
      <w:pPr>
        <w:pStyle w:val="16"/>
        <w:spacing w:before="31" w:after="31"/>
        <w:ind w:firstLine="480"/>
        <w:rPr>
          <w:szCs w:val="24"/>
        </w:rPr>
      </w:pPr>
      <w:r>
        <w:rPr>
          <w:szCs w:val="24"/>
        </w:rPr>
        <w:t>Fracture of Brake Pads in a Certain Aircraft [58]</w:t>
      </w:r>
    </w:p>
    <w:p w14:paraId="0B3035F5">
      <w:pPr>
        <w:pStyle w:val="16"/>
        <w:spacing w:before="31" w:after="31"/>
        <w:ind w:firstLine="480"/>
        <w:rPr>
          <w:szCs w:val="24"/>
        </w:rPr>
      </w:pPr>
    </w:p>
    <w:p w14:paraId="53929C6B">
      <w:pPr>
        <w:pStyle w:val="16"/>
        <w:spacing w:before="31" w:after="31"/>
        <w:ind w:firstLine="480"/>
        <w:rPr>
          <w:szCs w:val="24"/>
        </w:rPr>
      </w:pPr>
      <w:r>
        <w:rPr>
          <w:szCs w:val="24"/>
        </w:rPr>
        <w:t>(2) Description of Failure Process</w:t>
      </w:r>
    </w:p>
    <w:p w14:paraId="3A87995A">
      <w:pPr>
        <w:pStyle w:val="16"/>
        <w:spacing w:before="31" w:after="31"/>
        <w:ind w:firstLine="480"/>
        <w:rPr>
          <w:szCs w:val="24"/>
        </w:rPr>
      </w:pPr>
      <w:r>
        <w:rPr>
          <w:szCs w:val="24"/>
        </w:rPr>
        <w:t>After a service cycle, inspection revealed that one of the eight brake pads on the brake rotor of a certain aircraft had fractured. The fracture occurred at the mid-thickness position.</w:t>
      </w:r>
    </w:p>
    <w:p w14:paraId="7F12DB6C">
      <w:pPr>
        <w:pStyle w:val="16"/>
        <w:spacing w:before="31" w:after="31"/>
        <w:ind w:firstLine="480"/>
        <w:rPr>
          <w:szCs w:val="24"/>
        </w:rPr>
      </w:pPr>
    </w:p>
    <w:p w14:paraId="1178B440">
      <w:pPr>
        <w:pStyle w:val="16"/>
        <w:spacing w:before="31" w:after="31"/>
        <w:ind w:firstLine="480"/>
        <w:rPr>
          <w:szCs w:val="24"/>
        </w:rPr>
      </w:pPr>
      <w:r>
        <w:rPr>
          <w:szCs w:val="24"/>
        </w:rPr>
        <w:t>(3) Service Environment</w:t>
      </w:r>
    </w:p>
    <w:p w14:paraId="5EA7B205">
      <w:pPr>
        <w:pStyle w:val="16"/>
        <w:spacing w:before="31" w:after="31"/>
        <w:ind w:firstLine="480"/>
        <w:rPr>
          <w:szCs w:val="24"/>
        </w:rPr>
      </w:pPr>
      <w:r>
        <w:rPr>
          <w:szCs w:val="24"/>
        </w:rPr>
        <w:t>Natural atmospheric environment.</w:t>
      </w:r>
    </w:p>
    <w:p w14:paraId="6265618D">
      <w:pPr>
        <w:pStyle w:val="16"/>
        <w:spacing w:before="31" w:after="31"/>
        <w:ind w:firstLine="480"/>
        <w:rPr>
          <w:szCs w:val="24"/>
        </w:rPr>
      </w:pPr>
    </w:p>
    <w:p w14:paraId="665C421A">
      <w:pPr>
        <w:pStyle w:val="16"/>
        <w:spacing w:before="31" w:after="31"/>
        <w:ind w:firstLine="480"/>
        <w:rPr>
          <w:szCs w:val="24"/>
        </w:rPr>
      </w:pPr>
      <w:r>
        <w:rPr>
          <w:szCs w:val="24"/>
        </w:rPr>
        <w:t>(4) Failed Components and Materials</w:t>
      </w:r>
    </w:p>
    <w:p w14:paraId="7C60BE27">
      <w:pPr>
        <w:pStyle w:val="16"/>
        <w:spacing w:before="31" w:after="31"/>
        <w:ind w:firstLine="480"/>
        <w:rPr>
          <w:szCs w:val="24"/>
        </w:rPr>
      </w:pPr>
      <w:r>
        <w:rPr>
          <w:szCs w:val="24"/>
        </w:rPr>
        <w:t>Brake pads on the brake rotor, made of 30CrSiMoVA steel. The fracture occurred at the mid-thickness position of the brake pad. The fracture surface appeared gray-black, with significant abrasion, and some areas showed signs of rust. The fracture surface was relatively smooth. The origin of the fracture was at the edge of the brake pad with the steel number, showing a linear source feature. Observations from the thickness direction revealed significant deformation of the brake pad, with both ends of the fractured brake pad curling towards the working surface.</w:t>
      </w:r>
    </w:p>
    <w:p w14:paraId="266BCEC9">
      <w:pPr>
        <w:pStyle w:val="16"/>
        <w:spacing w:before="31" w:after="31"/>
        <w:ind w:firstLine="480"/>
        <w:rPr>
          <w:szCs w:val="24"/>
        </w:rPr>
      </w:pPr>
    </w:p>
    <w:p w14:paraId="10E8CF29">
      <w:pPr>
        <w:pStyle w:val="16"/>
        <w:spacing w:before="31" w:after="31"/>
        <w:ind w:firstLine="480"/>
        <w:rPr>
          <w:szCs w:val="24"/>
        </w:rPr>
      </w:pPr>
      <w:r>
        <w:rPr>
          <w:szCs w:val="24"/>
        </w:rPr>
        <w:t>(5) Failure Morphology of Components</w:t>
      </w:r>
    </w:p>
    <w:p w14:paraId="4E601F13">
      <w:pPr>
        <w:pStyle w:val="16"/>
        <w:spacing w:before="31" w:after="31"/>
        <w:ind w:firstLine="480"/>
        <w:rPr>
          <w:szCs w:val="24"/>
        </w:rPr>
      </w:pPr>
      <w:r>
        <w:rPr>
          <w:szCs w:val="24"/>
        </w:rPr>
        <w:t>The low magnification morphology of the fracture source area appeared as a linear source (Figure 7-5.1), with no apparent processing or metallurgical defects. The entire fracture surface in the extension area was covered by an oxide layer (Figure 7-5.2). Perpendicular to the cross-section, metallographic samples were taken along the direction of the brake pad fracture. Metallographic observations revealed multiple secondary cracks on one side of the metallographic sample (Figure 7-5.3). The fronts of these cracks exhibited elongated inclusions, and the cracks extended along the direction of the inclusion distribution. Near one side of the cross-section, a banded distribution of inclusions was observed in the metallographic sample, mainly within an area approximately 0.7mm from the side of the cross-section (Figure 7-5.4).</w:t>
      </w:r>
    </w:p>
    <w:p w14:paraId="68DA66B5">
      <w:pPr>
        <w:pStyle w:val="16"/>
        <w:spacing w:before="31" w:after="31"/>
        <w:ind w:firstLine="482"/>
        <w:jc w:val="center"/>
        <w:rPr>
          <w:b/>
          <w:bCs/>
          <w:szCs w:val="24"/>
        </w:rPr>
      </w:pPr>
      <w:r>
        <w:rPr>
          <w:b/>
          <w:bCs/>
          <w:szCs w:val="24"/>
        </w:rPr>
        <w:t>Figure 7-5.1 Low magnification morphology of the fracture source</w:t>
      </w:r>
    </w:p>
    <w:p w14:paraId="1DA311C9">
      <w:pPr>
        <w:pStyle w:val="16"/>
        <w:spacing w:before="31" w:after="31"/>
        <w:ind w:firstLine="482"/>
        <w:jc w:val="center"/>
        <w:rPr>
          <w:b/>
          <w:bCs/>
          <w:szCs w:val="24"/>
        </w:rPr>
      </w:pPr>
      <w:r>
        <w:rPr>
          <w:b/>
          <w:bCs/>
          <w:szCs w:val="24"/>
        </w:rPr>
        <w:t>Figure 7-5.2 High magnification morphology of the fracture surface</w:t>
      </w:r>
    </w:p>
    <w:p w14:paraId="2F40FC59">
      <w:pPr>
        <w:pStyle w:val="16"/>
        <w:spacing w:before="31" w:after="31"/>
        <w:ind w:firstLine="482"/>
        <w:jc w:val="center"/>
        <w:rPr>
          <w:b/>
          <w:bCs/>
          <w:szCs w:val="24"/>
        </w:rPr>
      </w:pPr>
      <w:r>
        <w:rPr>
          <w:b/>
          <w:bCs/>
          <w:szCs w:val="24"/>
        </w:rPr>
        <w:t>Figure 7-5.3 Morphology of secondary cracks extending along inclusions</w:t>
      </w:r>
    </w:p>
    <w:p w14:paraId="6B1DBD25">
      <w:pPr>
        <w:pStyle w:val="16"/>
        <w:spacing w:before="31" w:after="31"/>
        <w:ind w:firstLine="482"/>
        <w:jc w:val="center"/>
        <w:rPr>
          <w:b/>
          <w:bCs/>
          <w:szCs w:val="24"/>
        </w:rPr>
      </w:pPr>
      <w:r>
        <w:rPr>
          <w:b/>
          <w:bCs/>
          <w:szCs w:val="24"/>
        </w:rPr>
        <w:t>Figure 7-5.4 Morphological features of banded distribution of inclusions</w:t>
      </w:r>
    </w:p>
    <w:p w14:paraId="6EEE13F9">
      <w:pPr>
        <w:pStyle w:val="16"/>
        <w:spacing w:before="31" w:after="31"/>
        <w:ind w:firstLine="480"/>
        <w:rPr>
          <w:szCs w:val="24"/>
        </w:rPr>
      </w:pPr>
      <w:r>
        <w:rPr>
          <w:szCs w:val="24"/>
        </w:rPr>
        <w:t>Scanning electron microscopy revealed secondary cracks extending along the direction of inclusions on one side near the fracture surface (Figure 7-5.5). On the same side of the metallographic sample, step features formed along the direction of inclusion distribution were observed (Figure 7-5.6), and inclusions mainly exhibited elongated and chain-like distributions.</w:t>
      </w:r>
    </w:p>
    <w:p w14:paraId="7BEB3B0A">
      <w:pPr>
        <w:pStyle w:val="16"/>
        <w:spacing w:before="31" w:after="31"/>
        <w:ind w:firstLine="482"/>
        <w:jc w:val="center"/>
        <w:rPr>
          <w:b/>
          <w:bCs/>
          <w:szCs w:val="24"/>
        </w:rPr>
      </w:pPr>
      <w:r>
        <w:rPr>
          <w:b/>
          <w:bCs/>
          <w:szCs w:val="24"/>
        </w:rPr>
        <w:t>Figure 7-5.5 Morphology of secondary cracks extending along the direction of inclusions</w:t>
      </w:r>
    </w:p>
    <w:p w14:paraId="0EBF99C5">
      <w:pPr>
        <w:pStyle w:val="16"/>
        <w:spacing w:before="31" w:after="31"/>
        <w:ind w:firstLine="482"/>
        <w:jc w:val="center"/>
        <w:rPr>
          <w:b/>
          <w:bCs/>
          <w:szCs w:val="24"/>
        </w:rPr>
      </w:pPr>
      <w:r>
        <w:rPr>
          <w:b/>
          <w:bCs/>
          <w:szCs w:val="24"/>
        </w:rPr>
        <w:t>Figure 7-5.6 Step features formed along the direction of inclusion distribution</w:t>
      </w:r>
    </w:p>
    <w:p w14:paraId="677AD1DD">
      <w:pPr>
        <w:pStyle w:val="16"/>
        <w:spacing w:before="31" w:after="31"/>
        <w:ind w:firstLine="480"/>
        <w:rPr>
          <w:szCs w:val="24"/>
        </w:rPr>
      </w:pPr>
      <w:r>
        <w:rPr>
          <w:szCs w:val="24"/>
        </w:rPr>
        <w:t>Elemental analysis of the inclusions in the metallographic sample revealed a high content of Si, suggesting that the inclusions were silicate-type inclusions.</w:t>
      </w:r>
    </w:p>
    <w:p w14:paraId="6DD1E712">
      <w:pPr>
        <w:pStyle w:val="16"/>
        <w:spacing w:before="31" w:after="31"/>
        <w:ind w:firstLine="480"/>
        <w:rPr>
          <w:szCs w:val="24"/>
        </w:rPr>
      </w:pPr>
    </w:p>
    <w:p w14:paraId="289A8AF0">
      <w:pPr>
        <w:pStyle w:val="16"/>
        <w:spacing w:before="31" w:after="31"/>
        <w:ind w:firstLine="480"/>
        <w:rPr>
          <w:szCs w:val="24"/>
        </w:rPr>
      </w:pPr>
      <w:r>
        <w:rPr>
          <w:szCs w:val="24"/>
        </w:rPr>
        <w:t>(6) Analysis of Failure Causes</w:t>
      </w:r>
    </w:p>
    <w:p w14:paraId="4BD0D428">
      <w:pPr>
        <w:pStyle w:val="16"/>
        <w:spacing w:before="31" w:after="31"/>
        <w:ind w:firstLine="480"/>
        <w:rPr>
          <w:szCs w:val="24"/>
        </w:rPr>
      </w:pPr>
      <w:r>
        <w:rPr>
          <w:szCs w:val="24"/>
        </w:rPr>
        <w:t>The brake pads experience high temperatures during braking, with the entire fracture surface covered by oxide, and noticeable curling at both ends of the fractured brake pad. This indicates that the stress causing the fracture of the brake pad is a combination of thermal stress during operation and mechanical stress.</w:t>
      </w:r>
    </w:p>
    <w:p w14:paraId="2567DA80">
      <w:pPr>
        <w:pStyle w:val="16"/>
        <w:spacing w:before="31" w:after="31"/>
        <w:ind w:firstLine="480"/>
        <w:rPr>
          <w:szCs w:val="24"/>
        </w:rPr>
      </w:pPr>
    </w:p>
    <w:p w14:paraId="1C361D6B">
      <w:pPr>
        <w:pStyle w:val="16"/>
        <w:spacing w:before="31" w:after="31"/>
        <w:ind w:firstLine="480"/>
        <w:rPr>
          <w:szCs w:val="24"/>
        </w:rPr>
      </w:pPr>
      <w:r>
        <w:rPr>
          <w:szCs w:val="24"/>
        </w:rPr>
        <w:t>Inclusions with a high SiO2 content have low deformability. During steel processing and in-service, these inclusions deform much less than the steel matrix, leading to stress concentration at the interface between the inclusion and the steel matrix, resulting in the initiation of microcracks.</w:t>
      </w:r>
    </w:p>
    <w:p w14:paraId="63135F32">
      <w:pPr>
        <w:pStyle w:val="16"/>
        <w:spacing w:before="31" w:after="31"/>
        <w:ind w:firstLine="480"/>
        <w:rPr>
          <w:szCs w:val="24"/>
        </w:rPr>
      </w:pPr>
    </w:p>
    <w:p w14:paraId="7937EC62">
      <w:pPr>
        <w:pStyle w:val="16"/>
        <w:spacing w:before="31" w:after="31"/>
        <w:ind w:firstLine="480"/>
        <w:rPr>
          <w:szCs w:val="24"/>
        </w:rPr>
      </w:pPr>
      <w:r>
        <w:rPr>
          <w:szCs w:val="24"/>
        </w:rPr>
        <w:t>Strip-shaped inclusions can reduce the transverse mechanical properties of the material and, in severe cases, lead to delamination and cracking of the steel plate. During the rolling process, strip-shaped inclusions deform along the rolling direction, forming concentrated banded inclusions. During the working process of the brake pads, due to intense friction causing rapid temperature changes, the brake pads undergo significant thermal stress. When the thermal stress exceeds the transverse fracture strength of the material, the brake pads fracture along the direction of inclusion distribution.</w:t>
      </w:r>
    </w:p>
    <w:p w14:paraId="71746907">
      <w:pPr>
        <w:pStyle w:val="16"/>
        <w:spacing w:before="31" w:after="31"/>
        <w:ind w:firstLine="480"/>
        <w:rPr>
          <w:szCs w:val="24"/>
        </w:rPr>
      </w:pPr>
    </w:p>
    <w:p w14:paraId="19EE3472">
      <w:pPr>
        <w:pStyle w:val="16"/>
        <w:spacing w:before="31" w:after="31"/>
        <w:ind w:firstLine="480"/>
        <w:rPr>
          <w:szCs w:val="24"/>
        </w:rPr>
      </w:pPr>
      <w:r>
        <w:rPr>
          <w:szCs w:val="24"/>
        </w:rPr>
        <w:t>(7) Impact and Harm Caused</w:t>
      </w:r>
    </w:p>
    <w:p w14:paraId="625EB97A">
      <w:pPr>
        <w:pStyle w:val="16"/>
        <w:spacing w:before="31" w:after="31"/>
        <w:ind w:firstLine="480"/>
        <w:rPr>
          <w:szCs w:val="24"/>
        </w:rPr>
      </w:pPr>
      <w:r>
        <w:rPr>
          <w:szCs w:val="24"/>
        </w:rPr>
        <w:t>Severely impacts flight safety.</w:t>
      </w:r>
    </w:p>
    <w:p w14:paraId="66FE62C5">
      <w:pPr>
        <w:pStyle w:val="16"/>
        <w:spacing w:before="31" w:after="31"/>
        <w:ind w:firstLine="480"/>
        <w:rPr>
          <w:szCs w:val="24"/>
        </w:rPr>
      </w:pPr>
    </w:p>
    <w:p w14:paraId="48201D85">
      <w:pPr>
        <w:pStyle w:val="16"/>
        <w:spacing w:before="31" w:after="31"/>
        <w:ind w:firstLine="480"/>
        <w:rPr>
          <w:szCs w:val="24"/>
        </w:rPr>
      </w:pPr>
      <w:r>
        <w:rPr>
          <w:szCs w:val="24"/>
        </w:rPr>
        <w:t>(8) Conclusion and Improvement Measures</w:t>
      </w:r>
    </w:p>
    <w:p w14:paraId="47819D51">
      <w:pPr>
        <w:pStyle w:val="16"/>
        <w:spacing w:before="31" w:after="31"/>
        <w:ind w:firstLine="0" w:firstLineChars="0"/>
        <w:rPr>
          <w:szCs w:val="24"/>
        </w:rPr>
      </w:pPr>
      <w:r>
        <w:rPr>
          <w:szCs w:val="24"/>
        </w:rPr>
        <w:t>The brake pads primarily experienced overload fracture under thermal stress. The fracture of the brake pads was caused by the presence of banded silicate-type inclusions in the brake pads.</w:t>
      </w:r>
    </w:p>
    <w:p w14:paraId="4B1787DB">
      <w:pPr>
        <w:pStyle w:val="16"/>
        <w:spacing w:before="31" w:after="31"/>
        <w:ind w:firstLine="0" w:firstLineChars="0"/>
        <w:rPr>
          <w:b/>
          <w:bCs/>
          <w:szCs w:val="24"/>
        </w:rPr>
      </w:pPr>
      <w:r>
        <w:rPr>
          <w:b/>
          <w:bCs/>
          <w:szCs w:val="24"/>
        </w:rPr>
        <w:t xml:space="preserve">7.2.6 Case 7-6: Fracture of Pressure Valve in a Missile Launching Device </w:t>
      </w:r>
    </w:p>
    <w:p w14:paraId="4EB7DE8C">
      <w:pPr>
        <w:pStyle w:val="16"/>
        <w:spacing w:before="31" w:after="31"/>
        <w:ind w:firstLine="480"/>
        <w:rPr>
          <w:szCs w:val="24"/>
        </w:rPr>
      </w:pPr>
      <w:r>
        <w:rPr>
          <w:szCs w:val="24"/>
        </w:rPr>
        <w:t>(1) Case Name</w:t>
      </w:r>
    </w:p>
    <w:p w14:paraId="7EE173E0">
      <w:pPr>
        <w:pStyle w:val="16"/>
        <w:spacing w:before="31" w:after="31"/>
        <w:ind w:firstLine="480"/>
        <w:rPr>
          <w:szCs w:val="24"/>
        </w:rPr>
      </w:pPr>
      <w:r>
        <w:rPr>
          <w:szCs w:val="24"/>
        </w:rPr>
        <w:t>Fracture of Pressure Valve in a Missile Launching Device [51]</w:t>
      </w:r>
    </w:p>
    <w:p w14:paraId="2A276278">
      <w:pPr>
        <w:pStyle w:val="16"/>
        <w:spacing w:before="31" w:after="31"/>
        <w:ind w:firstLine="480"/>
        <w:rPr>
          <w:szCs w:val="24"/>
        </w:rPr>
      </w:pPr>
    </w:p>
    <w:p w14:paraId="43F96671">
      <w:pPr>
        <w:pStyle w:val="16"/>
        <w:spacing w:before="31" w:after="31"/>
        <w:ind w:firstLine="480"/>
        <w:rPr>
          <w:szCs w:val="24"/>
        </w:rPr>
      </w:pPr>
      <w:r>
        <w:rPr>
          <w:szCs w:val="24"/>
        </w:rPr>
        <w:t>(2) Description of Failure Process</w:t>
      </w:r>
    </w:p>
    <w:p w14:paraId="51DBD684">
      <w:pPr>
        <w:pStyle w:val="16"/>
        <w:spacing w:before="31" w:after="31"/>
        <w:ind w:firstLine="480"/>
        <w:rPr>
          <w:szCs w:val="24"/>
        </w:rPr>
      </w:pPr>
      <w:r>
        <w:rPr>
          <w:szCs w:val="24"/>
        </w:rPr>
        <w:t>During an air tightness test, a pressure valve used in a certain air-to-air missile fractured. In the air tightness test, the pressure valve was installed at one end of a gas cylinder. The cylinder was pressurized with gas to 37.9 MPa, held for 3 to 5 minutes, and then depressurized before introducing gas again at 20.7 MPa. The fracture occurred while the pressure valve was in the pressurized state.</w:t>
      </w:r>
    </w:p>
    <w:p w14:paraId="79C15B25">
      <w:pPr>
        <w:pStyle w:val="16"/>
        <w:spacing w:before="31" w:after="31"/>
        <w:ind w:firstLine="480"/>
        <w:rPr>
          <w:szCs w:val="24"/>
        </w:rPr>
      </w:pPr>
    </w:p>
    <w:p w14:paraId="09D28871">
      <w:pPr>
        <w:pStyle w:val="16"/>
        <w:spacing w:before="31" w:after="31"/>
        <w:ind w:firstLine="480"/>
        <w:rPr>
          <w:szCs w:val="24"/>
        </w:rPr>
      </w:pPr>
      <w:r>
        <w:rPr>
          <w:szCs w:val="24"/>
        </w:rPr>
        <w:t>(3) Service Environment</w:t>
      </w:r>
    </w:p>
    <w:p w14:paraId="6CC8FD09">
      <w:pPr>
        <w:pStyle w:val="16"/>
        <w:spacing w:before="31" w:after="31"/>
        <w:ind w:firstLine="480"/>
        <w:rPr>
          <w:szCs w:val="24"/>
        </w:rPr>
      </w:pPr>
      <w:r>
        <w:rPr>
          <w:szCs w:val="24"/>
        </w:rPr>
        <w:t>Natural environment.</w:t>
      </w:r>
    </w:p>
    <w:p w14:paraId="75A045FE">
      <w:pPr>
        <w:pStyle w:val="16"/>
        <w:spacing w:before="31" w:after="31"/>
        <w:ind w:firstLine="480"/>
        <w:rPr>
          <w:szCs w:val="24"/>
        </w:rPr>
      </w:pPr>
    </w:p>
    <w:p w14:paraId="20AA07B4">
      <w:pPr>
        <w:pStyle w:val="16"/>
        <w:spacing w:before="31" w:after="31"/>
        <w:ind w:firstLine="480"/>
        <w:rPr>
          <w:szCs w:val="24"/>
        </w:rPr>
      </w:pPr>
      <w:r>
        <w:rPr>
          <w:szCs w:val="24"/>
        </w:rPr>
        <w:t>(4) Failed Component and Material</w:t>
      </w:r>
    </w:p>
    <w:p w14:paraId="35F6438E">
      <w:pPr>
        <w:pStyle w:val="16"/>
        <w:spacing w:before="31" w:after="31"/>
        <w:ind w:firstLine="480"/>
        <w:rPr>
          <w:szCs w:val="24"/>
        </w:rPr>
      </w:pPr>
      <w:r>
        <w:rPr>
          <w:szCs w:val="24"/>
        </w:rPr>
        <w:t>The pressure valve used in the launching device, as shown in Figure 7-6.1, is made of 1Cr18Ni9Ti stainless steel.</w:t>
      </w:r>
    </w:p>
    <w:p w14:paraId="32EFD720">
      <w:pPr>
        <w:pStyle w:val="16"/>
        <w:spacing w:before="31" w:after="31"/>
        <w:ind w:firstLine="482"/>
        <w:jc w:val="center"/>
        <w:rPr>
          <w:b/>
          <w:bCs/>
          <w:szCs w:val="24"/>
        </w:rPr>
      </w:pPr>
      <w:r>
        <w:rPr>
          <w:b/>
          <w:bCs/>
          <w:szCs w:val="24"/>
        </w:rPr>
        <w:t>Figure 7-6.1</w:t>
      </w:r>
    </w:p>
    <w:p w14:paraId="361CA292">
      <w:pPr>
        <w:pStyle w:val="16"/>
        <w:spacing w:before="31" w:after="31"/>
        <w:ind w:firstLine="480"/>
        <w:rPr>
          <w:szCs w:val="24"/>
        </w:rPr>
      </w:pPr>
    </w:p>
    <w:p w14:paraId="03957A82">
      <w:pPr>
        <w:pStyle w:val="16"/>
        <w:spacing w:before="31" w:after="31"/>
        <w:ind w:firstLine="480"/>
        <w:rPr>
          <w:szCs w:val="24"/>
        </w:rPr>
      </w:pPr>
      <w:r>
        <w:rPr>
          <w:szCs w:val="24"/>
        </w:rPr>
        <w:t>(5) Failure Morphology of the Component</w:t>
      </w:r>
    </w:p>
    <w:p w14:paraId="18897AF0">
      <w:pPr>
        <w:pStyle w:val="16"/>
        <w:spacing w:before="31" w:after="31"/>
        <w:ind w:firstLine="480"/>
        <w:rPr>
          <w:szCs w:val="24"/>
        </w:rPr>
      </w:pPr>
      <w:r>
        <w:rPr>
          <w:szCs w:val="24"/>
        </w:rPr>
        <w:t>The pressure valve fractured along the threads at the root of the larger end. Both sides of the fracture remained intact without any signs of abnormal damage (Figure 7-6.2). There was no abnormal axial movement observed between the external threaded pipe and the internal components on the right side of the pressure valve fracture. The connection screws between the two components remained intact after disassembly, showing no signs of abnormal wear.</w:t>
      </w:r>
    </w:p>
    <w:p w14:paraId="7CEDA49E">
      <w:pPr>
        <w:pStyle w:val="16"/>
        <w:spacing w:before="31" w:after="31"/>
        <w:ind w:firstLine="482"/>
        <w:jc w:val="center"/>
        <w:rPr>
          <w:b/>
          <w:bCs/>
          <w:szCs w:val="24"/>
        </w:rPr>
      </w:pPr>
      <w:r>
        <w:rPr>
          <w:b/>
          <w:bCs/>
          <w:szCs w:val="24"/>
        </w:rPr>
        <w:t>Figure 7-6.2</w:t>
      </w:r>
    </w:p>
    <w:p w14:paraId="43D13F81">
      <w:pPr>
        <w:pStyle w:val="16"/>
        <w:spacing w:before="31" w:after="31"/>
        <w:ind w:firstLine="480"/>
        <w:rPr>
          <w:szCs w:val="24"/>
        </w:rPr>
      </w:pPr>
    </w:p>
    <w:p w14:paraId="4D7E0650">
      <w:pPr>
        <w:pStyle w:val="16"/>
        <w:spacing w:before="31" w:after="31"/>
        <w:ind w:firstLine="480"/>
        <w:rPr>
          <w:szCs w:val="24"/>
        </w:rPr>
      </w:pPr>
      <w:r>
        <w:rPr>
          <w:szCs w:val="24"/>
        </w:rPr>
        <w:t>The fracture surface was rough with significant height differences, and it exhibited reflective small facets and multiple fracture steps. On one side of the fracture, shear lip features, accounting for approximately 10% of the fracture area, were observed.</w:t>
      </w:r>
    </w:p>
    <w:p w14:paraId="76C50BB8">
      <w:pPr>
        <w:pStyle w:val="16"/>
        <w:spacing w:before="31" w:after="31"/>
        <w:ind w:firstLine="480"/>
        <w:rPr>
          <w:szCs w:val="24"/>
        </w:rPr>
      </w:pPr>
    </w:p>
    <w:p w14:paraId="005F77D3">
      <w:pPr>
        <w:pStyle w:val="16"/>
        <w:spacing w:before="31" w:after="31"/>
        <w:ind w:firstLine="480"/>
        <w:rPr>
          <w:szCs w:val="24"/>
        </w:rPr>
      </w:pPr>
      <w:r>
        <w:rPr>
          <w:szCs w:val="24"/>
        </w:rPr>
        <w:t>Scanning electron microscope observations of the local area of the fracture surface are shown in Figures 7-6.3 and 7-6.4, primarily displaying intergranular fracture features. Claw marks were visible on the grain surfaces in some areas (Figure 7-6.4). The shear lip region exhibited shear dimple fracture features (Figure 7-6.5). No obvious corrosion products were observed on the fracture surface. Samples were taken from other threads of the failed component, artificially broken, and observed for morphology, showing dimple fracture features throughout the fracture surface (Figure 7-6.6).</w:t>
      </w:r>
    </w:p>
    <w:p w14:paraId="52484781">
      <w:pPr>
        <w:pStyle w:val="16"/>
        <w:spacing w:before="31" w:after="31"/>
        <w:ind w:firstLine="482"/>
        <w:jc w:val="center"/>
        <w:rPr>
          <w:b/>
          <w:bCs/>
          <w:szCs w:val="24"/>
        </w:rPr>
      </w:pPr>
      <w:r>
        <w:rPr>
          <w:b/>
          <w:bCs/>
          <w:szCs w:val="24"/>
        </w:rPr>
        <w:t>Figure 7-6.3</w:t>
      </w:r>
    </w:p>
    <w:p w14:paraId="1E632E70">
      <w:pPr>
        <w:pStyle w:val="16"/>
        <w:spacing w:before="31" w:after="31"/>
        <w:ind w:firstLine="482"/>
        <w:jc w:val="center"/>
        <w:rPr>
          <w:b/>
          <w:bCs/>
          <w:szCs w:val="24"/>
        </w:rPr>
      </w:pPr>
      <w:r>
        <w:rPr>
          <w:b/>
          <w:bCs/>
          <w:szCs w:val="24"/>
        </w:rPr>
        <w:t>Figure 7-6.4</w:t>
      </w:r>
    </w:p>
    <w:p w14:paraId="08777149">
      <w:pPr>
        <w:pStyle w:val="16"/>
        <w:spacing w:before="31" w:after="31"/>
        <w:ind w:firstLine="482"/>
        <w:jc w:val="center"/>
        <w:rPr>
          <w:b/>
          <w:bCs/>
          <w:szCs w:val="24"/>
        </w:rPr>
      </w:pPr>
      <w:r>
        <w:rPr>
          <w:b/>
          <w:bCs/>
          <w:szCs w:val="24"/>
        </w:rPr>
        <w:t>Figure 7-6.5</w:t>
      </w:r>
    </w:p>
    <w:p w14:paraId="5DF94724">
      <w:pPr>
        <w:pStyle w:val="16"/>
        <w:spacing w:before="31" w:after="31"/>
        <w:ind w:firstLine="482"/>
        <w:jc w:val="center"/>
        <w:rPr>
          <w:b/>
          <w:bCs/>
          <w:szCs w:val="24"/>
        </w:rPr>
      </w:pPr>
      <w:r>
        <w:rPr>
          <w:b/>
          <w:bCs/>
          <w:szCs w:val="24"/>
        </w:rPr>
        <w:t>Figure 7-6.6</w:t>
      </w:r>
    </w:p>
    <w:p w14:paraId="3F2B22B8">
      <w:pPr>
        <w:pStyle w:val="16"/>
        <w:spacing w:before="31" w:after="31"/>
        <w:ind w:firstLine="480"/>
        <w:rPr>
          <w:szCs w:val="24"/>
        </w:rPr>
      </w:pPr>
    </w:p>
    <w:p w14:paraId="74DFC33C">
      <w:pPr>
        <w:pStyle w:val="16"/>
        <w:spacing w:before="31" w:after="31"/>
        <w:ind w:firstLine="480"/>
        <w:rPr>
          <w:szCs w:val="24"/>
        </w:rPr>
      </w:pPr>
      <w:r>
        <w:rPr>
          <w:szCs w:val="24"/>
        </w:rPr>
        <w:t>(6) Analysis of Failure Causes</w:t>
      </w:r>
    </w:p>
    <w:p w14:paraId="4751BF32">
      <w:pPr>
        <w:pStyle w:val="16"/>
        <w:spacing w:before="31" w:after="31"/>
        <w:ind w:firstLine="480"/>
        <w:rPr>
          <w:szCs w:val="24"/>
        </w:rPr>
      </w:pPr>
      <w:r>
        <w:rPr>
          <w:szCs w:val="24"/>
        </w:rPr>
        <w:t>Micro-area composition analysis of the fracture surface revealed that the chemical composition matched the designated 1Cr18Ni9Ti stainless steel matrix, with no abnormal corrosion-related chemical elements detected. This indicates that the fracture of the pressure valve was not related to corrosion.</w:t>
      </w:r>
    </w:p>
    <w:p w14:paraId="2620B84F">
      <w:pPr>
        <w:pStyle w:val="16"/>
        <w:spacing w:before="31" w:after="31"/>
        <w:ind w:firstLine="480"/>
        <w:rPr>
          <w:szCs w:val="24"/>
        </w:rPr>
      </w:pPr>
    </w:p>
    <w:p w14:paraId="504B6BB1">
      <w:pPr>
        <w:pStyle w:val="16"/>
        <w:spacing w:before="31" w:after="31"/>
        <w:ind w:firstLine="480"/>
        <w:rPr>
          <w:szCs w:val="24"/>
        </w:rPr>
      </w:pPr>
      <w:r>
        <w:rPr>
          <w:szCs w:val="24"/>
        </w:rPr>
        <w:t>Metallographic structure observations were conducted on both the failed and intact components (Figure 7-6.7). The failed component exhibited significant plastic deformation traces within the grains, with closely arranged slip lines and a higher quantity compared to the intact components of the same batch. From the metallographic structure perspective, the amount of deformation during the production process was greater in the failed component than in the intact components of the same batch.</w:t>
      </w:r>
    </w:p>
    <w:p w14:paraId="786F3998">
      <w:pPr>
        <w:pStyle w:val="16"/>
        <w:spacing w:before="31" w:after="31"/>
        <w:ind w:firstLine="480"/>
        <w:rPr>
          <w:szCs w:val="24"/>
        </w:rPr>
      </w:pPr>
    </w:p>
    <w:p w14:paraId="5E016352">
      <w:pPr>
        <w:pStyle w:val="16"/>
        <w:spacing w:before="31" w:after="31"/>
        <w:ind w:firstLine="480"/>
        <w:rPr>
          <w:szCs w:val="24"/>
        </w:rPr>
      </w:pPr>
      <w:r>
        <w:rPr>
          <w:szCs w:val="24"/>
        </w:rPr>
        <w:t>Microhardness tests were conducted on the material surfaces and cores of the failed and intact components separately. The results showed that the hardness and strength of the failed component were higher than those of the intact components, especially on the outer surface, where it was significantly higher. Hydrogen content testing indicated that the hydrogen content in the failed component was approximately 2 ppm higher than in the intact components.</w:t>
      </w:r>
    </w:p>
    <w:p w14:paraId="764C183A">
      <w:pPr>
        <w:pStyle w:val="16"/>
        <w:spacing w:before="31" w:after="31"/>
        <w:ind w:firstLine="480"/>
        <w:rPr>
          <w:szCs w:val="24"/>
        </w:rPr>
      </w:pPr>
    </w:p>
    <w:p w14:paraId="604A684C">
      <w:pPr>
        <w:pStyle w:val="16"/>
        <w:spacing w:before="31" w:after="31"/>
        <w:ind w:firstLine="482"/>
        <w:jc w:val="center"/>
        <w:rPr>
          <w:b/>
          <w:bCs/>
          <w:szCs w:val="24"/>
        </w:rPr>
      </w:pPr>
      <w:r>
        <w:rPr>
          <w:b/>
          <w:bCs/>
          <w:szCs w:val="24"/>
        </w:rPr>
        <w:t>(a) Failed Component (b) Intact Component</w:t>
      </w:r>
    </w:p>
    <w:p w14:paraId="219015EF">
      <w:pPr>
        <w:pStyle w:val="16"/>
        <w:spacing w:before="31" w:after="31"/>
        <w:ind w:firstLine="482"/>
        <w:jc w:val="center"/>
        <w:rPr>
          <w:b/>
          <w:bCs/>
          <w:szCs w:val="24"/>
        </w:rPr>
      </w:pPr>
      <w:r>
        <w:rPr>
          <w:b/>
          <w:bCs/>
          <w:szCs w:val="24"/>
        </w:rPr>
        <w:t>Figure 7-6.7</w:t>
      </w:r>
    </w:p>
    <w:p w14:paraId="2FA64200">
      <w:pPr>
        <w:pStyle w:val="16"/>
        <w:spacing w:before="31" w:after="31"/>
        <w:ind w:firstLine="480"/>
        <w:rPr>
          <w:szCs w:val="24"/>
        </w:rPr>
      </w:pPr>
    </w:p>
    <w:p w14:paraId="183EBB1E">
      <w:pPr>
        <w:pStyle w:val="16"/>
        <w:spacing w:before="31" w:after="31"/>
        <w:ind w:firstLine="480"/>
        <w:rPr>
          <w:szCs w:val="24"/>
        </w:rPr>
      </w:pPr>
      <w:r>
        <w:rPr>
          <w:szCs w:val="24"/>
        </w:rPr>
        <w:t>(7) Impact and Harm Caused</w:t>
      </w:r>
    </w:p>
    <w:p w14:paraId="399D1B75">
      <w:pPr>
        <w:pStyle w:val="16"/>
        <w:spacing w:before="31" w:after="31"/>
        <w:ind w:firstLine="480"/>
        <w:rPr>
          <w:szCs w:val="24"/>
        </w:rPr>
      </w:pPr>
      <w:r>
        <w:rPr>
          <w:szCs w:val="24"/>
        </w:rPr>
        <w:t>The incident occurred during an air tightness test and could lead to serious consequences.</w:t>
      </w:r>
    </w:p>
    <w:p w14:paraId="5B331BC3">
      <w:pPr>
        <w:pStyle w:val="16"/>
        <w:spacing w:before="31" w:after="31"/>
        <w:ind w:firstLine="480"/>
        <w:rPr>
          <w:szCs w:val="24"/>
        </w:rPr>
      </w:pPr>
    </w:p>
    <w:p w14:paraId="52BCF3E3">
      <w:pPr>
        <w:pStyle w:val="16"/>
        <w:spacing w:before="31" w:after="31"/>
        <w:ind w:firstLine="480"/>
        <w:rPr>
          <w:szCs w:val="24"/>
        </w:rPr>
      </w:pPr>
      <w:r>
        <w:rPr>
          <w:szCs w:val="24"/>
        </w:rPr>
        <w:t>(8) Conclusion and Improvement Measures</w:t>
      </w:r>
    </w:p>
    <w:p w14:paraId="12EDDAB3">
      <w:pPr>
        <w:pStyle w:val="16"/>
        <w:spacing w:before="31" w:after="31"/>
        <w:ind w:firstLine="0" w:firstLineChars="0"/>
        <w:rPr>
          <w:szCs w:val="24"/>
        </w:rPr>
      </w:pPr>
      <w:r>
        <w:rPr>
          <w:szCs w:val="24"/>
        </w:rPr>
        <w:t>The fracture nature of the pressure valve is hydrogen-induced brittle fracture. The high hardness and hydrogen content are the main reasons for the hydrogen embrittlement fracture of the pressure valve.</w:t>
      </w:r>
    </w:p>
    <w:p w14:paraId="5B460765">
      <w:pPr>
        <w:pStyle w:val="16"/>
        <w:spacing w:before="31" w:after="31"/>
        <w:ind w:firstLine="0" w:firstLineChars="0"/>
        <w:rPr>
          <w:b/>
          <w:bCs/>
          <w:szCs w:val="24"/>
        </w:rPr>
      </w:pPr>
      <w:r>
        <w:rPr>
          <w:b/>
          <w:bCs/>
          <w:szCs w:val="24"/>
        </w:rPr>
        <w:t xml:space="preserve">7.2.7 Case 7-7 Corrosion in the Cargo Compartment Structure of MD-82 Aircraft </w:t>
      </w:r>
    </w:p>
    <w:p w14:paraId="36358BE7">
      <w:pPr>
        <w:pStyle w:val="16"/>
        <w:spacing w:before="31" w:after="31"/>
        <w:ind w:firstLine="480"/>
        <w:rPr>
          <w:szCs w:val="24"/>
        </w:rPr>
      </w:pPr>
      <w:r>
        <w:rPr>
          <w:szCs w:val="24"/>
        </w:rPr>
        <w:t>(1) Case Name</w:t>
      </w:r>
    </w:p>
    <w:p w14:paraId="3F44DC3C">
      <w:pPr>
        <w:pStyle w:val="16"/>
        <w:spacing w:before="31" w:after="31"/>
        <w:ind w:firstLine="480"/>
        <w:rPr>
          <w:szCs w:val="24"/>
        </w:rPr>
      </w:pPr>
      <w:r>
        <w:rPr>
          <w:szCs w:val="24"/>
        </w:rPr>
        <w:t>Corrosion in the Cargo Compartment Structure of MD-82 Aircraft [64]</w:t>
      </w:r>
    </w:p>
    <w:p w14:paraId="548717E6">
      <w:pPr>
        <w:pStyle w:val="16"/>
        <w:spacing w:before="31" w:after="31"/>
        <w:ind w:firstLine="480"/>
        <w:rPr>
          <w:szCs w:val="24"/>
        </w:rPr>
      </w:pPr>
      <w:r>
        <w:rPr>
          <w:szCs w:val="24"/>
        </w:rPr>
        <w:t>(2) Description of Failure Process</w:t>
      </w:r>
    </w:p>
    <w:p w14:paraId="5DACB59C">
      <w:pPr>
        <w:pStyle w:val="16"/>
        <w:spacing w:before="31" w:after="31"/>
        <w:ind w:firstLine="480"/>
        <w:rPr>
          <w:szCs w:val="24"/>
        </w:rPr>
      </w:pPr>
      <w:r>
        <w:rPr>
          <w:szCs w:val="24"/>
        </w:rPr>
        <w:t>In 1995, severe crack corrosion was first discovered on the belly skin of B-2134 aircraft belonging to China Northern Airlines, reaching a severity level of Grade II or above. The aircraft was grounded for more than 20 days to complete the corrosion repair.</w:t>
      </w:r>
    </w:p>
    <w:p w14:paraId="45C00075">
      <w:pPr>
        <w:pStyle w:val="16"/>
        <w:spacing w:before="31" w:after="31"/>
        <w:ind w:firstLine="480"/>
        <w:rPr>
          <w:szCs w:val="24"/>
        </w:rPr>
      </w:pPr>
    </w:p>
    <w:p w14:paraId="71DE59B9">
      <w:pPr>
        <w:pStyle w:val="16"/>
        <w:spacing w:before="31" w:after="31"/>
        <w:ind w:firstLine="480"/>
        <w:rPr>
          <w:szCs w:val="24"/>
        </w:rPr>
      </w:pPr>
      <w:r>
        <w:rPr>
          <w:szCs w:val="24"/>
        </w:rPr>
        <w:t>In 2000 and 2001, during major maintenance of MD-82 aircraft by China Northern Airlines, severe corrosion was discovered in the lower part of the aircraft cargo compartment structure. For example, aircraft B-2122, an MD-82 model, had severe crack corrosion on the bottom skin of the cargo compartment, leading to the replacement of four skin panels during major maintenance. This not only increased maintenance costs but also had a significant impact on the airworthiness of the aircraft.</w:t>
      </w:r>
    </w:p>
    <w:p w14:paraId="7A250A83">
      <w:pPr>
        <w:pStyle w:val="16"/>
        <w:spacing w:before="31" w:after="31"/>
        <w:ind w:firstLine="480"/>
        <w:rPr>
          <w:szCs w:val="24"/>
        </w:rPr>
      </w:pPr>
    </w:p>
    <w:p w14:paraId="7A112A9D">
      <w:pPr>
        <w:pStyle w:val="16"/>
        <w:spacing w:before="31" w:after="31"/>
        <w:ind w:firstLine="480"/>
        <w:rPr>
          <w:szCs w:val="24"/>
        </w:rPr>
      </w:pPr>
      <w:r>
        <w:rPr>
          <w:szCs w:val="24"/>
        </w:rPr>
        <w:t>(3) Service Environment</w:t>
      </w:r>
    </w:p>
    <w:p w14:paraId="7F9CBFF1">
      <w:pPr>
        <w:pStyle w:val="16"/>
        <w:spacing w:before="31" w:after="31"/>
        <w:ind w:firstLine="480"/>
        <w:rPr>
          <w:szCs w:val="24"/>
        </w:rPr>
      </w:pPr>
      <w:r>
        <w:rPr>
          <w:szCs w:val="24"/>
        </w:rPr>
        <w:t>Natural environment.</w:t>
      </w:r>
    </w:p>
    <w:p w14:paraId="3B7C8AF2">
      <w:pPr>
        <w:pStyle w:val="16"/>
        <w:spacing w:before="31" w:after="31"/>
        <w:ind w:firstLine="480"/>
        <w:rPr>
          <w:szCs w:val="24"/>
        </w:rPr>
      </w:pPr>
    </w:p>
    <w:p w14:paraId="33EB2C46">
      <w:pPr>
        <w:pStyle w:val="16"/>
        <w:spacing w:before="31" w:after="31"/>
        <w:ind w:firstLine="480"/>
        <w:rPr>
          <w:szCs w:val="24"/>
        </w:rPr>
      </w:pPr>
      <w:r>
        <w:rPr>
          <w:szCs w:val="24"/>
        </w:rPr>
        <w:t>(4) Failed Components and Materials</w:t>
      </w:r>
    </w:p>
    <w:p w14:paraId="600E4269">
      <w:pPr>
        <w:pStyle w:val="16"/>
        <w:spacing w:before="31" w:after="31"/>
        <w:ind w:firstLine="480"/>
        <w:rPr>
          <w:szCs w:val="24"/>
        </w:rPr>
      </w:pPr>
      <w:r>
        <w:rPr>
          <w:szCs w:val="24"/>
        </w:rPr>
        <w:t>Crack corrosion occurred on the inner surface of the lower skin of the fuselage, at the connection between the skin and structural components (including stringers, frames, etc.). When crack corrosion develops to a certain extent, it transforms into surface uniform corrosion. The skin material is 2024 aluminum alloy.</w:t>
      </w:r>
    </w:p>
    <w:p w14:paraId="1E168CD7">
      <w:pPr>
        <w:pStyle w:val="16"/>
        <w:spacing w:before="31" w:after="31"/>
        <w:ind w:firstLine="480"/>
        <w:rPr>
          <w:szCs w:val="24"/>
        </w:rPr>
      </w:pPr>
    </w:p>
    <w:p w14:paraId="6225CDA6">
      <w:pPr>
        <w:pStyle w:val="16"/>
        <w:spacing w:before="31" w:after="31"/>
        <w:ind w:firstLine="480"/>
        <w:rPr>
          <w:szCs w:val="24"/>
        </w:rPr>
      </w:pPr>
      <w:r>
        <w:rPr>
          <w:szCs w:val="24"/>
        </w:rPr>
        <w:t>(5) Failure Morphology of Components</w:t>
      </w:r>
    </w:p>
    <w:p w14:paraId="5F4F4653">
      <w:pPr>
        <w:pStyle w:val="16"/>
        <w:spacing w:before="31" w:after="31"/>
        <w:ind w:firstLine="480"/>
        <w:rPr>
          <w:szCs w:val="24"/>
        </w:rPr>
      </w:pPr>
      <w:r>
        <w:rPr>
          <w:szCs w:val="24"/>
        </w:rPr>
        <w:t>MD-82 aircraft's lower fuselage skin, especially in the rear cargo compartment area, generally exhibited varying degrees of filamentous corrosion. Figure 7-7.1 shows filamentous corrosion on the lower fuselage skin of MD-82 aircraft B-2139.</w:t>
      </w:r>
    </w:p>
    <w:p w14:paraId="4BCAE9EF">
      <w:pPr>
        <w:pStyle w:val="16"/>
        <w:spacing w:before="31" w:after="31"/>
        <w:ind w:firstLine="482"/>
        <w:jc w:val="center"/>
        <w:rPr>
          <w:b/>
          <w:bCs/>
          <w:szCs w:val="24"/>
        </w:rPr>
      </w:pPr>
      <w:r>
        <w:rPr>
          <w:b/>
          <w:bCs/>
          <w:szCs w:val="24"/>
        </w:rPr>
        <w:t>Figure 7-7.1</w:t>
      </w:r>
    </w:p>
    <w:p w14:paraId="427D574E">
      <w:pPr>
        <w:pStyle w:val="16"/>
        <w:spacing w:before="31" w:after="31"/>
        <w:ind w:firstLine="480"/>
        <w:rPr>
          <w:szCs w:val="24"/>
        </w:rPr>
      </w:pPr>
    </w:p>
    <w:p w14:paraId="5D8B313D">
      <w:pPr>
        <w:pStyle w:val="16"/>
        <w:spacing w:before="31" w:after="31"/>
        <w:ind w:firstLine="480"/>
        <w:rPr>
          <w:szCs w:val="24"/>
        </w:rPr>
      </w:pPr>
      <w:r>
        <w:rPr>
          <w:szCs w:val="24"/>
        </w:rPr>
        <w:t>Filamentous corrosion on the lower fuselage skin of MD-82 aircraft is most severe near the 30-stringers located on the aircraft's symmetrical plane. The severity of filamentous corrosion gradually decreases from the lowest position of the skin upward. When filamentous corrosion around fasteners reaches an extremely severe level, the coating around the fasteners peels off, and the filamentous corrosion on the skin surface transforms into surface uniform corrosion, as shown in Figure 7-7.2.</w:t>
      </w:r>
    </w:p>
    <w:p w14:paraId="7A628E99">
      <w:pPr>
        <w:pStyle w:val="16"/>
        <w:spacing w:before="31" w:after="31"/>
        <w:ind w:firstLine="482"/>
        <w:jc w:val="center"/>
        <w:rPr>
          <w:b/>
          <w:bCs/>
          <w:szCs w:val="24"/>
        </w:rPr>
      </w:pPr>
      <w:r>
        <w:rPr>
          <w:b/>
          <w:bCs/>
          <w:szCs w:val="24"/>
        </w:rPr>
        <w:t>Figure 7-7.24</w:t>
      </w:r>
    </w:p>
    <w:p w14:paraId="32058E20">
      <w:pPr>
        <w:pStyle w:val="16"/>
        <w:spacing w:before="31" w:after="31"/>
        <w:ind w:firstLine="480"/>
        <w:rPr>
          <w:szCs w:val="24"/>
        </w:rPr>
      </w:pPr>
    </w:p>
    <w:p w14:paraId="1A2A35EC">
      <w:pPr>
        <w:pStyle w:val="16"/>
        <w:spacing w:before="31" w:after="31"/>
        <w:ind w:firstLine="480"/>
        <w:rPr>
          <w:szCs w:val="24"/>
        </w:rPr>
      </w:pPr>
      <w:r>
        <w:rPr>
          <w:szCs w:val="24"/>
        </w:rPr>
        <w:t>(6) Analysis of Failure Causes</w:t>
      </w:r>
    </w:p>
    <w:p w14:paraId="60635F79">
      <w:pPr>
        <w:pStyle w:val="16"/>
        <w:spacing w:before="31" w:after="31"/>
        <w:ind w:firstLine="480"/>
        <w:rPr>
          <w:szCs w:val="24"/>
        </w:rPr>
      </w:pPr>
      <w:r>
        <w:rPr>
          <w:szCs w:val="24"/>
        </w:rPr>
        <w:t>(a) Environmental Factor Analysis</w:t>
      </w:r>
    </w:p>
    <w:p w14:paraId="5F527C66">
      <w:pPr>
        <w:pStyle w:val="16"/>
        <w:spacing w:before="31" w:after="31"/>
        <w:ind w:firstLine="480"/>
        <w:rPr>
          <w:szCs w:val="24"/>
        </w:rPr>
      </w:pPr>
      <w:r>
        <w:rPr>
          <w:szCs w:val="24"/>
        </w:rPr>
        <w:t>During flight, the temperature difference between the ground and high altitudes causes condensation inside the aircraft, leading to the formation of a significant amount of condensed water. This water, containing a large number of chloride ions and sulfate ions, serves as the main corrosive medium for the corrosion of aluminum alloy.</w:t>
      </w:r>
    </w:p>
    <w:p w14:paraId="7A7B2DEB">
      <w:pPr>
        <w:pStyle w:val="16"/>
        <w:spacing w:before="31" w:after="31"/>
        <w:ind w:firstLine="480"/>
        <w:rPr>
          <w:szCs w:val="24"/>
        </w:rPr>
      </w:pPr>
    </w:p>
    <w:p w14:paraId="629D7A8B">
      <w:pPr>
        <w:pStyle w:val="16"/>
        <w:spacing w:before="31" w:after="31"/>
        <w:ind w:firstLine="480"/>
        <w:rPr>
          <w:szCs w:val="24"/>
        </w:rPr>
      </w:pPr>
      <w:r>
        <w:rPr>
          <w:szCs w:val="24"/>
        </w:rPr>
        <w:t>Additionally, if the cargo compartment sealant or sealing components are damaged, or if the cargo compartment floor or side panels suffer mechanical damage, a large amount of debris, including seafood products, can enter the cargo compartment structure. These materials have high hygroscopicity, keeping the lower part of the cargo compartment structure in a constantly humid environment.</w:t>
      </w:r>
    </w:p>
    <w:p w14:paraId="4E730F2C">
      <w:pPr>
        <w:pStyle w:val="16"/>
        <w:spacing w:before="31" w:after="31"/>
        <w:ind w:firstLine="480"/>
        <w:rPr>
          <w:szCs w:val="24"/>
        </w:rPr>
      </w:pPr>
    </w:p>
    <w:p w14:paraId="2F19DB4F">
      <w:pPr>
        <w:pStyle w:val="16"/>
        <w:spacing w:before="31" w:after="31"/>
        <w:ind w:firstLine="480"/>
        <w:rPr>
          <w:szCs w:val="24"/>
        </w:rPr>
      </w:pPr>
      <w:r>
        <w:rPr>
          <w:szCs w:val="24"/>
        </w:rPr>
        <w:t>(b) Design Factor Analysis</w:t>
      </w:r>
    </w:p>
    <w:p w14:paraId="0DFF34C0">
      <w:pPr>
        <w:pStyle w:val="16"/>
        <w:spacing w:before="31" w:after="31"/>
        <w:ind w:firstLine="480"/>
        <w:rPr>
          <w:szCs w:val="24"/>
        </w:rPr>
      </w:pPr>
      <w:r>
        <w:rPr>
          <w:szCs w:val="24"/>
        </w:rPr>
        <w:t>The connection between the fuselage skeleton (including frames and stringers) components and the skin of MD-82 aircraft does not apply fillet sealing and lacks internal seam sealing. Consequently, corrosive media such as condensed water and debris enter the gaps between the connected surfaces, leading to the formation of a corrosion environment in the gaps. Corrosive media that enter the gaps between the connected surfaces can also reach the annular gaps around fasteners, causing corrosion around fastener holes or filamentous corrosion on the skin's outer surface.</w:t>
      </w:r>
    </w:p>
    <w:p w14:paraId="1297756E">
      <w:pPr>
        <w:pStyle w:val="16"/>
        <w:spacing w:before="31" w:after="31"/>
        <w:ind w:firstLine="480"/>
        <w:rPr>
          <w:szCs w:val="24"/>
        </w:rPr>
      </w:pPr>
    </w:p>
    <w:p w14:paraId="5780C1F8">
      <w:pPr>
        <w:pStyle w:val="16"/>
        <w:spacing w:before="31" w:after="31"/>
        <w:ind w:firstLine="480"/>
        <w:rPr>
          <w:szCs w:val="24"/>
        </w:rPr>
      </w:pPr>
      <w:r>
        <w:rPr>
          <w:szCs w:val="24"/>
        </w:rPr>
        <w:t>The inner surface coating of the lower skin of MD-82 aircraft is enamel epoxy resin coating. It has good resistance to liquid corrosive media but is relatively brittle and prone to cracking around fasteners.</w:t>
      </w:r>
    </w:p>
    <w:p w14:paraId="019E2C1A">
      <w:pPr>
        <w:pStyle w:val="16"/>
        <w:spacing w:before="31" w:after="31"/>
        <w:ind w:firstLine="480"/>
        <w:rPr>
          <w:szCs w:val="24"/>
        </w:rPr>
      </w:pPr>
    </w:p>
    <w:p w14:paraId="2C0E8F3A">
      <w:pPr>
        <w:pStyle w:val="16"/>
        <w:spacing w:before="31" w:after="31"/>
        <w:ind w:firstLine="480"/>
        <w:rPr>
          <w:szCs w:val="24"/>
        </w:rPr>
      </w:pPr>
      <w:r>
        <w:rPr>
          <w:szCs w:val="24"/>
        </w:rPr>
        <w:t>(7) Impact and Harm Caused</w:t>
      </w:r>
    </w:p>
    <w:p w14:paraId="45997D3C">
      <w:pPr>
        <w:pStyle w:val="16"/>
        <w:spacing w:before="31" w:after="31"/>
        <w:ind w:firstLine="480"/>
        <w:rPr>
          <w:szCs w:val="24"/>
        </w:rPr>
      </w:pPr>
      <w:r>
        <w:rPr>
          <w:szCs w:val="24"/>
        </w:rPr>
        <w:t>The aircraft was grounded, affecting the airworthiness of the aircraft to some extent.</w:t>
      </w:r>
    </w:p>
    <w:p w14:paraId="2C6651FC">
      <w:pPr>
        <w:pStyle w:val="16"/>
        <w:spacing w:before="31" w:after="31"/>
        <w:ind w:firstLine="480"/>
        <w:rPr>
          <w:szCs w:val="24"/>
        </w:rPr>
      </w:pPr>
    </w:p>
    <w:p w14:paraId="6C63F0FC">
      <w:pPr>
        <w:pStyle w:val="16"/>
        <w:spacing w:before="31" w:after="31"/>
        <w:ind w:firstLine="480"/>
        <w:rPr>
          <w:szCs w:val="24"/>
        </w:rPr>
      </w:pPr>
      <w:r>
        <w:rPr>
          <w:szCs w:val="24"/>
        </w:rPr>
        <w:t>(8) Conclusion and Improvement Measures</w:t>
      </w:r>
    </w:p>
    <w:p w14:paraId="0964889B">
      <w:pPr>
        <w:pStyle w:val="16"/>
        <w:spacing w:before="31" w:after="31"/>
        <w:ind w:firstLine="0" w:firstLineChars="0"/>
        <w:rPr>
          <w:szCs w:val="24"/>
        </w:rPr>
      </w:pPr>
      <w:r>
        <w:rPr>
          <w:szCs w:val="24"/>
        </w:rPr>
        <w:t>The corrosion of the lower skin of MD-82 aircraft is due to corrosive media in condensed water and debris entering the cargo compartment. The aircraft has design flaws that are unfavorable for corrosion control. Based on the analysis, effective corrosion prevention measures should be taken during regular maintenance.</w:t>
      </w:r>
    </w:p>
    <w:p w14:paraId="082EB2B3">
      <w:pPr>
        <w:pStyle w:val="16"/>
        <w:spacing w:before="31" w:after="31"/>
        <w:ind w:firstLine="0" w:firstLineChars="0"/>
        <w:rPr>
          <w:b/>
          <w:bCs/>
          <w:szCs w:val="24"/>
        </w:rPr>
      </w:pPr>
      <w:r>
        <w:rPr>
          <w:b/>
          <w:bCs/>
          <w:szCs w:val="24"/>
        </w:rPr>
        <w:t>7.2.8 Case 7-8: Corrosion and Cracks in the Elevator Control Rod of a Certain Seaplane</w:t>
      </w:r>
    </w:p>
    <w:p w14:paraId="028A1F80">
      <w:pPr>
        <w:pStyle w:val="16"/>
        <w:spacing w:before="31" w:after="31"/>
        <w:ind w:firstLine="480"/>
        <w:rPr>
          <w:szCs w:val="24"/>
        </w:rPr>
      </w:pPr>
    </w:p>
    <w:p w14:paraId="07E713E5">
      <w:pPr>
        <w:pStyle w:val="16"/>
        <w:spacing w:before="31" w:after="31"/>
        <w:ind w:firstLine="480"/>
        <w:rPr>
          <w:szCs w:val="24"/>
        </w:rPr>
      </w:pPr>
      <w:r>
        <w:rPr>
          <w:szCs w:val="24"/>
        </w:rPr>
        <w:t>(1) Case Name</w:t>
      </w:r>
    </w:p>
    <w:p w14:paraId="46F2F9FB">
      <w:pPr>
        <w:pStyle w:val="16"/>
        <w:spacing w:before="31" w:after="31"/>
        <w:ind w:firstLine="480"/>
        <w:rPr>
          <w:szCs w:val="24"/>
        </w:rPr>
      </w:pPr>
      <w:r>
        <w:rPr>
          <w:szCs w:val="24"/>
        </w:rPr>
        <w:t>Corrosion and cracks in the elevator control rod of a certain seaplane [50].</w:t>
      </w:r>
    </w:p>
    <w:p w14:paraId="726CEF15">
      <w:pPr>
        <w:pStyle w:val="16"/>
        <w:spacing w:before="31" w:after="31"/>
        <w:ind w:firstLine="480"/>
        <w:rPr>
          <w:szCs w:val="24"/>
        </w:rPr>
      </w:pPr>
    </w:p>
    <w:p w14:paraId="581CF289">
      <w:pPr>
        <w:pStyle w:val="16"/>
        <w:spacing w:before="31" w:after="31"/>
        <w:ind w:firstLine="480"/>
        <w:rPr>
          <w:szCs w:val="24"/>
        </w:rPr>
      </w:pPr>
      <w:r>
        <w:rPr>
          <w:szCs w:val="24"/>
        </w:rPr>
        <w:t>(2) Failure Process Description</w:t>
      </w:r>
    </w:p>
    <w:p w14:paraId="69915FFD">
      <w:pPr>
        <w:pStyle w:val="16"/>
        <w:spacing w:before="31" w:after="31"/>
        <w:ind w:firstLine="480"/>
        <w:rPr>
          <w:szCs w:val="24"/>
        </w:rPr>
      </w:pPr>
      <w:r>
        <w:rPr>
          <w:szCs w:val="24"/>
        </w:rPr>
        <w:t>After only 2 to 3 years of use in a marine environment, the elevator control rods of a certain seaplane developed corrosion and cracks, severely impacting flight safety. During routine inspections, severe corrosion was discovered in the control rod, with several radial penetrating cracks extending along the axis from the end near the adjustment plate (Figure 7-8.1).</w:t>
      </w:r>
    </w:p>
    <w:p w14:paraId="1DEF989F">
      <w:pPr>
        <w:pStyle w:val="16"/>
        <w:spacing w:before="31" w:after="31"/>
        <w:ind w:firstLine="198" w:firstLineChars="82"/>
        <w:jc w:val="center"/>
        <w:rPr>
          <w:b/>
          <w:bCs/>
          <w:szCs w:val="24"/>
        </w:rPr>
      </w:pPr>
      <w:r>
        <w:rPr>
          <w:b/>
          <w:bCs/>
          <w:szCs w:val="24"/>
        </w:rPr>
        <w:t>Figure 7-8.1 Cracks in LY12CZ tube</w:t>
      </w:r>
    </w:p>
    <w:p w14:paraId="0BBECCCE">
      <w:pPr>
        <w:pStyle w:val="16"/>
        <w:spacing w:before="31" w:after="31"/>
        <w:ind w:firstLine="480"/>
        <w:rPr>
          <w:szCs w:val="24"/>
        </w:rPr>
      </w:pPr>
    </w:p>
    <w:p w14:paraId="31C3A16D">
      <w:pPr>
        <w:pStyle w:val="16"/>
        <w:spacing w:before="31" w:after="31"/>
        <w:ind w:firstLine="480"/>
        <w:rPr>
          <w:szCs w:val="24"/>
        </w:rPr>
      </w:pPr>
      <w:r>
        <w:rPr>
          <w:szCs w:val="24"/>
        </w:rPr>
        <w:t>(3) Service Environment</w:t>
      </w:r>
    </w:p>
    <w:p w14:paraId="39149AFB">
      <w:pPr>
        <w:pStyle w:val="16"/>
        <w:spacing w:before="31" w:after="31"/>
        <w:ind w:firstLine="480"/>
        <w:rPr>
          <w:szCs w:val="24"/>
        </w:rPr>
      </w:pPr>
      <w:r>
        <w:rPr>
          <w:szCs w:val="24"/>
        </w:rPr>
        <w:t>Intermittent immersion in marine atmosphere and seawater.</w:t>
      </w:r>
    </w:p>
    <w:p w14:paraId="668A547E">
      <w:pPr>
        <w:pStyle w:val="16"/>
        <w:spacing w:before="31" w:after="31"/>
        <w:ind w:firstLine="480"/>
        <w:rPr>
          <w:szCs w:val="24"/>
        </w:rPr>
      </w:pPr>
    </w:p>
    <w:p w14:paraId="63D84049">
      <w:pPr>
        <w:pStyle w:val="16"/>
        <w:spacing w:before="31" w:after="31"/>
        <w:ind w:firstLine="480"/>
        <w:rPr>
          <w:szCs w:val="24"/>
        </w:rPr>
      </w:pPr>
      <w:r>
        <w:rPr>
          <w:szCs w:val="24"/>
        </w:rPr>
        <w:t>(4) Failed Components and Materials</w:t>
      </w:r>
    </w:p>
    <w:p w14:paraId="7A271A8A">
      <w:pPr>
        <w:pStyle w:val="16"/>
        <w:spacing w:before="31" w:after="31"/>
        <w:ind w:firstLine="480"/>
        <w:rPr>
          <w:szCs w:val="24"/>
        </w:rPr>
      </w:pPr>
      <w:r>
        <w:rPr>
          <w:szCs w:val="24"/>
        </w:rPr>
        <w:t>The control rod of the seaplane is made of LY12CZ tube material. The inner surface is impregnated with silicone oil after chemical oxidation, and the outer surface is coated with H06-2 zinc yellow epoxy primer. After being riveted to the anodized LY12CZ fork ear, it is coated with H06-2 + 3% aluminum powder epoxy primer. The fit clearance between the rod and the joint is Φ19H9/h8, classified as clearance fit.</w:t>
      </w:r>
    </w:p>
    <w:p w14:paraId="49322129">
      <w:pPr>
        <w:pStyle w:val="16"/>
        <w:spacing w:before="31" w:after="31"/>
        <w:ind w:firstLine="480"/>
        <w:rPr>
          <w:szCs w:val="24"/>
        </w:rPr>
      </w:pPr>
    </w:p>
    <w:p w14:paraId="232EF3A5">
      <w:pPr>
        <w:pStyle w:val="16"/>
        <w:spacing w:before="31" w:after="31"/>
        <w:ind w:firstLine="480"/>
        <w:rPr>
          <w:szCs w:val="24"/>
        </w:rPr>
      </w:pPr>
      <w:r>
        <w:rPr>
          <w:szCs w:val="24"/>
        </w:rPr>
        <w:t>(5) Failure Appearance</w:t>
      </w:r>
    </w:p>
    <w:p w14:paraId="5B45BAEF">
      <w:pPr>
        <w:pStyle w:val="16"/>
        <w:spacing w:before="31" w:after="31"/>
        <w:ind w:firstLine="480"/>
        <w:rPr>
          <w:szCs w:val="24"/>
        </w:rPr>
      </w:pPr>
      <w:r>
        <w:rPr>
          <w:szCs w:val="24"/>
        </w:rPr>
        <w:t>Several non-penetrating cracks parallel to the axis were found on the inner wall of the tube, and corrosion started from the inner surface. The SEM morphology of the fracture surface is intergranular (Figure 7-8.2). Erosion occurred on the inner wall, extending along the S-L direction parallel to the tube surface (Figure 7-8.3). The corroded wall thickness at the tube end is 0.163 mm. It was confirmed that the cracks in the control rod were caused by corrosion.</w:t>
      </w:r>
    </w:p>
    <w:p w14:paraId="1D21534B">
      <w:pPr>
        <w:pStyle w:val="16"/>
        <w:spacing w:before="31" w:after="31"/>
        <w:ind w:firstLine="482"/>
        <w:jc w:val="center"/>
        <w:rPr>
          <w:b/>
          <w:bCs/>
          <w:szCs w:val="24"/>
        </w:rPr>
      </w:pPr>
    </w:p>
    <w:p w14:paraId="22853060">
      <w:pPr>
        <w:pStyle w:val="16"/>
        <w:spacing w:before="31" w:after="31"/>
        <w:ind w:firstLine="482"/>
        <w:jc w:val="center"/>
        <w:rPr>
          <w:b/>
          <w:bCs/>
          <w:szCs w:val="24"/>
        </w:rPr>
      </w:pPr>
      <w:r>
        <w:rPr>
          <w:b/>
          <w:bCs/>
          <w:szCs w:val="24"/>
        </w:rPr>
        <w:t>Figure 7-8.2 SEM morphology of LY12CZ tube cracks      Figure 7-8.3 Peeling corrosion of LY12CZ</w:t>
      </w:r>
    </w:p>
    <w:p w14:paraId="6A9D9B54">
      <w:pPr>
        <w:pStyle w:val="16"/>
        <w:spacing w:before="31" w:after="31"/>
        <w:ind w:firstLine="480"/>
        <w:rPr>
          <w:szCs w:val="24"/>
        </w:rPr>
      </w:pPr>
    </w:p>
    <w:p w14:paraId="3B5CD828">
      <w:pPr>
        <w:pStyle w:val="16"/>
        <w:spacing w:before="31" w:after="31"/>
        <w:ind w:firstLine="480"/>
        <w:rPr>
          <w:szCs w:val="24"/>
        </w:rPr>
      </w:pPr>
      <w:r>
        <w:rPr>
          <w:szCs w:val="24"/>
        </w:rPr>
        <w:t>(6) Failure Analysis</w:t>
      </w:r>
    </w:p>
    <w:p w14:paraId="73DD4CEC">
      <w:pPr>
        <w:pStyle w:val="16"/>
        <w:spacing w:before="31" w:after="31"/>
        <w:ind w:firstLine="480"/>
        <w:rPr>
          <w:szCs w:val="24"/>
        </w:rPr>
      </w:pPr>
      <w:r>
        <w:rPr>
          <w:szCs w:val="24"/>
        </w:rPr>
        <w:t>Due to the need for conductivity between the rod and the fork ear joint, the assembly seams were not sealed during assembly. Consequently, corrosion occurred in the rod due to seam corrosion, with corrosion initiating from the inner wall of the rod.</w:t>
      </w:r>
    </w:p>
    <w:p w14:paraId="0BDCE423">
      <w:pPr>
        <w:pStyle w:val="16"/>
        <w:spacing w:before="31" w:after="31"/>
        <w:ind w:firstLine="480"/>
        <w:rPr>
          <w:szCs w:val="24"/>
        </w:rPr>
      </w:pPr>
    </w:p>
    <w:p w14:paraId="3428C37F">
      <w:pPr>
        <w:pStyle w:val="16"/>
        <w:spacing w:before="31" w:after="31"/>
        <w:ind w:firstLine="480"/>
        <w:rPr>
          <w:szCs w:val="24"/>
        </w:rPr>
      </w:pPr>
      <w:r>
        <w:rPr>
          <w:szCs w:val="24"/>
        </w:rPr>
        <w:t>The volume effect of corrosion products and the residual stress from possible heat treatment have a significant impact on rod cracking.</w:t>
      </w:r>
    </w:p>
    <w:p w14:paraId="1AE09C22">
      <w:pPr>
        <w:pStyle w:val="16"/>
        <w:spacing w:before="31" w:after="31"/>
        <w:ind w:firstLine="480"/>
        <w:rPr>
          <w:szCs w:val="24"/>
        </w:rPr>
      </w:pPr>
    </w:p>
    <w:p w14:paraId="35D27249">
      <w:pPr>
        <w:pStyle w:val="16"/>
        <w:spacing w:before="31" w:after="31"/>
        <w:ind w:firstLine="480"/>
        <w:rPr>
          <w:szCs w:val="24"/>
        </w:rPr>
      </w:pPr>
      <w:r>
        <w:rPr>
          <w:szCs w:val="24"/>
        </w:rPr>
        <w:t>One volume effect of corrosion products is the generation of intergranular stress. As the volume of corrosion products is greater than that of the base metal, the wedge effect of radially expanding corrosion products along the grain boundaries imposes tensile stress on the grain boundaries, resulting in layer-by-layer peeling corrosion in the extruded aluminum alloy tube parallel to the surface.</w:t>
      </w:r>
    </w:p>
    <w:p w14:paraId="65771B41">
      <w:pPr>
        <w:pStyle w:val="16"/>
        <w:spacing w:before="31" w:after="31"/>
        <w:ind w:firstLine="480"/>
        <w:rPr>
          <w:szCs w:val="24"/>
        </w:rPr>
      </w:pPr>
    </w:p>
    <w:p w14:paraId="255D8A6B">
      <w:pPr>
        <w:pStyle w:val="16"/>
        <w:spacing w:before="31" w:after="31"/>
        <w:ind w:firstLine="480"/>
        <w:rPr>
          <w:szCs w:val="24"/>
        </w:rPr>
      </w:pPr>
      <w:r>
        <w:rPr>
          <w:szCs w:val="24"/>
        </w:rPr>
        <w:t>The second volume effect of corrosion products is volumetric expansion, causing macroscopic deformation of the aluminum alloy rod, leading to cracking. The volume expansion effect of corrosion products causes the extruded aluminum alloy tube to lift in layers structurally. As corrosion progresses, corrosion products gradually fill the assembly gaps (Figure 7-8.4) and cause expansion, resulting in macroscopic deformation of the rod. No similar layer-by-layer peeling phenomenon was observed in the direction parallel to the rod surface.</w:t>
      </w:r>
    </w:p>
    <w:p w14:paraId="109403BD">
      <w:pPr>
        <w:pStyle w:val="16"/>
        <w:spacing w:before="31" w:after="31"/>
        <w:ind w:firstLine="480"/>
        <w:rPr>
          <w:szCs w:val="24"/>
        </w:rPr>
      </w:pPr>
    </w:p>
    <w:p w14:paraId="19602D79">
      <w:pPr>
        <w:pStyle w:val="16"/>
        <w:spacing w:before="31" w:after="31"/>
        <w:ind w:firstLine="480"/>
        <w:rPr>
          <w:szCs w:val="24"/>
        </w:rPr>
      </w:pPr>
      <w:r>
        <w:rPr>
          <w:szCs w:val="24"/>
        </w:rPr>
        <w:t>(7) Impact and Harm Caused</w:t>
      </w:r>
    </w:p>
    <w:p w14:paraId="19BD3D32">
      <w:pPr>
        <w:pStyle w:val="16"/>
        <w:spacing w:before="31" w:after="31"/>
        <w:ind w:firstLine="480"/>
        <w:rPr>
          <w:szCs w:val="24"/>
        </w:rPr>
      </w:pPr>
      <w:r>
        <w:rPr>
          <w:szCs w:val="24"/>
        </w:rPr>
        <w:t>Severely impacts flight safety.</w:t>
      </w:r>
    </w:p>
    <w:p w14:paraId="0BE17086">
      <w:pPr>
        <w:pStyle w:val="16"/>
        <w:spacing w:before="31" w:after="31"/>
        <w:ind w:firstLine="480"/>
        <w:rPr>
          <w:szCs w:val="24"/>
        </w:rPr>
      </w:pPr>
    </w:p>
    <w:p w14:paraId="62A6717C">
      <w:pPr>
        <w:pStyle w:val="16"/>
        <w:spacing w:before="31" w:after="31"/>
        <w:ind w:firstLine="480"/>
        <w:rPr>
          <w:szCs w:val="24"/>
        </w:rPr>
      </w:pPr>
      <w:r>
        <w:rPr>
          <w:szCs w:val="24"/>
        </w:rPr>
        <w:t>(8) Conclusion and Improvement Measures</w:t>
      </w:r>
    </w:p>
    <w:p w14:paraId="265C93B7">
      <w:pPr>
        <w:pStyle w:val="16"/>
        <w:spacing w:before="31" w:after="31"/>
        <w:ind w:firstLine="480"/>
        <w:rPr>
          <w:szCs w:val="24"/>
        </w:rPr>
      </w:pPr>
      <w:r>
        <w:rPr>
          <w:szCs w:val="24"/>
        </w:rPr>
        <w:t>The material of the control rod, LY12CZ, is an A1-Cu-Mg-Mn series aluminum alloy with poor corrosion resistance, sensitive to stress corrosion, intergranular corrosion, and peeling corrosion. The rod is intermittently immersed in seawater during use, and the loads and assembly stresses are not the sources of rod cracking; the volume effect of corrosion products is the main stress source. Properly sealing the assembly gaps can prevent corrosion and cracking.</w:t>
      </w:r>
    </w:p>
    <w:p w14:paraId="489B9C03">
      <w:pPr>
        <w:pStyle w:val="16"/>
        <w:spacing w:before="31" w:after="31"/>
        <w:ind w:firstLine="480"/>
        <w:rPr>
          <w:szCs w:val="24"/>
        </w:rPr>
      </w:pPr>
    </w:p>
    <w:p w14:paraId="14BCF257">
      <w:pPr>
        <w:pStyle w:val="16"/>
        <w:spacing w:before="31" w:after="31"/>
        <w:ind w:firstLine="480"/>
        <w:rPr>
          <w:szCs w:val="24"/>
        </w:rPr>
      </w:pPr>
      <w:r>
        <w:rPr>
          <w:szCs w:val="24"/>
        </w:rPr>
        <w:t>Applying primer to the control rod through wet assembly, sealing the assembly gaps, and utilizing the static electricity-conducting rivets for interference fit, after implementing these measures, the control rod has been in use for 6 years without corrosion or cracking issues.</w:t>
      </w:r>
    </w:p>
    <w:p w14:paraId="4803BF4F">
      <w:pPr>
        <w:pStyle w:val="16"/>
        <w:spacing w:before="31" w:after="31"/>
        <w:ind w:firstLine="0" w:firstLineChars="0"/>
        <w:jc w:val="center"/>
        <w:rPr>
          <w:b/>
          <w:bCs/>
          <w:szCs w:val="24"/>
        </w:rPr>
      </w:pPr>
      <w:r>
        <w:rPr>
          <w:b/>
          <w:bCs/>
          <w:szCs w:val="24"/>
        </w:rPr>
        <w:t>Figure 7-8.4 Cross-sectional diagram of tube and joint.</w:t>
      </w:r>
    </w:p>
    <w:p w14:paraId="79FC1AC6">
      <w:pPr>
        <w:pStyle w:val="16"/>
        <w:spacing w:before="31" w:after="31"/>
        <w:ind w:firstLine="0" w:firstLineChars="0"/>
        <w:rPr>
          <w:b/>
          <w:bCs/>
          <w:szCs w:val="24"/>
        </w:rPr>
      </w:pPr>
      <w:r>
        <w:rPr>
          <w:b/>
          <w:bCs/>
          <w:szCs w:val="24"/>
        </w:rPr>
        <w:t>7.2.9 Case 7-9: Cracking Failure of the Main Landing Gear Axle Half-Shaft of J-8 Aircraft</w:t>
      </w:r>
    </w:p>
    <w:p w14:paraId="579C20D4">
      <w:pPr>
        <w:pStyle w:val="16"/>
        <w:spacing w:before="31" w:after="31"/>
        <w:ind w:firstLine="480"/>
        <w:rPr>
          <w:szCs w:val="24"/>
        </w:rPr>
      </w:pPr>
    </w:p>
    <w:p w14:paraId="1BA44B72">
      <w:pPr>
        <w:pStyle w:val="16"/>
        <w:spacing w:before="31" w:after="31"/>
        <w:ind w:firstLine="480"/>
        <w:rPr>
          <w:szCs w:val="24"/>
        </w:rPr>
      </w:pPr>
      <w:r>
        <w:rPr>
          <w:szCs w:val="24"/>
        </w:rPr>
        <w:t>(1) Case Name</w:t>
      </w:r>
    </w:p>
    <w:p w14:paraId="08EF1382">
      <w:pPr>
        <w:pStyle w:val="16"/>
        <w:spacing w:before="31" w:after="31"/>
        <w:ind w:firstLine="480"/>
        <w:rPr>
          <w:szCs w:val="24"/>
        </w:rPr>
      </w:pPr>
      <w:r>
        <w:rPr>
          <w:szCs w:val="24"/>
        </w:rPr>
        <w:t>Cracking failure of the main landing gear axle half-shaft of J-8 aircraft [1,40].</w:t>
      </w:r>
    </w:p>
    <w:p w14:paraId="56CC1374">
      <w:pPr>
        <w:pStyle w:val="16"/>
        <w:spacing w:before="31" w:after="31"/>
        <w:ind w:firstLine="480"/>
        <w:rPr>
          <w:szCs w:val="24"/>
        </w:rPr>
      </w:pPr>
    </w:p>
    <w:p w14:paraId="6E132FF1">
      <w:pPr>
        <w:pStyle w:val="16"/>
        <w:spacing w:before="31" w:after="31"/>
        <w:ind w:firstLine="480"/>
        <w:rPr>
          <w:szCs w:val="24"/>
        </w:rPr>
      </w:pPr>
      <w:r>
        <w:rPr>
          <w:szCs w:val="24"/>
        </w:rPr>
        <w:t>(2) Failure Process Description</w:t>
      </w:r>
    </w:p>
    <w:p w14:paraId="7123127B">
      <w:pPr>
        <w:pStyle w:val="16"/>
        <w:spacing w:before="31" w:after="31"/>
        <w:ind w:firstLine="480"/>
        <w:rPr>
          <w:szCs w:val="24"/>
        </w:rPr>
      </w:pPr>
      <w:r>
        <w:rPr>
          <w:szCs w:val="24"/>
        </w:rPr>
        <w:t>During the second landing in a night navigation process, the right main wheel and brake components detached from a certain J-8 aircraft. The right main landing gear axle half-shaft snapped, and there was approximately 15mm of wear at the connection of the piston rod to the earpiece of the axle half-shaft and the lower surface of the axle half-shaft.</w:t>
      </w:r>
    </w:p>
    <w:p w14:paraId="6988E21B">
      <w:pPr>
        <w:pStyle w:val="16"/>
        <w:spacing w:before="31" w:after="31"/>
        <w:ind w:firstLine="480"/>
        <w:rPr>
          <w:szCs w:val="24"/>
        </w:rPr>
      </w:pPr>
      <w:r>
        <w:rPr>
          <w:szCs w:val="24"/>
        </w:rPr>
        <w:t>The axle half-shaft broke into three pieces from one side of the flange support, forming a 45° angle at the R2 rounded corner of the flange support (fracture at point A). On the wheel side of the flange, the half-shaft fracture was relatively straight (fracture at point B), with closed cracks near the R2 of the flange for about a week, as shown in Figure 7-9.1 and Figure 7-9.2.</w:t>
      </w:r>
    </w:p>
    <w:p w14:paraId="43571587">
      <w:pPr>
        <w:pStyle w:val="16"/>
        <w:spacing w:before="31" w:after="31"/>
        <w:ind w:firstLine="480"/>
        <w:rPr>
          <w:szCs w:val="24"/>
        </w:rPr>
      </w:pPr>
    </w:p>
    <w:p w14:paraId="7EE1AF36">
      <w:pPr>
        <w:pStyle w:val="16"/>
        <w:spacing w:before="31" w:after="31"/>
        <w:ind w:firstLine="482"/>
        <w:jc w:val="center"/>
        <w:rPr>
          <w:b/>
          <w:bCs/>
          <w:szCs w:val="24"/>
        </w:rPr>
      </w:pPr>
      <w:r>
        <w:rPr>
          <w:b/>
          <w:bCs/>
          <w:szCs w:val="24"/>
        </w:rPr>
        <w:t>Figure 7-9.1 Failed axle component</w:t>
      </w:r>
    </w:p>
    <w:p w14:paraId="5F776520">
      <w:pPr>
        <w:pStyle w:val="16"/>
        <w:spacing w:before="31" w:after="31"/>
        <w:ind w:firstLine="482"/>
        <w:jc w:val="center"/>
        <w:rPr>
          <w:b/>
          <w:bCs/>
          <w:szCs w:val="24"/>
        </w:rPr>
      </w:pPr>
      <w:r>
        <w:rPr>
          <w:b/>
          <w:bCs/>
          <w:szCs w:val="24"/>
        </w:rPr>
        <w:t>Figure 7-9.2 Schematic diagram of axle fracture</w:t>
      </w:r>
    </w:p>
    <w:p w14:paraId="026F56D8">
      <w:pPr>
        <w:pStyle w:val="16"/>
        <w:spacing w:before="31" w:after="31"/>
        <w:ind w:firstLine="480"/>
        <w:rPr>
          <w:szCs w:val="24"/>
        </w:rPr>
      </w:pPr>
    </w:p>
    <w:p w14:paraId="04634442">
      <w:pPr>
        <w:pStyle w:val="16"/>
        <w:spacing w:before="31" w:after="31"/>
        <w:ind w:firstLine="480"/>
        <w:rPr>
          <w:szCs w:val="24"/>
        </w:rPr>
      </w:pPr>
      <w:r>
        <w:rPr>
          <w:szCs w:val="24"/>
        </w:rPr>
        <w:t>During a major overhaul of J-8 aircraft, continuous cracks were found in the main landing gear axle half-shaft. A survey revealed that approximately 23% of the aircraft's axle half-shafts had cracks, with 61% having over 1300 landings, 20% having 1000-1300 landings, and 19% having fewer than 1000 landings. The cracks occurred at the chamfered variable cross-section near the flange outer circle root of the axle half-shaft, as shown in Figure 7-9.3. The crack direction followed the intersection line of the variable cross-section, with lengths ranging from 3mm to 80mm. No rust was found.</w:t>
      </w:r>
    </w:p>
    <w:p w14:paraId="46798BEF">
      <w:pPr>
        <w:pStyle w:val="16"/>
        <w:spacing w:before="31" w:after="31"/>
        <w:ind w:firstLine="482"/>
        <w:jc w:val="center"/>
        <w:rPr>
          <w:b/>
          <w:bCs/>
          <w:szCs w:val="24"/>
        </w:rPr>
      </w:pPr>
      <w:r>
        <w:rPr>
          <w:b/>
          <w:bCs/>
          <w:szCs w:val="24"/>
        </w:rPr>
        <w:t>Figure 7-9.3 Schematic diagram of axle crack locations</w:t>
      </w:r>
    </w:p>
    <w:p w14:paraId="3FFA1821">
      <w:pPr>
        <w:pStyle w:val="16"/>
        <w:spacing w:before="31" w:after="31"/>
        <w:ind w:firstLine="480"/>
        <w:rPr>
          <w:szCs w:val="24"/>
        </w:rPr>
      </w:pPr>
    </w:p>
    <w:p w14:paraId="787C8EB0">
      <w:pPr>
        <w:pStyle w:val="16"/>
        <w:spacing w:before="31" w:after="31"/>
        <w:ind w:firstLine="480"/>
        <w:rPr>
          <w:szCs w:val="24"/>
        </w:rPr>
      </w:pPr>
      <w:r>
        <w:rPr>
          <w:szCs w:val="24"/>
        </w:rPr>
        <w:t>(3) Service Environment</w:t>
      </w:r>
    </w:p>
    <w:p w14:paraId="5D7AFAEF">
      <w:pPr>
        <w:pStyle w:val="16"/>
        <w:spacing w:before="31" w:after="31"/>
        <w:ind w:firstLine="480"/>
        <w:rPr>
          <w:szCs w:val="24"/>
        </w:rPr>
      </w:pPr>
      <w:r>
        <w:rPr>
          <w:szCs w:val="24"/>
        </w:rPr>
        <w:t>Natural environment.</w:t>
      </w:r>
    </w:p>
    <w:p w14:paraId="51F98C8C">
      <w:pPr>
        <w:pStyle w:val="16"/>
        <w:spacing w:before="31" w:after="31"/>
        <w:ind w:firstLine="480"/>
        <w:rPr>
          <w:szCs w:val="24"/>
        </w:rPr>
      </w:pPr>
    </w:p>
    <w:p w14:paraId="6D91BC03">
      <w:pPr>
        <w:pStyle w:val="16"/>
        <w:spacing w:before="31" w:after="31"/>
        <w:ind w:firstLine="480"/>
        <w:rPr>
          <w:szCs w:val="24"/>
        </w:rPr>
      </w:pPr>
      <w:r>
        <w:rPr>
          <w:szCs w:val="24"/>
        </w:rPr>
        <w:t>(4) Failed Components and Materials</w:t>
      </w:r>
    </w:p>
    <w:p w14:paraId="0AE6A12D">
      <w:pPr>
        <w:pStyle w:val="16"/>
        <w:spacing w:before="31" w:after="31"/>
        <w:ind w:firstLine="480"/>
        <w:rPr>
          <w:szCs w:val="24"/>
        </w:rPr>
      </w:pPr>
      <w:r>
        <w:rPr>
          <w:szCs w:val="24"/>
        </w:rPr>
        <w:t>The J-8 aircraft landing gear consists of a front landing gear and two main landing gears, with the main landing gears installed on the left and right wings.</w:t>
      </w:r>
    </w:p>
    <w:p w14:paraId="4CC1E5FB">
      <w:pPr>
        <w:pStyle w:val="16"/>
        <w:spacing w:before="31" w:after="31"/>
        <w:ind w:firstLine="480"/>
        <w:rPr>
          <w:szCs w:val="24"/>
        </w:rPr>
      </w:pPr>
      <w:r>
        <w:rPr>
          <w:szCs w:val="24"/>
        </w:rPr>
        <w:t>The main landing gear is a strut-type structure, consisting of a shock absorber, a braked wheel, a retractable actuator, a turning mechanism, an upper lock, an end switch, etc. In the early J-8 aircraft, the main load-bearing components such as the outer cylinder of the landing gear, the piston rod, and the axle were made of GC4 (40CrMnSiMoVA) forged parts and subjected to shot peening and direct paint surface treatment. In later models, these main load-bearing components were made of advanced ultra-high-strength steel 300M (40CrMnSi2MoVA) forged parts, with shot peening and cadmium-titanium plating, paint surface treatment, and protection. The performance parameters of both materials are shown in Table 7-3.</w:t>
      </w:r>
    </w:p>
    <w:p w14:paraId="45A0B596">
      <w:pPr>
        <w:pStyle w:val="16"/>
        <w:spacing w:before="31" w:after="31"/>
        <w:ind w:firstLine="482"/>
        <w:jc w:val="center"/>
        <w:rPr>
          <w:b/>
          <w:bCs/>
          <w:szCs w:val="24"/>
        </w:rPr>
      </w:pPr>
    </w:p>
    <w:p w14:paraId="41630872">
      <w:pPr>
        <w:pStyle w:val="16"/>
        <w:spacing w:before="31" w:after="31"/>
        <w:ind w:firstLine="482"/>
        <w:jc w:val="center"/>
        <w:rPr>
          <w:b/>
          <w:bCs/>
          <w:szCs w:val="24"/>
        </w:rPr>
      </w:pPr>
      <w:r>
        <w:rPr>
          <w:b/>
          <w:bCs/>
          <w:szCs w:val="24"/>
        </w:rPr>
        <w:t>Table 7-3 Performance parameters of GC4 steel and 300M steel</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48A62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C174533">
            <w:pPr>
              <w:pStyle w:val="16"/>
              <w:spacing w:before="31" w:after="31"/>
              <w:ind w:firstLine="0" w:firstLineChars="0"/>
              <w:rPr>
                <w:szCs w:val="24"/>
              </w:rPr>
            </w:pPr>
            <w:r>
              <w:rPr>
                <w:szCs w:val="24"/>
              </w:rPr>
              <w:t>Grade</w:t>
            </w:r>
          </w:p>
        </w:tc>
        <w:tc>
          <w:tcPr>
            <w:tcW w:w="1704" w:type="dxa"/>
          </w:tcPr>
          <w:p w14:paraId="73C6630B">
            <w:pPr>
              <w:pStyle w:val="16"/>
              <w:spacing w:before="31" w:after="31"/>
              <w:ind w:firstLine="0" w:firstLineChars="0"/>
              <w:rPr>
                <w:szCs w:val="24"/>
              </w:rPr>
            </w:pPr>
            <w:r>
              <w:rPr>
                <w:szCs w:val="24"/>
              </w:rPr>
              <w:t>σb/MPa</w:t>
            </w:r>
          </w:p>
        </w:tc>
        <w:tc>
          <w:tcPr>
            <w:tcW w:w="1704" w:type="dxa"/>
          </w:tcPr>
          <w:p w14:paraId="1CD29752">
            <w:pPr>
              <w:pStyle w:val="16"/>
              <w:spacing w:before="31" w:after="31"/>
              <w:ind w:firstLine="0" w:firstLineChars="0"/>
              <w:rPr>
                <w:szCs w:val="24"/>
              </w:rPr>
            </w:pPr>
            <w:r>
              <w:rPr>
                <w:szCs w:val="24"/>
              </w:rPr>
              <w:t>σk/KJ/m2</w:t>
            </w:r>
          </w:p>
        </w:tc>
        <w:tc>
          <w:tcPr>
            <w:tcW w:w="1705" w:type="dxa"/>
          </w:tcPr>
          <w:p w14:paraId="5603D976">
            <w:pPr>
              <w:pStyle w:val="16"/>
              <w:spacing w:before="31" w:after="31"/>
              <w:ind w:firstLine="0" w:firstLineChars="0"/>
              <w:rPr>
                <w:szCs w:val="24"/>
              </w:rPr>
            </w:pPr>
            <w:r>
              <w:rPr>
                <w:szCs w:val="24"/>
              </w:rPr>
              <w:t>δ/%</w:t>
            </w:r>
          </w:p>
        </w:tc>
        <w:tc>
          <w:tcPr>
            <w:tcW w:w="1705" w:type="dxa"/>
          </w:tcPr>
          <w:p w14:paraId="6CBA784E">
            <w:pPr>
              <w:pStyle w:val="16"/>
              <w:spacing w:before="31" w:after="31"/>
              <w:ind w:firstLine="0" w:firstLineChars="0"/>
              <w:rPr>
                <w:szCs w:val="24"/>
              </w:rPr>
            </w:pPr>
            <w:r>
              <w:rPr>
                <w:szCs w:val="24"/>
              </w:rPr>
              <w:t>ψ/%</w:t>
            </w:r>
          </w:p>
        </w:tc>
      </w:tr>
      <w:tr w14:paraId="7EC7C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A069840">
            <w:pPr>
              <w:pStyle w:val="16"/>
              <w:spacing w:before="31" w:after="31"/>
              <w:ind w:firstLine="0" w:firstLineChars="0"/>
              <w:rPr>
                <w:rFonts w:hint="eastAsia"/>
                <w:szCs w:val="24"/>
              </w:rPr>
            </w:pPr>
            <w:r>
              <w:rPr>
                <w:rFonts w:hint="eastAsia"/>
                <w:szCs w:val="24"/>
              </w:rPr>
              <w:t>GC4</w:t>
            </w:r>
          </w:p>
        </w:tc>
        <w:tc>
          <w:tcPr>
            <w:tcW w:w="1704" w:type="dxa"/>
          </w:tcPr>
          <w:p w14:paraId="5A0B8FFD">
            <w:pPr>
              <w:pStyle w:val="16"/>
              <w:spacing w:before="31" w:after="31"/>
              <w:ind w:firstLine="0" w:firstLineChars="0"/>
              <w:rPr>
                <w:rFonts w:hint="eastAsia"/>
                <w:szCs w:val="24"/>
              </w:rPr>
            </w:pPr>
            <w:r>
              <w:rPr>
                <w:rFonts w:hint="eastAsia"/>
                <w:szCs w:val="24"/>
              </w:rPr>
              <w:t>1863±98</w:t>
            </w:r>
          </w:p>
        </w:tc>
        <w:tc>
          <w:tcPr>
            <w:tcW w:w="1704" w:type="dxa"/>
          </w:tcPr>
          <w:p w14:paraId="089FB45B">
            <w:pPr>
              <w:pStyle w:val="16"/>
              <w:spacing w:before="31" w:after="31"/>
              <w:ind w:firstLine="0" w:firstLineChars="0"/>
              <w:rPr>
                <w:rFonts w:hint="eastAsia"/>
                <w:szCs w:val="24"/>
              </w:rPr>
            </w:pPr>
            <w:r>
              <w:rPr>
                <w:rFonts w:hint="eastAsia"/>
                <w:szCs w:val="24"/>
              </w:rPr>
              <w:t>≥588</w:t>
            </w:r>
          </w:p>
        </w:tc>
        <w:tc>
          <w:tcPr>
            <w:tcW w:w="1705" w:type="dxa"/>
          </w:tcPr>
          <w:p w14:paraId="71D6B98F">
            <w:pPr>
              <w:pStyle w:val="16"/>
              <w:spacing w:before="31" w:after="31"/>
              <w:ind w:firstLine="0" w:firstLineChars="0"/>
              <w:rPr>
                <w:rFonts w:hint="eastAsia"/>
                <w:szCs w:val="24"/>
              </w:rPr>
            </w:pPr>
            <w:r>
              <w:rPr>
                <w:rFonts w:hint="eastAsia"/>
                <w:szCs w:val="24"/>
              </w:rPr>
              <w:t>≥8</w:t>
            </w:r>
          </w:p>
        </w:tc>
        <w:tc>
          <w:tcPr>
            <w:tcW w:w="1705" w:type="dxa"/>
          </w:tcPr>
          <w:p w14:paraId="55998D1F">
            <w:pPr>
              <w:pStyle w:val="16"/>
              <w:spacing w:before="31" w:after="31"/>
              <w:ind w:firstLine="0" w:firstLineChars="0"/>
              <w:rPr>
                <w:rFonts w:hint="eastAsia"/>
                <w:szCs w:val="24"/>
              </w:rPr>
            </w:pPr>
            <w:r>
              <w:rPr>
                <w:rFonts w:hint="eastAsia"/>
                <w:szCs w:val="24"/>
              </w:rPr>
              <w:t>≥35</w:t>
            </w:r>
          </w:p>
        </w:tc>
      </w:tr>
      <w:tr w14:paraId="3F049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127B583">
            <w:pPr>
              <w:pStyle w:val="16"/>
              <w:spacing w:before="31" w:after="31"/>
              <w:ind w:firstLine="0" w:firstLineChars="0"/>
              <w:rPr>
                <w:rFonts w:hint="eastAsia"/>
                <w:szCs w:val="24"/>
              </w:rPr>
            </w:pPr>
            <w:r>
              <w:rPr>
                <w:rFonts w:hint="eastAsia"/>
                <w:szCs w:val="24"/>
              </w:rPr>
              <w:t>300M</w:t>
            </w:r>
          </w:p>
        </w:tc>
        <w:tc>
          <w:tcPr>
            <w:tcW w:w="1704" w:type="dxa"/>
          </w:tcPr>
          <w:p w14:paraId="7B6B31A3">
            <w:pPr>
              <w:pStyle w:val="16"/>
              <w:spacing w:before="31" w:after="31"/>
              <w:ind w:firstLine="0" w:firstLineChars="0"/>
              <w:rPr>
                <w:rFonts w:hint="eastAsia"/>
                <w:szCs w:val="24"/>
              </w:rPr>
            </w:pPr>
            <w:r>
              <w:rPr>
                <w:rFonts w:hint="eastAsia"/>
                <w:szCs w:val="24"/>
              </w:rPr>
              <w:t>1960±100</w:t>
            </w:r>
          </w:p>
        </w:tc>
        <w:tc>
          <w:tcPr>
            <w:tcW w:w="1704" w:type="dxa"/>
          </w:tcPr>
          <w:p w14:paraId="5A5C2C41">
            <w:pPr>
              <w:pStyle w:val="16"/>
              <w:spacing w:before="31" w:after="31"/>
              <w:ind w:firstLine="0" w:firstLineChars="0"/>
              <w:rPr>
                <w:rFonts w:hint="eastAsia"/>
                <w:szCs w:val="24"/>
              </w:rPr>
            </w:pPr>
            <w:r>
              <w:rPr>
                <w:rFonts w:hint="eastAsia"/>
                <w:szCs w:val="24"/>
              </w:rPr>
              <w:t>≥490</w:t>
            </w:r>
          </w:p>
        </w:tc>
        <w:tc>
          <w:tcPr>
            <w:tcW w:w="1705" w:type="dxa"/>
          </w:tcPr>
          <w:p w14:paraId="1D1AA523">
            <w:pPr>
              <w:pStyle w:val="16"/>
              <w:spacing w:before="31" w:after="31"/>
              <w:ind w:firstLine="0" w:firstLineChars="0"/>
              <w:rPr>
                <w:rFonts w:hint="eastAsia"/>
                <w:szCs w:val="24"/>
              </w:rPr>
            </w:pPr>
            <w:r>
              <w:rPr>
                <w:rFonts w:hint="eastAsia"/>
                <w:szCs w:val="24"/>
              </w:rPr>
              <w:t>≥8</w:t>
            </w:r>
          </w:p>
        </w:tc>
        <w:tc>
          <w:tcPr>
            <w:tcW w:w="1705" w:type="dxa"/>
          </w:tcPr>
          <w:p w14:paraId="223DFC4B">
            <w:pPr>
              <w:pStyle w:val="16"/>
              <w:spacing w:before="31" w:after="31"/>
              <w:ind w:firstLine="0" w:firstLineChars="0"/>
              <w:rPr>
                <w:rFonts w:hint="eastAsia"/>
                <w:szCs w:val="24"/>
              </w:rPr>
            </w:pPr>
            <w:r>
              <w:rPr>
                <w:rFonts w:hint="eastAsia"/>
                <w:szCs w:val="24"/>
              </w:rPr>
              <w:t>≥30</w:t>
            </w:r>
          </w:p>
        </w:tc>
      </w:tr>
    </w:tbl>
    <w:p w14:paraId="38DD38A0">
      <w:pPr>
        <w:pStyle w:val="16"/>
        <w:spacing w:before="31" w:after="31"/>
        <w:ind w:firstLine="480"/>
        <w:rPr>
          <w:szCs w:val="24"/>
        </w:rPr>
      </w:pPr>
    </w:p>
    <w:p w14:paraId="19D22CCA">
      <w:pPr>
        <w:pStyle w:val="16"/>
        <w:spacing w:before="31" w:after="31"/>
        <w:ind w:firstLine="480"/>
        <w:rPr>
          <w:szCs w:val="24"/>
        </w:rPr>
      </w:pPr>
      <w:r>
        <w:rPr>
          <w:szCs w:val="24"/>
        </w:rPr>
        <w:t>(5) Failure Appearance</w:t>
      </w:r>
    </w:p>
    <w:p w14:paraId="2F0D12FB">
      <w:pPr>
        <w:pStyle w:val="16"/>
        <w:spacing w:before="31" w:after="31"/>
        <w:ind w:firstLine="480"/>
        <w:rPr>
          <w:szCs w:val="24"/>
        </w:rPr>
      </w:pPr>
      <w:r>
        <w:rPr>
          <w:szCs w:val="24"/>
        </w:rPr>
        <w:t>The fatigue arc line and radial lines on the fracture surface were obvious, with prominent large radial lines indicating the direction of fatigue propagation. Multiple obvious fatigue arc lines were present on the fracture surface.</w:t>
      </w:r>
    </w:p>
    <w:p w14:paraId="239DF99B">
      <w:pPr>
        <w:pStyle w:val="16"/>
        <w:spacing w:before="31" w:after="31"/>
        <w:ind w:firstLine="480"/>
        <w:rPr>
          <w:szCs w:val="24"/>
        </w:rPr>
      </w:pPr>
      <w:r>
        <w:rPr>
          <w:szCs w:val="24"/>
        </w:rPr>
        <w:t>Scanning electron microscopy revealed tough pits or localized fatigue bands near the source and propagation zones, with the majority of the area exhibiting a tough pit morphology.</w:t>
      </w:r>
    </w:p>
    <w:p w14:paraId="7E7D81A7">
      <w:pPr>
        <w:pStyle w:val="16"/>
        <w:spacing w:before="31" w:after="31"/>
        <w:ind w:firstLine="480"/>
        <w:rPr>
          <w:szCs w:val="24"/>
        </w:rPr>
      </w:pPr>
    </w:p>
    <w:p w14:paraId="2FE3D569">
      <w:pPr>
        <w:pStyle w:val="16"/>
        <w:spacing w:before="31" w:after="31"/>
        <w:ind w:firstLine="480"/>
        <w:rPr>
          <w:szCs w:val="24"/>
        </w:rPr>
      </w:pPr>
      <w:r>
        <w:rPr>
          <w:szCs w:val="24"/>
        </w:rPr>
        <w:t>(6) Failure Analysis</w:t>
      </w:r>
    </w:p>
    <w:p w14:paraId="527EECCB">
      <w:pPr>
        <w:pStyle w:val="16"/>
        <w:spacing w:before="31" w:after="31"/>
        <w:ind w:firstLine="480"/>
        <w:rPr>
          <w:szCs w:val="24"/>
        </w:rPr>
      </w:pPr>
      <w:r>
        <w:rPr>
          <w:szCs w:val="24"/>
        </w:rPr>
        <w:t>Through stress analysis, cyclic shear stress and normal stress acting on the R2 rounded corner of the axle half-shaft flange were identified as the causes of fatigue cracking.</w:t>
      </w:r>
    </w:p>
    <w:p w14:paraId="6A4F04CE">
      <w:pPr>
        <w:pStyle w:val="16"/>
        <w:spacing w:before="31" w:after="31"/>
        <w:ind w:firstLine="480"/>
        <w:rPr>
          <w:szCs w:val="24"/>
        </w:rPr>
      </w:pPr>
      <w:r>
        <w:rPr>
          <w:szCs w:val="24"/>
        </w:rPr>
        <w:t>Analysis of the fracture, material, and metallographic structure of the axle half-shaft by field and overhaul facilities indicated that the material and dimensions of the part met the design requirements. Wear was observed in the fatigue source area, with no metallurgical defects or external damage. The crack was relatively straight with oxidation characteristics, indicating a fatigue fracture surface. The fatigue source characteristics were multilinear and multisource, classifying it as a high-stress low-cycle fatigue fracture.</w:t>
      </w:r>
    </w:p>
    <w:p w14:paraId="7478439A">
      <w:pPr>
        <w:pStyle w:val="16"/>
        <w:spacing w:before="31" w:after="31"/>
        <w:ind w:firstLine="480"/>
        <w:rPr>
          <w:szCs w:val="24"/>
        </w:rPr>
      </w:pPr>
    </w:p>
    <w:p w14:paraId="44C652F2">
      <w:pPr>
        <w:pStyle w:val="16"/>
        <w:spacing w:before="31" w:after="31"/>
        <w:ind w:firstLine="480"/>
        <w:rPr>
          <w:szCs w:val="24"/>
        </w:rPr>
      </w:pPr>
      <w:r>
        <w:rPr>
          <w:szCs w:val="24"/>
        </w:rPr>
        <w:t>Fatigue tests on the axle half-shaft indicated a service life of 4000 landings, which differed significantly from the failure locations and life found during field use. The main reasons were: (a) the stiffness of the simulated wheel used in the fatigue test differed greatly from the actual aircraft wheel, resulting in stress levels in the flange lower than those in the field; (b) the field brake load spectrum was biased, with investigations showing that around 23% of landings in field use exceeded the normal landing weight, compared to the usual requirement of not exceeding 10%; (c) the impact and friction loads from abnormal landings increased the stress levels at the root of the axle half-shaft and the flange, which were not accurately simulated in the test.</w:t>
      </w:r>
    </w:p>
    <w:p w14:paraId="0768EC41">
      <w:pPr>
        <w:pStyle w:val="16"/>
        <w:spacing w:before="31" w:after="31"/>
        <w:ind w:firstLine="480"/>
        <w:rPr>
          <w:szCs w:val="24"/>
        </w:rPr>
      </w:pPr>
    </w:p>
    <w:p w14:paraId="5F3C2106">
      <w:pPr>
        <w:pStyle w:val="16"/>
        <w:spacing w:before="31" w:after="31"/>
        <w:ind w:firstLine="480"/>
        <w:rPr>
          <w:szCs w:val="24"/>
        </w:rPr>
      </w:pPr>
      <w:r>
        <w:rPr>
          <w:szCs w:val="24"/>
        </w:rPr>
        <w:t>(7) Impact and Harm Caused</w:t>
      </w:r>
    </w:p>
    <w:p w14:paraId="20CBD1DA">
      <w:pPr>
        <w:pStyle w:val="16"/>
        <w:spacing w:before="31" w:after="31"/>
        <w:ind w:firstLine="480"/>
        <w:rPr>
          <w:szCs w:val="24"/>
        </w:rPr>
      </w:pPr>
      <w:r>
        <w:rPr>
          <w:szCs w:val="24"/>
        </w:rPr>
        <w:t>Damage to the landing gear, severely impacting flight safety.</w:t>
      </w:r>
    </w:p>
    <w:p w14:paraId="463E5689">
      <w:pPr>
        <w:pStyle w:val="16"/>
        <w:spacing w:before="31" w:after="31"/>
        <w:ind w:firstLine="480"/>
        <w:rPr>
          <w:szCs w:val="24"/>
        </w:rPr>
      </w:pPr>
    </w:p>
    <w:p w14:paraId="608AA467">
      <w:pPr>
        <w:pStyle w:val="16"/>
        <w:spacing w:before="31" w:after="31"/>
        <w:ind w:firstLine="480"/>
        <w:rPr>
          <w:szCs w:val="24"/>
        </w:rPr>
      </w:pPr>
      <w:r>
        <w:rPr>
          <w:szCs w:val="24"/>
        </w:rPr>
        <w:t>(8) Conclusion and Improvement Measures</w:t>
      </w:r>
    </w:p>
    <w:p w14:paraId="41D1ED11">
      <w:pPr>
        <w:pStyle w:val="16"/>
        <w:spacing w:before="31" w:after="31"/>
        <w:ind w:firstLine="480"/>
        <w:rPr>
          <w:szCs w:val="24"/>
        </w:rPr>
      </w:pPr>
      <w:r>
        <w:rPr>
          <w:szCs w:val="24"/>
        </w:rPr>
        <w:t>The cracking accident of the axle half-shaft is attributed to high-stress low-cycle fatigue fracture. The cause of fatigue was the landing with weight exceeding the normal limit, leading to increased stress levels at the root of the axle half-shaft and the flange, resulting in fatigue cracks at the transition fillet of the flange. The fatigue life test did not simulate the actual usage conditions, and thus, the hidden danger of this accident was not identified.</w:t>
      </w:r>
    </w:p>
    <w:p w14:paraId="2D80835D">
      <w:pPr>
        <w:pStyle w:val="16"/>
        <w:spacing w:before="31" w:after="31"/>
        <w:ind w:firstLine="480"/>
        <w:rPr>
          <w:szCs w:val="24"/>
        </w:rPr>
      </w:pPr>
      <w:r>
        <w:rPr>
          <w:szCs w:val="24"/>
        </w:rPr>
        <w:t>In response to this incident, structural details of the axle half-shaft were redesigned to enhance its resistance to fatigue cracking. Additionally, an evaluation of the fatigue characteristics of the redesigned axle half-shaft was reinforced. Monitoring of the original main landing gear axle half-shaft was intensified to ensure the safe operation of the aircraft.</w:t>
      </w:r>
    </w:p>
    <w:p w14:paraId="3B6DE0B1">
      <w:pPr>
        <w:pStyle w:val="16"/>
        <w:spacing w:before="31" w:after="31"/>
        <w:ind w:firstLine="0" w:firstLineChars="0"/>
        <w:rPr>
          <w:szCs w:val="24"/>
        </w:rPr>
      </w:pPr>
      <w:r>
        <w:rPr>
          <w:szCs w:val="24"/>
        </w:rPr>
        <w:t>The lessons learned from this incident are as follows: (a) design load spectra and deformation predictions should closely match actual service conditions; (b) fatigue-resistant detail design and strengthening processes need improvement to enhance structural fatigue resistance; (c) ground fatigue tests should provide simulations close to reality; (d) reasonable maintenance cycles should be established.</w:t>
      </w:r>
    </w:p>
    <w:p w14:paraId="4345E46A">
      <w:pPr>
        <w:pStyle w:val="16"/>
        <w:spacing w:before="31" w:after="31"/>
        <w:ind w:firstLine="0" w:firstLineChars="0"/>
        <w:rPr>
          <w:b/>
          <w:bCs/>
          <w:szCs w:val="24"/>
        </w:rPr>
      </w:pPr>
      <w:r>
        <w:rPr>
          <w:b/>
          <w:bCs/>
          <w:szCs w:val="24"/>
        </w:rPr>
        <w:t>7.2.10 Case 7-10: Fracture of the Composite Adjusting Plate Leading Edge in a Certain Aircraft</w:t>
      </w:r>
    </w:p>
    <w:p w14:paraId="6B58834F">
      <w:pPr>
        <w:pStyle w:val="16"/>
        <w:spacing w:before="31" w:after="31"/>
        <w:ind w:firstLine="480"/>
        <w:rPr>
          <w:szCs w:val="24"/>
        </w:rPr>
      </w:pPr>
    </w:p>
    <w:p w14:paraId="3DB24E82">
      <w:pPr>
        <w:pStyle w:val="16"/>
        <w:spacing w:before="31" w:after="31"/>
        <w:ind w:firstLine="480"/>
        <w:rPr>
          <w:szCs w:val="24"/>
        </w:rPr>
      </w:pPr>
      <w:r>
        <w:rPr>
          <w:szCs w:val="24"/>
        </w:rPr>
        <w:t>(1) Case Name</w:t>
      </w:r>
    </w:p>
    <w:p w14:paraId="7C7A9EC6">
      <w:pPr>
        <w:pStyle w:val="16"/>
        <w:spacing w:before="31" w:after="31"/>
        <w:ind w:firstLine="480"/>
        <w:rPr>
          <w:szCs w:val="24"/>
        </w:rPr>
      </w:pPr>
      <w:r>
        <w:rPr>
          <w:szCs w:val="24"/>
        </w:rPr>
        <w:t>Fracture of the composite adjusting plate leading edge in a certain aircraft [1].</w:t>
      </w:r>
    </w:p>
    <w:p w14:paraId="072A1210">
      <w:pPr>
        <w:pStyle w:val="16"/>
        <w:spacing w:before="31" w:after="31"/>
        <w:ind w:firstLine="480"/>
        <w:rPr>
          <w:szCs w:val="24"/>
        </w:rPr>
      </w:pPr>
    </w:p>
    <w:p w14:paraId="7403944D">
      <w:pPr>
        <w:pStyle w:val="16"/>
        <w:spacing w:before="31" w:after="31"/>
        <w:ind w:firstLine="480"/>
        <w:rPr>
          <w:szCs w:val="24"/>
        </w:rPr>
      </w:pPr>
      <w:r>
        <w:rPr>
          <w:szCs w:val="24"/>
        </w:rPr>
        <w:t>(2) Failure Process Description</w:t>
      </w:r>
    </w:p>
    <w:p w14:paraId="485D396B">
      <w:pPr>
        <w:pStyle w:val="16"/>
        <w:spacing w:before="31" w:after="31"/>
        <w:ind w:firstLine="480"/>
        <w:rPr>
          <w:szCs w:val="24"/>
        </w:rPr>
      </w:pPr>
      <w:r>
        <w:rPr>
          <w:szCs w:val="24"/>
        </w:rPr>
        <w:t>During a normal taxi, takeoff, and climb research flight, a certain research aircraft reached level flight at a speed of Mach 1.5. At the moment the pilot switched from autopilot to manual control, an abnormal engine sound was heard. The engine instruments displayed normal engine operation. The aircraft continued its flight and safely landed after completing the scheduled research flight tasks.</w:t>
      </w:r>
    </w:p>
    <w:p w14:paraId="3B70A9FE">
      <w:pPr>
        <w:pStyle w:val="16"/>
        <w:spacing w:before="31" w:after="31"/>
        <w:ind w:firstLine="480"/>
        <w:rPr>
          <w:szCs w:val="24"/>
        </w:rPr>
      </w:pPr>
      <w:r>
        <w:rPr>
          <w:szCs w:val="24"/>
        </w:rPr>
        <w:t>Upon inspection after landing, it was discovered that the composite adjusting plate leading edge of the engine's intake duct had transverse fractures along the root in the direction of the plate's 710mm width. The surface layer between the leading edge and the pressure plate suffered delamination damage (Figure 7-10.1, Figure 7-10.2), causing damage to a total of 8 first-stage blades in the engine (Figure 7-10.3). The abnormal engine sound was a result of the fracture of the composite adjusting plate leading edge hitting the first-stage blades.</w:t>
      </w:r>
    </w:p>
    <w:p w14:paraId="7B23F617">
      <w:pPr>
        <w:pStyle w:val="16"/>
        <w:spacing w:before="31" w:after="31"/>
        <w:ind w:firstLine="482"/>
        <w:jc w:val="center"/>
        <w:rPr>
          <w:b/>
          <w:bCs/>
          <w:szCs w:val="24"/>
        </w:rPr>
      </w:pPr>
      <w:r>
        <w:rPr>
          <w:b/>
          <w:bCs/>
          <w:szCs w:val="24"/>
        </w:rPr>
        <w:t>Figure 7-10.1 Fault condition of the composite layer board</w:t>
      </w:r>
    </w:p>
    <w:p w14:paraId="2DA4D3B5">
      <w:pPr>
        <w:pStyle w:val="16"/>
        <w:spacing w:before="31" w:after="31"/>
        <w:ind w:firstLine="482"/>
        <w:jc w:val="center"/>
        <w:rPr>
          <w:b/>
          <w:bCs/>
          <w:szCs w:val="24"/>
        </w:rPr>
      </w:pPr>
    </w:p>
    <w:p w14:paraId="275A8A44">
      <w:pPr>
        <w:pStyle w:val="16"/>
        <w:spacing w:before="31" w:after="31"/>
        <w:ind w:firstLine="482"/>
        <w:jc w:val="center"/>
        <w:rPr>
          <w:b/>
          <w:bCs/>
          <w:szCs w:val="24"/>
        </w:rPr>
      </w:pPr>
      <w:r>
        <w:rPr>
          <w:b/>
          <w:bCs/>
          <w:szCs w:val="24"/>
        </w:rPr>
        <w:t>Figure 7-10.2 Leading edge fracture and delamination surface</w:t>
      </w:r>
    </w:p>
    <w:p w14:paraId="0FFD98CE">
      <w:pPr>
        <w:pStyle w:val="16"/>
        <w:spacing w:before="31" w:after="31"/>
        <w:ind w:firstLine="482"/>
        <w:jc w:val="center"/>
        <w:rPr>
          <w:b/>
          <w:bCs/>
          <w:szCs w:val="24"/>
        </w:rPr>
      </w:pPr>
      <w:r>
        <w:rPr>
          <w:b/>
          <w:bCs/>
          <w:szCs w:val="24"/>
        </w:rPr>
        <w:t>Figure 7-10.3 Damage to engine blades</w:t>
      </w:r>
    </w:p>
    <w:p w14:paraId="0EDBC226">
      <w:pPr>
        <w:pStyle w:val="16"/>
        <w:spacing w:before="31" w:after="31"/>
        <w:ind w:firstLine="480"/>
        <w:rPr>
          <w:szCs w:val="24"/>
        </w:rPr>
      </w:pPr>
    </w:p>
    <w:p w14:paraId="1FB3DED5">
      <w:pPr>
        <w:pStyle w:val="16"/>
        <w:spacing w:before="31" w:after="31"/>
        <w:ind w:firstLine="480"/>
        <w:rPr>
          <w:szCs w:val="24"/>
        </w:rPr>
      </w:pPr>
      <w:r>
        <w:rPr>
          <w:szCs w:val="24"/>
        </w:rPr>
        <w:t>(3) Service Environment</w:t>
      </w:r>
    </w:p>
    <w:p w14:paraId="52785F9A">
      <w:pPr>
        <w:pStyle w:val="16"/>
        <w:spacing w:before="31" w:after="31"/>
        <w:ind w:firstLine="480"/>
        <w:rPr>
          <w:szCs w:val="24"/>
        </w:rPr>
      </w:pPr>
      <w:r>
        <w:rPr>
          <w:szCs w:val="24"/>
        </w:rPr>
        <w:t>Long-term exposure to 150°C, instantaneous (not exceeding 3 minutes) exposure to 200°C.</w:t>
      </w:r>
    </w:p>
    <w:p w14:paraId="6EF8890F">
      <w:pPr>
        <w:pStyle w:val="16"/>
        <w:spacing w:before="31" w:after="31"/>
        <w:ind w:firstLine="480"/>
        <w:rPr>
          <w:szCs w:val="24"/>
        </w:rPr>
      </w:pPr>
    </w:p>
    <w:p w14:paraId="4FAEF6CA">
      <w:pPr>
        <w:pStyle w:val="16"/>
        <w:spacing w:before="31" w:after="31"/>
        <w:ind w:firstLine="480"/>
        <w:rPr>
          <w:szCs w:val="24"/>
        </w:rPr>
      </w:pPr>
      <w:r>
        <w:rPr>
          <w:szCs w:val="24"/>
        </w:rPr>
        <w:t>(4) Failed Components and Materials</w:t>
      </w:r>
    </w:p>
    <w:p w14:paraId="063E846B">
      <w:pPr>
        <w:pStyle w:val="16"/>
        <w:spacing w:before="31" w:after="31"/>
        <w:ind w:firstLine="480"/>
        <w:rPr>
          <w:szCs w:val="24"/>
        </w:rPr>
      </w:pPr>
      <w:r>
        <w:rPr>
          <w:szCs w:val="24"/>
        </w:rPr>
        <w:t>Composite adjusting plate leading edge of the engine's intake duct, made of high-temperature-resistant composite material suitable for use in a 220°C high-temperature environment.</w:t>
      </w:r>
    </w:p>
    <w:p w14:paraId="276AB8F7">
      <w:pPr>
        <w:pStyle w:val="16"/>
        <w:spacing w:before="31" w:after="31"/>
        <w:ind w:firstLine="480"/>
        <w:rPr>
          <w:szCs w:val="24"/>
        </w:rPr>
      </w:pPr>
    </w:p>
    <w:p w14:paraId="4446A922">
      <w:pPr>
        <w:pStyle w:val="16"/>
        <w:spacing w:before="31" w:after="31"/>
        <w:ind w:firstLine="480"/>
        <w:rPr>
          <w:szCs w:val="24"/>
        </w:rPr>
      </w:pPr>
      <w:r>
        <w:rPr>
          <w:szCs w:val="24"/>
        </w:rPr>
        <w:t>(5) Failure Appearance</w:t>
      </w:r>
    </w:p>
    <w:p w14:paraId="65D3492D">
      <w:pPr>
        <w:pStyle w:val="16"/>
        <w:spacing w:before="31" w:after="31"/>
        <w:ind w:firstLine="480"/>
        <w:rPr>
          <w:szCs w:val="24"/>
        </w:rPr>
      </w:pPr>
      <w:r>
        <w:rPr>
          <w:szCs w:val="24"/>
        </w:rPr>
        <w:t>The surface of the damaged composite component fracture was neatly smooth, with the main and auxiliary layers breaking neatly along the interface. This was significantly different from the usual fracture surface appearance of composite materials. The failure occurred at a process-weak location, with "delamination" and multiple "porosity" defects recorded during non-destructive testing in the manufacturing process.</w:t>
      </w:r>
    </w:p>
    <w:p w14:paraId="75AB3CA7">
      <w:pPr>
        <w:pStyle w:val="16"/>
        <w:spacing w:before="31" w:after="31"/>
        <w:ind w:firstLine="480"/>
        <w:rPr>
          <w:szCs w:val="24"/>
        </w:rPr>
      </w:pPr>
    </w:p>
    <w:p w14:paraId="4542D5CB">
      <w:pPr>
        <w:pStyle w:val="16"/>
        <w:spacing w:before="31" w:after="31"/>
        <w:ind w:firstLine="480"/>
        <w:rPr>
          <w:szCs w:val="24"/>
        </w:rPr>
      </w:pPr>
      <w:r>
        <w:rPr>
          <w:szCs w:val="24"/>
        </w:rPr>
        <w:t>(6) Failure Analysis</w:t>
      </w:r>
    </w:p>
    <w:p w14:paraId="3010A1CA">
      <w:pPr>
        <w:pStyle w:val="16"/>
        <w:spacing w:before="31" w:after="31"/>
        <w:ind w:firstLine="480"/>
        <w:rPr>
          <w:szCs w:val="24"/>
        </w:rPr>
      </w:pPr>
      <w:r>
        <w:rPr>
          <w:szCs w:val="24"/>
        </w:rPr>
        <w:t>Finite element analysis and engineering algorithm calculations were performed to investigate the failure. The analysis indicated that there were no structural design issues. The failure was attributed to the presence of defects or damage such as fiber fractures, delamination, and fiber debonding in the adjusting plate. The structure experienced this type of failure under such circumstances.</w:t>
      </w:r>
    </w:p>
    <w:p w14:paraId="091BA272">
      <w:pPr>
        <w:pStyle w:val="16"/>
        <w:spacing w:before="31" w:after="31"/>
        <w:ind w:firstLine="480"/>
        <w:rPr>
          <w:szCs w:val="24"/>
        </w:rPr>
      </w:pPr>
    </w:p>
    <w:p w14:paraId="04339DA6">
      <w:pPr>
        <w:pStyle w:val="16"/>
        <w:spacing w:before="31" w:after="31"/>
        <w:ind w:firstLine="480"/>
        <w:rPr>
          <w:szCs w:val="24"/>
        </w:rPr>
      </w:pPr>
      <w:r>
        <w:rPr>
          <w:szCs w:val="24"/>
        </w:rPr>
        <w:t>Macroscopic fracture surface analysis at the damaged area suggested that the leading edge of the adjusting plate was subjected to a significant force directed from the surface towards the airflow in the root area of the leading edge. Subsequently, a fracture occurred in the root area of the leading edge, followed by bending fracture at the junction of the airflow surface and the metal riveting.</w:t>
      </w:r>
    </w:p>
    <w:p w14:paraId="4B339F8D">
      <w:pPr>
        <w:pStyle w:val="16"/>
        <w:spacing w:before="31" w:after="31"/>
        <w:ind w:firstLine="480"/>
        <w:rPr>
          <w:szCs w:val="24"/>
        </w:rPr>
      </w:pPr>
    </w:p>
    <w:p w14:paraId="167CD18C">
      <w:pPr>
        <w:pStyle w:val="16"/>
        <w:spacing w:before="31" w:after="31"/>
        <w:ind w:firstLine="480"/>
        <w:rPr>
          <w:szCs w:val="24"/>
        </w:rPr>
      </w:pPr>
      <w:r>
        <w:rPr>
          <w:szCs w:val="24"/>
        </w:rPr>
        <w:t>Through failure reproduction tests, it was found that the leading edge of the adjusting plate structure had significant residual strength, and no damage occurred under the design load.</w:t>
      </w:r>
    </w:p>
    <w:p w14:paraId="4D7F9BDC">
      <w:pPr>
        <w:pStyle w:val="16"/>
        <w:spacing w:before="31" w:after="31"/>
        <w:ind w:firstLine="480"/>
        <w:rPr>
          <w:szCs w:val="24"/>
        </w:rPr>
      </w:pPr>
    </w:p>
    <w:p w14:paraId="338B2303">
      <w:pPr>
        <w:pStyle w:val="16"/>
        <w:spacing w:before="31" w:after="31"/>
        <w:ind w:firstLine="480"/>
        <w:rPr>
          <w:szCs w:val="24"/>
        </w:rPr>
      </w:pPr>
      <w:r>
        <w:rPr>
          <w:szCs w:val="24"/>
        </w:rPr>
        <w:t>(7) Impact and Harm Caused</w:t>
      </w:r>
    </w:p>
    <w:p w14:paraId="7BCAE6A1">
      <w:pPr>
        <w:pStyle w:val="16"/>
        <w:spacing w:before="31" w:after="31"/>
        <w:ind w:firstLine="480"/>
        <w:rPr>
          <w:szCs w:val="24"/>
        </w:rPr>
      </w:pPr>
      <w:r>
        <w:rPr>
          <w:szCs w:val="24"/>
        </w:rPr>
        <w:t>Severely impacted flight safety, leading to the suspension of all flights with the same adjusting plates.</w:t>
      </w:r>
    </w:p>
    <w:p w14:paraId="31FEA5B3">
      <w:pPr>
        <w:pStyle w:val="16"/>
        <w:spacing w:before="31" w:after="31"/>
        <w:ind w:firstLine="480"/>
        <w:rPr>
          <w:szCs w:val="24"/>
        </w:rPr>
      </w:pPr>
    </w:p>
    <w:p w14:paraId="11279D92">
      <w:pPr>
        <w:pStyle w:val="16"/>
        <w:spacing w:before="31" w:after="31"/>
        <w:ind w:firstLine="480"/>
        <w:rPr>
          <w:szCs w:val="24"/>
        </w:rPr>
      </w:pPr>
      <w:r>
        <w:rPr>
          <w:szCs w:val="24"/>
        </w:rPr>
        <w:t>(8) Conclusion and Improvement Measures</w:t>
      </w:r>
    </w:p>
    <w:p w14:paraId="37D49FD7">
      <w:pPr>
        <w:pStyle w:val="16"/>
        <w:spacing w:before="31" w:after="31"/>
        <w:ind w:firstLine="480"/>
        <w:rPr>
          <w:szCs w:val="24"/>
        </w:rPr>
      </w:pPr>
      <w:r>
        <w:rPr>
          <w:szCs w:val="24"/>
        </w:rPr>
        <w:t>The cause of the fracture accident was identified as the weak point in both structure and process, possibly with existing defects. It is recommended to reinforce the fractured area appropriately.</w:t>
      </w:r>
    </w:p>
    <w:p w14:paraId="7304BE9D">
      <w:pPr>
        <w:pStyle w:val="16"/>
        <w:spacing w:before="31" w:after="31"/>
        <w:ind w:firstLine="480"/>
        <w:rPr>
          <w:szCs w:val="24"/>
        </w:rPr>
      </w:pPr>
      <w:r>
        <w:rPr>
          <w:szCs w:val="24"/>
        </w:rPr>
        <w:t>In response to this incident, the design of subsequent production of the adjusting plate was improved. An integral aluminum alloy leading edge beam was used instead of the composite leading edge to eliminate the weak area at the root of the leading edge.</w:t>
      </w:r>
    </w:p>
    <w:p w14:paraId="3920E77C">
      <w:pPr>
        <w:pStyle w:val="16"/>
        <w:spacing w:before="31" w:after="31"/>
        <w:ind w:firstLine="0" w:firstLineChars="0"/>
        <w:rPr>
          <w:szCs w:val="24"/>
        </w:rPr>
      </w:pPr>
      <w:r>
        <w:rPr>
          <w:szCs w:val="24"/>
        </w:rPr>
        <w:t>The lessons learned from this incident are as follows: (a) In the design of composite structures, efforts should be made to avoid areas where process quality cannot be guaranteed and are not detectable; (b) The design of composite structures should avoid abrupt stiffness changes as much as possible.</w:t>
      </w:r>
    </w:p>
    <w:p w14:paraId="2878E9A7">
      <w:pPr>
        <w:pStyle w:val="16"/>
        <w:spacing w:before="31" w:after="31"/>
        <w:ind w:firstLine="0" w:firstLineChars="0"/>
        <w:rPr>
          <w:b/>
          <w:bCs/>
          <w:szCs w:val="24"/>
        </w:rPr>
      </w:pPr>
      <w:r>
        <w:rPr>
          <w:b/>
          <w:bCs/>
          <w:szCs w:val="24"/>
        </w:rPr>
        <w:t>7.2.11 Case 7-11: Fatigue Fracture of the Wing Root Structure in a Certain Aircraft Semi-Full-Scale Wing-Body Combination</w:t>
      </w:r>
    </w:p>
    <w:p w14:paraId="41A88249">
      <w:pPr>
        <w:pStyle w:val="16"/>
        <w:spacing w:before="31" w:after="31"/>
        <w:ind w:firstLine="480"/>
        <w:rPr>
          <w:szCs w:val="24"/>
        </w:rPr>
      </w:pPr>
    </w:p>
    <w:p w14:paraId="789B0375">
      <w:pPr>
        <w:pStyle w:val="16"/>
        <w:spacing w:before="31" w:after="31"/>
        <w:ind w:firstLine="480"/>
        <w:rPr>
          <w:szCs w:val="24"/>
        </w:rPr>
      </w:pPr>
      <w:r>
        <w:rPr>
          <w:szCs w:val="24"/>
        </w:rPr>
        <w:t>(1) Case Name</w:t>
      </w:r>
    </w:p>
    <w:p w14:paraId="6DE090A5">
      <w:pPr>
        <w:pStyle w:val="16"/>
        <w:spacing w:before="31" w:after="31"/>
        <w:ind w:firstLine="480"/>
        <w:rPr>
          <w:szCs w:val="24"/>
        </w:rPr>
      </w:pPr>
      <w:r>
        <w:rPr>
          <w:szCs w:val="24"/>
        </w:rPr>
        <w:t>Fatigue fracture of the wing root structure in a certain aircraft semi-full-scale wing-body combination [1].</w:t>
      </w:r>
    </w:p>
    <w:p w14:paraId="5B19EE92">
      <w:pPr>
        <w:pStyle w:val="16"/>
        <w:spacing w:before="31" w:after="31"/>
        <w:ind w:firstLine="480"/>
        <w:rPr>
          <w:szCs w:val="24"/>
        </w:rPr>
      </w:pPr>
    </w:p>
    <w:p w14:paraId="0CE22EC9">
      <w:pPr>
        <w:pStyle w:val="16"/>
        <w:spacing w:before="31" w:after="31"/>
        <w:ind w:firstLine="480"/>
        <w:rPr>
          <w:szCs w:val="24"/>
        </w:rPr>
      </w:pPr>
      <w:r>
        <w:rPr>
          <w:szCs w:val="24"/>
        </w:rPr>
        <w:t>(2) Failure Process Description</w:t>
      </w:r>
    </w:p>
    <w:p w14:paraId="5C297D08">
      <w:pPr>
        <w:pStyle w:val="16"/>
        <w:spacing w:before="31" w:after="31"/>
        <w:ind w:firstLine="480"/>
        <w:rPr>
          <w:szCs w:val="24"/>
        </w:rPr>
      </w:pPr>
      <w:r>
        <w:rPr>
          <w:szCs w:val="24"/>
        </w:rPr>
        <w:t>The semi-full-scale wing-body combination is a simplified test platform derived from the outer wing (wing) and central wing (fuselage) of a certain fighter aircraft (Figure 7-11.1). It is used for ground comprehensive design verification tests at the major component level, primarily to validate the static and fatigue performance of the structure.</w:t>
      </w:r>
    </w:p>
    <w:p w14:paraId="3EAE7599">
      <w:pPr>
        <w:pStyle w:val="16"/>
        <w:spacing w:before="31" w:after="31"/>
        <w:ind w:firstLine="480"/>
        <w:rPr>
          <w:szCs w:val="24"/>
        </w:rPr>
      </w:pPr>
      <w:r>
        <w:rPr>
          <w:szCs w:val="24"/>
        </w:rPr>
        <w:t>During the fatigue test of the semi-full-scale wing-body combination, a crack appeared at the third vertical wall position at the root of the right wing (composite wall panel) joint plate after 12,270 cycles. This led to a leak in the overall wing fuel tank, resulting in structural functional failure, and the fatigue test was terminated.</w:t>
      </w:r>
    </w:p>
    <w:p w14:paraId="45E23251">
      <w:pPr>
        <w:pStyle w:val="16"/>
        <w:spacing w:before="31" w:after="31"/>
        <w:ind w:firstLine="480"/>
        <w:rPr>
          <w:szCs w:val="24"/>
        </w:rPr>
      </w:pPr>
    </w:p>
    <w:p w14:paraId="11B12F0F">
      <w:pPr>
        <w:pStyle w:val="16"/>
        <w:spacing w:before="31" w:after="31"/>
        <w:ind w:firstLine="480"/>
        <w:rPr>
          <w:szCs w:val="24"/>
        </w:rPr>
      </w:pPr>
      <w:r>
        <w:rPr>
          <w:szCs w:val="24"/>
        </w:rPr>
        <w:t>(3) Component Service Environment</w:t>
      </w:r>
    </w:p>
    <w:p w14:paraId="55671FED">
      <w:pPr>
        <w:pStyle w:val="16"/>
        <w:spacing w:before="31" w:after="31"/>
        <w:ind w:firstLine="480"/>
        <w:rPr>
          <w:szCs w:val="24"/>
        </w:rPr>
      </w:pPr>
      <w:r>
        <w:rPr>
          <w:szCs w:val="24"/>
        </w:rPr>
        <w:t>Natural atmospheric environment.</w:t>
      </w:r>
    </w:p>
    <w:p w14:paraId="795CB503">
      <w:pPr>
        <w:pStyle w:val="16"/>
        <w:spacing w:before="31" w:after="31"/>
        <w:ind w:firstLine="482"/>
        <w:jc w:val="center"/>
        <w:rPr>
          <w:b/>
          <w:bCs/>
          <w:szCs w:val="24"/>
        </w:rPr>
      </w:pPr>
      <w:r>
        <w:rPr>
          <w:b/>
          <w:bCs/>
          <w:szCs w:val="24"/>
        </w:rPr>
        <w:t>Figure 7-11.1 Semi-full-scale wing-body combination test specimen</w:t>
      </w:r>
    </w:p>
    <w:p w14:paraId="74993796">
      <w:pPr>
        <w:pStyle w:val="16"/>
        <w:spacing w:before="31" w:after="31"/>
        <w:ind w:firstLine="480"/>
        <w:rPr>
          <w:szCs w:val="24"/>
        </w:rPr>
      </w:pPr>
    </w:p>
    <w:p w14:paraId="34F66D4E">
      <w:pPr>
        <w:pStyle w:val="16"/>
        <w:spacing w:before="31" w:after="31"/>
        <w:ind w:firstLine="480"/>
        <w:rPr>
          <w:szCs w:val="24"/>
        </w:rPr>
      </w:pPr>
      <w:r>
        <w:rPr>
          <w:szCs w:val="24"/>
        </w:rPr>
        <w:t>(4) Failed Components and Materials</w:t>
      </w:r>
    </w:p>
    <w:p w14:paraId="6CCC0DE5">
      <w:pPr>
        <w:pStyle w:val="16"/>
        <w:spacing w:before="31" w:after="31"/>
        <w:ind w:firstLine="480"/>
        <w:rPr>
          <w:szCs w:val="24"/>
        </w:rPr>
      </w:pPr>
      <w:r>
        <w:rPr>
          <w:szCs w:val="24"/>
        </w:rPr>
        <w:t>The failed component was the wing root joint plate, made of TA15M material. The structure of the joint plate is shown in Figure 7-11.2. After disassembling and inspecting the root joint plate, it was found to have a crack at the first vertical wall and another at the third vertical wall (Figure 7-11.3). The crack at the third vertical wall was 170mm long and penetrated the thickness of the joint plate. The other crack was 20mm long, starting from the bolt hole on one side and extending to both sides, penetrating the joint plate.</w:t>
      </w:r>
    </w:p>
    <w:p w14:paraId="4189EB68">
      <w:pPr>
        <w:pStyle w:val="16"/>
        <w:spacing w:before="31" w:after="31"/>
        <w:ind w:firstLine="482"/>
        <w:jc w:val="center"/>
        <w:rPr>
          <w:b/>
          <w:bCs/>
          <w:szCs w:val="24"/>
        </w:rPr>
      </w:pPr>
      <w:r>
        <w:rPr>
          <w:b/>
          <w:bCs/>
          <w:szCs w:val="24"/>
        </w:rPr>
        <w:t>Figure 7-11.2 Joint plate structure schematic</w:t>
      </w:r>
    </w:p>
    <w:p w14:paraId="4B64E84B">
      <w:pPr>
        <w:pStyle w:val="16"/>
        <w:spacing w:before="31" w:after="31"/>
        <w:ind w:firstLine="482"/>
        <w:jc w:val="center"/>
        <w:rPr>
          <w:b/>
          <w:bCs/>
          <w:szCs w:val="24"/>
        </w:rPr>
      </w:pPr>
      <w:r>
        <w:rPr>
          <w:b/>
          <w:bCs/>
          <w:szCs w:val="24"/>
        </w:rPr>
        <w:t>Figure 7-11.3 Fatigue test crack in the joint plate of the semi-full-scale wing-body combination</w:t>
      </w:r>
    </w:p>
    <w:p w14:paraId="79306287">
      <w:pPr>
        <w:pStyle w:val="16"/>
        <w:spacing w:before="31" w:after="31"/>
        <w:ind w:firstLine="480"/>
        <w:rPr>
          <w:szCs w:val="24"/>
        </w:rPr>
      </w:pPr>
    </w:p>
    <w:p w14:paraId="5040DAB7">
      <w:pPr>
        <w:pStyle w:val="16"/>
        <w:spacing w:before="31" w:after="31"/>
        <w:ind w:firstLine="480"/>
        <w:rPr>
          <w:szCs w:val="24"/>
        </w:rPr>
      </w:pPr>
      <w:r>
        <w:rPr>
          <w:szCs w:val="24"/>
        </w:rPr>
        <w:t>(5) Component Failure Appearance</w:t>
      </w:r>
    </w:p>
    <w:p w14:paraId="63137A1E">
      <w:pPr>
        <w:pStyle w:val="16"/>
        <w:spacing w:before="31" w:after="31"/>
        <w:ind w:firstLine="480"/>
        <w:rPr>
          <w:szCs w:val="24"/>
        </w:rPr>
      </w:pPr>
      <w:r>
        <w:rPr>
          <w:szCs w:val="24"/>
        </w:rPr>
        <w:t>The transverse penetrative crack at the root of the composite lower wing joint plate along the thickness direction is shown in Figure 7-11.4, and the X-ray photo is shown in Figure 7-11.5. It can be seen that the crack has laterally passed through two reinforcing ribs and a bolt hole, with a length of about 170mm, making reinforcement repair impossible, requiring replacement.</w:t>
      </w:r>
    </w:p>
    <w:p w14:paraId="35BA7CA2">
      <w:pPr>
        <w:pStyle w:val="16"/>
        <w:spacing w:before="31" w:after="31"/>
        <w:ind w:firstLine="482"/>
        <w:jc w:val="center"/>
        <w:rPr>
          <w:b/>
          <w:bCs/>
          <w:szCs w:val="24"/>
        </w:rPr>
      </w:pPr>
      <w:r>
        <w:rPr>
          <w:b/>
          <w:bCs/>
          <w:szCs w:val="24"/>
        </w:rPr>
        <w:t>Figure 7-11.4 Side view of the joint plate crack</w:t>
      </w:r>
    </w:p>
    <w:p w14:paraId="5AF9985E">
      <w:pPr>
        <w:pStyle w:val="16"/>
        <w:spacing w:before="31" w:after="31"/>
        <w:ind w:firstLine="482"/>
        <w:jc w:val="center"/>
        <w:rPr>
          <w:b/>
          <w:bCs/>
          <w:szCs w:val="24"/>
        </w:rPr>
      </w:pPr>
      <w:r>
        <w:rPr>
          <w:b/>
          <w:bCs/>
          <w:szCs w:val="24"/>
        </w:rPr>
        <w:t>Figure 7-11.5 X-ray photo of the joint plate crack</w:t>
      </w:r>
    </w:p>
    <w:p w14:paraId="34574091">
      <w:pPr>
        <w:pStyle w:val="16"/>
        <w:spacing w:before="31" w:after="31"/>
        <w:ind w:firstLine="480"/>
        <w:rPr>
          <w:szCs w:val="24"/>
        </w:rPr>
      </w:pPr>
    </w:p>
    <w:p w14:paraId="1254BC2B">
      <w:pPr>
        <w:pStyle w:val="16"/>
        <w:spacing w:before="31" w:after="31"/>
        <w:ind w:firstLine="480"/>
        <w:rPr>
          <w:szCs w:val="24"/>
        </w:rPr>
      </w:pPr>
      <w:r>
        <w:rPr>
          <w:szCs w:val="24"/>
        </w:rPr>
        <w:t>The macroscopic appearance of the crack fracture is shown in Figure 7-11.6. The entire fracture surface is relatively flat. The first crack originates from the root of the circular arc transition zone of the joint plate and radiates outward in the form of radiating lines and band arcs. The second crack starts from one side of the bolt hole and also clearly shows radiating lines and band arcs. Therefore, both cracks are fatigue cracks under cyclic loading.</w:t>
      </w:r>
    </w:p>
    <w:p w14:paraId="7E6C6E0C">
      <w:pPr>
        <w:pStyle w:val="16"/>
        <w:spacing w:before="31" w:after="31"/>
        <w:ind w:firstLine="482"/>
        <w:jc w:val="center"/>
        <w:rPr>
          <w:b/>
          <w:bCs/>
          <w:szCs w:val="24"/>
        </w:rPr>
      </w:pPr>
      <w:r>
        <w:rPr>
          <w:b/>
          <w:bCs/>
          <w:szCs w:val="24"/>
        </w:rPr>
        <w:t>Figure 7-11.6 Macroscopic appearance of the fracture surface</w:t>
      </w:r>
    </w:p>
    <w:p w14:paraId="20C6B048">
      <w:pPr>
        <w:pStyle w:val="16"/>
        <w:spacing w:before="31" w:after="31"/>
        <w:ind w:firstLine="480"/>
        <w:rPr>
          <w:szCs w:val="24"/>
        </w:rPr>
      </w:pPr>
    </w:p>
    <w:p w14:paraId="01657F9E">
      <w:pPr>
        <w:pStyle w:val="16"/>
        <w:spacing w:before="31" w:after="31"/>
        <w:ind w:firstLine="480"/>
        <w:rPr>
          <w:szCs w:val="24"/>
        </w:rPr>
      </w:pPr>
      <w:r>
        <w:rPr>
          <w:szCs w:val="24"/>
        </w:rPr>
        <w:t>The overall appearance of the fracture source area of the first crack is shown in Figure 7-11.7. The source area has severe wear, showing a multi-source characteristic along the root of the circular arc segment, with no obvious defect observed. In the extension area, fatigue band features can be seen, as shown in Figure 7-11.8. Fine fatigue bands are observable at a position about 70mm from the source area, as shown in Figure 7-11.9.</w:t>
      </w:r>
    </w:p>
    <w:p w14:paraId="2DDD927D">
      <w:pPr>
        <w:pStyle w:val="16"/>
        <w:spacing w:before="31" w:after="31"/>
        <w:ind w:firstLine="482"/>
        <w:jc w:val="center"/>
        <w:rPr>
          <w:b/>
          <w:bCs/>
          <w:szCs w:val="24"/>
        </w:rPr>
      </w:pPr>
    </w:p>
    <w:p w14:paraId="284980D5">
      <w:pPr>
        <w:pStyle w:val="16"/>
        <w:spacing w:before="31" w:after="31"/>
        <w:ind w:firstLine="482"/>
        <w:jc w:val="center"/>
        <w:rPr>
          <w:b/>
          <w:bCs/>
          <w:szCs w:val="24"/>
        </w:rPr>
      </w:pPr>
      <w:r>
        <w:rPr>
          <w:b/>
          <w:bCs/>
          <w:szCs w:val="24"/>
        </w:rPr>
        <w:t>Figure 7-11.7 Overall appearance of the source area of the first crack</w:t>
      </w:r>
    </w:p>
    <w:p w14:paraId="010222AB">
      <w:pPr>
        <w:pStyle w:val="16"/>
        <w:spacing w:before="31" w:after="31"/>
        <w:ind w:firstLine="482"/>
        <w:jc w:val="center"/>
        <w:rPr>
          <w:b/>
          <w:bCs/>
          <w:szCs w:val="24"/>
        </w:rPr>
      </w:pPr>
      <w:r>
        <w:rPr>
          <w:b/>
          <w:bCs/>
          <w:szCs w:val="24"/>
        </w:rPr>
        <w:t>Figure 7-11.8 Fatigue band appearance in the extension area of the first crack</w:t>
      </w:r>
    </w:p>
    <w:p w14:paraId="62AE9942">
      <w:pPr>
        <w:pStyle w:val="16"/>
        <w:spacing w:before="31" w:after="31"/>
        <w:ind w:firstLine="482"/>
        <w:jc w:val="center"/>
        <w:rPr>
          <w:b/>
          <w:bCs/>
          <w:szCs w:val="24"/>
        </w:rPr>
      </w:pPr>
      <w:r>
        <w:rPr>
          <w:b/>
          <w:bCs/>
          <w:szCs w:val="24"/>
        </w:rPr>
        <w:t>Figure 7-11.9 Fine fatigue band appearance near the source area of the first crack</w:t>
      </w:r>
    </w:p>
    <w:p w14:paraId="5F3A75E1">
      <w:pPr>
        <w:pStyle w:val="16"/>
        <w:spacing w:before="31" w:after="31"/>
        <w:ind w:firstLine="480"/>
        <w:rPr>
          <w:szCs w:val="24"/>
        </w:rPr>
      </w:pPr>
    </w:p>
    <w:p w14:paraId="60C93112">
      <w:pPr>
        <w:pStyle w:val="16"/>
        <w:spacing w:before="31" w:after="31"/>
        <w:ind w:firstLine="480"/>
        <w:rPr>
          <w:szCs w:val="24"/>
        </w:rPr>
      </w:pPr>
      <w:r>
        <w:rPr>
          <w:szCs w:val="24"/>
        </w:rPr>
        <w:t>The fracture surface of the second crack is shown in Figure 7-11.10. The crack exhibits a multi-point origin feature, with two obvious fatigue source areas and two intersecting fatigue crack extension areas forming a fatigue step feature. The main source area is located at the edge of the outer surface of the bolt hole, severely worn, as shown in Figure 7-11.11. Another source area is located in the middle of the inner wall of the bolt hole, and no defective material is observed in this source area, as shown in Figure 7-11.12. Fine fatigue band features are vaguely visible in the extension area of the fracture, as shown in Figure 7-11.13.</w:t>
      </w:r>
    </w:p>
    <w:p w14:paraId="58C9C093">
      <w:pPr>
        <w:pStyle w:val="16"/>
        <w:spacing w:before="31" w:after="31"/>
        <w:ind w:firstLine="482"/>
        <w:jc w:val="center"/>
        <w:rPr>
          <w:b/>
          <w:bCs/>
          <w:szCs w:val="24"/>
        </w:rPr>
      </w:pPr>
      <w:r>
        <w:rPr>
          <w:b/>
          <w:bCs/>
          <w:szCs w:val="24"/>
        </w:rPr>
        <w:t>Figure 7-11.10 Macroscopic appearance of the fracture surface of the second crack</w:t>
      </w:r>
    </w:p>
    <w:p w14:paraId="112C6CB6">
      <w:pPr>
        <w:pStyle w:val="16"/>
        <w:spacing w:before="31" w:after="31"/>
        <w:ind w:firstLine="482"/>
        <w:jc w:val="center"/>
        <w:rPr>
          <w:b/>
          <w:bCs/>
          <w:szCs w:val="24"/>
        </w:rPr>
      </w:pPr>
      <w:r>
        <w:rPr>
          <w:b/>
          <w:bCs/>
          <w:szCs w:val="24"/>
        </w:rPr>
        <w:t>Figure 7-11.11 Low-magnification appearance of the source area near the outer surface of the bolt hole for the second crack</w:t>
      </w:r>
    </w:p>
    <w:p w14:paraId="436F9790">
      <w:pPr>
        <w:pStyle w:val="16"/>
        <w:spacing w:before="31" w:after="31"/>
        <w:ind w:firstLine="482"/>
        <w:jc w:val="center"/>
        <w:rPr>
          <w:b/>
          <w:bCs/>
          <w:szCs w:val="24"/>
        </w:rPr>
      </w:pPr>
      <w:r>
        <w:rPr>
          <w:b/>
          <w:bCs/>
          <w:szCs w:val="24"/>
        </w:rPr>
        <w:t>Figure 7-11.12 Low-magnification appearance of the source area in the middle of the inner wall of the bolt hole for the second crack</w:t>
      </w:r>
    </w:p>
    <w:p w14:paraId="1151AB39">
      <w:pPr>
        <w:pStyle w:val="16"/>
        <w:spacing w:before="31" w:after="31"/>
        <w:ind w:firstLine="482"/>
        <w:jc w:val="center"/>
        <w:rPr>
          <w:b/>
          <w:bCs/>
          <w:szCs w:val="24"/>
        </w:rPr>
      </w:pPr>
      <w:r>
        <w:rPr>
          <w:b/>
          <w:bCs/>
          <w:szCs w:val="24"/>
        </w:rPr>
        <w:t>Figure 7-11.13 Fatigue band appearance in the extension area of the second crack</w:t>
      </w:r>
    </w:p>
    <w:p w14:paraId="05225C70">
      <w:pPr>
        <w:pStyle w:val="16"/>
        <w:spacing w:before="31" w:after="31"/>
        <w:ind w:firstLine="480"/>
        <w:rPr>
          <w:szCs w:val="24"/>
        </w:rPr>
      </w:pPr>
    </w:p>
    <w:p w14:paraId="1240E70B">
      <w:pPr>
        <w:pStyle w:val="16"/>
        <w:spacing w:before="31" w:after="31"/>
        <w:ind w:firstLine="480"/>
        <w:rPr>
          <w:szCs w:val="24"/>
        </w:rPr>
      </w:pPr>
      <w:r>
        <w:rPr>
          <w:szCs w:val="24"/>
        </w:rPr>
        <w:t>(6) Failure Cause Analysis</w:t>
      </w:r>
    </w:p>
    <w:p w14:paraId="5EEC46DE">
      <w:pPr>
        <w:pStyle w:val="16"/>
        <w:spacing w:before="31" w:after="31"/>
        <w:ind w:firstLine="480"/>
        <w:rPr>
          <w:szCs w:val="24"/>
        </w:rPr>
      </w:pPr>
      <w:r>
        <w:rPr>
          <w:szCs w:val="24"/>
        </w:rPr>
        <w:t>Organizational inspection, chemical composition analysis, and tensile performance tests all indicated that the TA15 material of the joint plate met technical standard requirements. At the initiation site of the second crack, there was a noticeable metal burr on one side of the bolt hole, and there were differences in the surface processing quality of other bolt holes.</w:t>
      </w:r>
    </w:p>
    <w:p w14:paraId="2967A37E">
      <w:pPr>
        <w:pStyle w:val="16"/>
        <w:spacing w:before="31" w:after="31"/>
        <w:ind w:firstLine="480"/>
        <w:rPr>
          <w:szCs w:val="24"/>
        </w:rPr>
      </w:pPr>
    </w:p>
    <w:p w14:paraId="07F7E162">
      <w:pPr>
        <w:pStyle w:val="16"/>
        <w:spacing w:before="31" w:after="31"/>
        <w:ind w:firstLine="480"/>
        <w:rPr>
          <w:szCs w:val="24"/>
        </w:rPr>
      </w:pPr>
      <w:r>
        <w:rPr>
          <w:szCs w:val="24"/>
        </w:rPr>
        <w:t>(7) Impact and Harm Caused</w:t>
      </w:r>
    </w:p>
    <w:p w14:paraId="4B8E2074">
      <w:pPr>
        <w:pStyle w:val="16"/>
        <w:spacing w:before="31" w:after="31"/>
        <w:ind w:firstLine="480"/>
        <w:rPr>
          <w:szCs w:val="24"/>
        </w:rPr>
      </w:pPr>
      <w:r>
        <w:rPr>
          <w:szCs w:val="24"/>
        </w:rPr>
        <w:t>The component design does not meet the requirements for safe aircraft service.</w:t>
      </w:r>
    </w:p>
    <w:p w14:paraId="267FD04B">
      <w:pPr>
        <w:pStyle w:val="16"/>
        <w:spacing w:before="31" w:after="31"/>
        <w:ind w:firstLine="480"/>
        <w:rPr>
          <w:szCs w:val="24"/>
        </w:rPr>
      </w:pPr>
    </w:p>
    <w:p w14:paraId="10669209">
      <w:pPr>
        <w:pStyle w:val="16"/>
        <w:spacing w:before="31" w:after="31"/>
        <w:ind w:firstLine="480"/>
        <w:rPr>
          <w:szCs w:val="24"/>
        </w:rPr>
      </w:pPr>
      <w:r>
        <w:rPr>
          <w:szCs w:val="24"/>
        </w:rPr>
        <w:t>(8) Conclusion and Improvement Measures</w:t>
      </w:r>
    </w:p>
    <w:p w14:paraId="4F6E6F2C">
      <w:pPr>
        <w:pStyle w:val="16"/>
        <w:spacing w:before="31" w:after="31"/>
        <w:ind w:firstLine="0" w:firstLineChars="0"/>
        <w:rPr>
          <w:szCs w:val="24"/>
        </w:rPr>
      </w:pPr>
      <w:r>
        <w:rPr>
          <w:szCs w:val="24"/>
        </w:rPr>
        <w:t>Both cracks are fatigue cracks, and the fundamentally high level of alternating stress is the root cause of crack formation. Stress concentration and poor processing quality of bolt holes exacerbated the generation of fatigue cracks. After detailed design improvements, the full-scale wing-body combination completed fatigue tests equivalent to 1014 flight hours.</w:t>
      </w:r>
    </w:p>
    <w:p w14:paraId="7E2AE60E">
      <w:pPr>
        <w:pStyle w:val="16"/>
        <w:spacing w:before="31" w:after="31"/>
        <w:ind w:firstLine="0" w:firstLineChars="0"/>
        <w:rPr>
          <w:szCs w:val="24"/>
        </w:rPr>
      </w:pPr>
    </w:p>
    <w:p w14:paraId="22794B5A">
      <w:pPr>
        <w:pStyle w:val="16"/>
        <w:spacing w:before="31" w:after="31"/>
        <w:ind w:firstLine="0" w:firstLineChars="0"/>
        <w:rPr>
          <w:b/>
          <w:bCs/>
          <w:szCs w:val="24"/>
        </w:rPr>
      </w:pPr>
      <w:r>
        <w:rPr>
          <w:b/>
          <w:bCs/>
          <w:szCs w:val="24"/>
        </w:rPr>
        <w:t>7.2.12 Case 7-12: Failure Analysis of the Third-Stage Turbine Blades in a Certain Aircraft Engine</w:t>
      </w:r>
    </w:p>
    <w:p w14:paraId="224C8DAC">
      <w:pPr>
        <w:pStyle w:val="16"/>
        <w:spacing w:before="31" w:after="31"/>
        <w:ind w:firstLine="480"/>
        <w:rPr>
          <w:szCs w:val="24"/>
        </w:rPr>
      </w:pPr>
    </w:p>
    <w:p w14:paraId="6DE3BF05">
      <w:pPr>
        <w:pStyle w:val="16"/>
        <w:spacing w:before="31" w:after="31"/>
        <w:ind w:firstLine="480"/>
        <w:rPr>
          <w:szCs w:val="24"/>
        </w:rPr>
      </w:pPr>
      <w:r>
        <w:rPr>
          <w:szCs w:val="24"/>
        </w:rPr>
        <w:t>(1) Case Name</w:t>
      </w:r>
    </w:p>
    <w:p w14:paraId="55242437">
      <w:pPr>
        <w:pStyle w:val="16"/>
        <w:spacing w:before="31" w:after="31"/>
        <w:ind w:firstLine="480"/>
        <w:rPr>
          <w:szCs w:val="24"/>
        </w:rPr>
      </w:pPr>
      <w:r>
        <w:rPr>
          <w:szCs w:val="24"/>
        </w:rPr>
        <w:t>Failure analysis of the third-stage turbine blades in a certain aircraft engine [14].</w:t>
      </w:r>
    </w:p>
    <w:p w14:paraId="668E467E">
      <w:pPr>
        <w:pStyle w:val="16"/>
        <w:spacing w:before="31" w:after="31"/>
        <w:ind w:firstLine="480"/>
        <w:rPr>
          <w:szCs w:val="24"/>
        </w:rPr>
      </w:pPr>
    </w:p>
    <w:p w14:paraId="7B333AEB">
      <w:pPr>
        <w:pStyle w:val="16"/>
        <w:spacing w:before="31" w:after="31"/>
        <w:ind w:firstLine="480"/>
        <w:rPr>
          <w:szCs w:val="24"/>
        </w:rPr>
      </w:pPr>
      <w:r>
        <w:rPr>
          <w:szCs w:val="24"/>
        </w:rPr>
        <w:t>(2) Failure Process Description</w:t>
      </w:r>
    </w:p>
    <w:p w14:paraId="77683FD4">
      <w:pPr>
        <w:pStyle w:val="16"/>
        <w:spacing w:before="31" w:after="31"/>
        <w:ind w:firstLine="480"/>
        <w:rPr>
          <w:szCs w:val="24"/>
        </w:rPr>
      </w:pPr>
      <w:r>
        <w:rPr>
          <w:szCs w:val="24"/>
        </w:rPr>
        <w:t>A certain model of aircraft engine is a long-life turboprop engine currently produced and used in China. The single longest service life of this engine has exceeded 5000 hours. The third-stage turbine blades of this engine have experienced multiple failures during operation. The failure modes of the blades can be classified into two categories: the first category involves surface cracking failure at the bottom R of the 1st, 2nd, and 3rd dovetail slots after long-term use (detected during fluorescent inspection); the second category involves occasional fracture failure of the blades at the 1st dovetail slot and the root extension R during engine operation.</w:t>
      </w:r>
    </w:p>
    <w:p w14:paraId="7565AEF5">
      <w:pPr>
        <w:pStyle w:val="16"/>
        <w:spacing w:before="31" w:after="31"/>
        <w:ind w:firstLine="480"/>
        <w:rPr>
          <w:szCs w:val="24"/>
        </w:rPr>
      </w:pPr>
    </w:p>
    <w:p w14:paraId="58F5F273">
      <w:pPr>
        <w:pStyle w:val="16"/>
        <w:spacing w:before="31" w:after="31"/>
        <w:ind w:firstLine="480"/>
        <w:rPr>
          <w:szCs w:val="24"/>
        </w:rPr>
      </w:pPr>
      <w:r>
        <w:rPr>
          <w:szCs w:val="24"/>
        </w:rPr>
        <w:t>(3) Service Environment</w:t>
      </w:r>
    </w:p>
    <w:p w14:paraId="6E6312F2">
      <w:pPr>
        <w:pStyle w:val="16"/>
        <w:spacing w:before="31" w:after="31"/>
        <w:ind w:firstLine="480"/>
        <w:rPr>
          <w:szCs w:val="24"/>
        </w:rPr>
      </w:pPr>
      <w:r>
        <w:rPr>
          <w:szCs w:val="24"/>
        </w:rPr>
        <w:t>Service environment: High-temperature environment of aircraft engines, with operating temperatures around 500°C, subjected to centrifugal loads, aerodynamic moments, and thermal loads.</w:t>
      </w:r>
    </w:p>
    <w:p w14:paraId="69DAC0B4">
      <w:pPr>
        <w:pStyle w:val="16"/>
        <w:spacing w:before="31" w:after="31"/>
        <w:ind w:firstLine="480"/>
        <w:rPr>
          <w:szCs w:val="24"/>
        </w:rPr>
      </w:pPr>
    </w:p>
    <w:p w14:paraId="081F9DB9">
      <w:pPr>
        <w:pStyle w:val="16"/>
        <w:spacing w:before="31" w:after="31"/>
        <w:ind w:firstLine="480"/>
        <w:rPr>
          <w:szCs w:val="24"/>
        </w:rPr>
      </w:pPr>
      <w:r>
        <w:rPr>
          <w:szCs w:val="24"/>
        </w:rPr>
        <w:t>(4) Failed Components and Materials</w:t>
      </w:r>
    </w:p>
    <w:p w14:paraId="3FF27E00">
      <w:pPr>
        <w:pStyle w:val="16"/>
        <w:spacing w:before="31" w:after="31"/>
        <w:ind w:firstLine="480"/>
        <w:rPr>
          <w:szCs w:val="24"/>
        </w:rPr>
      </w:pPr>
      <w:r>
        <w:rPr>
          <w:szCs w:val="24"/>
        </w:rPr>
        <w:t>The material of the third-stage turbine blades is GH4033 alloy, and the blade structure consists of dovetail slots coupled in halves by left and right blades, with a blade tip wearing a crown.</w:t>
      </w:r>
    </w:p>
    <w:p w14:paraId="54D89DE4">
      <w:pPr>
        <w:pStyle w:val="16"/>
        <w:spacing w:before="31" w:after="31"/>
        <w:ind w:firstLine="480"/>
        <w:rPr>
          <w:szCs w:val="24"/>
        </w:rPr>
      </w:pPr>
    </w:p>
    <w:p w14:paraId="152E1025">
      <w:pPr>
        <w:pStyle w:val="16"/>
        <w:spacing w:before="31" w:after="31"/>
        <w:ind w:firstLine="480"/>
        <w:rPr>
          <w:szCs w:val="24"/>
        </w:rPr>
      </w:pPr>
      <w:r>
        <w:rPr>
          <w:szCs w:val="24"/>
        </w:rPr>
        <w:t>(5) Component Failure Appearance</w:t>
      </w:r>
    </w:p>
    <w:p w14:paraId="232E0687">
      <w:pPr>
        <w:pStyle w:val="16"/>
        <w:spacing w:before="31" w:after="31"/>
        <w:ind w:firstLine="480"/>
        <w:rPr>
          <w:szCs w:val="24"/>
        </w:rPr>
      </w:pPr>
      <w:r>
        <w:rPr>
          <w:szCs w:val="24"/>
        </w:rPr>
        <w:t>The first type of failed blades has been in service for over 4500 hours. Widespread surface cracks of varying lengths are observed at the bottom R of the 1st, 2nd, and 3rd dovetail slots, with the 1st dovetail slot R being particularly severe. Observations show that the cracks originate at the triple crystal boundaries on the blade surface and extend along the boundaries, forming microscopic surface microcracks (generally below 0.1mm in length) (Figure 7-12.1). During subsequent use, these microcracks further extend into macroscopic cracks. When macroscopic cracks are opened for fracture observation, the fracture source region exhibits transgranular characteristics (Figure 7-12.2), and the fracture morphology in the extension area consists of fatigue arcs and shallow, fine dimples (Figure 7-12.3). The crack propagation rate for these blades is generally slow, indicating a creep-fatigue failure mode.</w:t>
      </w:r>
    </w:p>
    <w:p w14:paraId="37BD2D87">
      <w:pPr>
        <w:pStyle w:val="16"/>
        <w:spacing w:before="31" w:after="31"/>
        <w:ind w:firstLine="480"/>
        <w:rPr>
          <w:szCs w:val="24"/>
        </w:rPr>
      </w:pPr>
    </w:p>
    <w:p w14:paraId="6F886EA1">
      <w:pPr>
        <w:pStyle w:val="16"/>
        <w:spacing w:before="31" w:after="31"/>
        <w:ind w:firstLine="0" w:firstLineChars="0"/>
        <w:jc w:val="center"/>
        <w:rPr>
          <w:b/>
          <w:bCs/>
          <w:kern w:val="0"/>
        </w:rPr>
      </w:pPr>
      <w:r>
        <w:rPr>
          <w:b/>
          <w:bCs/>
          <w:szCs w:val="24"/>
        </w:rPr>
        <w:t>Figure 7-12.1 Cracks and voids at the triple crystal boundaries</w:t>
      </w:r>
    </w:p>
    <w:p w14:paraId="6009077A">
      <w:pPr>
        <w:pStyle w:val="16"/>
        <w:spacing w:before="31" w:after="31"/>
        <w:ind w:firstLine="482"/>
        <w:jc w:val="center"/>
        <w:rPr>
          <w:b/>
          <w:bCs/>
          <w:szCs w:val="24"/>
        </w:rPr>
      </w:pPr>
    </w:p>
    <w:p w14:paraId="5570D03A">
      <w:pPr>
        <w:pStyle w:val="16"/>
        <w:spacing w:before="31" w:after="31"/>
        <w:ind w:firstLine="482"/>
        <w:jc w:val="center"/>
        <w:rPr>
          <w:b/>
          <w:bCs/>
          <w:szCs w:val="24"/>
        </w:rPr>
      </w:pPr>
      <w:r>
        <w:rPr>
          <w:b/>
          <w:bCs/>
          <w:szCs w:val="24"/>
        </w:rPr>
        <w:t>Figure 7-12.2 Characteristics of the fracture source area after opening the macroscopic crack</w:t>
      </w:r>
    </w:p>
    <w:p w14:paraId="32745BE6">
      <w:pPr>
        <w:pStyle w:val="16"/>
        <w:spacing w:before="31" w:after="31"/>
        <w:ind w:firstLine="482"/>
        <w:jc w:val="center"/>
        <w:rPr>
          <w:b/>
          <w:bCs/>
          <w:szCs w:val="24"/>
        </w:rPr>
      </w:pPr>
      <w:r>
        <w:rPr>
          <w:b/>
          <w:bCs/>
          <w:szCs w:val="24"/>
        </w:rPr>
        <w:t>Figure 7-12.3 Fatigue arcs and dimples in the fracture extension area</w:t>
      </w:r>
    </w:p>
    <w:p w14:paraId="34F6444C">
      <w:pPr>
        <w:pStyle w:val="16"/>
        <w:spacing w:before="31" w:after="31"/>
        <w:ind w:firstLine="480"/>
        <w:rPr>
          <w:szCs w:val="24"/>
        </w:rPr>
      </w:pPr>
    </w:p>
    <w:p w14:paraId="66A6E4DC">
      <w:pPr>
        <w:pStyle w:val="16"/>
        <w:spacing w:before="31" w:after="31"/>
        <w:ind w:firstLine="480"/>
        <w:rPr>
          <w:szCs w:val="24"/>
        </w:rPr>
      </w:pPr>
      <w:r>
        <w:rPr>
          <w:szCs w:val="24"/>
        </w:rPr>
        <w:t>The second type of failed blades, located on the right side of the dovetail slot (i.e., the right blade), experiences fatigue fracture. Fracture initiates at the corner of the 1st dovetail slot and the root extension R near the exhaust edge (Figure 7-12.4). The instantaneous fracture area on the fracture surface exceeds 50% of the cross-sectional area. The source region of each blade fracture exhibits line sources, clear radiating lines, and pseudo-cleavage facets. No material metallurgical defects are observed in the source area, but there are varying degrees of machining file marks on the source area surface, as shown in Figure 7-12.5. The extension area of each fractured blade exhibits clear fatigue arcs (Figure 7-12.6), and fatigue bands are present between the fatigue arcs (Figure 7-12.7). Therefore, it can be inferred that the failure mode of the blades is a high-low cycle combined fatigue with significant initial stress.</w:t>
      </w:r>
    </w:p>
    <w:p w14:paraId="34C18989">
      <w:pPr>
        <w:pStyle w:val="16"/>
        <w:spacing w:before="31" w:after="31"/>
        <w:ind w:firstLine="482"/>
        <w:jc w:val="center"/>
        <w:rPr>
          <w:b/>
          <w:bCs/>
          <w:szCs w:val="24"/>
        </w:rPr>
      </w:pPr>
      <w:r>
        <w:rPr>
          <w:b/>
          <w:bCs/>
          <w:szCs w:val="24"/>
        </w:rPr>
        <w:t>Figure 7-12.4 Fracture location of the blade</w:t>
      </w:r>
    </w:p>
    <w:p w14:paraId="70175C97">
      <w:pPr>
        <w:pStyle w:val="16"/>
        <w:spacing w:before="31" w:after="31"/>
        <w:ind w:firstLine="482"/>
        <w:jc w:val="center"/>
        <w:rPr>
          <w:b/>
          <w:bCs/>
          <w:szCs w:val="24"/>
        </w:rPr>
      </w:pPr>
      <w:r>
        <w:rPr>
          <w:b/>
          <w:bCs/>
          <w:szCs w:val="24"/>
        </w:rPr>
        <w:t>Figure 7-12.5 Morphology of the source area on the blade fracture surface</w:t>
      </w:r>
    </w:p>
    <w:p w14:paraId="2571D27A">
      <w:pPr>
        <w:pStyle w:val="16"/>
        <w:spacing w:before="31" w:after="31"/>
        <w:ind w:firstLine="482"/>
        <w:jc w:val="center"/>
        <w:rPr>
          <w:b/>
          <w:bCs/>
          <w:szCs w:val="24"/>
        </w:rPr>
      </w:pPr>
      <w:r>
        <w:rPr>
          <w:b/>
          <w:bCs/>
          <w:szCs w:val="24"/>
        </w:rPr>
        <w:t>Figure 7-12.6 Fatigue arcs in the fracture extension area</w:t>
      </w:r>
    </w:p>
    <w:p w14:paraId="2B5891CF">
      <w:pPr>
        <w:pStyle w:val="16"/>
        <w:spacing w:before="31" w:after="31"/>
        <w:ind w:firstLine="482"/>
        <w:jc w:val="center"/>
        <w:rPr>
          <w:b/>
          <w:bCs/>
          <w:szCs w:val="24"/>
        </w:rPr>
      </w:pPr>
      <w:r>
        <w:rPr>
          <w:b/>
          <w:bCs/>
          <w:szCs w:val="24"/>
        </w:rPr>
        <w:t>Figure 7-12.7 Fatigue bands between fatigue arcs</w:t>
      </w:r>
    </w:p>
    <w:p w14:paraId="7FDE7987">
      <w:pPr>
        <w:pStyle w:val="16"/>
        <w:spacing w:before="31" w:after="31"/>
        <w:ind w:firstLine="480"/>
        <w:rPr>
          <w:szCs w:val="24"/>
        </w:rPr>
      </w:pPr>
    </w:p>
    <w:p w14:paraId="14E92D40">
      <w:pPr>
        <w:pStyle w:val="16"/>
        <w:spacing w:before="31" w:after="31"/>
        <w:ind w:firstLine="480"/>
        <w:rPr>
          <w:szCs w:val="24"/>
        </w:rPr>
      </w:pPr>
      <w:r>
        <w:rPr>
          <w:szCs w:val="24"/>
        </w:rPr>
        <w:t>(6) Failure Cause Analysis</w:t>
      </w:r>
    </w:p>
    <w:p w14:paraId="5079B7CE">
      <w:pPr>
        <w:pStyle w:val="16"/>
        <w:spacing w:before="31" w:after="31"/>
        <w:ind w:firstLine="480"/>
        <w:rPr>
          <w:szCs w:val="24"/>
        </w:rPr>
      </w:pPr>
      <w:r>
        <w:rPr>
          <w:szCs w:val="24"/>
        </w:rPr>
        <w:t>Stress analysis indicates that the blades comply with strength design specifications. The blade material composition, hardness, and grain size meet technical requirements.</w:t>
      </w:r>
    </w:p>
    <w:p w14:paraId="688D4595">
      <w:pPr>
        <w:pStyle w:val="16"/>
        <w:spacing w:before="31" w:after="31"/>
        <w:ind w:firstLine="480"/>
        <w:rPr>
          <w:szCs w:val="24"/>
        </w:rPr>
      </w:pPr>
      <w:r>
        <w:rPr>
          <w:szCs w:val="24"/>
        </w:rPr>
        <w:t>The working temperature of the dovetail head of the blade is around 500°C, providing conditions for creep and fatigue interaction. Under normal conditions, the blade mainly bears centrifugal loads, aerodynamic moments, and thermal loads. During the engine start-run-stop process, loads undergo cyclic variations, creating conditions for creep and fatigue interaction. The creep-fatigue failure observed in the third-stage turbine blades after 4500 hours of use is mainly related to the low yield strength and insufficient grain boundary strengthening ability of GH4033 alloy, which cannot meet the requirements for the engine's long service life.</w:t>
      </w:r>
    </w:p>
    <w:p w14:paraId="0EB3469D">
      <w:pPr>
        <w:pStyle w:val="16"/>
        <w:spacing w:before="31" w:after="31"/>
        <w:ind w:firstLine="480"/>
        <w:rPr>
          <w:szCs w:val="24"/>
        </w:rPr>
      </w:pPr>
      <w:r>
        <w:rPr>
          <w:szCs w:val="24"/>
        </w:rPr>
        <w:t>The high-low cycle combined fatigue fracture failure of the third-stage turbine blades may be related to factors such as excessive clearance between individual adjacent blades, causing an increase in blade amplitude. This leads to high vibration bending stress at the corner of the 1st dovetail slot and the root extension R, coupled with the presence of deep machining marks at the R corner, increasing the stress concentration factor.</w:t>
      </w:r>
    </w:p>
    <w:p w14:paraId="0EA8B494">
      <w:pPr>
        <w:pStyle w:val="16"/>
        <w:spacing w:before="31" w:after="31"/>
        <w:ind w:firstLine="480"/>
        <w:rPr>
          <w:szCs w:val="24"/>
        </w:rPr>
      </w:pPr>
    </w:p>
    <w:p w14:paraId="79244670">
      <w:pPr>
        <w:pStyle w:val="16"/>
        <w:spacing w:before="31" w:after="31"/>
        <w:ind w:firstLine="480"/>
        <w:rPr>
          <w:szCs w:val="24"/>
        </w:rPr>
      </w:pPr>
      <w:r>
        <w:rPr>
          <w:szCs w:val="24"/>
        </w:rPr>
        <w:t>(7) Impact and Harm Caused</w:t>
      </w:r>
    </w:p>
    <w:p w14:paraId="7FAF2B1F">
      <w:pPr>
        <w:pStyle w:val="16"/>
        <w:spacing w:before="31" w:after="31"/>
        <w:ind w:firstLine="480"/>
        <w:rPr>
          <w:szCs w:val="24"/>
        </w:rPr>
      </w:pPr>
      <w:r>
        <w:rPr>
          <w:szCs w:val="24"/>
        </w:rPr>
        <w:t>Affects the engine's service life and reliability.</w:t>
      </w:r>
    </w:p>
    <w:p w14:paraId="7E164EF3">
      <w:pPr>
        <w:pStyle w:val="16"/>
        <w:spacing w:before="31" w:after="31"/>
        <w:ind w:firstLine="480"/>
        <w:rPr>
          <w:szCs w:val="24"/>
        </w:rPr>
      </w:pPr>
    </w:p>
    <w:p w14:paraId="38DFC8DF">
      <w:pPr>
        <w:pStyle w:val="16"/>
        <w:spacing w:before="31" w:after="31"/>
        <w:ind w:firstLine="480"/>
        <w:rPr>
          <w:szCs w:val="24"/>
        </w:rPr>
      </w:pPr>
      <w:r>
        <w:rPr>
          <w:szCs w:val="24"/>
        </w:rPr>
        <w:t>(8) Conclusion and Improvement Measures</w:t>
      </w:r>
    </w:p>
    <w:p w14:paraId="0053EFD4">
      <w:pPr>
        <w:pStyle w:val="16"/>
        <w:spacing w:before="31" w:after="31"/>
        <w:ind w:firstLine="0" w:firstLineChars="0"/>
        <w:rPr>
          <w:szCs w:val="24"/>
        </w:rPr>
      </w:pPr>
      <w:r>
        <w:rPr>
          <w:szCs w:val="24"/>
        </w:rPr>
        <w:t>The main cause of creep-fatigue crack formation is the low yield strength and insufficient grain boundary strengthening ability of GH4033 alloy, which cannot meet the long service life requirements of the engine. The high-low cycle combined fatigue fracture failure is related to the excessive clearance between individual adjacent blades, resulting in high vibration bending stress at the 1st dovetail slot and root extension R corner. It is recommended to replace GH4033 alloy with GH4133 alloy for the manufacture of the third-stage turbine blades, strictly control the clearances between blade crowns, and improve the machining quality at the 1st dovetail slot and root extension R corner.</w:t>
      </w:r>
    </w:p>
    <w:p w14:paraId="2BAF5FCF">
      <w:pPr>
        <w:pStyle w:val="16"/>
        <w:spacing w:before="31" w:after="31"/>
        <w:ind w:firstLine="0" w:firstLineChars="0"/>
        <w:rPr>
          <w:b/>
          <w:bCs/>
          <w:szCs w:val="24"/>
        </w:rPr>
      </w:pPr>
      <w:r>
        <w:rPr>
          <w:b/>
          <w:bCs/>
          <w:szCs w:val="24"/>
        </w:rPr>
        <w:t>7.2.13 Case 7-13: Aircraft Horizontal Stabilizer Main Shaft Fracture Failure</w:t>
      </w:r>
    </w:p>
    <w:p w14:paraId="01FB5E85">
      <w:pPr>
        <w:pStyle w:val="16"/>
        <w:spacing w:before="31" w:after="31"/>
        <w:ind w:firstLine="480"/>
        <w:rPr>
          <w:szCs w:val="24"/>
        </w:rPr>
      </w:pPr>
    </w:p>
    <w:p w14:paraId="2365D163">
      <w:pPr>
        <w:pStyle w:val="16"/>
        <w:spacing w:before="31" w:after="31"/>
        <w:ind w:firstLine="480"/>
        <w:rPr>
          <w:szCs w:val="24"/>
        </w:rPr>
      </w:pPr>
      <w:r>
        <w:rPr>
          <w:szCs w:val="24"/>
        </w:rPr>
        <w:t>(1) Case Name</w:t>
      </w:r>
    </w:p>
    <w:p w14:paraId="141E77DF">
      <w:pPr>
        <w:pStyle w:val="16"/>
        <w:spacing w:before="31" w:after="31"/>
        <w:ind w:firstLine="480"/>
        <w:rPr>
          <w:szCs w:val="24"/>
        </w:rPr>
      </w:pPr>
      <w:r>
        <w:rPr>
          <w:szCs w:val="24"/>
        </w:rPr>
        <w:t>Aircraft horizontal stabilizer main shaft fracture failure [66].</w:t>
      </w:r>
    </w:p>
    <w:p w14:paraId="6FE95344">
      <w:pPr>
        <w:pStyle w:val="16"/>
        <w:spacing w:before="31" w:after="31"/>
        <w:ind w:firstLine="480"/>
        <w:rPr>
          <w:szCs w:val="24"/>
        </w:rPr>
      </w:pPr>
    </w:p>
    <w:p w14:paraId="652C4CD0">
      <w:pPr>
        <w:pStyle w:val="16"/>
        <w:spacing w:before="31" w:after="31"/>
        <w:ind w:firstLine="480"/>
        <w:rPr>
          <w:szCs w:val="24"/>
        </w:rPr>
      </w:pPr>
      <w:r>
        <w:rPr>
          <w:szCs w:val="24"/>
        </w:rPr>
        <w:t>(2) Failure Process Description</w:t>
      </w:r>
    </w:p>
    <w:p w14:paraId="6F8BC42A">
      <w:pPr>
        <w:pStyle w:val="16"/>
        <w:spacing w:before="31" w:after="31"/>
        <w:ind w:firstLine="480"/>
        <w:rPr>
          <w:szCs w:val="24"/>
        </w:rPr>
      </w:pPr>
      <w:r>
        <w:rPr>
          <w:szCs w:val="24"/>
        </w:rPr>
        <w:t>The horizontal stabilizer main shaft is a crucial structural component connecting the aircraft fuselage to the horizontal stabilizer. In a test, the main shaft of a certain aircraft completely fractured between the conical end and the cylinder. The fracture occurred at the positioning weld points between the cylinder and the liner (Figure 7-13.1, Figure 7-13.2). There are four positioning weld points between the cylinder and the liner, located at the 12 o'clock, 3 o'clock, 6 o'clock, and 9 o'clock positions on the inner wall of the cylinder. These weld points serve to position the conical end and the cylinder during the manufacturing process of the main shaft, facilitating the final welding between the conical end and the cylinder. The material of the cylinder is 30CrMnSiNi2A steel, with an outer diameter of 123 mm. The positioning weld points use 08A steel welding wire for manual welding. The fractured main shaft's operational time is far less than its design life.</w:t>
      </w:r>
    </w:p>
    <w:p w14:paraId="4F183F29">
      <w:pPr>
        <w:pStyle w:val="16"/>
        <w:spacing w:before="31" w:after="31"/>
        <w:ind w:firstLine="482"/>
        <w:jc w:val="center"/>
        <w:rPr>
          <w:b/>
          <w:bCs/>
          <w:szCs w:val="24"/>
        </w:rPr>
      </w:pPr>
      <w:r>
        <w:rPr>
          <w:b/>
          <w:bCs/>
          <w:szCs w:val="24"/>
        </w:rPr>
        <w:t>Figure 7-13.1 Macroscopic appearance of the fractured main shaft</w:t>
      </w:r>
    </w:p>
    <w:p w14:paraId="47B6B3C8">
      <w:pPr>
        <w:pStyle w:val="16"/>
        <w:spacing w:before="31" w:after="31"/>
        <w:ind w:firstLine="482"/>
        <w:jc w:val="center"/>
        <w:rPr>
          <w:b/>
          <w:bCs/>
          <w:szCs w:val="24"/>
        </w:rPr>
      </w:pPr>
      <w:r>
        <w:rPr>
          <w:b/>
          <w:bCs/>
          <w:szCs w:val="24"/>
        </w:rPr>
        <w:t>Figure 7-13.2 Conical end morphology of the fractured main shaft</w:t>
      </w:r>
    </w:p>
    <w:p w14:paraId="471BEA6E">
      <w:pPr>
        <w:pStyle w:val="16"/>
        <w:spacing w:before="31" w:after="31"/>
        <w:ind w:firstLine="480"/>
        <w:rPr>
          <w:szCs w:val="24"/>
        </w:rPr>
      </w:pPr>
    </w:p>
    <w:p w14:paraId="14FD5195">
      <w:pPr>
        <w:pStyle w:val="16"/>
        <w:spacing w:before="31" w:after="31"/>
        <w:ind w:firstLine="480"/>
        <w:rPr>
          <w:szCs w:val="24"/>
        </w:rPr>
      </w:pPr>
      <w:r>
        <w:rPr>
          <w:szCs w:val="24"/>
        </w:rPr>
        <w:t>(3) Service Environment</w:t>
      </w:r>
    </w:p>
    <w:p w14:paraId="552F8FE1">
      <w:pPr>
        <w:pStyle w:val="16"/>
        <w:spacing w:before="31" w:after="31"/>
        <w:ind w:firstLine="480"/>
        <w:rPr>
          <w:szCs w:val="24"/>
        </w:rPr>
      </w:pPr>
      <w:r>
        <w:rPr>
          <w:szCs w:val="24"/>
        </w:rPr>
        <w:t>Natural atmospheric environment.</w:t>
      </w:r>
    </w:p>
    <w:p w14:paraId="1CAF80E9">
      <w:pPr>
        <w:pStyle w:val="16"/>
        <w:spacing w:before="31" w:after="31"/>
        <w:ind w:firstLine="480"/>
        <w:rPr>
          <w:szCs w:val="24"/>
        </w:rPr>
      </w:pPr>
    </w:p>
    <w:p w14:paraId="13F119C7">
      <w:pPr>
        <w:pStyle w:val="16"/>
        <w:spacing w:before="31" w:after="31"/>
        <w:ind w:firstLine="480"/>
        <w:rPr>
          <w:szCs w:val="24"/>
        </w:rPr>
      </w:pPr>
      <w:r>
        <w:rPr>
          <w:szCs w:val="24"/>
        </w:rPr>
        <w:t>(4) Failed Components and Materials</w:t>
      </w:r>
    </w:p>
    <w:p w14:paraId="2376A470">
      <w:pPr>
        <w:pStyle w:val="16"/>
        <w:spacing w:before="31" w:after="31"/>
        <w:ind w:firstLine="480"/>
        <w:rPr>
          <w:szCs w:val="24"/>
        </w:rPr>
      </w:pPr>
      <w:r>
        <w:rPr>
          <w:szCs w:val="24"/>
        </w:rPr>
        <w:t>Aircraft horizontal stabilizer main shaft, cylinder material is 30CrMnSiNi2A steel, welding material is 08A steel.</w:t>
      </w:r>
    </w:p>
    <w:p w14:paraId="198F188F">
      <w:pPr>
        <w:pStyle w:val="16"/>
        <w:spacing w:before="31" w:after="31"/>
        <w:ind w:firstLine="480"/>
        <w:rPr>
          <w:szCs w:val="24"/>
        </w:rPr>
      </w:pPr>
    </w:p>
    <w:p w14:paraId="21ADDE73">
      <w:pPr>
        <w:pStyle w:val="16"/>
        <w:spacing w:before="31" w:after="31"/>
        <w:ind w:firstLine="480"/>
        <w:rPr>
          <w:szCs w:val="24"/>
        </w:rPr>
      </w:pPr>
      <w:r>
        <w:rPr>
          <w:szCs w:val="24"/>
        </w:rPr>
        <w:t>(5) Component Failure Appearance</w:t>
      </w:r>
    </w:p>
    <w:p w14:paraId="263B939B">
      <w:pPr>
        <w:pStyle w:val="16"/>
        <w:spacing w:before="31" w:after="31"/>
        <w:ind w:firstLine="480"/>
        <w:rPr>
          <w:szCs w:val="24"/>
        </w:rPr>
      </w:pPr>
      <w:r>
        <w:rPr>
          <w:szCs w:val="24"/>
        </w:rPr>
        <w:t>The main shaft fracture reveals two large and one small fatigue zones. The two larger fatigue zones originate from two weld points at the 12 o'clock and 6 o'clock positions, extending from the inner wall of the cylinder to the outer surface and both sides (Figure 7-13.1, 7-13.2). These two fatigue zones have penetrated the cylinder. The large fatigue zone at the 12 o'clock position is approximately 95 mm long, exhibiting visible fatigue arc characteristics, with severe abrasions near the fracture surface. The fatigue zone at the 6 o'clock position is approximately 65 mm long, with a central area of about 40 mm turning black, and severe abrasions on the fracture surface. The small fatigue zone originates from the positioning weld point at the 3 o'clock position, extending from the inner wall to the outer surface, with dimensions of approximately 3 mm × 1.7 mm. The total area of the three fatigue zones accounts for about 40% of the fracture area, and the rest of the fracture exhibits a 45° slanting cut.</w:t>
      </w:r>
    </w:p>
    <w:p w14:paraId="7E3FA050">
      <w:pPr>
        <w:pStyle w:val="16"/>
        <w:spacing w:before="31" w:after="31"/>
        <w:ind w:firstLine="482"/>
        <w:jc w:val="center"/>
        <w:rPr>
          <w:b/>
          <w:bCs/>
          <w:szCs w:val="24"/>
        </w:rPr>
      </w:pPr>
      <w:r>
        <w:rPr>
          <w:b/>
          <w:bCs/>
          <w:szCs w:val="24"/>
        </w:rPr>
        <w:t>Figure 7-13.2 Fatigue cracks originating from the positioning weld point</w:t>
      </w:r>
    </w:p>
    <w:p w14:paraId="69F60968">
      <w:pPr>
        <w:pStyle w:val="16"/>
        <w:spacing w:before="31" w:after="31"/>
        <w:ind w:firstLine="480"/>
        <w:rPr>
          <w:szCs w:val="24"/>
        </w:rPr>
      </w:pPr>
    </w:p>
    <w:p w14:paraId="1ED3CDCC">
      <w:pPr>
        <w:pStyle w:val="16"/>
        <w:spacing w:before="31" w:after="31"/>
        <w:ind w:firstLine="480"/>
        <w:rPr>
          <w:szCs w:val="24"/>
        </w:rPr>
      </w:pPr>
      <w:r>
        <w:rPr>
          <w:szCs w:val="24"/>
        </w:rPr>
        <w:t>Microscopic examination of the fracture surface reveals similar characteristics in all three fatigue zones. Most of the fatigue fracture surfaces are covered with corrosion products. Energy spectrum analysis shows that, in addition to the base elements, the corrosion products mainly contain oxygen (Figure 7-13.3). Fatigue cracks originate from the root of the positioning weld point, and corrosion pits and corrosion products are observed near the source area (Figure 7-13.4). The composition of the corrosion products in the source area is the same as that on the fracture surface. The fracture surface near the source area exhibits transgranular characteristics (Figure 7-13.5). During the crack propagation process, transgranular and fatigue bands alternate (Figure 7-13.6), accompanied by a large number of secondary cracks.</w:t>
      </w:r>
    </w:p>
    <w:p w14:paraId="3E8ADDFB">
      <w:pPr>
        <w:pStyle w:val="16"/>
        <w:spacing w:before="31" w:after="31"/>
        <w:ind w:firstLine="480"/>
        <w:rPr>
          <w:szCs w:val="24"/>
        </w:rPr>
      </w:pPr>
    </w:p>
    <w:p w14:paraId="7072BBF9">
      <w:pPr>
        <w:pStyle w:val="16"/>
        <w:spacing w:before="31" w:after="31"/>
        <w:ind w:firstLine="480"/>
        <w:rPr>
          <w:szCs w:val="24"/>
        </w:rPr>
      </w:pPr>
      <w:r>
        <w:rPr>
          <w:szCs w:val="24"/>
        </w:rPr>
        <w:t>(6) Failure Cause Analysis</w:t>
      </w:r>
    </w:p>
    <w:p w14:paraId="7CA23ED5">
      <w:pPr>
        <w:pStyle w:val="16"/>
        <w:spacing w:before="31" w:after="31"/>
        <w:ind w:firstLine="480"/>
        <w:rPr>
          <w:szCs w:val="24"/>
        </w:rPr>
      </w:pPr>
      <w:r>
        <w:rPr>
          <w:szCs w:val="24"/>
        </w:rPr>
        <w:t>Metallographic samples were taken at the secondary fatigue source area for inspection of the weld seam structure (Figure 7-13.7, Figure 7-13.8). The welded area did not form a typical columnar structure but mainly consisted of equiaxed crystals, predominantly composed of ferrite and a small amount of pearlite, similar to the structure of 08A steel. The material of the horizontal stabilizer main shaft is 30CrMnSiNi2A steel, with the microstructure mainly consisting of tempered martensite, lower bainite, and a small amount of residual austenite during its operational state (Figure 7-13.9). It can be seen that there is a significant difference in the metallographic structure, composition, and hardness between the weld points and the base material.</w:t>
      </w:r>
    </w:p>
    <w:p w14:paraId="0948C0D9">
      <w:pPr>
        <w:pStyle w:val="16"/>
        <w:spacing w:before="31" w:after="31"/>
        <w:ind w:firstLine="482"/>
        <w:jc w:val="center"/>
        <w:rPr>
          <w:b/>
          <w:bCs/>
          <w:szCs w:val="24"/>
        </w:rPr>
      </w:pPr>
      <w:r>
        <w:rPr>
          <w:b/>
          <w:bCs/>
          <w:szCs w:val="24"/>
        </w:rPr>
        <w:t>Figure 7-13.3 Energy spectrum analysis of corrosion products on the fracture surface</w:t>
      </w:r>
    </w:p>
    <w:p w14:paraId="6F674F5F">
      <w:pPr>
        <w:pStyle w:val="16"/>
        <w:spacing w:before="31" w:after="31"/>
        <w:ind w:firstLine="482"/>
        <w:jc w:val="center"/>
        <w:rPr>
          <w:b/>
          <w:bCs/>
          <w:szCs w:val="24"/>
        </w:rPr>
      </w:pPr>
      <w:r>
        <w:rPr>
          <w:b/>
          <w:bCs/>
          <w:szCs w:val="24"/>
        </w:rPr>
        <w:t>Figure 7-13.4 Corrosion products covering the fatigue source area</w:t>
      </w:r>
    </w:p>
    <w:p w14:paraId="2A3A75B3">
      <w:pPr>
        <w:pStyle w:val="16"/>
        <w:spacing w:before="31" w:after="31"/>
        <w:ind w:firstLine="482"/>
        <w:jc w:val="center"/>
        <w:rPr>
          <w:b/>
          <w:bCs/>
          <w:szCs w:val="24"/>
        </w:rPr>
      </w:pPr>
      <w:r>
        <w:rPr>
          <w:b/>
          <w:bCs/>
          <w:szCs w:val="24"/>
        </w:rPr>
        <w:t>Figure 7-13.5 Transgranular fracture characteristics on the fracture surface</w:t>
      </w:r>
    </w:p>
    <w:p w14:paraId="744FF2E2">
      <w:pPr>
        <w:pStyle w:val="16"/>
        <w:spacing w:before="31" w:after="31"/>
        <w:ind w:firstLine="482"/>
        <w:jc w:val="center"/>
        <w:rPr>
          <w:b/>
          <w:bCs/>
          <w:szCs w:val="24"/>
        </w:rPr>
      </w:pPr>
      <w:r>
        <w:rPr>
          <w:b/>
          <w:bCs/>
          <w:szCs w:val="24"/>
        </w:rPr>
        <w:t>Figure 7-13.6 Fracture characteristics with alternating transgranular and fatigue bands</w:t>
      </w:r>
    </w:p>
    <w:p w14:paraId="53CD6953">
      <w:pPr>
        <w:pStyle w:val="16"/>
        <w:spacing w:before="31" w:after="31"/>
        <w:ind w:firstLine="482"/>
        <w:jc w:val="center"/>
        <w:rPr>
          <w:b/>
          <w:bCs/>
          <w:szCs w:val="24"/>
        </w:rPr>
      </w:pPr>
      <w:r>
        <w:rPr>
          <w:b/>
          <w:bCs/>
          <w:szCs w:val="24"/>
        </w:rPr>
        <w:t>Figure 7-13.7 Low-magnification structure of the weld point profile</w:t>
      </w:r>
    </w:p>
    <w:p w14:paraId="7F666809">
      <w:pPr>
        <w:pStyle w:val="16"/>
        <w:spacing w:before="31" w:after="31"/>
        <w:ind w:firstLine="482"/>
        <w:jc w:val="center"/>
        <w:rPr>
          <w:b/>
          <w:bCs/>
          <w:szCs w:val="24"/>
        </w:rPr>
      </w:pPr>
      <w:r>
        <w:rPr>
          <w:b/>
          <w:bCs/>
          <w:szCs w:val="24"/>
        </w:rPr>
        <w:t>Figure 7-13.8 Metallographic structure of the welded area</w:t>
      </w:r>
    </w:p>
    <w:p w14:paraId="49705F80">
      <w:pPr>
        <w:pStyle w:val="16"/>
        <w:spacing w:before="31" w:after="31"/>
        <w:ind w:firstLine="482"/>
        <w:jc w:val="center"/>
        <w:rPr>
          <w:b/>
          <w:bCs/>
          <w:szCs w:val="24"/>
        </w:rPr>
      </w:pPr>
      <w:r>
        <w:rPr>
          <w:b/>
          <w:bCs/>
          <w:szCs w:val="24"/>
        </w:rPr>
        <w:t>Figure 7-13.9 Metallographic structure of the cylinder</w:t>
      </w:r>
    </w:p>
    <w:p w14:paraId="770C9873">
      <w:pPr>
        <w:pStyle w:val="16"/>
        <w:spacing w:before="31" w:after="31"/>
        <w:ind w:firstLine="480"/>
        <w:rPr>
          <w:szCs w:val="24"/>
        </w:rPr>
      </w:pPr>
    </w:p>
    <w:p w14:paraId="394163A5">
      <w:pPr>
        <w:pStyle w:val="16"/>
        <w:spacing w:before="31" w:after="31"/>
        <w:ind w:firstLine="480"/>
        <w:rPr>
          <w:szCs w:val="24"/>
        </w:rPr>
      </w:pPr>
      <w:r>
        <w:rPr>
          <w:szCs w:val="24"/>
        </w:rPr>
        <w:t>Microhardness measurements were performed on both the weld points and the cylinder (Table 7-4). The results indicate that the hardness of the weld points is close to 08A steel and significantly lower than the hardness of the cylinder.</w:t>
      </w:r>
    </w:p>
    <w:p w14:paraId="1C989220">
      <w:pPr>
        <w:pStyle w:val="16"/>
        <w:spacing w:before="31" w:after="31"/>
        <w:ind w:firstLine="480"/>
        <w:rPr>
          <w:szCs w:val="24"/>
        </w:rPr>
      </w:pPr>
    </w:p>
    <w:p w14:paraId="242A9FA8">
      <w:pPr>
        <w:pStyle w:val="16"/>
        <w:spacing w:before="31" w:after="31"/>
        <w:ind w:firstLine="480"/>
        <w:rPr>
          <w:szCs w:val="24"/>
        </w:rPr>
      </w:pPr>
      <w:r>
        <w:rPr>
          <w:szCs w:val="24"/>
        </w:rPr>
        <w:t>Table 7-4 Hardness measurement results of the weld points and the cylinder in the main shaft fracture source area</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0187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C067DE4">
            <w:pPr>
              <w:pStyle w:val="16"/>
              <w:spacing w:before="31" w:after="31"/>
              <w:ind w:firstLine="0" w:firstLineChars="0"/>
              <w:rPr>
                <w:szCs w:val="24"/>
              </w:rPr>
            </w:pPr>
          </w:p>
        </w:tc>
      </w:tr>
      <w:tr w14:paraId="4623E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5B25998">
            <w:pPr>
              <w:pStyle w:val="16"/>
              <w:spacing w:before="31" w:after="31"/>
              <w:ind w:firstLine="0" w:firstLineChars="0"/>
              <w:rPr>
                <w:szCs w:val="24"/>
              </w:rPr>
            </w:pPr>
            <w:r>
              <w:rPr>
                <w:szCs w:val="24"/>
              </w:rPr>
              <w:t>Location/Grade</w:t>
            </w:r>
            <w:r>
              <w:rPr>
                <w:szCs w:val="24"/>
              </w:rPr>
              <w:tab/>
            </w:r>
            <w:r>
              <w:rPr>
                <w:szCs w:val="24"/>
              </w:rPr>
              <w:t>HV0.3</w:t>
            </w:r>
            <w:r>
              <w:rPr>
                <w:szCs w:val="24"/>
              </w:rPr>
              <w:tab/>
            </w:r>
            <w:r>
              <w:rPr>
                <w:szCs w:val="24"/>
              </w:rPr>
              <w:t>HRC</w:t>
            </w:r>
            <w:r>
              <w:rPr>
                <w:szCs w:val="24"/>
              </w:rPr>
              <w:tab/>
            </w:r>
            <w:r>
              <w:rPr>
                <w:szCs w:val="24"/>
              </w:rPr>
              <w:t>HBS</w:t>
            </w:r>
          </w:p>
        </w:tc>
      </w:tr>
      <w:tr w14:paraId="6CD58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AEBA2E8">
            <w:pPr>
              <w:pStyle w:val="16"/>
              <w:spacing w:before="31" w:after="31"/>
              <w:ind w:firstLine="0" w:firstLineChars="0"/>
              <w:rPr>
                <w:szCs w:val="24"/>
              </w:rPr>
            </w:pPr>
            <w:r>
              <w:rPr>
                <w:szCs w:val="24"/>
              </w:rPr>
              <w:t>Weld Points</w:t>
            </w:r>
            <w:r>
              <w:rPr>
                <w:szCs w:val="24"/>
              </w:rPr>
              <w:tab/>
            </w:r>
            <w:r>
              <w:rPr>
                <w:szCs w:val="24"/>
              </w:rPr>
              <w:t>177.5</w:t>
            </w:r>
            <w:r>
              <w:rPr>
                <w:szCs w:val="24"/>
              </w:rPr>
              <w:tab/>
            </w:r>
            <w:r>
              <w:rPr>
                <w:szCs w:val="24"/>
              </w:rPr>
              <w:t>-</w:t>
            </w:r>
            <w:r>
              <w:rPr>
                <w:szCs w:val="24"/>
              </w:rPr>
              <w:tab/>
            </w:r>
            <w:r>
              <w:rPr>
                <w:szCs w:val="24"/>
              </w:rPr>
              <w:t>169</w:t>
            </w:r>
          </w:p>
        </w:tc>
      </w:tr>
      <w:tr w14:paraId="16EF8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6DDD2DE">
            <w:pPr>
              <w:pStyle w:val="16"/>
              <w:spacing w:before="31" w:after="31"/>
              <w:ind w:firstLine="0" w:firstLineChars="0"/>
              <w:rPr>
                <w:szCs w:val="24"/>
              </w:rPr>
            </w:pPr>
            <w:r>
              <w:rPr>
                <w:szCs w:val="24"/>
              </w:rPr>
              <w:t>Cylinder</w:t>
            </w:r>
            <w:r>
              <w:rPr>
                <w:szCs w:val="24"/>
              </w:rPr>
              <w:tab/>
            </w:r>
            <w:r>
              <w:rPr>
                <w:szCs w:val="24"/>
              </w:rPr>
              <w:t>546.2</w:t>
            </w:r>
            <w:r>
              <w:rPr>
                <w:szCs w:val="24"/>
              </w:rPr>
              <w:tab/>
            </w:r>
            <w:r>
              <w:rPr>
                <w:szCs w:val="24"/>
              </w:rPr>
              <w:t>52.1</w:t>
            </w:r>
            <w:r>
              <w:rPr>
                <w:szCs w:val="24"/>
              </w:rPr>
              <w:tab/>
            </w:r>
            <w:r>
              <w:rPr>
                <w:szCs w:val="24"/>
              </w:rPr>
              <w:t>512</w:t>
            </w:r>
          </w:p>
        </w:tc>
      </w:tr>
      <w:tr w14:paraId="65ECD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D70A813">
            <w:pPr>
              <w:pStyle w:val="16"/>
              <w:spacing w:before="31" w:after="31"/>
              <w:ind w:firstLine="0" w:firstLineChars="0"/>
              <w:rPr>
                <w:rFonts w:hint="eastAsia"/>
                <w:szCs w:val="24"/>
              </w:rPr>
            </w:pPr>
            <w:r>
              <w:rPr>
                <w:rFonts w:hint="eastAsia"/>
                <w:szCs w:val="24"/>
              </w:rPr>
              <w:t>08A Steel</w:t>
            </w:r>
            <w:r>
              <w:rPr>
                <w:rFonts w:hint="eastAsia"/>
                <w:szCs w:val="24"/>
              </w:rPr>
              <w:tab/>
            </w:r>
            <w:r>
              <w:rPr>
                <w:rFonts w:hint="eastAsia"/>
                <w:szCs w:val="24"/>
              </w:rPr>
              <w:t>-</w:t>
            </w:r>
            <w:r>
              <w:rPr>
                <w:rFonts w:hint="eastAsia"/>
                <w:szCs w:val="24"/>
              </w:rPr>
              <w:tab/>
            </w:r>
            <w:r>
              <w:rPr>
                <w:rFonts w:hint="eastAsia"/>
                <w:szCs w:val="24"/>
              </w:rPr>
              <w:t>-</w:t>
            </w:r>
            <w:r>
              <w:rPr>
                <w:rFonts w:hint="eastAsia"/>
                <w:szCs w:val="24"/>
              </w:rPr>
              <w:tab/>
            </w:r>
            <w:r>
              <w:rPr>
                <w:rFonts w:hint="eastAsia"/>
                <w:szCs w:val="24"/>
              </w:rPr>
              <w:t>≤131</w:t>
            </w:r>
          </w:p>
        </w:tc>
      </w:tr>
      <w:tr w14:paraId="359A8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93FF4AE">
            <w:pPr>
              <w:pStyle w:val="16"/>
              <w:spacing w:before="31" w:after="31"/>
              <w:ind w:firstLine="0" w:firstLineChars="0"/>
              <w:rPr>
                <w:rFonts w:hint="eastAsia"/>
                <w:szCs w:val="24"/>
              </w:rPr>
            </w:pPr>
            <w:r>
              <w:rPr>
                <w:rFonts w:hint="eastAsia"/>
                <w:szCs w:val="24"/>
              </w:rPr>
              <w:t>30CrMnSiNi2A Steel</w:t>
            </w:r>
            <w:r>
              <w:rPr>
                <w:rFonts w:hint="eastAsia"/>
                <w:szCs w:val="24"/>
              </w:rPr>
              <w:tab/>
            </w:r>
            <w:r>
              <w:rPr>
                <w:rFonts w:hint="eastAsia"/>
                <w:szCs w:val="24"/>
              </w:rPr>
              <w:t>-</w:t>
            </w:r>
            <w:r>
              <w:rPr>
                <w:rFonts w:hint="eastAsia"/>
                <w:szCs w:val="24"/>
              </w:rPr>
              <w:tab/>
            </w:r>
            <w:r>
              <w:rPr>
                <w:rFonts w:hint="eastAsia"/>
                <w:szCs w:val="24"/>
              </w:rPr>
              <w:t>-</w:t>
            </w:r>
            <w:r>
              <w:rPr>
                <w:rFonts w:hint="eastAsia"/>
                <w:szCs w:val="24"/>
              </w:rPr>
              <w:tab/>
            </w:r>
            <w:r>
              <w:rPr>
                <w:rFonts w:hint="eastAsia"/>
                <w:szCs w:val="24"/>
              </w:rPr>
              <w:t>≥444</w:t>
            </w:r>
          </w:p>
        </w:tc>
      </w:tr>
    </w:tbl>
    <w:p w14:paraId="6A2AC48A">
      <w:pPr>
        <w:pStyle w:val="16"/>
        <w:spacing w:before="31" w:after="31"/>
        <w:ind w:firstLine="480"/>
        <w:rPr>
          <w:szCs w:val="24"/>
        </w:rPr>
      </w:pPr>
    </w:p>
    <w:p w14:paraId="05C2DEBE">
      <w:pPr>
        <w:pStyle w:val="16"/>
        <w:spacing w:before="31" w:after="31"/>
        <w:ind w:firstLine="480"/>
        <w:rPr>
          <w:szCs w:val="24"/>
        </w:rPr>
      </w:pPr>
      <w:r>
        <w:rPr>
          <w:szCs w:val="24"/>
        </w:rPr>
        <w:t>Material composition was analyzed using an X-ray spectrometer, as shown in Figure 7-13.10, Figure 7-13.11. In comparison to the cylinder, the weld points contain almost no alloying elements such as Cr, Ni, Mn, and the micro-area composition is similar to that of 08A steel.</w:t>
      </w:r>
    </w:p>
    <w:p w14:paraId="1BE7E5A6">
      <w:pPr>
        <w:pStyle w:val="16"/>
        <w:spacing w:before="31" w:after="31"/>
        <w:ind w:firstLine="482"/>
        <w:jc w:val="center"/>
        <w:rPr>
          <w:b/>
          <w:bCs/>
          <w:szCs w:val="24"/>
        </w:rPr>
      </w:pPr>
      <w:r>
        <w:rPr>
          <w:b/>
          <w:bCs/>
          <w:szCs w:val="24"/>
        </w:rPr>
        <w:t>Figure 7-13.10 X-ray spectrum of the weld points</w:t>
      </w:r>
    </w:p>
    <w:p w14:paraId="05174F33">
      <w:pPr>
        <w:pStyle w:val="16"/>
        <w:spacing w:before="31" w:after="31"/>
        <w:ind w:firstLine="482"/>
        <w:jc w:val="center"/>
        <w:rPr>
          <w:b/>
          <w:bCs/>
          <w:szCs w:val="24"/>
        </w:rPr>
      </w:pPr>
      <w:r>
        <w:rPr>
          <w:b/>
          <w:bCs/>
          <w:szCs w:val="24"/>
        </w:rPr>
        <w:t>Figure 7-13.11 X-ray spectrum of the cylinder</w:t>
      </w:r>
    </w:p>
    <w:p w14:paraId="6A461B1C">
      <w:pPr>
        <w:pStyle w:val="16"/>
        <w:spacing w:before="31" w:after="31"/>
        <w:ind w:firstLine="480"/>
        <w:rPr>
          <w:szCs w:val="24"/>
        </w:rPr>
      </w:pPr>
    </w:p>
    <w:p w14:paraId="1E8AFB3C">
      <w:pPr>
        <w:pStyle w:val="16"/>
        <w:spacing w:before="31" w:after="31"/>
        <w:ind w:firstLine="480"/>
        <w:rPr>
          <w:szCs w:val="24"/>
        </w:rPr>
      </w:pPr>
      <w:r>
        <w:rPr>
          <w:szCs w:val="24"/>
        </w:rPr>
        <w:t>The fracture characteristics indicate that the main shaft fracture nature is corrosion fatigue fracture. The cracks originated and propagated under the combined action of corrosive media and alternating loads.</w:t>
      </w:r>
    </w:p>
    <w:p w14:paraId="54D4DC27">
      <w:pPr>
        <w:pStyle w:val="16"/>
        <w:spacing w:before="31" w:after="31"/>
        <w:ind w:firstLine="480"/>
        <w:rPr>
          <w:szCs w:val="24"/>
        </w:rPr>
      </w:pPr>
    </w:p>
    <w:p w14:paraId="050E9638">
      <w:pPr>
        <w:pStyle w:val="16"/>
        <w:spacing w:before="31" w:after="31"/>
        <w:ind w:firstLine="480"/>
        <w:rPr>
          <w:szCs w:val="24"/>
        </w:rPr>
      </w:pPr>
      <w:r>
        <w:rPr>
          <w:szCs w:val="24"/>
        </w:rPr>
        <w:t>From the results of metallographic structure, composition analysis, and hardness testing, the metallographic structure, composition, and hardness of the positioning weld points are similar to 08A steel. Although the working stress is far below the fatigue strength of the horizontal stabilizer main shaft, it may have exceeded the fatigue strength at the positioning weld points, especially considering the presence of stress concentration and corrosion at the weld toe. On the other hand, selecting the 12 o'clock and 6 o'clock positions for the fractured main shaft's weld points, where the main shaft bears the maximum bending stress, increases the risk of fatigue cracking at the weld points. Therefore, improper welding processes and weld structure are the main factors leading to the fracture of the horizontal stabilizer main shaft.</w:t>
      </w:r>
    </w:p>
    <w:p w14:paraId="1BA591DA">
      <w:pPr>
        <w:pStyle w:val="16"/>
        <w:spacing w:before="31" w:after="31"/>
        <w:ind w:firstLine="480"/>
        <w:rPr>
          <w:szCs w:val="24"/>
        </w:rPr>
      </w:pPr>
    </w:p>
    <w:p w14:paraId="39D911D1">
      <w:pPr>
        <w:pStyle w:val="16"/>
        <w:spacing w:before="31" w:after="31"/>
        <w:ind w:firstLine="480"/>
        <w:rPr>
          <w:szCs w:val="24"/>
        </w:rPr>
      </w:pPr>
      <w:r>
        <w:rPr>
          <w:szCs w:val="24"/>
        </w:rPr>
        <w:t>The internal rustproof paint layer of the main shaft cylinder is thin, and some areas are not covered. From the microscopic features, there are corrosion pits and corrosion products at the crack initiation site, and a large amount of corrosion products are present on the fracture surface. Therefore, improper corrosion protection measures have a significant impact on the fracture of the main</w:t>
      </w:r>
    </w:p>
    <w:p w14:paraId="578D4C8D">
      <w:pPr>
        <w:pStyle w:val="16"/>
        <w:spacing w:before="31" w:after="31"/>
        <w:ind w:firstLine="480"/>
        <w:rPr>
          <w:szCs w:val="24"/>
        </w:rPr>
      </w:pPr>
    </w:p>
    <w:p w14:paraId="62BE9DF4">
      <w:pPr>
        <w:pStyle w:val="16"/>
        <w:spacing w:before="31" w:after="31"/>
        <w:ind w:firstLine="480"/>
        <w:rPr>
          <w:szCs w:val="24"/>
        </w:rPr>
      </w:pPr>
      <w:r>
        <w:rPr>
          <w:szCs w:val="24"/>
        </w:rPr>
        <w:t xml:space="preserve"> shaft.</w:t>
      </w:r>
    </w:p>
    <w:p w14:paraId="45BE8696">
      <w:pPr>
        <w:pStyle w:val="16"/>
        <w:spacing w:before="31" w:after="31"/>
        <w:ind w:firstLine="480"/>
        <w:rPr>
          <w:szCs w:val="24"/>
        </w:rPr>
      </w:pPr>
    </w:p>
    <w:p w14:paraId="393E0661">
      <w:pPr>
        <w:pStyle w:val="16"/>
        <w:spacing w:before="31" w:after="31"/>
        <w:ind w:firstLine="480"/>
        <w:rPr>
          <w:szCs w:val="24"/>
        </w:rPr>
      </w:pPr>
      <w:r>
        <w:rPr>
          <w:szCs w:val="24"/>
        </w:rPr>
        <w:t>(7) Impact and Harm Caused</w:t>
      </w:r>
    </w:p>
    <w:p w14:paraId="1B878192">
      <w:pPr>
        <w:pStyle w:val="16"/>
        <w:spacing w:before="31" w:after="31"/>
        <w:ind w:firstLine="480"/>
        <w:rPr>
          <w:szCs w:val="24"/>
        </w:rPr>
      </w:pPr>
      <w:r>
        <w:rPr>
          <w:szCs w:val="24"/>
        </w:rPr>
        <w:t>Significantly affects the aircraft's flight reliability.</w:t>
      </w:r>
    </w:p>
    <w:p w14:paraId="388278B5">
      <w:pPr>
        <w:pStyle w:val="16"/>
        <w:spacing w:before="31" w:after="31"/>
        <w:ind w:firstLine="480"/>
        <w:rPr>
          <w:szCs w:val="24"/>
        </w:rPr>
      </w:pPr>
    </w:p>
    <w:p w14:paraId="005D9A37">
      <w:pPr>
        <w:pStyle w:val="16"/>
        <w:spacing w:before="31" w:after="31"/>
        <w:ind w:firstLine="480"/>
        <w:rPr>
          <w:szCs w:val="24"/>
        </w:rPr>
      </w:pPr>
      <w:r>
        <w:rPr>
          <w:szCs w:val="24"/>
        </w:rPr>
        <w:t>(8) Conclusion and Improvement Measures</w:t>
      </w:r>
    </w:p>
    <w:p w14:paraId="21F1D705">
      <w:pPr>
        <w:pStyle w:val="16"/>
        <w:spacing w:before="31" w:after="31"/>
        <w:ind w:firstLine="480"/>
        <w:rPr>
          <w:szCs w:val="24"/>
        </w:rPr>
      </w:pPr>
      <w:r>
        <w:rPr>
          <w:szCs w:val="24"/>
        </w:rPr>
        <w:t>The nature of the horizontal stabilizer main shaft fracture is corrosion fatigue. Improper welding processes and weld structures are the main factors causing the main shaft to fracture from the weld points. Poor-quality rustproof paint on the inner wall of the main shaft cylinder has also had a significant impact on the fracture of the main shaft.</w:t>
      </w:r>
    </w:p>
    <w:p w14:paraId="13B21406">
      <w:pPr>
        <w:pStyle w:val="16"/>
        <w:spacing w:before="31" w:after="31"/>
        <w:ind w:firstLine="0" w:firstLineChars="0"/>
        <w:rPr>
          <w:szCs w:val="24"/>
        </w:rPr>
      </w:pPr>
      <w:r>
        <w:rPr>
          <w:szCs w:val="24"/>
        </w:rPr>
        <w:t>It is recommended to improve the welding process and corrosion protection treatment on the inner surface of the cylinder.</w:t>
      </w:r>
    </w:p>
    <w:p w14:paraId="20CA3144">
      <w:pPr>
        <w:pStyle w:val="16"/>
        <w:spacing w:before="31" w:after="31"/>
        <w:ind w:firstLine="0" w:firstLineChars="0"/>
        <w:rPr>
          <w:b/>
          <w:bCs/>
          <w:szCs w:val="24"/>
        </w:rPr>
      </w:pPr>
      <w:r>
        <w:rPr>
          <w:b/>
          <w:bCs/>
          <w:szCs w:val="24"/>
        </w:rPr>
        <w:t>7.2.14 Case 7-14: Aircraft Landing Gear Buffer Piston Fracture</w:t>
      </w:r>
    </w:p>
    <w:p w14:paraId="07D0D0F4">
      <w:pPr>
        <w:pStyle w:val="16"/>
        <w:spacing w:before="31" w:after="31"/>
        <w:ind w:firstLine="480"/>
        <w:rPr>
          <w:szCs w:val="24"/>
        </w:rPr>
      </w:pPr>
    </w:p>
    <w:p w14:paraId="70ECE38D">
      <w:pPr>
        <w:pStyle w:val="16"/>
        <w:spacing w:before="31" w:after="31"/>
        <w:ind w:firstLine="480"/>
        <w:rPr>
          <w:szCs w:val="24"/>
        </w:rPr>
      </w:pPr>
      <w:r>
        <w:rPr>
          <w:szCs w:val="24"/>
        </w:rPr>
        <w:t>(1) Case Name</w:t>
      </w:r>
    </w:p>
    <w:p w14:paraId="4AE279EE">
      <w:pPr>
        <w:pStyle w:val="16"/>
        <w:spacing w:before="31" w:after="31"/>
        <w:ind w:firstLine="480"/>
        <w:rPr>
          <w:szCs w:val="24"/>
        </w:rPr>
      </w:pPr>
      <w:r>
        <w:rPr>
          <w:szCs w:val="24"/>
        </w:rPr>
        <w:t>Aircraft landing gear buffer piston fracture [41].</w:t>
      </w:r>
    </w:p>
    <w:p w14:paraId="6D6C73E7">
      <w:pPr>
        <w:pStyle w:val="16"/>
        <w:spacing w:before="31" w:after="31"/>
        <w:ind w:firstLine="480"/>
        <w:rPr>
          <w:szCs w:val="24"/>
        </w:rPr>
      </w:pPr>
    </w:p>
    <w:p w14:paraId="74A759F4">
      <w:pPr>
        <w:pStyle w:val="16"/>
        <w:spacing w:before="31" w:after="31"/>
        <w:ind w:firstLine="480"/>
        <w:rPr>
          <w:szCs w:val="24"/>
        </w:rPr>
      </w:pPr>
      <w:r>
        <w:rPr>
          <w:szCs w:val="24"/>
        </w:rPr>
        <w:t>(2) Failure Process Description</w:t>
      </w:r>
    </w:p>
    <w:p w14:paraId="5332DB5A">
      <w:pPr>
        <w:pStyle w:val="16"/>
        <w:spacing w:before="31" w:after="31"/>
        <w:ind w:firstLine="480"/>
        <w:rPr>
          <w:szCs w:val="24"/>
        </w:rPr>
      </w:pPr>
      <w:r>
        <w:rPr>
          <w:szCs w:val="24"/>
        </w:rPr>
        <w:t>During a maintenance procedure, where the aircraft landing gear buffer mechanism was pressurized as per operational requirements, the internal part of the buffer piston detached and popped out, accompanied by the ejection of a small fragment of the floating piston. At the time of the incident, the pressure in the high-pressure chamber was 7.4 MPa. The fracture positions of the piston and the floating piston are illustrated in Figure 7-14.1. The floating piston's fracture crosses four damping holes and breaks entirely along the circumference of the sleeve hole, leaving only a small fragment, as shown in Figure 7-14.1. After the piston was damaged, it slid down along the piston and impacted the lower end of the piston.</w:t>
      </w:r>
    </w:p>
    <w:p w14:paraId="222472A6">
      <w:pPr>
        <w:pStyle w:val="16"/>
        <w:spacing w:before="31" w:after="31"/>
        <w:ind w:firstLine="482"/>
        <w:jc w:val="center"/>
        <w:rPr>
          <w:b/>
          <w:bCs/>
          <w:szCs w:val="24"/>
        </w:rPr>
      </w:pPr>
      <w:r>
        <w:rPr>
          <w:b/>
          <w:bCs/>
          <w:szCs w:val="24"/>
        </w:rPr>
        <w:t>Figure 7-14.1: Schematic diagram of the piston, floating piston, and fracture locations</w:t>
      </w:r>
    </w:p>
    <w:p w14:paraId="6B4F0652">
      <w:pPr>
        <w:pStyle w:val="16"/>
        <w:spacing w:before="31" w:after="31"/>
        <w:ind w:firstLine="480"/>
        <w:rPr>
          <w:szCs w:val="24"/>
        </w:rPr>
      </w:pPr>
    </w:p>
    <w:p w14:paraId="51B26496">
      <w:pPr>
        <w:pStyle w:val="16"/>
        <w:spacing w:before="31" w:after="31"/>
        <w:ind w:firstLine="480"/>
        <w:rPr>
          <w:szCs w:val="24"/>
        </w:rPr>
      </w:pPr>
      <w:r>
        <w:rPr>
          <w:szCs w:val="24"/>
        </w:rPr>
        <w:t>(3) Service Environment</w:t>
      </w:r>
    </w:p>
    <w:p w14:paraId="43C99E71">
      <w:pPr>
        <w:pStyle w:val="16"/>
        <w:spacing w:before="31" w:after="31"/>
        <w:ind w:firstLine="480"/>
        <w:rPr>
          <w:szCs w:val="24"/>
        </w:rPr>
      </w:pPr>
      <w:r>
        <w:rPr>
          <w:szCs w:val="24"/>
        </w:rPr>
        <w:t>Natural atmospheric environment.</w:t>
      </w:r>
    </w:p>
    <w:p w14:paraId="28D027A0">
      <w:pPr>
        <w:pStyle w:val="16"/>
        <w:spacing w:before="31" w:after="31"/>
        <w:ind w:firstLine="480"/>
        <w:rPr>
          <w:szCs w:val="24"/>
        </w:rPr>
      </w:pPr>
    </w:p>
    <w:p w14:paraId="548CDF0B">
      <w:pPr>
        <w:pStyle w:val="16"/>
        <w:spacing w:before="31" w:after="31"/>
        <w:ind w:firstLine="480"/>
        <w:rPr>
          <w:szCs w:val="24"/>
        </w:rPr>
      </w:pPr>
      <w:r>
        <w:rPr>
          <w:szCs w:val="24"/>
        </w:rPr>
        <w:t>(4) Failed Components and Materials</w:t>
      </w:r>
    </w:p>
    <w:p w14:paraId="3B55927F">
      <w:pPr>
        <w:pStyle w:val="16"/>
        <w:spacing w:before="31" w:after="31"/>
        <w:ind w:firstLine="480"/>
        <w:rPr>
          <w:szCs w:val="24"/>
        </w:rPr>
      </w:pPr>
      <w:r>
        <w:rPr>
          <w:szCs w:val="24"/>
        </w:rPr>
        <w:t>The failed component is the landing gear buffer piston. The upper part of the floating piston is the high-pressure chamber, and the lower part is an empty chamber connected to the atmosphere. The pressure in the high-pressure chamber is applied to the piston through the piston, providing a damping effect. The piston is made of 30CrMnSiA steel, and the floating piston is made of LC9 aluminum alloy.</w:t>
      </w:r>
    </w:p>
    <w:p w14:paraId="5CE1E262">
      <w:pPr>
        <w:pStyle w:val="16"/>
        <w:spacing w:before="31" w:after="31"/>
        <w:ind w:firstLine="480"/>
        <w:rPr>
          <w:szCs w:val="24"/>
        </w:rPr>
      </w:pPr>
    </w:p>
    <w:p w14:paraId="60B6B80B">
      <w:pPr>
        <w:pStyle w:val="16"/>
        <w:spacing w:before="31" w:after="31"/>
        <w:ind w:firstLine="480"/>
        <w:rPr>
          <w:szCs w:val="24"/>
        </w:rPr>
      </w:pPr>
      <w:r>
        <w:rPr>
          <w:szCs w:val="24"/>
        </w:rPr>
        <w:t>(5) Component Failure Appearance</w:t>
      </w:r>
    </w:p>
    <w:p w14:paraId="5CBF7428">
      <w:pPr>
        <w:pStyle w:val="16"/>
        <w:spacing w:before="31" w:after="31"/>
        <w:ind w:firstLine="480"/>
        <w:rPr>
          <w:szCs w:val="24"/>
        </w:rPr>
      </w:pPr>
      <w:r>
        <w:rPr>
          <w:szCs w:val="24"/>
        </w:rPr>
        <w:t>The piston cross-section appears at an angle of approximately 45° to the direction of force, exhibiting characteristics of plane stress tensile fracture. There are radial lines pointing to the inner surface of the piston in the form of cutting marks (Figure 7-14.2).</w:t>
      </w:r>
    </w:p>
    <w:p w14:paraId="768BDC91">
      <w:pPr>
        <w:pStyle w:val="16"/>
        <w:spacing w:before="31" w:after="31"/>
        <w:ind w:firstLine="482"/>
        <w:jc w:val="center"/>
        <w:rPr>
          <w:b/>
          <w:bCs/>
          <w:szCs w:val="24"/>
        </w:rPr>
      </w:pPr>
      <w:r>
        <w:rPr>
          <w:b/>
          <w:bCs/>
          <w:szCs w:val="24"/>
        </w:rPr>
        <w:t>Figure 7-14.2: Appearance of the fracture on the upper end of the piston](URL)</w:t>
      </w:r>
    </w:p>
    <w:p w14:paraId="6E998F6C">
      <w:pPr>
        <w:pStyle w:val="16"/>
        <w:spacing w:before="31" w:after="31"/>
        <w:ind w:firstLine="480"/>
        <w:rPr>
          <w:szCs w:val="24"/>
        </w:rPr>
      </w:pPr>
    </w:p>
    <w:p w14:paraId="1420200B">
      <w:pPr>
        <w:pStyle w:val="16"/>
        <w:spacing w:before="31" w:after="31"/>
        <w:ind w:firstLine="480"/>
        <w:rPr>
          <w:szCs w:val="24"/>
        </w:rPr>
      </w:pPr>
      <w:r>
        <w:rPr>
          <w:szCs w:val="24"/>
        </w:rPr>
        <w:t>The macroscopic fracture surfaces of the four breaks and fragments on the floating piston exhibit a rough, layered appearance. There is a scratch band near the upper part of the fractures (close to the outer surface of the floating piston). Three fracture locations on the piston also show distinct chevron patterns pointing to the damping holes. On the side of the fragment (contacting the piston), a collision mark is found with inconsistent depth along the circumference. The macroscopic appearance of the four fractures and fragment fractures on the floating piston is shown in Figure 7-14.3 and Figure 7-14.4.</w:t>
      </w:r>
    </w:p>
    <w:p w14:paraId="7541EA2E">
      <w:pPr>
        <w:pStyle w:val="16"/>
        <w:spacing w:before="31" w:after="31"/>
        <w:ind w:firstLine="482"/>
        <w:jc w:val="center"/>
        <w:rPr>
          <w:b/>
          <w:bCs/>
          <w:szCs w:val="24"/>
        </w:rPr>
      </w:pPr>
      <w:r>
        <w:rPr>
          <w:b/>
          <w:bCs/>
          <w:szCs w:val="24"/>
        </w:rPr>
        <w:t>Figure 7-14.3: Four fractures on the floating piston</w:t>
      </w:r>
    </w:p>
    <w:p w14:paraId="7CC1CB30">
      <w:pPr>
        <w:pStyle w:val="16"/>
        <w:spacing w:before="31" w:after="31"/>
        <w:ind w:firstLine="482"/>
        <w:jc w:val="center"/>
        <w:rPr>
          <w:b/>
          <w:bCs/>
          <w:szCs w:val="24"/>
        </w:rPr>
      </w:pPr>
      <w:r>
        <w:rPr>
          <w:b/>
          <w:bCs/>
          <w:szCs w:val="24"/>
        </w:rPr>
        <w:t>Figure 7-14.4: Appearance of fragment fractures on the floating piston</w:t>
      </w:r>
    </w:p>
    <w:p w14:paraId="319CE09B">
      <w:pPr>
        <w:pStyle w:val="16"/>
        <w:spacing w:before="31" w:after="31"/>
        <w:ind w:firstLine="480"/>
        <w:rPr>
          <w:szCs w:val="24"/>
        </w:rPr>
      </w:pPr>
    </w:p>
    <w:p w14:paraId="6A617100">
      <w:pPr>
        <w:pStyle w:val="16"/>
        <w:spacing w:before="31" w:after="31"/>
        <w:ind w:firstLine="480"/>
        <w:rPr>
          <w:szCs w:val="24"/>
        </w:rPr>
      </w:pPr>
      <w:r>
        <w:rPr>
          <w:szCs w:val="24"/>
        </w:rPr>
        <w:t>Microscopic features of the fractures and fragment fractures on both the piston and the floating piston are mainly characterized by ductile dimples, as shown in Figure 7-14.5 and Figure 7-14.6. No metallurgical defects are observed on the entire fracture surfaces, and there are no fatigue features on the four fractures on the floating piston.</w:t>
      </w:r>
    </w:p>
    <w:p w14:paraId="1DE56D4E">
      <w:pPr>
        <w:pStyle w:val="16"/>
        <w:spacing w:before="31" w:after="31"/>
        <w:ind w:firstLine="482"/>
        <w:jc w:val="center"/>
        <w:rPr>
          <w:b/>
          <w:bCs/>
          <w:szCs w:val="24"/>
        </w:rPr>
      </w:pPr>
      <w:r>
        <w:rPr>
          <w:b/>
          <w:bCs/>
          <w:szCs w:val="24"/>
        </w:rPr>
        <w:t>Figure 7-14.5: Microscopic appearance of the piston fracture</w:t>
      </w:r>
    </w:p>
    <w:p w14:paraId="059F07D4">
      <w:pPr>
        <w:pStyle w:val="16"/>
        <w:spacing w:before="31" w:after="31"/>
        <w:ind w:firstLine="482"/>
        <w:jc w:val="center"/>
        <w:rPr>
          <w:b/>
          <w:bCs/>
          <w:szCs w:val="24"/>
        </w:rPr>
      </w:pPr>
      <w:r>
        <w:rPr>
          <w:b/>
          <w:bCs/>
          <w:szCs w:val="24"/>
        </w:rPr>
        <w:t>Figure 7-14.6: Microscopic appearance of the floating piston fracture</w:t>
      </w:r>
    </w:p>
    <w:p w14:paraId="40FC1639">
      <w:pPr>
        <w:pStyle w:val="16"/>
        <w:spacing w:before="31" w:after="31"/>
        <w:ind w:firstLine="480"/>
        <w:rPr>
          <w:szCs w:val="24"/>
        </w:rPr>
      </w:pPr>
    </w:p>
    <w:p w14:paraId="21ED6A1E">
      <w:pPr>
        <w:pStyle w:val="16"/>
        <w:spacing w:before="31" w:after="31"/>
        <w:ind w:firstLine="480"/>
        <w:rPr>
          <w:szCs w:val="24"/>
        </w:rPr>
      </w:pPr>
      <w:r>
        <w:rPr>
          <w:szCs w:val="24"/>
        </w:rPr>
        <w:t>A crack and collision marks were found near the damping hole on the floating piston, as shown in Figure 7-14.7.</w:t>
      </w:r>
    </w:p>
    <w:p w14:paraId="7F340FC0">
      <w:pPr>
        <w:pStyle w:val="16"/>
        <w:spacing w:before="31" w:after="31"/>
        <w:ind w:firstLine="482"/>
        <w:jc w:val="center"/>
        <w:rPr>
          <w:b/>
          <w:bCs/>
          <w:szCs w:val="24"/>
        </w:rPr>
      </w:pPr>
      <w:r>
        <w:rPr>
          <w:b/>
          <w:bCs/>
          <w:szCs w:val="24"/>
        </w:rPr>
        <w:t>Figure 7-14.7: Cracks and collision marks near the damping hole on the floating piston</w:t>
      </w:r>
    </w:p>
    <w:p w14:paraId="0B4D2CD1">
      <w:pPr>
        <w:pStyle w:val="16"/>
        <w:spacing w:before="31" w:after="31"/>
        <w:ind w:firstLine="480"/>
        <w:rPr>
          <w:szCs w:val="24"/>
        </w:rPr>
      </w:pPr>
    </w:p>
    <w:p w14:paraId="2ABD0F57">
      <w:pPr>
        <w:pStyle w:val="16"/>
        <w:spacing w:before="31" w:after="31"/>
        <w:ind w:firstLine="480"/>
        <w:rPr>
          <w:szCs w:val="24"/>
        </w:rPr>
      </w:pPr>
      <w:r>
        <w:rPr>
          <w:szCs w:val="24"/>
        </w:rPr>
        <w:t>(6) Failure Cause Analysis</w:t>
      </w:r>
    </w:p>
    <w:p w14:paraId="32024609">
      <w:pPr>
        <w:pStyle w:val="16"/>
        <w:spacing w:before="31" w:after="31"/>
        <w:ind w:firstLine="480"/>
        <w:rPr>
          <w:szCs w:val="24"/>
        </w:rPr>
      </w:pPr>
      <w:r>
        <w:rPr>
          <w:szCs w:val="24"/>
        </w:rPr>
        <w:t>From the characteristics of the fractures, both the piston and the floating piston fractures are categorized as fractures due to high stress overload. Considering the stress states of the floating piston and the piston, it is unlikely that the pressurization process under normal conditions could lead to the fractures of the floating piston or the piston.</w:t>
      </w:r>
    </w:p>
    <w:p w14:paraId="1C45A169">
      <w:pPr>
        <w:pStyle w:val="16"/>
        <w:spacing w:before="31" w:after="31"/>
        <w:ind w:firstLine="480"/>
        <w:rPr>
          <w:szCs w:val="24"/>
        </w:rPr>
      </w:pPr>
    </w:p>
    <w:p w14:paraId="364E0054">
      <w:pPr>
        <w:pStyle w:val="16"/>
        <w:spacing w:before="31" w:after="31"/>
        <w:ind w:firstLine="480"/>
        <w:rPr>
          <w:szCs w:val="24"/>
        </w:rPr>
      </w:pPr>
      <w:r>
        <w:rPr>
          <w:szCs w:val="24"/>
        </w:rPr>
        <w:t>During the operation of the floating piston, it may experience vibration and collisions with the piston, and fatigue cracks may occur at the thin edge of the damping hole on the floating piston. However, as no fatigue features are observed at the existing fractures, another landing gear floating piston was inspected. It was found that three of the four holes had cracks at the thin edge, and there was a ring of collision marks along the edge of the sleeve hole. Opening the cracks at the thin edge of the damping hole revealed the morphology shown in Figure 7-14.9 and Figure 7-14.10. The lower part of Figure 7-14.9 is the damping hole, and the right side is the inner side of the floating piston. As shown in the figure, the source area of the fracture is rough, with obvious radial lines nearby. The extension area is relatively flat, and fatigue arc lines in different directions can be seen, indicating multiple-source fatigue. It can be inferred that the stress at the time of fracture was greater than the force during crack propagation.</w:t>
      </w:r>
    </w:p>
    <w:p w14:paraId="696F5F6B">
      <w:pPr>
        <w:pStyle w:val="16"/>
        <w:spacing w:before="31" w:after="31"/>
        <w:ind w:firstLine="480"/>
        <w:rPr>
          <w:szCs w:val="24"/>
        </w:rPr>
      </w:pPr>
    </w:p>
    <w:p w14:paraId="70AC81F5">
      <w:pPr>
        <w:pStyle w:val="16"/>
        <w:spacing w:before="31" w:after="31"/>
        <w:ind w:firstLine="480"/>
        <w:rPr>
          <w:szCs w:val="24"/>
        </w:rPr>
      </w:pPr>
      <w:r>
        <w:rPr>
          <w:szCs w:val="24"/>
        </w:rPr>
        <w:t>In summary, the radial fractures around the floating piston sleeve hole resulted from fractures due to high stress overload. The fracture of the floating piston is unevenly stressed, and fatigue cracks may have occurred at the weak points. When fatigue cracks penetrate the thin edge of the damping hole, it further intensifies the uneven stress on the floating piston, leading to radial cracking of the piston along the sleeve hole (no fatigue features were observed in the remaining fractures due to the loss of other fragments).</w:t>
      </w:r>
    </w:p>
    <w:p w14:paraId="6AC3B7A0">
      <w:pPr>
        <w:pStyle w:val="16"/>
        <w:spacing w:before="31" w:after="31"/>
        <w:ind w:firstLine="482"/>
        <w:jc w:val="center"/>
        <w:rPr>
          <w:b/>
          <w:bCs/>
          <w:szCs w:val="24"/>
        </w:rPr>
      </w:pPr>
      <w:r>
        <w:rPr>
          <w:b/>
          <w:bCs/>
          <w:szCs w:val="24"/>
        </w:rPr>
        <w:t>Figure 7-14.8: Cracks and collision marks near the edge of the damping hole on the floating piston</w:t>
      </w:r>
    </w:p>
    <w:p w14:paraId="4CE32649">
      <w:pPr>
        <w:pStyle w:val="16"/>
        <w:spacing w:before="31" w:after="31"/>
        <w:ind w:firstLine="482"/>
        <w:jc w:val="center"/>
        <w:rPr>
          <w:b/>
          <w:bCs/>
          <w:szCs w:val="24"/>
        </w:rPr>
      </w:pPr>
      <w:r>
        <w:rPr>
          <w:b/>
          <w:bCs/>
          <w:szCs w:val="24"/>
        </w:rPr>
        <w:t>Figure 7-14.9: Morphological features of the main fatigue source area</w:t>
      </w:r>
    </w:p>
    <w:p w14:paraId="670D887D">
      <w:pPr>
        <w:pStyle w:val="16"/>
        <w:spacing w:before="31" w:after="31"/>
        <w:ind w:firstLine="482"/>
        <w:jc w:val="center"/>
        <w:rPr>
          <w:b/>
          <w:bCs/>
          <w:szCs w:val="24"/>
        </w:rPr>
      </w:pPr>
      <w:r>
        <w:rPr>
          <w:b/>
          <w:bCs/>
          <w:szCs w:val="24"/>
        </w:rPr>
        <w:t>Figure 7-14.10: Fatigue band morphology</w:t>
      </w:r>
    </w:p>
    <w:p w14:paraId="0D3A0425">
      <w:pPr>
        <w:pStyle w:val="16"/>
        <w:spacing w:before="31" w:after="31"/>
        <w:ind w:firstLine="480"/>
        <w:rPr>
          <w:szCs w:val="24"/>
        </w:rPr>
      </w:pPr>
    </w:p>
    <w:p w14:paraId="05BDC607">
      <w:pPr>
        <w:pStyle w:val="16"/>
        <w:spacing w:before="31" w:after="31"/>
        <w:ind w:firstLine="480"/>
        <w:rPr>
          <w:szCs w:val="24"/>
        </w:rPr>
      </w:pPr>
      <w:r>
        <w:rPr>
          <w:szCs w:val="24"/>
        </w:rPr>
        <w:t>(7) Impact and Harm Caused</w:t>
      </w:r>
    </w:p>
    <w:p w14:paraId="5C62B210">
      <w:pPr>
        <w:pStyle w:val="16"/>
        <w:spacing w:before="31" w:after="31"/>
        <w:ind w:firstLine="480"/>
        <w:rPr>
          <w:szCs w:val="24"/>
        </w:rPr>
      </w:pPr>
      <w:r>
        <w:rPr>
          <w:szCs w:val="24"/>
        </w:rPr>
        <w:t>Severely affects the safety of the aircraft's flight, increasing the maintenance costs and cycles of the aircraft.</w:t>
      </w:r>
    </w:p>
    <w:p w14:paraId="51560081">
      <w:pPr>
        <w:pStyle w:val="16"/>
        <w:spacing w:before="31" w:after="31"/>
        <w:ind w:firstLine="480"/>
        <w:rPr>
          <w:szCs w:val="24"/>
        </w:rPr>
      </w:pPr>
    </w:p>
    <w:p w14:paraId="6B5E35E5">
      <w:pPr>
        <w:pStyle w:val="16"/>
        <w:spacing w:before="31" w:after="31"/>
        <w:ind w:firstLine="480"/>
        <w:rPr>
          <w:szCs w:val="24"/>
        </w:rPr>
      </w:pPr>
      <w:r>
        <w:rPr>
          <w:szCs w:val="24"/>
        </w:rPr>
        <w:t>(8) Conclusion and Improvement Measures</w:t>
      </w:r>
    </w:p>
    <w:p w14:paraId="184674A6">
      <w:pPr>
        <w:pStyle w:val="16"/>
        <w:spacing w:before="31" w:after="31"/>
        <w:ind w:firstLine="480"/>
        <w:rPr>
          <w:szCs w:val="24"/>
        </w:rPr>
      </w:pPr>
      <w:r>
        <w:rPr>
          <w:szCs w:val="24"/>
        </w:rPr>
        <w:t>The reasons for the fracture of the landing gear buffer piston include the following aspects: (a) Uneven stress around the floating piston sleeve hole causes high-stress cracking. The insufficient fatigue strength of the thin edge between the floating piston damping hole and the sleeve hole makes it prone to fatigue cracking. (b) Uneven stress around the floating piston sleeve hole and improper pressurization operations may also lead to overload fracture. (c) The piston may fracture due to impact from the floating piston, and it is also related to the processing quality.</w:t>
      </w:r>
    </w:p>
    <w:p w14:paraId="61F5D1DB">
      <w:pPr>
        <w:pStyle w:val="16"/>
        <w:spacing w:before="31" w:after="31"/>
        <w:ind w:firstLine="480"/>
        <w:rPr>
          <w:szCs w:val="24"/>
        </w:rPr>
      </w:pPr>
    </w:p>
    <w:p w14:paraId="5F2705AE">
      <w:pPr>
        <w:pStyle w:val="16"/>
        <w:spacing w:before="31" w:after="31"/>
        <w:ind w:firstLine="0" w:firstLineChars="0"/>
        <w:rPr>
          <w:szCs w:val="24"/>
        </w:rPr>
      </w:pPr>
      <w:r>
        <w:rPr>
          <w:szCs w:val="24"/>
        </w:rPr>
        <w:t>By improving the design to reduce the vibration of the floating piston, enhancing the fatigue resistance of the damping holes, improving the processing quality of the floating piston and piston, avoiding serious uneven stress phenomena, and strictly following specifications during pressurization to prevent rapid pressurization and excessive pressure, similar problems can be effectively prevented.</w:t>
      </w:r>
    </w:p>
    <w:p w14:paraId="33BE897D">
      <w:pPr>
        <w:pStyle w:val="16"/>
        <w:spacing w:before="31" w:after="31"/>
        <w:ind w:firstLine="0" w:firstLineChars="0"/>
        <w:rPr>
          <w:b/>
          <w:bCs/>
          <w:szCs w:val="24"/>
        </w:rPr>
      </w:pPr>
      <w:r>
        <w:rPr>
          <w:b/>
          <w:bCs/>
          <w:szCs w:val="24"/>
        </w:rPr>
        <w:t>7.2.15 Case 7-15 Analysis of Aircraft Control System Chain Pin Failure</w:t>
      </w:r>
    </w:p>
    <w:p w14:paraId="2FAD4C17">
      <w:pPr>
        <w:pStyle w:val="16"/>
        <w:spacing w:before="31" w:after="31"/>
        <w:ind w:firstLine="480"/>
        <w:rPr>
          <w:szCs w:val="24"/>
        </w:rPr>
      </w:pPr>
    </w:p>
    <w:p w14:paraId="264CD35E">
      <w:pPr>
        <w:pStyle w:val="16"/>
        <w:spacing w:before="31" w:after="31"/>
        <w:ind w:firstLine="480"/>
        <w:rPr>
          <w:szCs w:val="24"/>
        </w:rPr>
      </w:pPr>
      <w:r>
        <w:rPr>
          <w:szCs w:val="24"/>
        </w:rPr>
        <w:t>(1) Case Name</w:t>
      </w:r>
    </w:p>
    <w:p w14:paraId="6C557BC9">
      <w:pPr>
        <w:pStyle w:val="16"/>
        <w:spacing w:before="31" w:after="31"/>
        <w:ind w:firstLine="480"/>
        <w:rPr>
          <w:szCs w:val="24"/>
        </w:rPr>
      </w:pPr>
      <w:r>
        <w:rPr>
          <w:szCs w:val="24"/>
        </w:rPr>
        <w:t>Analysis of Aircraft Control System Chain Pin Failure [47]</w:t>
      </w:r>
    </w:p>
    <w:p w14:paraId="267AC887">
      <w:pPr>
        <w:pStyle w:val="16"/>
        <w:spacing w:before="31" w:after="31"/>
        <w:ind w:firstLine="480"/>
        <w:rPr>
          <w:szCs w:val="24"/>
        </w:rPr>
      </w:pPr>
    </w:p>
    <w:p w14:paraId="4F6BBC48">
      <w:pPr>
        <w:pStyle w:val="16"/>
        <w:spacing w:before="31" w:after="31"/>
        <w:ind w:firstLine="480"/>
        <w:rPr>
          <w:szCs w:val="24"/>
        </w:rPr>
      </w:pPr>
      <w:r>
        <w:rPr>
          <w:szCs w:val="24"/>
        </w:rPr>
        <w:t>(2) Description of Failure Process</w:t>
      </w:r>
    </w:p>
    <w:p w14:paraId="7322FCCE">
      <w:pPr>
        <w:pStyle w:val="16"/>
        <w:spacing w:before="31" w:after="31"/>
        <w:ind w:firstLine="480"/>
        <w:rPr>
          <w:szCs w:val="24"/>
        </w:rPr>
      </w:pPr>
      <w:r>
        <w:rPr>
          <w:szCs w:val="24"/>
        </w:rPr>
        <w:t>The control system of a certain type of aircraft experienced multiple failures of chain pin fracture. The fracture of the chain pin in the aircraft control system led to the separation of the chain. The control system chain is a typical toothed chain, and the connection method is shown in Figure 7-15.1. The various chain plates are connected by pins wrapped in sleeves, forming a typical shaft-bearing toothed chain structure.</w:t>
      </w:r>
    </w:p>
    <w:p w14:paraId="3ABBFA78">
      <w:pPr>
        <w:pStyle w:val="16"/>
        <w:spacing w:before="31" w:after="31"/>
        <w:ind w:firstLine="482"/>
        <w:jc w:val="center"/>
        <w:rPr>
          <w:b/>
          <w:bCs/>
          <w:szCs w:val="24"/>
        </w:rPr>
      </w:pPr>
      <w:r>
        <w:rPr>
          <w:b/>
          <w:bCs/>
          <w:szCs w:val="24"/>
        </w:rPr>
        <w:t>Figure 7-15.1 Schematic Diagram of Chain Structure</w:t>
      </w:r>
    </w:p>
    <w:p w14:paraId="58849620">
      <w:pPr>
        <w:pStyle w:val="16"/>
        <w:spacing w:before="31" w:after="31"/>
        <w:ind w:firstLine="480"/>
        <w:rPr>
          <w:szCs w:val="24"/>
        </w:rPr>
      </w:pPr>
    </w:p>
    <w:p w14:paraId="71801CDE">
      <w:pPr>
        <w:pStyle w:val="16"/>
        <w:spacing w:before="31" w:after="31"/>
        <w:ind w:firstLine="480"/>
        <w:rPr>
          <w:szCs w:val="24"/>
        </w:rPr>
      </w:pPr>
      <w:r>
        <w:rPr>
          <w:szCs w:val="24"/>
        </w:rPr>
        <w:t>(3) Service Environment</w:t>
      </w:r>
    </w:p>
    <w:p w14:paraId="5AE06948">
      <w:pPr>
        <w:pStyle w:val="16"/>
        <w:spacing w:before="31" w:after="31"/>
        <w:ind w:firstLine="480"/>
        <w:rPr>
          <w:szCs w:val="24"/>
        </w:rPr>
      </w:pPr>
      <w:r>
        <w:rPr>
          <w:szCs w:val="24"/>
        </w:rPr>
        <w:t>Natural atmospheric environment.</w:t>
      </w:r>
    </w:p>
    <w:p w14:paraId="6E33DA14">
      <w:pPr>
        <w:pStyle w:val="16"/>
        <w:spacing w:before="31" w:after="31"/>
        <w:ind w:firstLine="480"/>
        <w:rPr>
          <w:szCs w:val="24"/>
        </w:rPr>
      </w:pPr>
    </w:p>
    <w:p w14:paraId="564212D2">
      <w:pPr>
        <w:pStyle w:val="16"/>
        <w:spacing w:before="31" w:after="31"/>
        <w:ind w:firstLine="480"/>
        <w:rPr>
          <w:szCs w:val="24"/>
        </w:rPr>
      </w:pPr>
      <w:r>
        <w:rPr>
          <w:szCs w:val="24"/>
        </w:rPr>
        <w:t>(4) Failed Component and Material</w:t>
      </w:r>
    </w:p>
    <w:p w14:paraId="3FD8EF4F">
      <w:pPr>
        <w:pStyle w:val="16"/>
        <w:spacing w:before="31" w:after="31"/>
        <w:ind w:firstLine="480"/>
        <w:rPr>
          <w:szCs w:val="24"/>
        </w:rPr>
      </w:pPr>
      <w:r>
        <w:rPr>
          <w:szCs w:val="24"/>
        </w:rPr>
        <w:t>Control system chain pin, material is 35Cr steel.</w:t>
      </w:r>
    </w:p>
    <w:p w14:paraId="00618E8F">
      <w:pPr>
        <w:pStyle w:val="16"/>
        <w:spacing w:before="31" w:after="31"/>
        <w:ind w:firstLine="480"/>
        <w:rPr>
          <w:szCs w:val="24"/>
        </w:rPr>
      </w:pPr>
    </w:p>
    <w:p w14:paraId="39A6A3CB">
      <w:pPr>
        <w:pStyle w:val="16"/>
        <w:spacing w:before="31" w:after="31"/>
        <w:ind w:firstLine="480"/>
        <w:rPr>
          <w:szCs w:val="24"/>
        </w:rPr>
      </w:pPr>
      <w:r>
        <w:rPr>
          <w:szCs w:val="24"/>
        </w:rPr>
        <w:t>(5) Failure Appearance</w:t>
      </w:r>
    </w:p>
    <w:p w14:paraId="48E68427">
      <w:pPr>
        <w:pStyle w:val="16"/>
        <w:spacing w:before="31" w:after="31"/>
        <w:ind w:firstLine="480"/>
        <w:rPr>
          <w:szCs w:val="24"/>
        </w:rPr>
      </w:pPr>
      <w:r>
        <w:rPr>
          <w:szCs w:val="24"/>
        </w:rPr>
        <w:t>The fracture or crack of the failed component occurred on the pin connecting the various chain plates, and the sleeve covering the pin also fractured. It was observed that it was a one-time overload fracture. The crack on the pin is shown in Figure 7-15.2, with a length of approximately 6 mm on the outer surface, accounting for 70% of the pin circumference. The crack in the middle is mostly perpendicular to the axis of the pin, with the tips on both sides inclined in the same direction at an angle of approximately 45 degrees to the axis. The pin surface shows numerous pits and scratches. The middle of the crack passes through a pit on the surface, as shown in Figure 7-15.3.</w:t>
      </w:r>
    </w:p>
    <w:p w14:paraId="4E68B97D">
      <w:pPr>
        <w:pStyle w:val="16"/>
        <w:spacing w:before="31" w:after="31"/>
        <w:ind w:firstLine="480"/>
        <w:rPr>
          <w:szCs w:val="24"/>
        </w:rPr>
      </w:pPr>
      <w:r>
        <w:rPr>
          <w:szCs w:val="24"/>
        </w:rPr>
        <w:t>The surface of the pin is of poor quality, with many pits and scratches, as shown in Figures 7-15.2 to 7-15.4.</w:t>
      </w:r>
    </w:p>
    <w:p w14:paraId="374B498C">
      <w:pPr>
        <w:pStyle w:val="16"/>
        <w:spacing w:before="31" w:after="31"/>
        <w:ind w:firstLine="482"/>
        <w:jc w:val="center"/>
        <w:rPr>
          <w:b/>
          <w:bCs/>
          <w:szCs w:val="24"/>
        </w:rPr>
      </w:pPr>
      <w:r>
        <w:rPr>
          <w:b/>
          <w:bCs/>
          <w:szCs w:val="24"/>
        </w:rPr>
        <w:t>Figure 7-15.2 Crack on the Chain Pin</w:t>
      </w:r>
    </w:p>
    <w:p w14:paraId="0D8FEA05">
      <w:pPr>
        <w:pStyle w:val="16"/>
        <w:spacing w:before="31" w:after="31"/>
        <w:ind w:firstLine="482"/>
        <w:jc w:val="center"/>
        <w:rPr>
          <w:b/>
          <w:bCs/>
          <w:szCs w:val="24"/>
        </w:rPr>
      </w:pPr>
      <w:r>
        <w:rPr>
          <w:b/>
          <w:bCs/>
          <w:szCs w:val="24"/>
        </w:rPr>
        <w:t>Figure 7-15.3 Crack Passing through a Pit on the Pin Surface</w:t>
      </w:r>
    </w:p>
    <w:p w14:paraId="6B296044">
      <w:pPr>
        <w:pStyle w:val="16"/>
        <w:spacing w:before="31" w:after="31"/>
        <w:ind w:firstLine="482"/>
        <w:jc w:val="center"/>
        <w:rPr>
          <w:b/>
          <w:bCs/>
          <w:szCs w:val="24"/>
        </w:rPr>
      </w:pPr>
      <w:r>
        <w:rPr>
          <w:b/>
          <w:bCs/>
          <w:szCs w:val="24"/>
        </w:rPr>
        <w:t>Figure 7-15.4 Numerous Pits on the Pin Surface</w:t>
      </w:r>
    </w:p>
    <w:p w14:paraId="2D5F1088">
      <w:pPr>
        <w:pStyle w:val="16"/>
        <w:spacing w:before="31" w:after="31"/>
        <w:ind w:firstLine="480"/>
        <w:rPr>
          <w:szCs w:val="24"/>
        </w:rPr>
      </w:pPr>
      <w:r>
        <w:rPr>
          <w:szCs w:val="24"/>
        </w:rPr>
        <w:t>Artificially opened cracked pins show a fracture surface, as shown in Figure 7-15.5. The majority of the area on the fracture surface is gray-black, indicating an early fracture, while a local area is gray-white, indicating a final artificially induced fracture. The gray-black area on the fracture surface has obvious radial lines originating from the periphery, and faint fatigue arc lines perpendicular to the radial lines are visible. Upon magnification, clear fatigue band features are observed in the gray-black area, as shown in Figure 7-15.6. At the junction of the fatigue zone and the sudden fracture zone, micro-morphology is shown in Figure 7-15.7, with visible secondary fatigue cracks on one side and typical dimple features on the other side.</w:t>
      </w:r>
    </w:p>
    <w:p w14:paraId="330A06C0">
      <w:pPr>
        <w:pStyle w:val="16"/>
        <w:spacing w:before="31" w:after="31"/>
        <w:ind w:firstLine="480"/>
        <w:rPr>
          <w:szCs w:val="24"/>
        </w:rPr>
      </w:pPr>
    </w:p>
    <w:p w14:paraId="22B1C952">
      <w:pPr>
        <w:pStyle w:val="16"/>
        <w:spacing w:before="31" w:after="31"/>
        <w:ind w:firstLine="480"/>
        <w:rPr>
          <w:szCs w:val="24"/>
        </w:rPr>
      </w:pPr>
      <w:r>
        <w:rPr>
          <w:szCs w:val="24"/>
        </w:rPr>
        <w:t>As shown in Figure 7-15.8, the fatigue origin has a wide pit of approximately 136 µm in width and 19 µm in depth, which is part of the pit observed on the surface in Figure 7-15.2. Fatigue originates from the bottom of this pit.</w:t>
      </w:r>
    </w:p>
    <w:p w14:paraId="198512E7">
      <w:pPr>
        <w:pStyle w:val="16"/>
        <w:spacing w:before="31" w:after="31"/>
        <w:ind w:firstLine="480"/>
        <w:rPr>
          <w:szCs w:val="24"/>
        </w:rPr>
      </w:pPr>
    </w:p>
    <w:p w14:paraId="2132DFAB">
      <w:pPr>
        <w:pStyle w:val="16"/>
        <w:spacing w:before="31" w:after="31"/>
        <w:ind w:firstLine="480"/>
        <w:rPr>
          <w:szCs w:val="24"/>
        </w:rPr>
      </w:pPr>
      <w:r>
        <w:rPr>
          <w:szCs w:val="24"/>
        </w:rPr>
        <w:t>Energy-dispersive X-ray spectroscopy (EDS) analysis of the surface and the pit where the crack originated revealed the presence of elements such as phosphorus and zinc, as shown in Figures 7-15.9 and 7-15.10. The final treatment of the pin surface is phosphating, and there is no significant difference in composition between the pit and other areas on the surface, indicating that the pit existed before phosphating treatment.</w:t>
      </w:r>
    </w:p>
    <w:p w14:paraId="459174F9">
      <w:pPr>
        <w:pStyle w:val="16"/>
        <w:spacing w:before="31" w:after="31"/>
        <w:ind w:firstLine="482"/>
        <w:jc w:val="center"/>
        <w:rPr>
          <w:b/>
          <w:bCs/>
          <w:szCs w:val="24"/>
        </w:rPr>
      </w:pPr>
      <w:r>
        <w:rPr>
          <w:b/>
          <w:bCs/>
          <w:szCs w:val="24"/>
        </w:rPr>
        <w:t>Figure 7-15.5 Morphology of the Fractured Pin</w:t>
      </w:r>
    </w:p>
    <w:p w14:paraId="29C4F3F2">
      <w:pPr>
        <w:pStyle w:val="16"/>
        <w:spacing w:before="31" w:after="31"/>
        <w:ind w:firstLine="482"/>
        <w:jc w:val="center"/>
        <w:rPr>
          <w:b/>
          <w:bCs/>
          <w:szCs w:val="24"/>
        </w:rPr>
      </w:pPr>
      <w:r>
        <w:rPr>
          <w:b/>
          <w:bCs/>
          <w:szCs w:val="24"/>
        </w:rPr>
        <w:t>Figure 7-15.6 Fatigue Bands on the Fracture Surface</w:t>
      </w:r>
    </w:p>
    <w:p w14:paraId="24499B19">
      <w:pPr>
        <w:pStyle w:val="16"/>
        <w:spacing w:before="31" w:after="31"/>
        <w:ind w:firstLine="482"/>
        <w:jc w:val="center"/>
        <w:rPr>
          <w:b/>
          <w:bCs/>
          <w:szCs w:val="24"/>
        </w:rPr>
      </w:pPr>
      <w:r>
        <w:rPr>
          <w:b/>
          <w:bCs/>
          <w:szCs w:val="24"/>
        </w:rPr>
        <w:t>Figure 7-15.7 Microscopic Morphology at the Junction of the Fatigue Zone and Sudden Fracture Zone</w:t>
      </w:r>
    </w:p>
    <w:p w14:paraId="420F0330">
      <w:pPr>
        <w:pStyle w:val="16"/>
        <w:spacing w:before="31" w:after="31"/>
        <w:ind w:firstLine="482"/>
        <w:jc w:val="center"/>
        <w:rPr>
          <w:b/>
          <w:bCs/>
          <w:szCs w:val="24"/>
        </w:rPr>
      </w:pPr>
      <w:r>
        <w:rPr>
          <w:b/>
          <w:bCs/>
          <w:szCs w:val="24"/>
        </w:rPr>
        <w:t>Figure 7-15.8 Pit at the Fatigue Origin</w:t>
      </w:r>
    </w:p>
    <w:p w14:paraId="27A6DF4B">
      <w:pPr>
        <w:pStyle w:val="16"/>
        <w:spacing w:before="31" w:after="31"/>
        <w:ind w:firstLine="482"/>
        <w:jc w:val="center"/>
        <w:rPr>
          <w:b/>
          <w:bCs/>
          <w:szCs w:val="24"/>
        </w:rPr>
      </w:pPr>
      <w:r>
        <w:rPr>
          <w:b/>
          <w:bCs/>
          <w:szCs w:val="24"/>
        </w:rPr>
        <w:t>Figure 7-15.9 EDS Spectrum inside the Pit on the Pin Surface</w:t>
      </w:r>
    </w:p>
    <w:p w14:paraId="1B244DEA">
      <w:pPr>
        <w:widowControl/>
        <w:jc w:val="center"/>
        <w:rPr>
          <w:rFonts w:cs="宋体"/>
          <w:b/>
          <w:bCs/>
          <w:sz w:val="24"/>
        </w:rPr>
      </w:pPr>
      <w:r>
        <w:rPr>
          <w:b/>
          <w:bCs/>
        </w:rPr>
        <w:t>Figure 7-15.10 EDS Spectrum of the Pin Surface</w:t>
      </w:r>
    </w:p>
    <w:p w14:paraId="5ACDD84E">
      <w:pPr>
        <w:pStyle w:val="16"/>
        <w:spacing w:before="31" w:after="31"/>
        <w:ind w:firstLine="480"/>
        <w:rPr>
          <w:szCs w:val="24"/>
        </w:rPr>
      </w:pPr>
      <w:r>
        <w:rPr>
          <w:szCs w:val="24"/>
        </w:rPr>
        <w:t>The fracture surface of the broken pin is shown in Figure 7-15.11, with a flat fracture and no apparent plastic deformation nearby. Radiating lines originating from one side of the outer surface are clearly visible on the fracture surface. The fatigue zone occupies about 60% of the entire fracture surface, but the characteristic fatigue arc lines on the fracture are not obvious. The main fatigue source starts at the scratch on the outer surface, appearing as a linear fatigue source, as shown in Figure 7-15.12. Figure 7-15.13 indicates the presence of numerous radial scratches on the pin surface, and the bottom of the scratches is covered with parallel bead-like particles, as shown in Figure 7-15.14, confirmed by elemental analysis to be a phosphate film. Other surfaces with friction against the sleeve are polished, indicating that these scratches of varying thickness on the pin surface actually existed during the phosphating process, representing material defects rather than scratches caused by wear during use.</w:t>
      </w:r>
    </w:p>
    <w:p w14:paraId="7525C08E">
      <w:pPr>
        <w:pStyle w:val="16"/>
        <w:spacing w:before="31" w:after="31"/>
        <w:ind w:firstLine="482"/>
        <w:jc w:val="center"/>
        <w:rPr>
          <w:b/>
          <w:bCs/>
          <w:szCs w:val="24"/>
        </w:rPr>
      </w:pPr>
      <w:r>
        <w:rPr>
          <w:b/>
          <w:bCs/>
          <w:szCs w:val="24"/>
        </w:rPr>
        <w:t>Figure 7-15.11 Fracture Surface of the Broken Pin</w:t>
      </w:r>
    </w:p>
    <w:p w14:paraId="083EF418">
      <w:pPr>
        <w:pStyle w:val="16"/>
        <w:spacing w:before="31" w:after="31"/>
        <w:ind w:firstLine="482"/>
        <w:jc w:val="center"/>
        <w:rPr>
          <w:b/>
          <w:bCs/>
          <w:szCs w:val="24"/>
        </w:rPr>
      </w:pPr>
      <w:r>
        <w:rPr>
          <w:b/>
          <w:bCs/>
          <w:szCs w:val="24"/>
        </w:rPr>
        <w:t>Figure 7-15.12 Morphology of the Main Fatigue Source</w:t>
      </w:r>
    </w:p>
    <w:p w14:paraId="167E16D5">
      <w:pPr>
        <w:pStyle w:val="16"/>
        <w:spacing w:before="31" w:after="31"/>
        <w:ind w:firstLine="482"/>
        <w:jc w:val="center"/>
        <w:rPr>
          <w:b/>
          <w:bCs/>
          <w:szCs w:val="24"/>
        </w:rPr>
      </w:pPr>
      <w:r>
        <w:rPr>
          <w:b/>
          <w:bCs/>
          <w:szCs w:val="24"/>
        </w:rPr>
        <w:t>Figure 7-15.13 Morphology of the Bottom of the Scratch</w:t>
      </w:r>
    </w:p>
    <w:p w14:paraId="5BF61308">
      <w:pPr>
        <w:pStyle w:val="16"/>
        <w:spacing w:before="31" w:after="31"/>
        <w:ind w:firstLine="482"/>
        <w:jc w:val="center"/>
        <w:rPr>
          <w:b/>
          <w:bCs/>
          <w:szCs w:val="24"/>
        </w:rPr>
      </w:pPr>
      <w:r>
        <w:rPr>
          <w:b/>
          <w:bCs/>
          <w:szCs w:val="24"/>
        </w:rPr>
        <w:t>Figure 7-15.14 Morphology of the Bottom of the Scratch</w:t>
      </w:r>
    </w:p>
    <w:p w14:paraId="0A450163">
      <w:pPr>
        <w:pStyle w:val="16"/>
        <w:spacing w:before="31" w:after="31"/>
        <w:ind w:firstLine="480"/>
        <w:rPr>
          <w:szCs w:val="24"/>
        </w:rPr>
      </w:pPr>
      <w:r>
        <w:rPr>
          <w:szCs w:val="24"/>
        </w:rPr>
        <w:t>Chemical composition analysis was conducted on the pin, and the results are shown in Table 7-5. Referring to the GB/T 3077-1999 standard, the chemical composition of the pin meets the requirements for 35Cr steel.</w:t>
      </w:r>
    </w:p>
    <w:p w14:paraId="1452E086">
      <w:pPr>
        <w:pStyle w:val="16"/>
        <w:spacing w:before="31" w:after="31"/>
        <w:ind w:firstLine="480"/>
        <w:rPr>
          <w:szCs w:val="24"/>
        </w:rPr>
      </w:pPr>
    </w:p>
    <w:p w14:paraId="4A7C38F0">
      <w:pPr>
        <w:pStyle w:val="16"/>
        <w:spacing w:before="31" w:after="31"/>
        <w:ind w:firstLine="482"/>
        <w:jc w:val="center"/>
        <w:rPr>
          <w:b/>
          <w:bCs/>
          <w:szCs w:val="24"/>
        </w:rPr>
      </w:pPr>
      <w:r>
        <w:rPr>
          <w:b/>
          <w:bCs/>
          <w:szCs w:val="24"/>
        </w:rPr>
        <w:t>Table 7-5 Chemical Composition of the Pin (Mass Fraction %)</w:t>
      </w:r>
    </w:p>
    <w:p w14:paraId="1AA13B3D">
      <w:pPr>
        <w:pStyle w:val="16"/>
        <w:spacing w:before="31" w:after="31"/>
        <w:ind w:firstLine="480"/>
        <w:rPr>
          <w:szCs w:val="24"/>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
        <w:gridCol w:w="1186"/>
        <w:gridCol w:w="742"/>
        <w:gridCol w:w="742"/>
        <w:gridCol w:w="742"/>
        <w:gridCol w:w="803"/>
        <w:gridCol w:w="803"/>
        <w:gridCol w:w="742"/>
        <w:gridCol w:w="743"/>
        <w:gridCol w:w="990"/>
      </w:tblGrid>
      <w:tr w14:paraId="31FFA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5AF04D13">
            <w:pPr>
              <w:pStyle w:val="16"/>
              <w:spacing w:before="31" w:after="31"/>
              <w:ind w:firstLine="0" w:firstLineChars="0"/>
              <w:rPr>
                <w:szCs w:val="24"/>
              </w:rPr>
            </w:pPr>
            <w:r>
              <w:rPr>
                <w:szCs w:val="24"/>
              </w:rPr>
              <w:t>Material</w:t>
            </w:r>
          </w:p>
        </w:tc>
        <w:tc>
          <w:tcPr>
            <w:tcW w:w="852" w:type="dxa"/>
          </w:tcPr>
          <w:p w14:paraId="4FC9B7A8">
            <w:pPr>
              <w:pStyle w:val="16"/>
              <w:spacing w:before="31" w:after="31"/>
              <w:ind w:firstLine="0" w:firstLineChars="0"/>
              <w:rPr>
                <w:szCs w:val="24"/>
              </w:rPr>
            </w:pPr>
            <w:r>
              <w:rPr>
                <w:szCs w:val="24"/>
              </w:rPr>
              <w:t xml:space="preserve">    C</w:t>
            </w:r>
          </w:p>
        </w:tc>
        <w:tc>
          <w:tcPr>
            <w:tcW w:w="852" w:type="dxa"/>
          </w:tcPr>
          <w:p w14:paraId="08977523">
            <w:pPr>
              <w:pStyle w:val="16"/>
              <w:spacing w:before="31" w:after="31"/>
              <w:ind w:firstLine="0" w:firstLineChars="0"/>
              <w:rPr>
                <w:szCs w:val="24"/>
              </w:rPr>
            </w:pPr>
            <w:r>
              <w:rPr>
                <w:szCs w:val="24"/>
              </w:rPr>
              <w:t xml:space="preserve">     Si</w:t>
            </w:r>
          </w:p>
        </w:tc>
        <w:tc>
          <w:tcPr>
            <w:tcW w:w="852" w:type="dxa"/>
          </w:tcPr>
          <w:p w14:paraId="35756FAC">
            <w:pPr>
              <w:pStyle w:val="16"/>
              <w:spacing w:before="31" w:after="31"/>
              <w:ind w:firstLine="0" w:firstLineChars="0"/>
              <w:rPr>
                <w:szCs w:val="24"/>
              </w:rPr>
            </w:pPr>
            <w:r>
              <w:rPr>
                <w:szCs w:val="24"/>
              </w:rPr>
              <w:t xml:space="preserve">    Mn</w:t>
            </w:r>
          </w:p>
        </w:tc>
        <w:tc>
          <w:tcPr>
            <w:tcW w:w="852" w:type="dxa"/>
          </w:tcPr>
          <w:p w14:paraId="7549D68C">
            <w:pPr>
              <w:pStyle w:val="16"/>
              <w:spacing w:before="31" w:after="31"/>
              <w:ind w:firstLine="0" w:firstLineChars="0"/>
              <w:rPr>
                <w:szCs w:val="24"/>
              </w:rPr>
            </w:pPr>
            <w:r>
              <w:rPr>
                <w:szCs w:val="24"/>
              </w:rPr>
              <w:t xml:space="preserve">     Cr</w:t>
            </w:r>
          </w:p>
        </w:tc>
        <w:tc>
          <w:tcPr>
            <w:tcW w:w="852" w:type="dxa"/>
          </w:tcPr>
          <w:p w14:paraId="2CB8BA7D">
            <w:pPr>
              <w:pStyle w:val="16"/>
              <w:spacing w:before="31" w:after="31"/>
              <w:ind w:firstLine="0" w:firstLineChars="0"/>
              <w:rPr>
                <w:szCs w:val="24"/>
              </w:rPr>
            </w:pPr>
            <w:r>
              <w:rPr>
                <w:szCs w:val="24"/>
              </w:rPr>
              <w:t xml:space="preserve">    S</w:t>
            </w:r>
          </w:p>
        </w:tc>
        <w:tc>
          <w:tcPr>
            <w:tcW w:w="852" w:type="dxa"/>
          </w:tcPr>
          <w:p w14:paraId="45D70A2D">
            <w:pPr>
              <w:pStyle w:val="16"/>
              <w:spacing w:before="31" w:after="31"/>
              <w:ind w:firstLine="0" w:firstLineChars="0"/>
              <w:rPr>
                <w:szCs w:val="24"/>
              </w:rPr>
            </w:pPr>
            <w:r>
              <w:rPr>
                <w:szCs w:val="24"/>
              </w:rPr>
              <w:t xml:space="preserve">     P</w:t>
            </w:r>
          </w:p>
        </w:tc>
        <w:tc>
          <w:tcPr>
            <w:tcW w:w="852" w:type="dxa"/>
          </w:tcPr>
          <w:p w14:paraId="65AE4619">
            <w:pPr>
              <w:pStyle w:val="16"/>
              <w:spacing w:before="31" w:after="31"/>
              <w:ind w:firstLine="0" w:firstLineChars="0"/>
              <w:rPr>
                <w:szCs w:val="24"/>
              </w:rPr>
            </w:pPr>
            <w:r>
              <w:rPr>
                <w:szCs w:val="24"/>
              </w:rPr>
              <w:t xml:space="preserve">     Ni</w:t>
            </w:r>
          </w:p>
        </w:tc>
        <w:tc>
          <w:tcPr>
            <w:tcW w:w="853" w:type="dxa"/>
          </w:tcPr>
          <w:p w14:paraId="69C4208B">
            <w:pPr>
              <w:pStyle w:val="16"/>
              <w:spacing w:before="31" w:after="31"/>
              <w:ind w:firstLine="0" w:firstLineChars="0"/>
              <w:rPr>
                <w:szCs w:val="24"/>
              </w:rPr>
            </w:pPr>
            <w:r>
              <w:rPr>
                <w:szCs w:val="24"/>
              </w:rPr>
              <w:t xml:space="preserve">     Cu</w:t>
            </w:r>
          </w:p>
        </w:tc>
        <w:tc>
          <w:tcPr>
            <w:tcW w:w="853" w:type="dxa"/>
          </w:tcPr>
          <w:p w14:paraId="2421712E">
            <w:pPr>
              <w:pStyle w:val="16"/>
              <w:spacing w:before="31" w:after="31"/>
              <w:ind w:firstLine="0" w:firstLineChars="0"/>
              <w:rPr>
                <w:szCs w:val="24"/>
              </w:rPr>
            </w:pPr>
            <w:r>
              <w:rPr>
                <w:szCs w:val="24"/>
              </w:rPr>
              <w:t xml:space="preserve">     Fe</w:t>
            </w:r>
          </w:p>
        </w:tc>
      </w:tr>
      <w:tr w14:paraId="228BA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38E0E38E">
            <w:pPr>
              <w:pStyle w:val="16"/>
              <w:spacing w:before="31" w:after="31"/>
              <w:ind w:firstLine="0" w:firstLineChars="0"/>
              <w:rPr>
                <w:szCs w:val="24"/>
              </w:rPr>
            </w:pPr>
            <w:r>
              <w:rPr>
                <w:szCs w:val="24"/>
              </w:rPr>
              <w:t>Pin</w:t>
            </w:r>
          </w:p>
        </w:tc>
        <w:tc>
          <w:tcPr>
            <w:tcW w:w="852" w:type="dxa"/>
          </w:tcPr>
          <w:p w14:paraId="2686A191">
            <w:pPr>
              <w:pStyle w:val="16"/>
              <w:spacing w:before="31" w:after="31"/>
              <w:ind w:firstLine="0" w:firstLineChars="0"/>
              <w:rPr>
                <w:szCs w:val="24"/>
              </w:rPr>
            </w:pPr>
            <w:r>
              <w:rPr>
                <w:szCs w:val="24"/>
              </w:rPr>
              <w:t xml:space="preserve">       0.33</w:t>
            </w:r>
          </w:p>
        </w:tc>
        <w:tc>
          <w:tcPr>
            <w:tcW w:w="852" w:type="dxa"/>
          </w:tcPr>
          <w:p w14:paraId="15F10F7F">
            <w:pPr>
              <w:pStyle w:val="16"/>
              <w:spacing w:before="31" w:after="31"/>
              <w:ind w:firstLine="0" w:firstLineChars="0"/>
              <w:rPr>
                <w:szCs w:val="24"/>
              </w:rPr>
            </w:pPr>
            <w:r>
              <w:rPr>
                <w:szCs w:val="24"/>
              </w:rPr>
              <w:t xml:space="preserve">  0.38</w:t>
            </w:r>
          </w:p>
        </w:tc>
        <w:tc>
          <w:tcPr>
            <w:tcW w:w="852" w:type="dxa"/>
          </w:tcPr>
          <w:p w14:paraId="5BEC2A1E">
            <w:pPr>
              <w:pStyle w:val="16"/>
              <w:spacing w:before="31" w:after="31"/>
              <w:ind w:firstLine="0" w:firstLineChars="0"/>
              <w:rPr>
                <w:szCs w:val="24"/>
              </w:rPr>
            </w:pPr>
            <w:r>
              <w:rPr>
                <w:szCs w:val="24"/>
              </w:rPr>
              <w:t xml:space="preserve"> 0.53</w:t>
            </w:r>
          </w:p>
        </w:tc>
        <w:tc>
          <w:tcPr>
            <w:tcW w:w="852" w:type="dxa"/>
          </w:tcPr>
          <w:p w14:paraId="0E189678">
            <w:pPr>
              <w:pStyle w:val="16"/>
              <w:spacing w:before="31" w:after="31"/>
              <w:ind w:firstLine="0" w:firstLineChars="0"/>
              <w:rPr>
                <w:szCs w:val="24"/>
              </w:rPr>
            </w:pPr>
            <w:r>
              <w:rPr>
                <w:szCs w:val="24"/>
              </w:rPr>
              <w:t xml:space="preserve"> 0.98</w:t>
            </w:r>
          </w:p>
        </w:tc>
        <w:tc>
          <w:tcPr>
            <w:tcW w:w="852" w:type="dxa"/>
          </w:tcPr>
          <w:p w14:paraId="60513DB4">
            <w:pPr>
              <w:pStyle w:val="16"/>
              <w:spacing w:before="31" w:after="31"/>
              <w:ind w:firstLine="0" w:firstLineChars="0"/>
              <w:rPr>
                <w:szCs w:val="24"/>
              </w:rPr>
            </w:pPr>
            <w:r>
              <w:rPr>
                <w:szCs w:val="24"/>
              </w:rPr>
              <w:t xml:space="preserve"> 0.021</w:t>
            </w:r>
          </w:p>
        </w:tc>
        <w:tc>
          <w:tcPr>
            <w:tcW w:w="852" w:type="dxa"/>
          </w:tcPr>
          <w:p w14:paraId="27B90081">
            <w:pPr>
              <w:pStyle w:val="16"/>
              <w:spacing w:before="31" w:after="31"/>
              <w:ind w:firstLine="0" w:firstLineChars="0"/>
              <w:rPr>
                <w:szCs w:val="24"/>
              </w:rPr>
            </w:pPr>
            <w:r>
              <w:rPr>
                <w:szCs w:val="24"/>
              </w:rPr>
              <w:t xml:space="preserve"> 0.022</w:t>
            </w:r>
          </w:p>
        </w:tc>
        <w:tc>
          <w:tcPr>
            <w:tcW w:w="852" w:type="dxa"/>
          </w:tcPr>
          <w:p w14:paraId="7F550DBB">
            <w:pPr>
              <w:pStyle w:val="16"/>
              <w:spacing w:before="31" w:after="31"/>
              <w:ind w:firstLine="0" w:firstLineChars="0"/>
              <w:rPr>
                <w:szCs w:val="24"/>
              </w:rPr>
            </w:pPr>
            <w:r>
              <w:rPr>
                <w:szCs w:val="24"/>
              </w:rPr>
              <w:t xml:space="preserve"> 0.21</w:t>
            </w:r>
          </w:p>
        </w:tc>
        <w:tc>
          <w:tcPr>
            <w:tcW w:w="853" w:type="dxa"/>
          </w:tcPr>
          <w:p w14:paraId="7CFCB9F6">
            <w:pPr>
              <w:pStyle w:val="16"/>
              <w:spacing w:before="31" w:after="31"/>
              <w:ind w:firstLine="0" w:firstLineChars="0"/>
              <w:rPr>
                <w:szCs w:val="24"/>
              </w:rPr>
            </w:pPr>
            <w:r>
              <w:rPr>
                <w:szCs w:val="24"/>
              </w:rPr>
              <w:t xml:space="preserve"> 0.26</w:t>
            </w:r>
          </w:p>
        </w:tc>
        <w:tc>
          <w:tcPr>
            <w:tcW w:w="853" w:type="dxa"/>
          </w:tcPr>
          <w:p w14:paraId="06771C77">
            <w:pPr>
              <w:pStyle w:val="16"/>
              <w:spacing w:before="31" w:after="31"/>
              <w:ind w:firstLine="0" w:firstLineChars="0"/>
              <w:rPr>
                <w:szCs w:val="24"/>
              </w:rPr>
            </w:pPr>
            <w:r>
              <w:rPr>
                <w:szCs w:val="24"/>
              </w:rPr>
              <w:t xml:space="preserve"> Balance</w:t>
            </w:r>
          </w:p>
        </w:tc>
      </w:tr>
      <w:tr w14:paraId="4B0E5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34764F1">
            <w:pPr>
              <w:pStyle w:val="16"/>
              <w:spacing w:before="31" w:after="31"/>
              <w:ind w:firstLine="0" w:firstLineChars="0"/>
              <w:rPr>
                <w:rFonts w:hint="eastAsia"/>
                <w:szCs w:val="24"/>
              </w:rPr>
            </w:pPr>
            <w:r>
              <w:rPr>
                <w:rFonts w:hint="eastAsia"/>
                <w:szCs w:val="24"/>
              </w:rPr>
              <w:t>35Cr Steel</w:t>
            </w:r>
          </w:p>
        </w:tc>
        <w:tc>
          <w:tcPr>
            <w:tcW w:w="852" w:type="dxa"/>
          </w:tcPr>
          <w:p w14:paraId="44F86D1C">
            <w:pPr>
              <w:pStyle w:val="16"/>
              <w:spacing w:before="31" w:after="31"/>
              <w:ind w:firstLine="0" w:firstLineChars="0"/>
              <w:rPr>
                <w:rFonts w:hint="eastAsia"/>
                <w:szCs w:val="24"/>
              </w:rPr>
            </w:pPr>
            <w:r>
              <w:rPr>
                <w:rFonts w:hint="eastAsia"/>
                <w:szCs w:val="24"/>
              </w:rPr>
              <w:t xml:space="preserve"> 0.32~0.39 0.17~0.37 0.50~0.80 0.80~1.10 ≤0.035 ≤0.035 ≤0.030 ≤0.030 Balance</w:t>
            </w:r>
          </w:p>
        </w:tc>
        <w:tc>
          <w:tcPr>
            <w:tcW w:w="852" w:type="dxa"/>
          </w:tcPr>
          <w:p w14:paraId="097E92CF">
            <w:pPr>
              <w:pStyle w:val="16"/>
              <w:spacing w:before="31" w:after="31"/>
              <w:ind w:firstLine="0" w:firstLineChars="0"/>
              <w:rPr>
                <w:rFonts w:hint="eastAsia"/>
                <w:szCs w:val="24"/>
              </w:rPr>
            </w:pPr>
          </w:p>
        </w:tc>
        <w:tc>
          <w:tcPr>
            <w:tcW w:w="852" w:type="dxa"/>
          </w:tcPr>
          <w:p w14:paraId="57D2B530">
            <w:pPr>
              <w:pStyle w:val="16"/>
              <w:spacing w:before="31" w:after="31"/>
              <w:ind w:firstLine="0" w:firstLineChars="0"/>
              <w:rPr>
                <w:rFonts w:hint="eastAsia"/>
                <w:szCs w:val="24"/>
              </w:rPr>
            </w:pPr>
          </w:p>
        </w:tc>
        <w:tc>
          <w:tcPr>
            <w:tcW w:w="852" w:type="dxa"/>
          </w:tcPr>
          <w:p w14:paraId="497DCFCC">
            <w:pPr>
              <w:pStyle w:val="16"/>
              <w:spacing w:before="31" w:after="31"/>
              <w:ind w:firstLine="0" w:firstLineChars="0"/>
              <w:rPr>
                <w:rFonts w:hint="eastAsia"/>
                <w:szCs w:val="24"/>
              </w:rPr>
            </w:pPr>
          </w:p>
        </w:tc>
        <w:tc>
          <w:tcPr>
            <w:tcW w:w="852" w:type="dxa"/>
          </w:tcPr>
          <w:p w14:paraId="7A99AB62">
            <w:pPr>
              <w:pStyle w:val="16"/>
              <w:spacing w:before="31" w:after="31"/>
              <w:ind w:firstLine="0" w:firstLineChars="0"/>
              <w:rPr>
                <w:rFonts w:hint="eastAsia"/>
                <w:szCs w:val="24"/>
              </w:rPr>
            </w:pPr>
          </w:p>
        </w:tc>
        <w:tc>
          <w:tcPr>
            <w:tcW w:w="852" w:type="dxa"/>
          </w:tcPr>
          <w:p w14:paraId="7450CC7A">
            <w:pPr>
              <w:pStyle w:val="16"/>
              <w:spacing w:before="31" w:after="31"/>
              <w:ind w:firstLine="0" w:firstLineChars="0"/>
              <w:rPr>
                <w:rFonts w:hint="eastAsia"/>
                <w:szCs w:val="24"/>
              </w:rPr>
            </w:pPr>
          </w:p>
        </w:tc>
        <w:tc>
          <w:tcPr>
            <w:tcW w:w="852" w:type="dxa"/>
          </w:tcPr>
          <w:p w14:paraId="5AC16A84">
            <w:pPr>
              <w:pStyle w:val="16"/>
              <w:spacing w:before="31" w:after="31"/>
              <w:ind w:firstLine="0" w:firstLineChars="0"/>
              <w:rPr>
                <w:rFonts w:hint="eastAsia"/>
                <w:szCs w:val="24"/>
              </w:rPr>
            </w:pPr>
          </w:p>
        </w:tc>
        <w:tc>
          <w:tcPr>
            <w:tcW w:w="853" w:type="dxa"/>
          </w:tcPr>
          <w:p w14:paraId="49203015">
            <w:pPr>
              <w:pStyle w:val="16"/>
              <w:spacing w:before="31" w:after="31"/>
              <w:ind w:firstLine="0" w:firstLineChars="0"/>
              <w:rPr>
                <w:rFonts w:hint="eastAsia"/>
                <w:szCs w:val="24"/>
              </w:rPr>
            </w:pPr>
          </w:p>
        </w:tc>
        <w:tc>
          <w:tcPr>
            <w:tcW w:w="853" w:type="dxa"/>
          </w:tcPr>
          <w:p w14:paraId="72E15F35">
            <w:pPr>
              <w:pStyle w:val="16"/>
              <w:spacing w:before="31" w:after="31"/>
              <w:ind w:firstLine="0" w:firstLineChars="0"/>
              <w:rPr>
                <w:rFonts w:hint="eastAsia"/>
                <w:szCs w:val="24"/>
              </w:rPr>
            </w:pPr>
          </w:p>
        </w:tc>
      </w:tr>
    </w:tbl>
    <w:p w14:paraId="4C750D14">
      <w:pPr>
        <w:pStyle w:val="16"/>
        <w:spacing w:before="31" w:after="31"/>
        <w:ind w:firstLine="480"/>
        <w:rPr>
          <w:szCs w:val="24"/>
        </w:rPr>
      </w:pPr>
    </w:p>
    <w:p w14:paraId="418396C0">
      <w:pPr>
        <w:pStyle w:val="16"/>
        <w:spacing w:before="31" w:after="31"/>
        <w:ind w:firstLine="480"/>
        <w:rPr>
          <w:szCs w:val="24"/>
        </w:rPr>
      </w:pPr>
      <w:r>
        <w:rPr>
          <w:szCs w:val="24"/>
        </w:rPr>
        <w:t>(6) Analysis of Failure Causes</w:t>
      </w:r>
    </w:p>
    <w:p w14:paraId="703B1F76">
      <w:pPr>
        <w:pStyle w:val="16"/>
        <w:spacing w:before="31" w:after="31"/>
        <w:ind w:firstLine="480"/>
        <w:rPr>
          <w:szCs w:val="24"/>
        </w:rPr>
      </w:pPr>
      <w:r>
        <w:rPr>
          <w:szCs w:val="24"/>
        </w:rPr>
        <w:t>Scratches and pits defects exist on the pin surface of both the cracked and fractured pins. These defects existed on the pin surface before phosphating treatment, becoming fatigue sources. The crack on the pin directly originates from the original pit on the surface (Figure 7-15.11). The high hardness of the surface layer of the chain pin is sensitive to surface roughness and notches.</w:t>
      </w:r>
    </w:p>
    <w:p w14:paraId="2732D84C">
      <w:pPr>
        <w:pStyle w:val="16"/>
        <w:spacing w:before="31" w:after="31"/>
        <w:ind w:firstLine="480"/>
        <w:rPr>
          <w:szCs w:val="24"/>
        </w:rPr>
      </w:pPr>
    </w:p>
    <w:p w14:paraId="64A09AC6">
      <w:pPr>
        <w:pStyle w:val="16"/>
        <w:spacing w:before="31" w:after="31"/>
        <w:ind w:firstLine="480"/>
        <w:rPr>
          <w:szCs w:val="24"/>
        </w:rPr>
      </w:pPr>
      <w:r>
        <w:rPr>
          <w:szCs w:val="24"/>
        </w:rPr>
        <w:t>The cracks on the cracked pin and the fracture surface of the broken pin have sufficient fatigue extension, with a macroscopically flat and delicate fracture surface, indicating a relatively long fatigue process.</w:t>
      </w:r>
    </w:p>
    <w:p w14:paraId="005E7C7E">
      <w:pPr>
        <w:pStyle w:val="16"/>
        <w:spacing w:before="31" w:after="31"/>
        <w:ind w:firstLine="480"/>
        <w:rPr>
          <w:szCs w:val="24"/>
        </w:rPr>
      </w:pPr>
    </w:p>
    <w:p w14:paraId="43DAAA17">
      <w:pPr>
        <w:pStyle w:val="16"/>
        <w:spacing w:before="31" w:after="31"/>
        <w:ind w:firstLine="480"/>
        <w:rPr>
          <w:szCs w:val="24"/>
        </w:rPr>
      </w:pPr>
      <w:r>
        <w:rPr>
          <w:szCs w:val="24"/>
        </w:rPr>
        <w:t>Most chain pins break in the middle, and there are obvious axial polished traces on the surface where the sleeve contacts the pin, with lighter polishing on the side where the fatigue originates and heavier polishing on the side under compression. This indicates that the pin undergoes fatigue fracture under unidirectional bending alternating loads.</w:t>
      </w:r>
    </w:p>
    <w:p w14:paraId="36BC16AA">
      <w:pPr>
        <w:pStyle w:val="16"/>
        <w:spacing w:before="31" w:after="31"/>
        <w:ind w:firstLine="480"/>
        <w:rPr>
          <w:szCs w:val="24"/>
        </w:rPr>
      </w:pPr>
    </w:p>
    <w:p w14:paraId="68BE459B">
      <w:pPr>
        <w:pStyle w:val="16"/>
        <w:spacing w:before="31" w:after="31"/>
        <w:ind w:firstLine="480"/>
        <w:rPr>
          <w:szCs w:val="24"/>
        </w:rPr>
      </w:pPr>
      <w:r>
        <w:rPr>
          <w:szCs w:val="24"/>
        </w:rPr>
        <w:t>From the perspective of the chain structure, under normal circumstances, the pin should bear pure shear stress, and unidirectional bending fatigue fracture should not occur. However, after long-term operation, uneven wear and thinning of various chain plates occur (the most severely worn chain plate in the failed chain has a thickness loss of more than 15%), and the pin not only bears shear stress but also</w:t>
      </w:r>
    </w:p>
    <w:p w14:paraId="668140F2">
      <w:pPr>
        <w:pStyle w:val="16"/>
        <w:spacing w:before="31" w:after="31"/>
        <w:ind w:firstLine="480"/>
        <w:rPr>
          <w:szCs w:val="24"/>
        </w:rPr>
      </w:pPr>
    </w:p>
    <w:p w14:paraId="07A56480">
      <w:pPr>
        <w:pStyle w:val="16"/>
        <w:spacing w:before="31" w:after="31"/>
        <w:ind w:firstLine="480"/>
        <w:rPr>
          <w:szCs w:val="24"/>
        </w:rPr>
      </w:pPr>
      <w:r>
        <w:rPr>
          <w:szCs w:val="24"/>
        </w:rPr>
        <w:t xml:space="preserve"> undergoes bending loads.</w:t>
      </w:r>
    </w:p>
    <w:p w14:paraId="6F0D3B25">
      <w:pPr>
        <w:pStyle w:val="16"/>
        <w:spacing w:before="31" w:after="31"/>
        <w:ind w:firstLine="480"/>
        <w:rPr>
          <w:szCs w:val="24"/>
        </w:rPr>
      </w:pPr>
    </w:p>
    <w:p w14:paraId="69A2E091">
      <w:pPr>
        <w:pStyle w:val="16"/>
        <w:spacing w:before="31" w:after="31"/>
        <w:ind w:firstLine="480"/>
        <w:rPr>
          <w:szCs w:val="24"/>
        </w:rPr>
      </w:pPr>
      <w:r>
        <w:rPr>
          <w:szCs w:val="24"/>
        </w:rPr>
        <w:t>(7) Impact and Harm</w:t>
      </w:r>
    </w:p>
    <w:p w14:paraId="288E0AB2">
      <w:pPr>
        <w:pStyle w:val="16"/>
        <w:spacing w:before="31" w:after="31"/>
        <w:ind w:firstLine="480"/>
        <w:rPr>
          <w:szCs w:val="24"/>
        </w:rPr>
      </w:pPr>
      <w:r>
        <w:rPr>
          <w:szCs w:val="24"/>
        </w:rPr>
        <w:t>It causes control system failure, affecting flight safety.</w:t>
      </w:r>
    </w:p>
    <w:p w14:paraId="6C3D1758">
      <w:pPr>
        <w:pStyle w:val="16"/>
        <w:spacing w:before="31" w:after="31"/>
        <w:ind w:firstLine="480"/>
        <w:rPr>
          <w:szCs w:val="24"/>
        </w:rPr>
      </w:pPr>
    </w:p>
    <w:p w14:paraId="7EB56C26">
      <w:pPr>
        <w:pStyle w:val="16"/>
        <w:spacing w:before="31" w:after="31"/>
        <w:ind w:firstLine="480"/>
        <w:rPr>
          <w:szCs w:val="24"/>
        </w:rPr>
      </w:pPr>
      <w:r>
        <w:rPr>
          <w:szCs w:val="24"/>
        </w:rPr>
        <w:t>(8) Conclusion and Improvement Measures</w:t>
      </w:r>
    </w:p>
    <w:p w14:paraId="30B7C9CF">
      <w:pPr>
        <w:pStyle w:val="16"/>
        <w:spacing w:before="31" w:after="31"/>
        <w:ind w:firstLine="0" w:firstLineChars="0"/>
        <w:rPr>
          <w:szCs w:val="24"/>
        </w:rPr>
      </w:pPr>
      <w:r>
        <w:rPr>
          <w:szCs w:val="24"/>
        </w:rPr>
        <w:t>There are original scratches and pit defects on the surface of the chain pin, and long-term use results in severe wear of the chain plates, causing fatigue sources to form at the scratches or pits on the pin, ultimately leading to fatigue fracture of the pin.</w:t>
      </w:r>
    </w:p>
    <w:p w14:paraId="6C22BF83">
      <w:pPr>
        <w:pStyle w:val="16"/>
        <w:spacing w:before="31" w:after="31"/>
        <w:ind w:firstLine="0" w:firstLineChars="0"/>
        <w:rPr>
          <w:b/>
          <w:bCs/>
          <w:szCs w:val="24"/>
        </w:rPr>
      </w:pPr>
      <w:r>
        <w:rPr>
          <w:b/>
          <w:bCs/>
          <w:szCs w:val="24"/>
        </w:rPr>
        <w:t>7.2.16 Case 7-16 Stress Corrosion Cracking of Horizontal Stabilizer Rear Spar</w:t>
      </w:r>
    </w:p>
    <w:p w14:paraId="0C19F510">
      <w:pPr>
        <w:pStyle w:val="16"/>
        <w:spacing w:before="31" w:after="31"/>
        <w:ind w:firstLine="480"/>
        <w:rPr>
          <w:szCs w:val="24"/>
        </w:rPr>
      </w:pPr>
    </w:p>
    <w:p w14:paraId="5ADB0CA6">
      <w:pPr>
        <w:pStyle w:val="16"/>
        <w:spacing w:before="31" w:after="31"/>
        <w:ind w:firstLine="480"/>
        <w:rPr>
          <w:szCs w:val="24"/>
        </w:rPr>
      </w:pPr>
      <w:r>
        <w:rPr>
          <w:szCs w:val="24"/>
        </w:rPr>
        <w:t>(1) Case Name</w:t>
      </w:r>
    </w:p>
    <w:p w14:paraId="20813218">
      <w:pPr>
        <w:pStyle w:val="16"/>
        <w:spacing w:before="31" w:after="31"/>
        <w:ind w:firstLine="480"/>
        <w:rPr>
          <w:szCs w:val="24"/>
        </w:rPr>
      </w:pPr>
      <w:r>
        <w:rPr>
          <w:szCs w:val="24"/>
        </w:rPr>
        <w:t>Stress Corrosion Cracking of Horizontal Stabilizer Rear Spar [36]</w:t>
      </w:r>
    </w:p>
    <w:p w14:paraId="176B8AE1">
      <w:pPr>
        <w:pStyle w:val="16"/>
        <w:spacing w:before="31" w:after="31"/>
        <w:ind w:firstLine="480"/>
        <w:rPr>
          <w:szCs w:val="24"/>
        </w:rPr>
      </w:pPr>
    </w:p>
    <w:p w14:paraId="13BB8A25">
      <w:pPr>
        <w:pStyle w:val="16"/>
        <w:spacing w:before="31" w:after="31"/>
        <w:ind w:firstLine="480"/>
        <w:rPr>
          <w:szCs w:val="24"/>
        </w:rPr>
      </w:pPr>
      <w:r>
        <w:rPr>
          <w:szCs w:val="24"/>
        </w:rPr>
        <w:t>(2) Description of Failure Process</w:t>
      </w:r>
    </w:p>
    <w:p w14:paraId="1CAF6DF5">
      <w:pPr>
        <w:pStyle w:val="16"/>
        <w:spacing w:before="31" w:after="31"/>
        <w:ind w:firstLine="480"/>
        <w:rPr>
          <w:szCs w:val="24"/>
        </w:rPr>
      </w:pPr>
      <w:r>
        <w:rPr>
          <w:szCs w:val="24"/>
        </w:rPr>
        <w:t>During the 500-hour inspection, cracks were discovered in the lower left section of the horizontal stabilizer rear spar of an aircraft. The external appearance of the horizontal stabilizer rear spar is shown in Figure 7-16.1, with cracks located in the lower left part of the component, observable on both the inside and outside.</w:t>
      </w:r>
    </w:p>
    <w:p w14:paraId="30461D5D">
      <w:pPr>
        <w:pStyle w:val="16"/>
        <w:spacing w:before="31" w:after="31"/>
        <w:ind w:firstLine="482"/>
        <w:jc w:val="center"/>
        <w:rPr>
          <w:b/>
          <w:bCs/>
          <w:szCs w:val="24"/>
        </w:rPr>
      </w:pPr>
      <w:r>
        <w:rPr>
          <w:b/>
          <w:bCs/>
          <w:szCs w:val="24"/>
        </w:rPr>
        <w:t>Figure 7-16.1 External Appearance of the Failed Component</w:t>
      </w:r>
    </w:p>
    <w:p w14:paraId="0CE13B7A">
      <w:pPr>
        <w:pStyle w:val="16"/>
        <w:spacing w:before="31" w:after="31"/>
        <w:ind w:firstLine="480"/>
        <w:rPr>
          <w:szCs w:val="24"/>
        </w:rPr>
      </w:pPr>
    </w:p>
    <w:p w14:paraId="37B35DC2">
      <w:pPr>
        <w:pStyle w:val="16"/>
        <w:spacing w:before="31" w:after="31"/>
        <w:ind w:firstLine="480"/>
        <w:rPr>
          <w:szCs w:val="24"/>
        </w:rPr>
      </w:pPr>
      <w:r>
        <w:rPr>
          <w:szCs w:val="24"/>
        </w:rPr>
        <w:t>(3) Service Environment</w:t>
      </w:r>
    </w:p>
    <w:p w14:paraId="7720BC48">
      <w:pPr>
        <w:pStyle w:val="16"/>
        <w:spacing w:before="31" w:after="31"/>
        <w:ind w:firstLine="480"/>
        <w:rPr>
          <w:szCs w:val="24"/>
        </w:rPr>
      </w:pPr>
      <w:r>
        <w:rPr>
          <w:szCs w:val="24"/>
        </w:rPr>
        <w:t>Natural atmospheric environment.</w:t>
      </w:r>
    </w:p>
    <w:p w14:paraId="3DE40A12">
      <w:pPr>
        <w:pStyle w:val="16"/>
        <w:spacing w:before="31" w:after="31"/>
        <w:ind w:firstLine="480"/>
        <w:rPr>
          <w:szCs w:val="24"/>
        </w:rPr>
      </w:pPr>
    </w:p>
    <w:p w14:paraId="70632E60">
      <w:pPr>
        <w:pStyle w:val="16"/>
        <w:spacing w:before="31" w:after="31"/>
        <w:ind w:firstLine="480"/>
        <w:rPr>
          <w:szCs w:val="24"/>
        </w:rPr>
      </w:pPr>
      <w:r>
        <w:rPr>
          <w:szCs w:val="24"/>
        </w:rPr>
        <w:t>(4) Failed Component and Material</w:t>
      </w:r>
    </w:p>
    <w:p w14:paraId="27F710E9">
      <w:pPr>
        <w:pStyle w:val="16"/>
        <w:spacing w:before="31" w:after="31"/>
        <w:ind w:firstLine="480"/>
        <w:rPr>
          <w:szCs w:val="24"/>
        </w:rPr>
      </w:pPr>
      <w:r>
        <w:rPr>
          <w:szCs w:val="24"/>
        </w:rPr>
        <w:t>Horizontal stabilizer rear spar, material is T6 state LD5 high-strength forged aluminum.</w:t>
      </w:r>
    </w:p>
    <w:p w14:paraId="4C50942F">
      <w:pPr>
        <w:pStyle w:val="16"/>
        <w:spacing w:before="31" w:after="31"/>
        <w:ind w:firstLine="480"/>
        <w:rPr>
          <w:szCs w:val="24"/>
        </w:rPr>
      </w:pPr>
    </w:p>
    <w:p w14:paraId="4A51AB3C">
      <w:pPr>
        <w:pStyle w:val="16"/>
        <w:spacing w:before="31" w:after="31"/>
        <w:ind w:firstLine="480"/>
        <w:rPr>
          <w:szCs w:val="24"/>
        </w:rPr>
      </w:pPr>
      <w:r>
        <w:rPr>
          <w:szCs w:val="24"/>
        </w:rPr>
        <w:t>(5) Failure Appearance</w:t>
      </w:r>
    </w:p>
    <w:p w14:paraId="3A2306AC">
      <w:pPr>
        <w:pStyle w:val="16"/>
        <w:spacing w:before="31" w:after="31"/>
        <w:ind w:firstLine="480"/>
        <w:rPr>
          <w:szCs w:val="24"/>
        </w:rPr>
      </w:pPr>
      <w:r>
        <w:rPr>
          <w:szCs w:val="24"/>
        </w:rPr>
        <w:t>The cracks are discontinuous, with some material still in thin sheet-like connection within the cracks (Figure 7-16.2), and the anodized film in the local area near the crack has been damaged. The macroscopic appearance of the crack on the inside of the component is shown in Figure 7-16.3, with a larger opening at point A and bubbling observed at point B. After sawing along the crack at both ends, most of the area on both sides has completely separated, but there are still local areas connected in thin sheet-like form. After opening the crack, a large amount of light yellow and white substance is found distributed on the fracture surface, especially pronounced at the bubbling area at point B (Figure 7-16.4).</w:t>
      </w:r>
    </w:p>
    <w:p w14:paraId="2CD80E75">
      <w:pPr>
        <w:pStyle w:val="16"/>
        <w:spacing w:before="31" w:after="31"/>
        <w:ind w:firstLine="482"/>
        <w:jc w:val="center"/>
        <w:rPr>
          <w:b/>
          <w:bCs/>
          <w:szCs w:val="24"/>
        </w:rPr>
      </w:pPr>
      <w:r>
        <w:rPr>
          <w:b/>
          <w:bCs/>
          <w:szCs w:val="24"/>
        </w:rPr>
        <w:t>Figure 7-16.2 Macroscopic Appearance of the Side Crack</w:t>
      </w:r>
    </w:p>
    <w:p w14:paraId="2072279C">
      <w:pPr>
        <w:pStyle w:val="16"/>
        <w:spacing w:before="31" w:after="31"/>
        <w:ind w:firstLine="482"/>
        <w:jc w:val="center"/>
        <w:rPr>
          <w:b/>
          <w:bCs/>
          <w:szCs w:val="24"/>
        </w:rPr>
      </w:pPr>
      <w:r>
        <w:rPr>
          <w:b/>
          <w:bCs/>
          <w:szCs w:val="24"/>
        </w:rPr>
        <w:t>Figure 7-16.3 Macroscopic Appearance of the Inside Crack of the Component</w:t>
      </w:r>
    </w:p>
    <w:p w14:paraId="2EFB3F2A">
      <w:pPr>
        <w:pStyle w:val="16"/>
        <w:spacing w:before="31" w:after="31"/>
        <w:ind w:firstLine="482"/>
        <w:jc w:val="center"/>
        <w:rPr>
          <w:b/>
          <w:bCs/>
          <w:szCs w:val="24"/>
        </w:rPr>
      </w:pPr>
      <w:r>
        <w:rPr>
          <w:b/>
          <w:bCs/>
          <w:szCs w:val="24"/>
        </w:rPr>
        <w:t>Figure 7-16.4 Macroscopic Appearance after Opening the Crack at Point B</w:t>
      </w:r>
    </w:p>
    <w:p w14:paraId="77B2EE78">
      <w:pPr>
        <w:pStyle w:val="16"/>
        <w:spacing w:before="31" w:after="31"/>
        <w:ind w:firstLine="480"/>
        <w:rPr>
          <w:szCs w:val="24"/>
        </w:rPr>
      </w:pPr>
      <w:r>
        <w:rPr>
          <w:szCs w:val="24"/>
        </w:rPr>
        <w:t>The fracture surface was sawed into two sections along the middle and observed under a scanning electron microscope after cleaning. Numerous mud-like patterns were observed on the surface at point A (Figure 7-16.5). At the bubbling area at point B, the fracture surface appeared as multi-layered thin sheets, and there were abundant corrosion products between each pair of thin sheets (Figure 7-16.6).</w:t>
      </w:r>
    </w:p>
    <w:p w14:paraId="267364FC">
      <w:pPr>
        <w:pStyle w:val="16"/>
        <w:spacing w:before="31" w:after="31"/>
        <w:ind w:firstLine="480"/>
        <w:rPr>
          <w:szCs w:val="24"/>
        </w:rPr>
      </w:pPr>
    </w:p>
    <w:p w14:paraId="33F5E6E6">
      <w:pPr>
        <w:pStyle w:val="16"/>
        <w:spacing w:before="31" w:after="31"/>
        <w:ind w:firstLine="480"/>
        <w:rPr>
          <w:szCs w:val="24"/>
        </w:rPr>
      </w:pPr>
      <w:r>
        <w:rPr>
          <w:szCs w:val="24"/>
        </w:rPr>
        <w:t>Energy-dispersive X-ray spectroscopy (EDS) analysis of the corrosion area with mud-like patterns on the fracture surface revealed the presence of oxides and chlorides, with a high content of Cl element.</w:t>
      </w:r>
    </w:p>
    <w:p w14:paraId="6E8041E9">
      <w:pPr>
        <w:pStyle w:val="16"/>
        <w:spacing w:before="31" w:after="31"/>
        <w:ind w:firstLine="482"/>
        <w:jc w:val="center"/>
        <w:rPr>
          <w:b/>
          <w:bCs/>
          <w:szCs w:val="24"/>
        </w:rPr>
      </w:pPr>
      <w:r>
        <w:rPr>
          <w:b/>
          <w:bCs/>
          <w:szCs w:val="24"/>
        </w:rPr>
        <w:t>Figure 7-16.5 Mud-Like Patterns on the Fracture Surface at Point A</w:t>
      </w:r>
    </w:p>
    <w:p w14:paraId="062A4DD0">
      <w:pPr>
        <w:pStyle w:val="16"/>
        <w:spacing w:before="31" w:after="31"/>
        <w:ind w:firstLine="482"/>
        <w:jc w:val="center"/>
        <w:rPr>
          <w:b/>
          <w:bCs/>
          <w:szCs w:val="24"/>
        </w:rPr>
      </w:pPr>
      <w:r>
        <w:rPr>
          <w:b/>
          <w:bCs/>
          <w:szCs w:val="24"/>
        </w:rPr>
        <w:t>Figure 7-16.6 Microscopic Appearance of the Fracture Surface at Point B</w:t>
      </w:r>
    </w:p>
    <w:p w14:paraId="1FF7D485">
      <w:pPr>
        <w:pStyle w:val="16"/>
        <w:spacing w:before="31" w:after="31"/>
        <w:ind w:firstLine="480"/>
        <w:rPr>
          <w:szCs w:val="24"/>
        </w:rPr>
      </w:pPr>
      <w:r>
        <w:rPr>
          <w:szCs w:val="24"/>
        </w:rPr>
        <w:t>Metallographic samples were taken along the vertical direction of the crack without corrosion. The metallographic structure is shown in Figure 7-16.7 and Figure 7-16.8. A large number of branching and discontinuous extensions appeared at the end of the crack, causing the sample to form multiple thin sheets when it fractured. After corrosion with mixed acid, it was clearly seen that the crack in the middle extended along the grain boundaries, as shown in Figure 7-16.9.</w:t>
      </w:r>
    </w:p>
    <w:p w14:paraId="0C751DDE">
      <w:pPr>
        <w:pStyle w:val="16"/>
        <w:spacing w:before="31" w:after="31"/>
        <w:ind w:firstLine="482"/>
        <w:jc w:val="center"/>
        <w:rPr>
          <w:b/>
          <w:bCs/>
          <w:szCs w:val="24"/>
        </w:rPr>
      </w:pPr>
      <w:r>
        <w:rPr>
          <w:b/>
          <w:bCs/>
          <w:szCs w:val="24"/>
        </w:rPr>
        <w:t>Figure 7-16.7 Crack Initiation (Uncorroded)</w:t>
      </w:r>
    </w:p>
    <w:p w14:paraId="30503606">
      <w:pPr>
        <w:pStyle w:val="16"/>
        <w:spacing w:before="31" w:after="31"/>
        <w:ind w:firstLine="482"/>
        <w:jc w:val="center"/>
        <w:rPr>
          <w:b/>
          <w:bCs/>
          <w:szCs w:val="24"/>
        </w:rPr>
      </w:pPr>
      <w:r>
        <w:rPr>
          <w:b/>
          <w:bCs/>
          <w:szCs w:val="24"/>
        </w:rPr>
        <w:t>Figure 7-16.8 Crack Middle Section (Uncorroded)</w:t>
      </w:r>
    </w:p>
    <w:p w14:paraId="662A782D">
      <w:pPr>
        <w:pStyle w:val="16"/>
        <w:spacing w:before="31" w:after="31"/>
        <w:ind w:firstLine="482"/>
        <w:jc w:val="center"/>
        <w:rPr>
          <w:b/>
          <w:bCs/>
          <w:szCs w:val="24"/>
        </w:rPr>
      </w:pPr>
      <w:r>
        <w:rPr>
          <w:b/>
          <w:bCs/>
          <w:szCs w:val="24"/>
        </w:rPr>
        <w:t>Figure 7-16.9 Crack Middle Section (After Corrosion)</w:t>
      </w:r>
    </w:p>
    <w:p w14:paraId="065153F8">
      <w:pPr>
        <w:pStyle w:val="16"/>
        <w:spacing w:before="31" w:after="31"/>
        <w:ind w:firstLine="480"/>
        <w:rPr>
          <w:szCs w:val="24"/>
        </w:rPr>
      </w:pPr>
      <w:r>
        <w:rPr>
          <w:szCs w:val="24"/>
        </w:rPr>
        <w:t>Hardness samples were taken on the rear spar, and the hardness values obtained through Brinell hardness testing met the requirements of GJB 2351-95.</w:t>
      </w:r>
    </w:p>
    <w:p w14:paraId="790F0564">
      <w:pPr>
        <w:pStyle w:val="16"/>
        <w:spacing w:before="31" w:after="31"/>
        <w:ind w:firstLine="480"/>
        <w:rPr>
          <w:szCs w:val="24"/>
        </w:rPr>
      </w:pPr>
    </w:p>
    <w:p w14:paraId="504EC54A">
      <w:pPr>
        <w:pStyle w:val="16"/>
        <w:spacing w:before="31" w:after="31"/>
        <w:ind w:firstLine="480"/>
        <w:rPr>
          <w:szCs w:val="24"/>
        </w:rPr>
      </w:pPr>
      <w:r>
        <w:rPr>
          <w:szCs w:val="24"/>
        </w:rPr>
        <w:t>Chemical composition test results are shown in Table 7-6, and the chemical composition meets the requirements of GB/T 3190-008.</w:t>
      </w:r>
    </w:p>
    <w:p w14:paraId="78F37A60">
      <w:pPr>
        <w:pStyle w:val="16"/>
        <w:spacing w:before="31" w:after="31"/>
        <w:ind w:firstLine="480"/>
        <w:rPr>
          <w:szCs w:val="24"/>
        </w:rPr>
      </w:pPr>
    </w:p>
    <w:p w14:paraId="2FAAB48E">
      <w:pPr>
        <w:pStyle w:val="16"/>
        <w:spacing w:before="31" w:after="31"/>
        <w:ind w:firstLine="482"/>
        <w:jc w:val="center"/>
        <w:rPr>
          <w:b/>
          <w:bCs/>
          <w:szCs w:val="24"/>
        </w:rPr>
      </w:pPr>
      <w:r>
        <w:rPr>
          <w:b/>
          <w:bCs/>
          <w:szCs w:val="24"/>
        </w:rPr>
        <w:t>Table 7-6 Chemical Composition Analysis Results (Mass Fraction %)</w:t>
      </w:r>
    </w:p>
    <w:p w14:paraId="42DD72D8">
      <w:pPr>
        <w:pStyle w:val="16"/>
        <w:spacing w:before="31" w:after="31"/>
        <w:ind w:firstLine="480"/>
        <w:rPr>
          <w:szCs w:val="24"/>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196AE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D9160D7">
            <w:pPr>
              <w:pStyle w:val="16"/>
              <w:spacing w:before="31" w:after="31"/>
              <w:ind w:firstLine="0" w:firstLineChars="0"/>
              <w:rPr>
                <w:szCs w:val="24"/>
              </w:rPr>
            </w:pPr>
            <w:r>
              <w:rPr>
                <w:szCs w:val="24"/>
              </w:rPr>
              <w:t>Element</w:t>
            </w:r>
          </w:p>
        </w:tc>
        <w:tc>
          <w:tcPr>
            <w:tcW w:w="1704" w:type="dxa"/>
          </w:tcPr>
          <w:p w14:paraId="5D3CEBF3">
            <w:pPr>
              <w:pStyle w:val="16"/>
              <w:spacing w:before="31" w:after="31"/>
              <w:ind w:firstLine="0" w:firstLineChars="0"/>
              <w:rPr>
                <w:szCs w:val="24"/>
              </w:rPr>
            </w:pPr>
            <w:r>
              <w:rPr>
                <w:szCs w:val="24"/>
              </w:rPr>
              <w:t xml:space="preserve">    Cu</w:t>
            </w:r>
          </w:p>
        </w:tc>
        <w:tc>
          <w:tcPr>
            <w:tcW w:w="1704" w:type="dxa"/>
          </w:tcPr>
          <w:p w14:paraId="0534ACF0">
            <w:pPr>
              <w:pStyle w:val="16"/>
              <w:spacing w:before="31" w:after="31"/>
              <w:ind w:firstLine="0" w:firstLineChars="0"/>
              <w:rPr>
                <w:szCs w:val="24"/>
              </w:rPr>
            </w:pPr>
            <w:r>
              <w:rPr>
                <w:szCs w:val="24"/>
              </w:rPr>
              <w:t xml:space="preserve">    Mg</w:t>
            </w:r>
          </w:p>
        </w:tc>
        <w:tc>
          <w:tcPr>
            <w:tcW w:w="1705" w:type="dxa"/>
          </w:tcPr>
          <w:p w14:paraId="50DB16A1">
            <w:pPr>
              <w:pStyle w:val="16"/>
              <w:spacing w:before="31" w:after="31"/>
              <w:ind w:firstLine="0" w:firstLineChars="0"/>
              <w:rPr>
                <w:szCs w:val="24"/>
              </w:rPr>
            </w:pPr>
            <w:r>
              <w:rPr>
                <w:szCs w:val="24"/>
              </w:rPr>
              <w:t xml:space="preserve">    Mn</w:t>
            </w:r>
          </w:p>
        </w:tc>
        <w:tc>
          <w:tcPr>
            <w:tcW w:w="1705" w:type="dxa"/>
          </w:tcPr>
          <w:p w14:paraId="7FFFF51A">
            <w:pPr>
              <w:pStyle w:val="16"/>
              <w:spacing w:before="31" w:after="31"/>
              <w:ind w:firstLine="0" w:firstLineChars="0"/>
              <w:rPr>
                <w:szCs w:val="24"/>
              </w:rPr>
            </w:pPr>
            <w:r>
              <w:rPr>
                <w:szCs w:val="24"/>
              </w:rPr>
              <w:t xml:space="preserve">    SiC</w:t>
            </w:r>
          </w:p>
        </w:tc>
      </w:tr>
      <w:tr w14:paraId="2255C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4FCC19B">
            <w:pPr>
              <w:pStyle w:val="16"/>
              <w:spacing w:before="31" w:after="31"/>
              <w:ind w:firstLine="0" w:firstLineChars="0"/>
              <w:rPr>
                <w:szCs w:val="24"/>
              </w:rPr>
            </w:pPr>
            <w:r>
              <w:rPr>
                <w:szCs w:val="24"/>
              </w:rPr>
              <w:t>Sample</w:t>
            </w:r>
          </w:p>
        </w:tc>
        <w:tc>
          <w:tcPr>
            <w:tcW w:w="1704" w:type="dxa"/>
          </w:tcPr>
          <w:p w14:paraId="5F9C1C64">
            <w:pPr>
              <w:pStyle w:val="16"/>
              <w:spacing w:before="31" w:after="31"/>
              <w:ind w:firstLine="0" w:firstLineChars="0"/>
              <w:rPr>
                <w:szCs w:val="24"/>
              </w:rPr>
            </w:pPr>
            <w:r>
              <w:rPr>
                <w:szCs w:val="24"/>
              </w:rPr>
              <w:t xml:space="preserve">    1.92</w:t>
            </w:r>
          </w:p>
        </w:tc>
        <w:tc>
          <w:tcPr>
            <w:tcW w:w="1704" w:type="dxa"/>
          </w:tcPr>
          <w:p w14:paraId="02FA144E">
            <w:pPr>
              <w:pStyle w:val="16"/>
              <w:spacing w:before="31" w:after="31"/>
              <w:ind w:firstLine="0" w:firstLineChars="0"/>
              <w:rPr>
                <w:szCs w:val="24"/>
              </w:rPr>
            </w:pPr>
            <w:r>
              <w:rPr>
                <w:szCs w:val="24"/>
              </w:rPr>
              <w:t>0.44</w:t>
            </w:r>
          </w:p>
        </w:tc>
        <w:tc>
          <w:tcPr>
            <w:tcW w:w="1705" w:type="dxa"/>
          </w:tcPr>
          <w:p w14:paraId="4EE99DFF">
            <w:pPr>
              <w:pStyle w:val="16"/>
              <w:spacing w:before="31" w:after="31"/>
              <w:ind w:firstLine="0" w:firstLineChars="0"/>
              <w:rPr>
                <w:szCs w:val="24"/>
              </w:rPr>
            </w:pPr>
            <w:r>
              <w:rPr>
                <w:szCs w:val="24"/>
              </w:rPr>
              <w:t>0.50</w:t>
            </w:r>
          </w:p>
        </w:tc>
        <w:tc>
          <w:tcPr>
            <w:tcW w:w="1705" w:type="dxa"/>
          </w:tcPr>
          <w:p w14:paraId="735F192D">
            <w:pPr>
              <w:pStyle w:val="16"/>
              <w:spacing w:before="31" w:after="31"/>
              <w:ind w:firstLine="0" w:firstLineChars="0"/>
              <w:rPr>
                <w:szCs w:val="24"/>
              </w:rPr>
            </w:pPr>
            <w:r>
              <w:rPr>
                <w:szCs w:val="24"/>
              </w:rPr>
              <w:t>0.85</w:t>
            </w:r>
          </w:p>
        </w:tc>
      </w:tr>
      <w:tr w14:paraId="26A3E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FAD7079">
            <w:pPr>
              <w:pStyle w:val="16"/>
              <w:spacing w:before="31" w:after="31"/>
              <w:ind w:firstLine="0" w:firstLineChars="0"/>
              <w:rPr>
                <w:szCs w:val="24"/>
              </w:rPr>
            </w:pPr>
            <w:r>
              <w:rPr>
                <w:szCs w:val="24"/>
              </w:rPr>
              <w:t>Standard</w:t>
            </w:r>
          </w:p>
        </w:tc>
        <w:tc>
          <w:tcPr>
            <w:tcW w:w="1704" w:type="dxa"/>
          </w:tcPr>
          <w:p w14:paraId="4BC0A67A">
            <w:pPr>
              <w:pStyle w:val="16"/>
              <w:spacing w:before="31" w:after="31"/>
              <w:ind w:firstLine="0" w:firstLineChars="0"/>
              <w:rPr>
                <w:szCs w:val="24"/>
              </w:rPr>
            </w:pPr>
            <w:r>
              <w:rPr>
                <w:szCs w:val="24"/>
              </w:rPr>
              <w:t>1.80~2.60</w:t>
            </w:r>
          </w:p>
        </w:tc>
        <w:tc>
          <w:tcPr>
            <w:tcW w:w="1704" w:type="dxa"/>
          </w:tcPr>
          <w:p w14:paraId="38BF6BF7">
            <w:pPr>
              <w:pStyle w:val="16"/>
              <w:spacing w:before="31" w:after="31"/>
              <w:ind w:firstLine="0" w:firstLineChars="0"/>
              <w:rPr>
                <w:szCs w:val="24"/>
              </w:rPr>
            </w:pPr>
            <w:r>
              <w:rPr>
                <w:szCs w:val="24"/>
              </w:rPr>
              <w:t>0.40~0.80</w:t>
            </w:r>
          </w:p>
        </w:tc>
        <w:tc>
          <w:tcPr>
            <w:tcW w:w="1705" w:type="dxa"/>
          </w:tcPr>
          <w:p w14:paraId="229DADD0">
            <w:pPr>
              <w:pStyle w:val="16"/>
              <w:spacing w:before="31" w:after="31"/>
              <w:ind w:firstLine="0" w:firstLineChars="0"/>
              <w:rPr>
                <w:szCs w:val="24"/>
              </w:rPr>
            </w:pPr>
            <w:r>
              <w:rPr>
                <w:szCs w:val="24"/>
              </w:rPr>
              <w:t>0.40~0.80</w:t>
            </w:r>
          </w:p>
        </w:tc>
        <w:tc>
          <w:tcPr>
            <w:tcW w:w="1705" w:type="dxa"/>
          </w:tcPr>
          <w:p w14:paraId="1621B831">
            <w:pPr>
              <w:pStyle w:val="16"/>
              <w:spacing w:before="31" w:after="31"/>
              <w:ind w:firstLine="0" w:firstLineChars="0"/>
              <w:rPr>
                <w:szCs w:val="24"/>
              </w:rPr>
            </w:pPr>
            <w:r>
              <w:rPr>
                <w:szCs w:val="24"/>
              </w:rPr>
              <w:t>0.70~1.20</w:t>
            </w:r>
          </w:p>
        </w:tc>
      </w:tr>
    </w:tbl>
    <w:p w14:paraId="082C742E">
      <w:pPr>
        <w:pStyle w:val="16"/>
        <w:spacing w:before="31" w:after="31"/>
        <w:ind w:firstLine="480"/>
        <w:rPr>
          <w:szCs w:val="24"/>
        </w:rPr>
      </w:pPr>
    </w:p>
    <w:p w14:paraId="2C71B61E">
      <w:pPr>
        <w:pStyle w:val="16"/>
        <w:spacing w:before="31" w:after="31"/>
        <w:ind w:firstLine="480"/>
        <w:rPr>
          <w:szCs w:val="24"/>
        </w:rPr>
      </w:pPr>
      <w:r>
        <w:rPr>
          <w:szCs w:val="24"/>
        </w:rPr>
        <w:t>(6) Analysis of Failure Causes</w:t>
      </w:r>
    </w:p>
    <w:p w14:paraId="21647996">
      <w:pPr>
        <w:pStyle w:val="16"/>
        <w:spacing w:before="31" w:after="31"/>
        <w:ind w:firstLine="480"/>
        <w:rPr>
          <w:szCs w:val="24"/>
        </w:rPr>
      </w:pPr>
      <w:r>
        <w:rPr>
          <w:szCs w:val="24"/>
        </w:rPr>
        <w:t>The crack on the horizontal stabilizer rear spar extends along the grain boundaries, and a large amount of mud-like oxides and chloride corrosion products are present on the fracture surface, consistent with the characteristics of stress corrosion cracking. The material used for this component is T6 state LD5 high-strength forged aluminum, which is prone to stress corrosion after heat treatment. The aircraft operates in a marine climate country abroad, and Cl- is one of the stress corrosion-sensitive media. Stress analysis indicates that the component is under tensile stress, leading to the conclusion that the crack is due to stress corrosion cracking. The material used for the rear spar has a high tendency for stress corrosion, and the anodized film on the rear spar is damaged, which is the main cause of the rear spar failure.</w:t>
      </w:r>
    </w:p>
    <w:p w14:paraId="26993D6B">
      <w:pPr>
        <w:pStyle w:val="16"/>
        <w:spacing w:before="31" w:after="31"/>
        <w:ind w:firstLine="480"/>
        <w:rPr>
          <w:szCs w:val="24"/>
        </w:rPr>
      </w:pPr>
    </w:p>
    <w:p w14:paraId="5FD6081D">
      <w:pPr>
        <w:pStyle w:val="16"/>
        <w:spacing w:before="31" w:after="31"/>
        <w:ind w:firstLine="480"/>
        <w:rPr>
          <w:szCs w:val="24"/>
        </w:rPr>
      </w:pPr>
      <w:r>
        <w:rPr>
          <w:szCs w:val="24"/>
        </w:rPr>
        <w:t>(7) Impact and Harm</w:t>
      </w:r>
    </w:p>
    <w:p w14:paraId="31021CFF">
      <w:pPr>
        <w:pStyle w:val="16"/>
        <w:spacing w:before="31" w:after="31"/>
        <w:ind w:firstLine="480"/>
        <w:rPr>
          <w:szCs w:val="24"/>
        </w:rPr>
      </w:pPr>
      <w:r>
        <w:rPr>
          <w:szCs w:val="24"/>
        </w:rPr>
        <w:t>Affects flight safety.</w:t>
      </w:r>
    </w:p>
    <w:p w14:paraId="391F4205">
      <w:pPr>
        <w:pStyle w:val="16"/>
        <w:spacing w:before="31" w:after="31"/>
        <w:ind w:firstLine="480"/>
        <w:rPr>
          <w:szCs w:val="24"/>
        </w:rPr>
      </w:pPr>
    </w:p>
    <w:p w14:paraId="7F349C6B">
      <w:pPr>
        <w:pStyle w:val="16"/>
        <w:spacing w:before="31" w:after="31"/>
        <w:ind w:firstLine="480"/>
        <w:rPr>
          <w:szCs w:val="24"/>
        </w:rPr>
      </w:pPr>
      <w:r>
        <w:rPr>
          <w:szCs w:val="24"/>
        </w:rPr>
        <w:t>(8) Conclusion and Improvement Measures</w:t>
      </w:r>
    </w:p>
    <w:p w14:paraId="2061B693">
      <w:pPr>
        <w:pStyle w:val="16"/>
        <w:spacing w:before="31" w:after="31"/>
        <w:ind w:firstLine="480"/>
        <w:rPr>
          <w:szCs w:val="24"/>
        </w:rPr>
      </w:pPr>
      <w:r>
        <w:rPr>
          <w:szCs w:val="24"/>
        </w:rPr>
        <w:t>The anodized film on the horizontal stabilizer rear spar was damaged during assembly and use. Under the combined action of Cl- in the marine climate and working tensile stress, stress corrosion cracking occurred in the LD5 aluminum alloy matrix.</w:t>
      </w:r>
    </w:p>
    <w:p w14:paraId="67E50CD0">
      <w:pPr>
        <w:pStyle w:val="16"/>
        <w:spacing w:before="31" w:after="31"/>
        <w:ind w:firstLine="0" w:firstLineChars="0"/>
        <w:rPr>
          <w:szCs w:val="24"/>
        </w:rPr>
      </w:pPr>
      <w:r>
        <w:rPr>
          <w:szCs w:val="24"/>
        </w:rPr>
        <w:t>Improvement measures taken: (a) Improve the heat treatment process of the material to reduce its sensitivity to stress corrosion; (b) Pay attention to the protection and inspection of the anodized film during assembly and use, repairing it promptly if damage is found; (c) Shot peening treatment on the surface of the component to induce compressive stress on the material surface.</w:t>
      </w:r>
    </w:p>
    <w:p w14:paraId="31D2CE9E">
      <w:pPr>
        <w:pStyle w:val="16"/>
        <w:spacing w:before="31" w:after="31"/>
        <w:ind w:firstLine="0" w:firstLineChars="0"/>
        <w:rPr>
          <w:b/>
          <w:bCs/>
          <w:szCs w:val="24"/>
        </w:rPr>
      </w:pPr>
      <w:r>
        <w:rPr>
          <w:b/>
          <w:bCs/>
          <w:szCs w:val="24"/>
        </w:rPr>
        <w:t>7.2.17 Case 7-17 High-Cycle Fatigue Fracture of LPT4 Stator Blades in an Engine</w:t>
      </w:r>
    </w:p>
    <w:p w14:paraId="7F4D5E95">
      <w:pPr>
        <w:pStyle w:val="16"/>
        <w:spacing w:before="31" w:after="31"/>
        <w:ind w:firstLine="480"/>
        <w:rPr>
          <w:szCs w:val="24"/>
        </w:rPr>
      </w:pPr>
    </w:p>
    <w:p w14:paraId="56327C81">
      <w:pPr>
        <w:pStyle w:val="16"/>
        <w:spacing w:before="31" w:after="31"/>
        <w:ind w:firstLine="480"/>
        <w:rPr>
          <w:szCs w:val="24"/>
        </w:rPr>
      </w:pPr>
      <w:r>
        <w:rPr>
          <w:szCs w:val="24"/>
        </w:rPr>
        <w:t>(1) Case Name</w:t>
      </w:r>
    </w:p>
    <w:p w14:paraId="69DF3CCC">
      <w:pPr>
        <w:pStyle w:val="16"/>
        <w:spacing w:before="31" w:after="31"/>
        <w:ind w:firstLine="480"/>
        <w:rPr>
          <w:szCs w:val="24"/>
        </w:rPr>
      </w:pPr>
      <w:r>
        <w:rPr>
          <w:szCs w:val="24"/>
        </w:rPr>
        <w:t>High-Cycle Fatigue Fracture of LPT4 Stator Blades in an Engine [11]</w:t>
      </w:r>
    </w:p>
    <w:p w14:paraId="342C5971">
      <w:pPr>
        <w:pStyle w:val="16"/>
        <w:spacing w:before="31" w:after="31"/>
        <w:ind w:firstLine="480"/>
        <w:rPr>
          <w:szCs w:val="24"/>
        </w:rPr>
      </w:pPr>
    </w:p>
    <w:p w14:paraId="24701D24">
      <w:pPr>
        <w:pStyle w:val="16"/>
        <w:spacing w:before="31" w:after="31"/>
        <w:ind w:firstLine="480"/>
        <w:rPr>
          <w:szCs w:val="24"/>
        </w:rPr>
      </w:pPr>
      <w:r>
        <w:rPr>
          <w:szCs w:val="24"/>
        </w:rPr>
        <w:t>(2) Description of Failure Process</w:t>
      </w:r>
    </w:p>
    <w:p w14:paraId="7C1AC6CA">
      <w:pPr>
        <w:pStyle w:val="16"/>
        <w:spacing w:before="31" w:after="31"/>
        <w:ind w:firstLine="480"/>
        <w:rPr>
          <w:szCs w:val="24"/>
        </w:rPr>
      </w:pPr>
      <w:r>
        <w:rPr>
          <w:szCs w:val="24"/>
        </w:rPr>
        <w:t>During takeoff, 9 minutes into the flight and climbing to an altitude of 1800 meters, an unusual noise was heard, accompanied by a slight aircraft shake. The crew observed a decrease in data from one engine, immediately initiated shutdown procedures, and then reported to the controller requesting a return to the landing site. The aircraft landed safely 43 minutes after takeoff.</w:t>
      </w:r>
    </w:p>
    <w:p w14:paraId="2A4935FC">
      <w:pPr>
        <w:pStyle w:val="16"/>
        <w:spacing w:before="31" w:after="31"/>
        <w:ind w:firstLine="480"/>
        <w:rPr>
          <w:szCs w:val="24"/>
        </w:rPr>
      </w:pPr>
      <w:r>
        <w:rPr>
          <w:szCs w:val="24"/>
        </w:rPr>
        <w:t>Upon inspection, it was found that the 6th stage of the Low-Pressure Turbine (LPT6) rotor, LPT6 stator, and 5th stage (LPT5) rotor blades were all broken, with 4 sets of LPT5 stator blades missing. Further disassembly revealed that all the rotor blades of the 4th stage of the Low-Pressure Turbine (LPT4) were broken, and subsequently, a set of LPT4 stator blades were found with the blade tips curled up and in contact with the root of the LPT4 rotor blades. When the stator blades were removed, it was discovered that the fixing grooves of the blades were broken, preventing the blades from being fully secured, causing interference with the LPT4 rotor blades, and breaking the LPT4 rotor blades and subsequent stages.</w:t>
      </w:r>
    </w:p>
    <w:p w14:paraId="55A8CF19">
      <w:pPr>
        <w:pStyle w:val="16"/>
        <w:spacing w:before="31" w:after="31"/>
        <w:ind w:firstLine="480"/>
        <w:rPr>
          <w:szCs w:val="24"/>
        </w:rPr>
      </w:pPr>
    </w:p>
    <w:p w14:paraId="481DE805">
      <w:pPr>
        <w:pStyle w:val="16"/>
        <w:spacing w:before="31" w:after="31"/>
        <w:ind w:firstLine="480"/>
        <w:rPr>
          <w:szCs w:val="24"/>
        </w:rPr>
      </w:pPr>
      <w:r>
        <w:rPr>
          <w:szCs w:val="24"/>
        </w:rPr>
        <w:t>(3) Service Environment</w:t>
      </w:r>
    </w:p>
    <w:p w14:paraId="3E5ADDE9">
      <w:pPr>
        <w:pStyle w:val="16"/>
        <w:spacing w:before="31" w:after="31"/>
        <w:ind w:firstLine="480"/>
        <w:rPr>
          <w:szCs w:val="24"/>
        </w:rPr>
      </w:pPr>
      <w:r>
        <w:rPr>
          <w:szCs w:val="24"/>
        </w:rPr>
        <w:t>High-temperature gas environment.</w:t>
      </w:r>
    </w:p>
    <w:p w14:paraId="3F00022B">
      <w:pPr>
        <w:pStyle w:val="16"/>
        <w:spacing w:before="31" w:after="31"/>
        <w:ind w:firstLine="480"/>
        <w:rPr>
          <w:szCs w:val="24"/>
        </w:rPr>
      </w:pPr>
    </w:p>
    <w:p w14:paraId="7E60133E">
      <w:pPr>
        <w:pStyle w:val="16"/>
        <w:spacing w:before="31" w:after="31"/>
        <w:ind w:firstLine="480"/>
        <w:rPr>
          <w:szCs w:val="24"/>
        </w:rPr>
      </w:pPr>
      <w:r>
        <w:rPr>
          <w:szCs w:val="24"/>
        </w:rPr>
        <w:t>(4) Failed Component and Material</w:t>
      </w:r>
    </w:p>
    <w:p w14:paraId="46CF39BE">
      <w:pPr>
        <w:pStyle w:val="16"/>
        <w:spacing w:before="31" w:after="31"/>
        <w:ind w:firstLine="480"/>
        <w:rPr>
          <w:szCs w:val="24"/>
        </w:rPr>
      </w:pPr>
      <w:r>
        <w:rPr>
          <w:szCs w:val="24"/>
        </w:rPr>
        <w:t>Aircraft engine stator blades, material is high-temperature nickel-based alloy.</w:t>
      </w:r>
    </w:p>
    <w:p w14:paraId="16E7108F">
      <w:pPr>
        <w:pStyle w:val="16"/>
        <w:spacing w:before="31" w:after="31"/>
        <w:ind w:firstLine="480"/>
        <w:rPr>
          <w:szCs w:val="24"/>
        </w:rPr>
      </w:pPr>
    </w:p>
    <w:p w14:paraId="3972EBF5">
      <w:pPr>
        <w:pStyle w:val="16"/>
        <w:spacing w:before="31" w:after="31"/>
        <w:ind w:firstLine="480"/>
        <w:rPr>
          <w:szCs w:val="24"/>
        </w:rPr>
      </w:pPr>
      <w:r>
        <w:rPr>
          <w:szCs w:val="24"/>
        </w:rPr>
        <w:t>(5) Failure Appearance</w:t>
      </w:r>
    </w:p>
    <w:p w14:paraId="08D2DDB7">
      <w:pPr>
        <w:pStyle w:val="16"/>
        <w:spacing w:before="31" w:after="31"/>
        <w:ind w:firstLine="480"/>
        <w:rPr>
          <w:szCs w:val="24"/>
        </w:rPr>
      </w:pPr>
      <w:r>
        <w:rPr>
          <w:szCs w:val="24"/>
        </w:rPr>
        <w:t>The problematic blades were from the 36th set, as shown in Figure 7-17.1. The tip of the blade was curled up, interfering with the LPT4 rotor blades, and obvious friction marks were visible. The reason for the curling of the 36th set of blades was due to the fracture of the outer side of the fixing groove, as shown in Figure 7-17.2.</w:t>
      </w:r>
    </w:p>
    <w:p w14:paraId="6A1D3BED">
      <w:pPr>
        <w:pStyle w:val="16"/>
        <w:spacing w:before="31" w:after="31"/>
        <w:ind w:firstLine="482"/>
        <w:jc w:val="center"/>
        <w:rPr>
          <w:b/>
          <w:bCs/>
          <w:szCs w:val="24"/>
        </w:rPr>
      </w:pPr>
      <w:r>
        <w:rPr>
          <w:b/>
          <w:bCs/>
          <w:szCs w:val="24"/>
        </w:rPr>
        <w:t>Figure 7-17.1: The 36th set of LPT4 stator blades with curled tips and friction marks</w:t>
      </w:r>
    </w:p>
    <w:p w14:paraId="15FE6EBF">
      <w:pPr>
        <w:pStyle w:val="16"/>
        <w:spacing w:before="31" w:after="31"/>
        <w:ind w:firstLine="482"/>
        <w:jc w:val="center"/>
        <w:rPr>
          <w:b/>
          <w:bCs/>
          <w:szCs w:val="24"/>
        </w:rPr>
      </w:pPr>
      <w:r>
        <w:rPr>
          <w:b/>
          <w:bCs/>
          <w:szCs w:val="24"/>
        </w:rPr>
        <w:t>Figure 7-17.2: The 36th set of LPT4 stator blades with fractured fixing groove</w:t>
      </w:r>
    </w:p>
    <w:p w14:paraId="5CEB60B0">
      <w:pPr>
        <w:pStyle w:val="16"/>
        <w:spacing w:before="31" w:after="31"/>
        <w:ind w:firstLine="480"/>
        <w:rPr>
          <w:szCs w:val="24"/>
        </w:rPr>
      </w:pPr>
    </w:p>
    <w:p w14:paraId="4CE92ED5">
      <w:pPr>
        <w:pStyle w:val="16"/>
        <w:spacing w:before="31" w:after="31"/>
        <w:ind w:firstLine="480"/>
        <w:rPr>
          <w:szCs w:val="24"/>
        </w:rPr>
      </w:pPr>
      <w:r>
        <w:rPr>
          <w:szCs w:val="24"/>
        </w:rPr>
        <w:t>In addition, the outer side of the fixing groove of the 42nd set of LPT4 stator blades was partially cracked, as shown in Figure 7-17.3. There were also cracks initiating in the outer side of the fixing groove of the 40th set of blades.</w:t>
      </w:r>
    </w:p>
    <w:p w14:paraId="7AA4F065">
      <w:pPr>
        <w:pStyle w:val="16"/>
        <w:spacing w:before="31" w:after="31"/>
        <w:ind w:firstLine="482"/>
        <w:jc w:val="center"/>
        <w:rPr>
          <w:b/>
          <w:bCs/>
          <w:szCs w:val="24"/>
        </w:rPr>
      </w:pPr>
      <w:r>
        <w:rPr>
          <w:b/>
          <w:bCs/>
          <w:szCs w:val="24"/>
        </w:rPr>
        <w:t>Figure 7-17.3: Partially fractured fixing groove of the 42nd set of LPT4 stator blades</w:t>
      </w:r>
    </w:p>
    <w:p w14:paraId="24A73D77">
      <w:pPr>
        <w:pStyle w:val="16"/>
        <w:spacing w:before="31" w:after="31"/>
        <w:ind w:firstLine="480"/>
        <w:rPr>
          <w:szCs w:val="24"/>
        </w:rPr>
      </w:pPr>
    </w:p>
    <w:p w14:paraId="3EEDD1ED">
      <w:pPr>
        <w:pStyle w:val="16"/>
        <w:spacing w:before="31" w:after="31"/>
        <w:ind w:firstLine="480"/>
        <w:rPr>
          <w:szCs w:val="24"/>
        </w:rPr>
      </w:pPr>
      <w:r>
        <w:rPr>
          <w:szCs w:val="24"/>
        </w:rPr>
        <w:t>Figures 7-17.4 and 7-17.5 show two types of chamfers on the fixing groove of LPT4 stator blades, with Figure 7-17.4 having a sharp chamfer and Figure 7-17.5 having a normal chamfer. Chamfers of 6 sets of blades were measured at 100x magnification using imaging, and the results indicated that only 2 sets of blades met the design requirements, while the remaining 4 sets were far below the design requirements.</w:t>
      </w:r>
    </w:p>
    <w:p w14:paraId="13F891FA">
      <w:pPr>
        <w:pStyle w:val="16"/>
        <w:spacing w:before="31" w:after="31"/>
        <w:ind w:firstLine="482"/>
        <w:jc w:val="center"/>
        <w:rPr>
          <w:b/>
          <w:bCs/>
          <w:szCs w:val="24"/>
        </w:rPr>
      </w:pPr>
      <w:r>
        <w:rPr>
          <w:b/>
          <w:bCs/>
          <w:szCs w:val="24"/>
        </w:rPr>
        <w:t>Figure 7-17.4: Chamfer on the inner side of the fixing groove of LPT4 stator blades (35th set)</w:t>
      </w:r>
    </w:p>
    <w:p w14:paraId="4E2BF723">
      <w:pPr>
        <w:pStyle w:val="16"/>
        <w:spacing w:before="31" w:after="31"/>
        <w:ind w:firstLine="482"/>
        <w:jc w:val="center"/>
        <w:rPr>
          <w:b/>
          <w:bCs/>
          <w:szCs w:val="24"/>
        </w:rPr>
      </w:pPr>
      <w:r>
        <w:rPr>
          <w:b/>
          <w:bCs/>
          <w:szCs w:val="24"/>
        </w:rPr>
        <w:t>Figure 7-17.5: Chamfer on the inner side of the fixing groove of LPT4 stator blades (35th set)</w:t>
      </w:r>
    </w:p>
    <w:p w14:paraId="07B4C758">
      <w:pPr>
        <w:pStyle w:val="16"/>
        <w:spacing w:before="31" w:after="31"/>
        <w:ind w:firstLine="480"/>
        <w:rPr>
          <w:szCs w:val="24"/>
        </w:rPr>
      </w:pPr>
    </w:p>
    <w:p w14:paraId="3D503557">
      <w:pPr>
        <w:pStyle w:val="16"/>
        <w:spacing w:before="31" w:after="31"/>
        <w:ind w:firstLine="480"/>
        <w:rPr>
          <w:szCs w:val="24"/>
        </w:rPr>
      </w:pPr>
      <w:r>
        <w:rPr>
          <w:szCs w:val="24"/>
        </w:rPr>
        <w:t>Comparing Figures 7-17.2 and 7-17.3, it is evident that the initiation point of the LPT4 stator blade groove fracture is in the boxed area of Figure 7-17.2. The initial fractured block of the 36th set of blades is shown in Figure 7-17.6, with a relatively flat fracture surface, no shear lip, multiple sources of fracture, and numerous clamshell-shaped fatigue arc lines, indicating fatigue fracture.</w:t>
      </w:r>
    </w:p>
    <w:p w14:paraId="2E6F3C53">
      <w:pPr>
        <w:pStyle w:val="16"/>
        <w:spacing w:before="31" w:after="31"/>
        <w:ind w:firstLine="482"/>
        <w:jc w:val="center"/>
        <w:rPr>
          <w:b/>
          <w:bCs/>
          <w:szCs w:val="24"/>
        </w:rPr>
      </w:pPr>
      <w:r>
        <w:rPr>
          <w:b/>
          <w:bCs/>
          <w:szCs w:val="24"/>
        </w:rPr>
        <w:t>Figure 7-17.6: Macroscopic fracture of the groove in the 36th set of LPT4 stator blades</w:t>
      </w:r>
    </w:p>
    <w:p w14:paraId="7C6A067A">
      <w:pPr>
        <w:pStyle w:val="16"/>
        <w:spacing w:before="31" w:after="31"/>
        <w:ind w:firstLine="480"/>
        <w:rPr>
          <w:szCs w:val="24"/>
        </w:rPr>
      </w:pPr>
    </w:p>
    <w:p w14:paraId="0A877DB8">
      <w:pPr>
        <w:pStyle w:val="16"/>
        <w:spacing w:before="31" w:after="31"/>
        <w:ind w:firstLine="480"/>
        <w:rPr>
          <w:szCs w:val="24"/>
        </w:rPr>
      </w:pPr>
      <w:r>
        <w:rPr>
          <w:szCs w:val="24"/>
        </w:rPr>
        <w:t>Figures 7-17.7 and 7-17.8 show the low-magnification and high-magnification morphology of one of the fracture source areas, with fine fatigue arc lines visible near the source area and no secondary cracks. The high-magnification morphology reveals the γ/γ' lattice structure of the nickel-based alloy, which is a characteristic of high-cycle fatigue in nickel-based alloys. Therefore, the mechanism of the groove fracture in this blade is high-cycle fatigue.</w:t>
      </w:r>
    </w:p>
    <w:p w14:paraId="03161F77">
      <w:pPr>
        <w:pStyle w:val="16"/>
        <w:spacing w:before="31" w:after="31"/>
        <w:ind w:firstLine="482"/>
        <w:jc w:val="center"/>
        <w:rPr>
          <w:b/>
          <w:bCs/>
          <w:szCs w:val="24"/>
        </w:rPr>
      </w:pPr>
      <w:r>
        <w:rPr>
          <w:b/>
          <w:bCs/>
          <w:szCs w:val="24"/>
        </w:rPr>
        <w:t>Figure 7-17.7: Low-magnification morphology of the fracture source area in the 36th set of LPT4 stator blades</w:t>
      </w:r>
    </w:p>
    <w:p w14:paraId="5CF90FB9">
      <w:pPr>
        <w:pStyle w:val="16"/>
        <w:spacing w:before="31" w:after="31"/>
        <w:ind w:firstLine="482"/>
        <w:jc w:val="center"/>
        <w:rPr>
          <w:b/>
          <w:bCs/>
          <w:szCs w:val="24"/>
        </w:rPr>
      </w:pPr>
      <w:r>
        <w:rPr>
          <w:b/>
          <w:bCs/>
          <w:szCs w:val="24"/>
        </w:rPr>
        <w:t>Figure 7-17.8: High-magnification morphology of the fracture source area in the 36th set of LPT4 stator blades</w:t>
      </w:r>
    </w:p>
    <w:p w14:paraId="59DD1C72">
      <w:pPr>
        <w:pStyle w:val="16"/>
        <w:spacing w:before="31" w:after="31"/>
        <w:ind w:firstLine="480"/>
        <w:rPr>
          <w:szCs w:val="24"/>
        </w:rPr>
      </w:pPr>
    </w:p>
    <w:p w14:paraId="1299175C">
      <w:pPr>
        <w:pStyle w:val="16"/>
        <w:spacing w:before="31" w:after="31"/>
        <w:ind w:firstLine="480"/>
        <w:rPr>
          <w:szCs w:val="24"/>
        </w:rPr>
      </w:pPr>
      <w:r>
        <w:rPr>
          <w:szCs w:val="24"/>
        </w:rPr>
        <w:t>The 40th set of blades, which experienced fatigue cracking, was selected for metallographic analysis. Samples were taken along the cross-section of the groove using a solution of 5g FeCl3 + 15 ml HCl + 60 ml ethanol for etching. The morphology under a stereomicroscope is shown in Figure 7-17.9(a), displaying a cast structure with several black areas at the bottom and inside of the groove. When this region was enlarged, the morphology shown in Figure 7-17.9(b) indicated that the gray area on the left was the matrix structure with dendritic morphology, and the white area showed a recrystallized structure, likely formed during welding repair. Energy-dispersive X-ray spectroscopy (EDS) analysis was performed on the matrix and repair areas, and the results are shown in Table 7-7. The Al content in the repair area was lower than in the matrix, while the Mo and Cr contents were higher.</w:t>
      </w:r>
    </w:p>
    <w:p w14:paraId="1621E503">
      <w:pPr>
        <w:pStyle w:val="16"/>
        <w:spacing w:before="31" w:after="31"/>
        <w:ind w:firstLine="480"/>
        <w:rPr>
          <w:szCs w:val="24"/>
        </w:rPr>
      </w:pPr>
    </w:p>
    <w:p w14:paraId="2D5B6D99">
      <w:pPr>
        <w:pStyle w:val="16"/>
        <w:spacing w:before="31" w:after="31"/>
        <w:ind w:firstLine="482"/>
        <w:jc w:val="center"/>
        <w:rPr>
          <w:b/>
          <w:bCs/>
          <w:szCs w:val="24"/>
        </w:rPr>
      </w:pPr>
      <w:r>
        <w:rPr>
          <w:b/>
          <w:bCs/>
          <w:szCs w:val="24"/>
        </w:rPr>
        <w:t>Figure 7-17.9: Metallographic morphology of the cross-section of the groove in the 40th set of LPT4 stator blades</w:t>
      </w:r>
    </w:p>
    <w:p w14:paraId="27884154">
      <w:pPr>
        <w:pStyle w:val="16"/>
        <w:spacing w:before="31" w:after="31"/>
        <w:ind w:firstLine="480"/>
        <w:rPr>
          <w:szCs w:val="24"/>
        </w:rPr>
      </w:pPr>
    </w:p>
    <w:p w14:paraId="313EF694">
      <w:pPr>
        <w:pStyle w:val="16"/>
        <w:spacing w:before="31" w:after="31"/>
        <w:ind w:firstLine="482"/>
        <w:jc w:val="center"/>
        <w:rPr>
          <w:b/>
          <w:bCs/>
          <w:szCs w:val="24"/>
        </w:rPr>
      </w:pPr>
      <w:r>
        <w:rPr>
          <w:b/>
          <w:bCs/>
          <w:szCs w:val="24"/>
        </w:rPr>
        <w:t>Table 7-7: Composition of the 40th set of LPT4 stator blades (Mass fraction %)</w:t>
      </w:r>
    </w:p>
    <w:p w14:paraId="5786550B">
      <w:pPr>
        <w:pStyle w:val="16"/>
        <w:spacing w:before="31" w:after="31"/>
        <w:ind w:firstLine="480"/>
        <w:rPr>
          <w:szCs w:val="24"/>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04967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99E8795">
            <w:pPr>
              <w:pStyle w:val="16"/>
              <w:spacing w:before="31" w:after="31"/>
              <w:ind w:firstLine="0" w:firstLineChars="0"/>
              <w:rPr>
                <w:szCs w:val="24"/>
              </w:rPr>
            </w:pPr>
            <w:r>
              <w:rPr>
                <w:szCs w:val="24"/>
              </w:rPr>
              <w:t>Area</w:t>
            </w:r>
          </w:p>
        </w:tc>
        <w:tc>
          <w:tcPr>
            <w:tcW w:w="1420" w:type="dxa"/>
          </w:tcPr>
          <w:p w14:paraId="11C4215E">
            <w:pPr>
              <w:pStyle w:val="16"/>
              <w:spacing w:before="31" w:after="31"/>
              <w:ind w:firstLine="0" w:firstLineChars="0"/>
              <w:rPr>
                <w:szCs w:val="24"/>
              </w:rPr>
            </w:pPr>
            <w:r>
              <w:rPr>
                <w:szCs w:val="24"/>
              </w:rPr>
              <w:t xml:space="preserve">    Al</w:t>
            </w:r>
          </w:p>
        </w:tc>
        <w:tc>
          <w:tcPr>
            <w:tcW w:w="1420" w:type="dxa"/>
          </w:tcPr>
          <w:p w14:paraId="2C40DC81">
            <w:pPr>
              <w:pStyle w:val="16"/>
              <w:spacing w:before="31" w:after="31"/>
              <w:ind w:firstLine="0" w:firstLineChars="0"/>
              <w:rPr>
                <w:szCs w:val="24"/>
              </w:rPr>
            </w:pPr>
            <w:r>
              <w:rPr>
                <w:szCs w:val="24"/>
              </w:rPr>
              <w:t>Mo</w:t>
            </w:r>
          </w:p>
        </w:tc>
        <w:tc>
          <w:tcPr>
            <w:tcW w:w="1420" w:type="dxa"/>
          </w:tcPr>
          <w:p w14:paraId="4F581408">
            <w:pPr>
              <w:pStyle w:val="16"/>
              <w:spacing w:before="31" w:after="31"/>
              <w:ind w:firstLine="0" w:firstLineChars="0"/>
              <w:rPr>
                <w:szCs w:val="24"/>
              </w:rPr>
            </w:pPr>
            <w:r>
              <w:rPr>
                <w:szCs w:val="24"/>
              </w:rPr>
              <w:t>Ti</w:t>
            </w:r>
          </w:p>
        </w:tc>
        <w:tc>
          <w:tcPr>
            <w:tcW w:w="1421" w:type="dxa"/>
          </w:tcPr>
          <w:p w14:paraId="01056894">
            <w:pPr>
              <w:pStyle w:val="16"/>
              <w:spacing w:before="31" w:after="31"/>
              <w:ind w:firstLine="0" w:firstLineChars="0"/>
              <w:rPr>
                <w:szCs w:val="24"/>
              </w:rPr>
            </w:pPr>
            <w:r>
              <w:rPr>
                <w:szCs w:val="24"/>
              </w:rPr>
              <w:t>Cr</w:t>
            </w:r>
          </w:p>
        </w:tc>
        <w:tc>
          <w:tcPr>
            <w:tcW w:w="1421" w:type="dxa"/>
          </w:tcPr>
          <w:p w14:paraId="478997EF">
            <w:pPr>
              <w:pStyle w:val="16"/>
              <w:spacing w:before="31" w:after="31"/>
              <w:ind w:firstLine="0" w:firstLineChars="0"/>
              <w:rPr>
                <w:szCs w:val="24"/>
              </w:rPr>
            </w:pPr>
            <w:r>
              <w:rPr>
                <w:szCs w:val="24"/>
              </w:rPr>
              <w:t>Ni</w:t>
            </w:r>
          </w:p>
        </w:tc>
      </w:tr>
      <w:tr w14:paraId="7E8C0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C95B347">
            <w:pPr>
              <w:pStyle w:val="16"/>
              <w:spacing w:before="31" w:after="31"/>
              <w:ind w:firstLine="0" w:firstLineChars="0"/>
              <w:rPr>
                <w:szCs w:val="24"/>
              </w:rPr>
            </w:pPr>
            <w:r>
              <w:rPr>
                <w:szCs w:val="24"/>
              </w:rPr>
              <w:t>Matrix</w:t>
            </w:r>
          </w:p>
        </w:tc>
        <w:tc>
          <w:tcPr>
            <w:tcW w:w="1420" w:type="dxa"/>
          </w:tcPr>
          <w:p w14:paraId="360B6730">
            <w:pPr>
              <w:pStyle w:val="16"/>
              <w:spacing w:before="31" w:after="31"/>
              <w:ind w:firstLine="0" w:firstLineChars="0"/>
              <w:rPr>
                <w:szCs w:val="24"/>
              </w:rPr>
            </w:pPr>
            <w:r>
              <w:rPr>
                <w:szCs w:val="24"/>
              </w:rPr>
              <w:t>5.0</w:t>
            </w:r>
          </w:p>
        </w:tc>
        <w:tc>
          <w:tcPr>
            <w:tcW w:w="1420" w:type="dxa"/>
          </w:tcPr>
          <w:p w14:paraId="6E825F59">
            <w:pPr>
              <w:pStyle w:val="16"/>
              <w:spacing w:before="31" w:after="31"/>
              <w:ind w:firstLine="0" w:firstLineChars="0"/>
              <w:rPr>
                <w:szCs w:val="24"/>
              </w:rPr>
            </w:pPr>
            <w:r>
              <w:rPr>
                <w:szCs w:val="24"/>
              </w:rPr>
              <w:t>5.6</w:t>
            </w:r>
          </w:p>
        </w:tc>
        <w:tc>
          <w:tcPr>
            <w:tcW w:w="1420" w:type="dxa"/>
          </w:tcPr>
          <w:p w14:paraId="1A90BB0B">
            <w:pPr>
              <w:pStyle w:val="16"/>
              <w:spacing w:before="31" w:after="31"/>
              <w:ind w:firstLine="0" w:firstLineChars="0"/>
              <w:rPr>
                <w:szCs w:val="24"/>
              </w:rPr>
            </w:pPr>
            <w:r>
              <w:rPr>
                <w:szCs w:val="24"/>
              </w:rPr>
              <w:t>0.8</w:t>
            </w:r>
          </w:p>
        </w:tc>
        <w:tc>
          <w:tcPr>
            <w:tcW w:w="1421" w:type="dxa"/>
          </w:tcPr>
          <w:p w14:paraId="3D644314">
            <w:pPr>
              <w:pStyle w:val="16"/>
              <w:spacing w:before="31" w:after="31"/>
              <w:ind w:firstLine="0" w:firstLineChars="0"/>
              <w:rPr>
                <w:szCs w:val="24"/>
              </w:rPr>
            </w:pPr>
            <w:r>
              <w:rPr>
                <w:szCs w:val="24"/>
              </w:rPr>
              <w:t>14.2</w:t>
            </w:r>
          </w:p>
        </w:tc>
        <w:tc>
          <w:tcPr>
            <w:tcW w:w="1421" w:type="dxa"/>
          </w:tcPr>
          <w:p w14:paraId="4A6E24F1">
            <w:pPr>
              <w:pStyle w:val="16"/>
              <w:spacing w:before="31" w:after="31"/>
              <w:ind w:firstLine="0" w:firstLineChars="0"/>
              <w:rPr>
                <w:szCs w:val="24"/>
              </w:rPr>
            </w:pPr>
            <w:r>
              <w:rPr>
                <w:szCs w:val="24"/>
              </w:rPr>
              <w:t>Remaining</w:t>
            </w:r>
          </w:p>
        </w:tc>
      </w:tr>
      <w:tr w14:paraId="7485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C059F5D">
            <w:pPr>
              <w:pStyle w:val="16"/>
              <w:spacing w:before="31" w:after="31"/>
              <w:ind w:firstLine="0" w:firstLineChars="0"/>
              <w:rPr>
                <w:szCs w:val="24"/>
              </w:rPr>
            </w:pPr>
            <w:r>
              <w:rPr>
                <w:szCs w:val="24"/>
              </w:rPr>
              <w:t>Repair</w:t>
            </w:r>
          </w:p>
        </w:tc>
        <w:tc>
          <w:tcPr>
            <w:tcW w:w="1420" w:type="dxa"/>
          </w:tcPr>
          <w:p w14:paraId="5EBF95EA">
            <w:pPr>
              <w:pStyle w:val="16"/>
              <w:spacing w:before="31" w:after="31"/>
              <w:ind w:firstLine="0" w:firstLineChars="0"/>
              <w:rPr>
                <w:szCs w:val="24"/>
              </w:rPr>
            </w:pPr>
            <w:r>
              <w:rPr>
                <w:szCs w:val="24"/>
              </w:rPr>
              <w:t>1.1</w:t>
            </w:r>
          </w:p>
        </w:tc>
        <w:tc>
          <w:tcPr>
            <w:tcW w:w="1420" w:type="dxa"/>
          </w:tcPr>
          <w:p w14:paraId="76E717C2">
            <w:pPr>
              <w:pStyle w:val="16"/>
              <w:spacing w:before="31" w:after="31"/>
              <w:ind w:firstLine="0" w:firstLineChars="0"/>
              <w:rPr>
                <w:szCs w:val="24"/>
              </w:rPr>
            </w:pPr>
            <w:r>
              <w:rPr>
                <w:szCs w:val="24"/>
              </w:rPr>
              <w:t>10.7</w:t>
            </w:r>
          </w:p>
        </w:tc>
        <w:tc>
          <w:tcPr>
            <w:tcW w:w="1420" w:type="dxa"/>
          </w:tcPr>
          <w:p w14:paraId="1A8760F2">
            <w:pPr>
              <w:pStyle w:val="16"/>
              <w:spacing w:before="31" w:after="31"/>
              <w:ind w:firstLine="0" w:firstLineChars="0"/>
              <w:rPr>
                <w:szCs w:val="24"/>
              </w:rPr>
            </w:pPr>
            <w:r>
              <w:rPr>
                <w:szCs w:val="24"/>
              </w:rPr>
              <w:t>0.40</w:t>
            </w:r>
          </w:p>
        </w:tc>
        <w:tc>
          <w:tcPr>
            <w:tcW w:w="1421" w:type="dxa"/>
          </w:tcPr>
          <w:p w14:paraId="569ED3F1">
            <w:pPr>
              <w:pStyle w:val="16"/>
              <w:spacing w:before="31" w:after="31"/>
              <w:ind w:firstLine="0" w:firstLineChars="0"/>
              <w:rPr>
                <w:szCs w:val="24"/>
              </w:rPr>
            </w:pPr>
            <w:r>
              <w:rPr>
                <w:szCs w:val="24"/>
              </w:rPr>
              <w:t>21.6</w:t>
            </w:r>
          </w:p>
        </w:tc>
        <w:tc>
          <w:tcPr>
            <w:tcW w:w="1421" w:type="dxa"/>
          </w:tcPr>
          <w:p w14:paraId="2635AEF3">
            <w:pPr>
              <w:pStyle w:val="16"/>
              <w:spacing w:before="31" w:after="31"/>
              <w:ind w:firstLine="0" w:firstLineChars="0"/>
              <w:rPr>
                <w:szCs w:val="24"/>
              </w:rPr>
            </w:pPr>
            <w:r>
              <w:rPr>
                <w:szCs w:val="24"/>
              </w:rPr>
              <w:t>Remaining</w:t>
            </w:r>
          </w:p>
        </w:tc>
      </w:tr>
    </w:tbl>
    <w:p w14:paraId="77F4B2B1">
      <w:pPr>
        <w:pStyle w:val="16"/>
        <w:spacing w:before="31" w:after="31"/>
        <w:ind w:firstLine="480"/>
        <w:rPr>
          <w:szCs w:val="24"/>
        </w:rPr>
      </w:pPr>
    </w:p>
    <w:p w14:paraId="0178172E">
      <w:pPr>
        <w:pStyle w:val="16"/>
        <w:spacing w:before="31" w:after="31"/>
        <w:ind w:firstLine="480"/>
        <w:rPr>
          <w:szCs w:val="24"/>
        </w:rPr>
      </w:pPr>
      <w:r>
        <w:rPr>
          <w:szCs w:val="24"/>
        </w:rPr>
        <w:t>(6) Analysis of Failure Causes</w:t>
      </w:r>
    </w:p>
    <w:p w14:paraId="771E0252">
      <w:pPr>
        <w:pStyle w:val="16"/>
        <w:spacing w:before="31" w:after="31"/>
        <w:ind w:firstLine="480"/>
        <w:rPr>
          <w:szCs w:val="24"/>
        </w:rPr>
      </w:pPr>
      <w:r>
        <w:rPr>
          <w:szCs w:val="24"/>
        </w:rPr>
        <w:t>A three-dimensional model was used to analyze the stress state of the LPT4 stator blades, as shown in Figure 7-17.10. Three scenarios were considered: (a) No cooling holes (NP), a group of three single blades welded into one; (b) Welded blades with cooling holes (P); (c) Blades with cooling holes directly cast. The model calculations considered eight different combinations of groove edge thickness and chamfer radius, and the resulting Goodman fatigue limit graph is shown in Figure 7-17.10.</w:t>
      </w:r>
    </w:p>
    <w:p w14:paraId="7BE5CC95">
      <w:pPr>
        <w:pStyle w:val="16"/>
        <w:spacing w:before="31" w:after="31"/>
        <w:ind w:firstLine="482"/>
        <w:jc w:val="center"/>
        <w:rPr>
          <w:b/>
          <w:bCs/>
          <w:szCs w:val="24"/>
        </w:rPr>
      </w:pPr>
      <w:r>
        <w:rPr>
          <w:b/>
          <w:bCs/>
          <w:szCs w:val="24"/>
        </w:rPr>
        <w:t>Figure 7-17.10: Structural analysis model</w:t>
      </w:r>
    </w:p>
    <w:p w14:paraId="39E662C5">
      <w:pPr>
        <w:pStyle w:val="16"/>
        <w:spacing w:before="31" w:after="31"/>
        <w:ind w:firstLine="480"/>
        <w:rPr>
          <w:szCs w:val="24"/>
        </w:rPr>
      </w:pPr>
    </w:p>
    <w:p w14:paraId="5667F61C">
      <w:pPr>
        <w:pStyle w:val="16"/>
        <w:spacing w:before="31" w:after="31"/>
        <w:ind w:firstLine="480"/>
        <w:rPr>
          <w:szCs w:val="24"/>
        </w:rPr>
      </w:pPr>
      <w:r>
        <w:rPr>
          <w:szCs w:val="24"/>
        </w:rPr>
        <w:t>From Figure 7-17.11, it can be seen that the applied coating on the groove lowers the allowable vibration stress compared to the uncoated state. Under safe conditions, the connected blades almost coincide with the baseline of the overall cast blades, indicating that welding can reach the level of casting. The allowable vibration stress at this point is approximately 87 MPa. When the groove edge thickness and chamfer radius meet the design requirements, the allowable vibration stress is about 80 MPa. As the chamfer radius decreases, the allowable vibration stress decreases. Therefore, the main reason for the reduced allowable vibration stress leading to this incident is that the chamfer did not meet the design requirements.</w:t>
      </w:r>
    </w:p>
    <w:p w14:paraId="1916F458">
      <w:pPr>
        <w:pStyle w:val="16"/>
        <w:spacing w:before="31" w:after="31"/>
        <w:ind w:firstLine="482"/>
        <w:jc w:val="center"/>
        <w:rPr>
          <w:b/>
          <w:bCs/>
          <w:szCs w:val="24"/>
        </w:rPr>
      </w:pPr>
      <w:r>
        <w:rPr>
          <w:b/>
          <w:bCs/>
          <w:szCs w:val="24"/>
        </w:rPr>
        <w:t>Figure 7-17.11: Goodman fatigue limit schematic diagram of the LPT4 stator blade fixing groove</w:t>
      </w:r>
    </w:p>
    <w:p w14:paraId="20A891C9">
      <w:pPr>
        <w:pStyle w:val="16"/>
        <w:spacing w:before="31" w:after="31"/>
        <w:ind w:firstLine="480"/>
        <w:rPr>
          <w:szCs w:val="24"/>
        </w:rPr>
      </w:pPr>
    </w:p>
    <w:p w14:paraId="7DEDA03C">
      <w:pPr>
        <w:pStyle w:val="16"/>
        <w:spacing w:before="31" w:after="31"/>
        <w:ind w:firstLine="480"/>
        <w:rPr>
          <w:szCs w:val="24"/>
        </w:rPr>
      </w:pPr>
      <w:r>
        <w:rPr>
          <w:szCs w:val="24"/>
        </w:rPr>
        <w:t>(7) Impact and Harm</w:t>
      </w:r>
    </w:p>
    <w:p w14:paraId="2029244C">
      <w:pPr>
        <w:pStyle w:val="16"/>
        <w:spacing w:before="31" w:after="31"/>
        <w:ind w:firstLine="480"/>
        <w:rPr>
          <w:szCs w:val="24"/>
        </w:rPr>
      </w:pPr>
      <w:r>
        <w:rPr>
          <w:szCs w:val="24"/>
        </w:rPr>
        <w:t>Engine in-flight shutdown.</w:t>
      </w:r>
    </w:p>
    <w:p w14:paraId="65622CE2">
      <w:pPr>
        <w:pStyle w:val="16"/>
        <w:spacing w:before="31" w:after="31"/>
        <w:ind w:firstLine="480"/>
        <w:rPr>
          <w:szCs w:val="24"/>
        </w:rPr>
      </w:pPr>
    </w:p>
    <w:p w14:paraId="0260B990">
      <w:pPr>
        <w:pStyle w:val="16"/>
        <w:spacing w:before="31" w:after="31"/>
        <w:ind w:firstLine="480"/>
        <w:rPr>
          <w:szCs w:val="24"/>
        </w:rPr>
      </w:pPr>
      <w:r>
        <w:rPr>
          <w:szCs w:val="24"/>
        </w:rPr>
        <w:t>(8) Conclusion and Improvement Measures</w:t>
      </w:r>
    </w:p>
    <w:p w14:paraId="53BB8C86">
      <w:pPr>
        <w:pStyle w:val="16"/>
        <w:spacing w:before="31" w:after="31"/>
        <w:ind w:firstLine="480"/>
        <w:rPr>
          <w:szCs w:val="24"/>
        </w:rPr>
      </w:pPr>
      <w:r>
        <w:rPr>
          <w:szCs w:val="24"/>
        </w:rPr>
        <w:t>The LPT4 stator blades were subjected to long-term vibrational stress, leading to high-cycle fatigue fracture of the fixing groove. After the groove fracture, the blades curled up and interfered with the LPT4 rotor blades, causing the engine to shut down in-flight. The main cause of the groove fracture was the use of inappropriate tools in the final process, resulting in an excessively small chamfer.</w:t>
      </w:r>
    </w:p>
    <w:p w14:paraId="4B744433">
      <w:pPr>
        <w:pStyle w:val="16"/>
        <w:spacing w:before="31" w:after="31"/>
        <w:ind w:firstLine="0" w:firstLineChars="0"/>
        <w:rPr>
          <w:szCs w:val="24"/>
        </w:rPr>
      </w:pPr>
      <w:r>
        <w:rPr>
          <w:szCs w:val="24"/>
        </w:rPr>
        <w:t>The manufacturer conducted a safety assessment for LPT4 stator blades in similar conditions. To improve reliability, the following corrective measures were taken: (a) Replacement of the milling cutter used for tip chamfering; (b) Addition of a visual inspection step for the groove chamfer.</w:t>
      </w:r>
    </w:p>
    <w:p w14:paraId="3A45F732">
      <w:pPr>
        <w:pStyle w:val="16"/>
        <w:spacing w:before="31" w:after="31"/>
        <w:ind w:firstLine="480"/>
        <w:rPr>
          <w:szCs w:val="24"/>
        </w:rPr>
      </w:pPr>
    </w:p>
    <w:p w14:paraId="292913AE">
      <w:pPr>
        <w:pStyle w:val="16"/>
        <w:spacing w:before="31" w:after="31"/>
        <w:ind w:firstLine="0" w:firstLineChars="0"/>
        <w:rPr>
          <w:b/>
          <w:bCs/>
          <w:szCs w:val="24"/>
        </w:rPr>
      </w:pPr>
      <w:r>
        <w:rPr>
          <w:b/>
          <w:bCs/>
          <w:szCs w:val="24"/>
        </w:rPr>
        <w:t>7.2.18 Case 7-18 Aircraft Engine Turbine Stage II Blade Fracture</w:t>
      </w:r>
    </w:p>
    <w:p w14:paraId="27E4BDDF">
      <w:pPr>
        <w:pStyle w:val="16"/>
        <w:spacing w:before="31" w:after="31"/>
        <w:ind w:firstLine="480"/>
        <w:rPr>
          <w:szCs w:val="24"/>
        </w:rPr>
      </w:pPr>
      <w:r>
        <w:rPr>
          <w:szCs w:val="24"/>
        </w:rPr>
        <w:t>(1) Case Name</w:t>
      </w:r>
    </w:p>
    <w:p w14:paraId="0D54EEAE">
      <w:pPr>
        <w:pStyle w:val="16"/>
        <w:spacing w:before="31" w:after="31"/>
        <w:ind w:firstLine="480"/>
        <w:rPr>
          <w:szCs w:val="24"/>
        </w:rPr>
      </w:pPr>
      <w:r>
        <w:rPr>
          <w:szCs w:val="24"/>
        </w:rPr>
        <w:t>Aircraft engine turbine stage II blade fracture [15]</w:t>
      </w:r>
    </w:p>
    <w:p w14:paraId="0E553473">
      <w:pPr>
        <w:pStyle w:val="16"/>
        <w:spacing w:before="31" w:after="31"/>
        <w:ind w:firstLine="480"/>
        <w:rPr>
          <w:szCs w:val="24"/>
        </w:rPr>
      </w:pPr>
      <w:r>
        <w:rPr>
          <w:szCs w:val="24"/>
        </w:rPr>
        <w:t>(2) Failure Process Description</w:t>
      </w:r>
    </w:p>
    <w:p w14:paraId="75C9CBD5">
      <w:pPr>
        <w:pStyle w:val="16"/>
        <w:spacing w:before="31" w:after="31"/>
        <w:ind w:firstLine="480"/>
        <w:rPr>
          <w:szCs w:val="24"/>
        </w:rPr>
      </w:pPr>
      <w:r>
        <w:rPr>
          <w:szCs w:val="24"/>
        </w:rPr>
        <w:t>The stage II turbine blades are critical components of the engine. The total lifespan of the turbine stage II blades in a certain aircraft engine is 450h57m, and a fracture occurred after 98h57m of usage.</w:t>
      </w:r>
    </w:p>
    <w:p w14:paraId="599DA316">
      <w:pPr>
        <w:pStyle w:val="16"/>
        <w:spacing w:before="31" w:after="31"/>
        <w:ind w:firstLine="480"/>
        <w:rPr>
          <w:szCs w:val="24"/>
        </w:rPr>
      </w:pPr>
      <w:r>
        <w:rPr>
          <w:szCs w:val="24"/>
        </w:rPr>
        <w:t>(3) Service Environment</w:t>
      </w:r>
    </w:p>
    <w:p w14:paraId="0F8674D0">
      <w:pPr>
        <w:pStyle w:val="16"/>
        <w:spacing w:before="31" w:after="31"/>
        <w:ind w:firstLine="480"/>
        <w:rPr>
          <w:szCs w:val="24"/>
        </w:rPr>
      </w:pPr>
      <w:r>
        <w:rPr>
          <w:szCs w:val="24"/>
        </w:rPr>
        <w:t>Operating temperature range: 450~800°C, subjected to repeated thermal stress and vibration stress.</w:t>
      </w:r>
    </w:p>
    <w:p w14:paraId="343BFFAB">
      <w:pPr>
        <w:pStyle w:val="16"/>
        <w:spacing w:before="31" w:after="31"/>
        <w:ind w:firstLine="480"/>
        <w:rPr>
          <w:szCs w:val="24"/>
        </w:rPr>
      </w:pPr>
      <w:r>
        <w:rPr>
          <w:szCs w:val="24"/>
        </w:rPr>
        <w:t>(4) Failed Component and Material</w:t>
      </w:r>
    </w:p>
    <w:p w14:paraId="7CCC0E1F">
      <w:pPr>
        <w:pStyle w:val="16"/>
        <w:spacing w:before="31" w:after="31"/>
        <w:ind w:firstLine="480"/>
        <w:rPr>
          <w:szCs w:val="24"/>
        </w:rPr>
      </w:pPr>
      <w:r>
        <w:rPr>
          <w:szCs w:val="24"/>
        </w:rPr>
        <w:t>Aircraft engine stage II turbine blades made of GH4037 nickel-based high-temperature alloy.</w:t>
      </w:r>
    </w:p>
    <w:p w14:paraId="3B46B4A5">
      <w:pPr>
        <w:pStyle w:val="16"/>
        <w:spacing w:before="31" w:after="31"/>
        <w:ind w:firstLine="480"/>
        <w:rPr>
          <w:szCs w:val="24"/>
        </w:rPr>
      </w:pPr>
      <w:r>
        <w:rPr>
          <w:szCs w:val="24"/>
        </w:rPr>
        <w:t>(5) Failed Component Appearance</w:t>
      </w:r>
    </w:p>
    <w:p w14:paraId="228D01AC">
      <w:pPr>
        <w:pStyle w:val="16"/>
        <w:spacing w:before="31" w:after="31"/>
        <w:ind w:firstLine="480"/>
        <w:rPr>
          <w:szCs w:val="24"/>
        </w:rPr>
      </w:pPr>
      <w:r>
        <w:rPr>
          <w:szCs w:val="24"/>
        </w:rPr>
        <w:t>The external appearance of the fractured blade is shown in Figure 7-18.1. The fracture occurred approximately 51mm from the base of the blade tenon, and there is no apparent plastic deformation near the fracture. The macroscopic appearance of the fracture is shown in Figure 7-18.2, with a smooth and shiny surface on the exhaust side, displaying evident radial lines and fatigue arc lines. The fatigue lines start from the exhaust side, covering about half of the cross-section. The fracture on the intake side is rougher and darker, representing the final instantaneous fracture zone.</w:t>
      </w:r>
    </w:p>
    <w:p w14:paraId="35F3F192">
      <w:pPr>
        <w:pStyle w:val="16"/>
        <w:spacing w:before="31" w:after="31"/>
        <w:ind w:firstLine="482"/>
        <w:jc w:val="center"/>
        <w:rPr>
          <w:b/>
          <w:bCs/>
          <w:szCs w:val="24"/>
        </w:rPr>
      </w:pPr>
      <w:r>
        <w:rPr>
          <w:b/>
          <w:bCs/>
          <w:szCs w:val="24"/>
        </w:rPr>
        <w:t>Figure 7-18.1 External appearance of fractured blade</w:t>
      </w:r>
    </w:p>
    <w:p w14:paraId="2BF85A79">
      <w:pPr>
        <w:pStyle w:val="16"/>
        <w:spacing w:before="31" w:after="31"/>
        <w:ind w:firstLine="482"/>
        <w:jc w:val="center"/>
        <w:rPr>
          <w:b/>
          <w:bCs/>
          <w:szCs w:val="24"/>
        </w:rPr>
      </w:pPr>
      <w:r>
        <w:rPr>
          <w:b/>
          <w:bCs/>
          <w:szCs w:val="24"/>
        </w:rPr>
        <w:t>Figure 7-18.2 Macroscopic appearance of the fracture</w:t>
      </w:r>
    </w:p>
    <w:p w14:paraId="71B3AD45">
      <w:pPr>
        <w:pStyle w:val="16"/>
        <w:spacing w:before="31" w:after="31"/>
        <w:ind w:firstLine="480"/>
        <w:rPr>
          <w:szCs w:val="24"/>
        </w:rPr>
      </w:pPr>
    </w:p>
    <w:p w14:paraId="150B1DB0">
      <w:pPr>
        <w:pStyle w:val="16"/>
        <w:spacing w:before="31" w:after="31"/>
        <w:ind w:firstLine="480"/>
        <w:rPr>
          <w:szCs w:val="24"/>
        </w:rPr>
      </w:pPr>
      <w:r>
        <w:rPr>
          <w:szCs w:val="24"/>
        </w:rPr>
        <w:t>The microscopic morphology of the initiation region on the exhaust side is shown in Figure 7-18.3, with clear fatigue features on the exhaust edge. Near the fatigue source area, fatigue bands are visible on the cross-section (Figure 7-18.4). In the fatigue propagation zone, typical fatigue bands become more pronounced (Figure 7-18.5). In the later stage of fatigue propagation, wider fatigue bands and secondary crack features are observed (Figure 7-18.6). The instantaneous fracture zone accounts for about half of the entire area, exhibiting a fracture pattern primarily along the grain boundaries with a mixture of transgranular and dimple features. Fine tear lines are present, and no anomalies are found at the grain boundaries. The morphology of the instantaneous fracture zone is shown in Figures 7-18.7 and 7-18.8.</w:t>
      </w:r>
    </w:p>
    <w:p w14:paraId="2513F69C">
      <w:pPr>
        <w:pStyle w:val="16"/>
        <w:spacing w:before="31" w:after="31"/>
        <w:ind w:firstLine="482"/>
        <w:jc w:val="center"/>
        <w:rPr>
          <w:b/>
          <w:bCs/>
          <w:szCs w:val="24"/>
        </w:rPr>
      </w:pPr>
      <w:r>
        <w:rPr>
          <w:b/>
          <w:bCs/>
          <w:szCs w:val="24"/>
        </w:rPr>
        <w:t>Figure 7-18.3 Morphology of the fracture initiation zone</w:t>
      </w:r>
    </w:p>
    <w:p w14:paraId="2687AF0A">
      <w:pPr>
        <w:pStyle w:val="16"/>
        <w:spacing w:before="31" w:after="31"/>
        <w:ind w:firstLine="482"/>
        <w:jc w:val="center"/>
        <w:rPr>
          <w:b/>
          <w:bCs/>
          <w:szCs w:val="24"/>
        </w:rPr>
      </w:pPr>
      <w:r>
        <w:rPr>
          <w:b/>
          <w:bCs/>
          <w:szCs w:val="24"/>
        </w:rPr>
        <w:t>Figure 7-18.4 Fatigue bands near the fracture initiation zone</w:t>
      </w:r>
    </w:p>
    <w:p w14:paraId="61A1193D">
      <w:pPr>
        <w:pStyle w:val="16"/>
        <w:spacing w:before="31" w:after="31"/>
        <w:ind w:firstLine="482"/>
        <w:jc w:val="center"/>
        <w:rPr>
          <w:b/>
          <w:bCs/>
          <w:szCs w:val="24"/>
        </w:rPr>
      </w:pPr>
      <w:r>
        <w:rPr>
          <w:b/>
          <w:bCs/>
          <w:szCs w:val="24"/>
        </w:rPr>
        <w:t>Figure 7-18.5 Bands in the fatigue propagation zone</w:t>
      </w:r>
    </w:p>
    <w:p w14:paraId="3E52CC8E">
      <w:pPr>
        <w:pStyle w:val="16"/>
        <w:spacing w:before="31" w:after="31"/>
        <w:ind w:firstLine="482"/>
        <w:jc w:val="center"/>
        <w:rPr>
          <w:b/>
          <w:bCs/>
          <w:szCs w:val="24"/>
        </w:rPr>
      </w:pPr>
      <w:r>
        <w:rPr>
          <w:b/>
          <w:bCs/>
          <w:szCs w:val="24"/>
        </w:rPr>
        <w:t>Figure 7-18.6 Bands and secondary cracks in the later stage of fatigue propagation</w:t>
      </w:r>
    </w:p>
    <w:p w14:paraId="097E26BA">
      <w:pPr>
        <w:pStyle w:val="16"/>
        <w:spacing w:before="31" w:after="31"/>
        <w:ind w:firstLine="482"/>
        <w:jc w:val="center"/>
        <w:rPr>
          <w:b/>
          <w:bCs/>
          <w:szCs w:val="24"/>
        </w:rPr>
      </w:pPr>
      <w:r>
        <w:rPr>
          <w:b/>
          <w:bCs/>
          <w:szCs w:val="24"/>
        </w:rPr>
        <w:t>Figure 7-18.7 Low-magnification morphology of the instantaneous fracture Figure 7-18.8 Transgranular and dimple fracture features in the instantaneous fracture zone</w:t>
      </w:r>
    </w:p>
    <w:p w14:paraId="47A05775">
      <w:pPr>
        <w:pStyle w:val="16"/>
        <w:spacing w:before="31" w:after="31"/>
        <w:ind w:firstLine="480"/>
        <w:rPr>
          <w:szCs w:val="24"/>
        </w:rPr>
      </w:pPr>
    </w:p>
    <w:p w14:paraId="6D47EB95">
      <w:pPr>
        <w:pStyle w:val="16"/>
        <w:spacing w:before="31" w:after="31"/>
        <w:ind w:firstLine="480"/>
        <w:rPr>
          <w:szCs w:val="24"/>
        </w:rPr>
      </w:pPr>
      <w:r>
        <w:rPr>
          <w:szCs w:val="24"/>
        </w:rPr>
        <w:t>A metallographic sample was taken from the fractured area of the blade, and the microstructure is shown in Figure 7-18.9. The grain structure of the blade is uniform, with an average grain size of about 100μm and a grain size rating of 3.5 to 4, meeting technical requirements. QSN750 direct reading spectrometer analysis of the metal near the crack in the blade revealed that the chemical composition is within the standard range, meeting requirements. Hardness tests on three blade samples from the failed engine also met technical requirements, indicating no structural changes in the blade.</w:t>
      </w:r>
    </w:p>
    <w:p w14:paraId="6EDC66F4">
      <w:pPr>
        <w:pStyle w:val="16"/>
        <w:spacing w:before="31" w:after="31"/>
        <w:ind w:firstLine="482"/>
        <w:jc w:val="center"/>
        <w:rPr>
          <w:b/>
          <w:bCs/>
          <w:szCs w:val="24"/>
        </w:rPr>
      </w:pPr>
      <w:r>
        <w:rPr>
          <w:b/>
          <w:bCs/>
          <w:szCs w:val="24"/>
        </w:rPr>
        <w:t>Figure 7-18.9 Grain structure near the blade fracture</w:t>
      </w:r>
    </w:p>
    <w:p w14:paraId="18668E36">
      <w:pPr>
        <w:pStyle w:val="16"/>
        <w:spacing w:before="31" w:after="31"/>
        <w:ind w:firstLine="480"/>
        <w:rPr>
          <w:szCs w:val="24"/>
        </w:rPr>
      </w:pPr>
    </w:p>
    <w:p w14:paraId="316A72ED">
      <w:pPr>
        <w:pStyle w:val="16"/>
        <w:spacing w:before="31" w:after="31"/>
        <w:ind w:firstLine="480"/>
        <w:rPr>
          <w:szCs w:val="24"/>
        </w:rPr>
      </w:pPr>
      <w:r>
        <w:rPr>
          <w:szCs w:val="24"/>
        </w:rPr>
        <w:t>(6) Failure Analysis</w:t>
      </w:r>
    </w:p>
    <w:p w14:paraId="5BC7C89C">
      <w:pPr>
        <w:pStyle w:val="16"/>
        <w:spacing w:before="31" w:after="31"/>
        <w:ind w:firstLine="480"/>
        <w:rPr>
          <w:szCs w:val="24"/>
        </w:rPr>
      </w:pPr>
      <w:r>
        <w:rPr>
          <w:szCs w:val="24"/>
        </w:rPr>
        <w:t>From macro and micro observations of the fracture, it is evident that the blade's grain structure is uniform, and no grain boundary carbides were found. Fatigue originated on the exhaust side and propagated from the outside to the inside. The fatigue zone covers half of the cross-section. Macroscopically, fatigue arc lines are observed on the fracture surface, and microscopically, both fatigue arc lines and bands are visible, with distinct fatigue bands near the source area. The nature of the blade's fracture is identified as vibration fatigue. No material defects, processing defects, or foreign object damage were found on the fracture surface or nearby.</w:t>
      </w:r>
    </w:p>
    <w:p w14:paraId="1A67F2B3">
      <w:pPr>
        <w:pStyle w:val="16"/>
        <w:spacing w:before="31" w:after="31"/>
        <w:ind w:firstLine="480"/>
        <w:rPr>
          <w:szCs w:val="24"/>
        </w:rPr>
      </w:pPr>
    </w:p>
    <w:p w14:paraId="20D67154">
      <w:pPr>
        <w:pStyle w:val="16"/>
        <w:spacing w:before="31" w:after="31"/>
        <w:ind w:firstLine="480"/>
        <w:rPr>
          <w:szCs w:val="24"/>
        </w:rPr>
      </w:pPr>
      <w:r>
        <w:rPr>
          <w:szCs w:val="24"/>
        </w:rPr>
        <w:t>The blade operates in a dual-phase gas flow with high temperature, high pressure, and varying speeds. The internal temperature difference and repeated thermal stress on the blade cause it to endure cyclic thermal stress. The blades undergo major overhauls every 150 hours of operation, and some blades have weak points on the exhaust side. The condition of each blade varies during operation, and these weak points are one of the significant factors leading to crack formation.</w:t>
      </w:r>
    </w:p>
    <w:p w14:paraId="5DC6751C">
      <w:pPr>
        <w:pStyle w:val="16"/>
        <w:spacing w:before="31" w:after="31"/>
        <w:ind w:firstLine="480"/>
        <w:rPr>
          <w:szCs w:val="24"/>
        </w:rPr>
      </w:pPr>
    </w:p>
    <w:p w14:paraId="2187ABF5">
      <w:pPr>
        <w:pStyle w:val="16"/>
        <w:spacing w:before="31" w:after="31"/>
        <w:ind w:firstLine="480"/>
        <w:rPr>
          <w:szCs w:val="24"/>
        </w:rPr>
      </w:pPr>
      <w:r>
        <w:rPr>
          <w:szCs w:val="24"/>
        </w:rPr>
        <w:t>Three blade samples from the faulty engine were taken for hardness testing, and the results were within the lower limit of the acceptable range. Instantaneous overheating may occur during operation, causing a decrease or failure in blade hardness.</w:t>
      </w:r>
    </w:p>
    <w:p w14:paraId="6CDCA859">
      <w:pPr>
        <w:pStyle w:val="16"/>
        <w:spacing w:before="31" w:after="31"/>
        <w:ind w:firstLine="480"/>
        <w:rPr>
          <w:szCs w:val="24"/>
        </w:rPr>
      </w:pPr>
    </w:p>
    <w:p w14:paraId="68335012">
      <w:pPr>
        <w:pStyle w:val="16"/>
        <w:spacing w:before="31" w:after="31"/>
        <w:ind w:firstLine="480"/>
        <w:rPr>
          <w:szCs w:val="24"/>
        </w:rPr>
      </w:pPr>
      <w:r>
        <w:rPr>
          <w:szCs w:val="24"/>
        </w:rPr>
        <w:t>(7) Impact and Harm Caused</w:t>
      </w:r>
    </w:p>
    <w:p w14:paraId="1393B88E">
      <w:pPr>
        <w:pStyle w:val="16"/>
        <w:spacing w:before="31" w:after="31"/>
        <w:ind w:firstLine="480"/>
        <w:rPr>
          <w:szCs w:val="24"/>
        </w:rPr>
      </w:pPr>
      <w:r>
        <w:rPr>
          <w:szCs w:val="24"/>
        </w:rPr>
        <w:t>Severely impacts the engine's operational life, posing a threat to flight safety.</w:t>
      </w:r>
    </w:p>
    <w:p w14:paraId="251BD649">
      <w:pPr>
        <w:pStyle w:val="16"/>
        <w:spacing w:before="31" w:after="31"/>
        <w:ind w:firstLine="480"/>
        <w:rPr>
          <w:szCs w:val="24"/>
        </w:rPr>
      </w:pPr>
    </w:p>
    <w:p w14:paraId="37F878ED">
      <w:pPr>
        <w:pStyle w:val="16"/>
        <w:spacing w:before="31" w:after="31"/>
        <w:ind w:firstLine="480"/>
        <w:rPr>
          <w:szCs w:val="24"/>
        </w:rPr>
      </w:pPr>
      <w:r>
        <w:rPr>
          <w:szCs w:val="24"/>
        </w:rPr>
        <w:t>(8) Conclusion and Improvement Measures</w:t>
      </w:r>
    </w:p>
    <w:p w14:paraId="5243DDBC">
      <w:pPr>
        <w:pStyle w:val="16"/>
        <w:spacing w:before="31" w:after="31"/>
        <w:ind w:firstLine="480"/>
        <w:rPr>
          <w:szCs w:val="24"/>
        </w:rPr>
      </w:pPr>
      <w:r>
        <w:rPr>
          <w:szCs w:val="24"/>
        </w:rPr>
        <w:t>The nature of the turbine stage II blade fracture is identified as vibration fatigue. The blade's composition is normal, and no obvious material defects, processing defects, or foreign object damage were found on the fracture surface or nearby.</w:t>
      </w:r>
    </w:p>
    <w:p w14:paraId="109E53A3">
      <w:pPr>
        <w:pStyle w:val="16"/>
        <w:spacing w:before="31" w:after="31"/>
        <w:ind w:firstLine="480"/>
        <w:rPr>
          <w:szCs w:val="24"/>
        </w:rPr>
      </w:pPr>
    </w:p>
    <w:p w14:paraId="24FB3BA1">
      <w:pPr>
        <w:pStyle w:val="16"/>
        <w:spacing w:before="31" w:after="31"/>
        <w:ind w:firstLine="480"/>
        <w:rPr>
          <w:szCs w:val="24"/>
        </w:rPr>
      </w:pPr>
      <w:r>
        <w:rPr>
          <w:szCs w:val="24"/>
        </w:rPr>
        <w:t>Primary improvement measures include: (a) Shot peening during the repair process to enhance the blade's fatigue resistance. (b) Strengthening visual and non-destructive inspections of the blades during maintenance.</w:t>
      </w:r>
    </w:p>
    <w:p w14:paraId="552B57CB">
      <w:pPr>
        <w:pStyle w:val="16"/>
        <w:spacing w:before="31" w:after="31"/>
        <w:ind w:firstLine="480"/>
        <w:rPr>
          <w:szCs w:val="24"/>
        </w:rPr>
      </w:pPr>
    </w:p>
    <w:p w14:paraId="7AD3EB72">
      <w:pPr>
        <w:pStyle w:val="16"/>
        <w:spacing w:before="31" w:after="31"/>
        <w:ind w:firstLine="0" w:firstLineChars="0"/>
        <w:rPr>
          <w:b/>
          <w:bCs/>
          <w:szCs w:val="24"/>
        </w:rPr>
      </w:pPr>
      <w:r>
        <w:rPr>
          <w:b/>
          <w:bCs/>
          <w:szCs w:val="24"/>
        </w:rPr>
        <w:t>7.2.19 Case 7-19 Missile Servo Line Fatigue Fracture</w:t>
      </w:r>
    </w:p>
    <w:p w14:paraId="2EFC796A">
      <w:pPr>
        <w:pStyle w:val="16"/>
        <w:spacing w:before="31" w:after="31"/>
        <w:ind w:firstLine="480"/>
        <w:rPr>
          <w:szCs w:val="24"/>
        </w:rPr>
      </w:pPr>
      <w:r>
        <w:rPr>
          <w:szCs w:val="24"/>
        </w:rPr>
        <w:t>(1) Case Name</w:t>
      </w:r>
    </w:p>
    <w:p w14:paraId="26CA9ADF">
      <w:pPr>
        <w:pStyle w:val="16"/>
        <w:spacing w:before="31" w:after="31"/>
        <w:ind w:firstLine="480"/>
        <w:rPr>
          <w:szCs w:val="24"/>
        </w:rPr>
      </w:pPr>
      <w:r>
        <w:rPr>
          <w:szCs w:val="24"/>
        </w:rPr>
        <w:t>Missile servo line fatigue fracture [55]</w:t>
      </w:r>
    </w:p>
    <w:p w14:paraId="45A41BCD">
      <w:pPr>
        <w:pStyle w:val="16"/>
        <w:spacing w:before="31" w:after="31"/>
        <w:ind w:firstLine="480"/>
        <w:rPr>
          <w:szCs w:val="24"/>
        </w:rPr>
      </w:pPr>
      <w:r>
        <w:rPr>
          <w:szCs w:val="24"/>
        </w:rPr>
        <w:t>(2) Failure Process Description</w:t>
      </w:r>
    </w:p>
    <w:p w14:paraId="43CB698E">
      <w:pPr>
        <w:pStyle w:val="16"/>
        <w:spacing w:before="31" w:after="31"/>
        <w:ind w:firstLine="480"/>
        <w:rPr>
          <w:szCs w:val="24"/>
        </w:rPr>
      </w:pPr>
      <w:r>
        <w:rPr>
          <w:szCs w:val="24"/>
        </w:rPr>
        <w:t>A certain model of missile lost control during an airborne launch test, leading to test failure. Analysis of the collected missile wreckage, combined with telemetry parameter curves, confirmed that the missile's servo attitude control was lost during flight. Further disassembly of the servo wreckage revealed the fracture of the 2nd servo line in the 2nd and 3rd channel control panels, with a diameter of 0.64mm.</w:t>
      </w:r>
    </w:p>
    <w:p w14:paraId="6D9D3D82">
      <w:pPr>
        <w:pStyle w:val="16"/>
        <w:spacing w:before="31" w:after="31"/>
        <w:ind w:firstLine="480"/>
        <w:rPr>
          <w:szCs w:val="24"/>
        </w:rPr>
      </w:pPr>
    </w:p>
    <w:p w14:paraId="444D84A9">
      <w:pPr>
        <w:pStyle w:val="16"/>
        <w:spacing w:before="31" w:after="31"/>
        <w:ind w:firstLine="480"/>
        <w:rPr>
          <w:szCs w:val="24"/>
        </w:rPr>
      </w:pPr>
      <w:r>
        <w:rPr>
          <w:szCs w:val="24"/>
        </w:rPr>
        <w:t>(3) Service Environment</w:t>
      </w:r>
    </w:p>
    <w:p w14:paraId="6CE7188A">
      <w:pPr>
        <w:pStyle w:val="16"/>
        <w:spacing w:before="31" w:after="31"/>
        <w:ind w:firstLine="480"/>
        <w:rPr>
          <w:szCs w:val="24"/>
        </w:rPr>
      </w:pPr>
      <w:r>
        <w:rPr>
          <w:szCs w:val="24"/>
        </w:rPr>
        <w:t>Natural atmospheric environment.</w:t>
      </w:r>
    </w:p>
    <w:p w14:paraId="78A55B78">
      <w:pPr>
        <w:pStyle w:val="16"/>
        <w:spacing w:before="31" w:after="31"/>
        <w:ind w:firstLine="480"/>
        <w:rPr>
          <w:szCs w:val="24"/>
        </w:rPr>
      </w:pPr>
    </w:p>
    <w:p w14:paraId="7AB2F5D0">
      <w:pPr>
        <w:pStyle w:val="16"/>
        <w:spacing w:before="31" w:after="31"/>
        <w:ind w:firstLine="480"/>
        <w:rPr>
          <w:szCs w:val="24"/>
        </w:rPr>
      </w:pPr>
      <w:r>
        <w:rPr>
          <w:szCs w:val="24"/>
        </w:rPr>
        <w:t>(4) Failed Component and Material</w:t>
      </w:r>
    </w:p>
    <w:p w14:paraId="3E8D2A11">
      <w:pPr>
        <w:pStyle w:val="16"/>
        <w:spacing w:before="31" w:after="31"/>
        <w:ind w:firstLine="480"/>
        <w:rPr>
          <w:szCs w:val="24"/>
        </w:rPr>
      </w:pPr>
      <w:r>
        <w:rPr>
          <w:szCs w:val="24"/>
        </w:rPr>
        <w:t>Failed component: missile servo line. Material: UNS C11000 tin-plated copper wire (equivalent to Chinese grade T2).</w:t>
      </w:r>
    </w:p>
    <w:p w14:paraId="4893B19B">
      <w:pPr>
        <w:pStyle w:val="16"/>
        <w:spacing w:before="31" w:after="31"/>
        <w:ind w:firstLine="480"/>
        <w:rPr>
          <w:szCs w:val="24"/>
        </w:rPr>
      </w:pPr>
    </w:p>
    <w:p w14:paraId="65116292">
      <w:pPr>
        <w:pStyle w:val="16"/>
        <w:spacing w:before="31" w:after="31"/>
        <w:ind w:firstLine="480"/>
        <w:rPr>
          <w:szCs w:val="24"/>
        </w:rPr>
      </w:pPr>
      <w:r>
        <w:rPr>
          <w:szCs w:val="24"/>
        </w:rPr>
        <w:t>(5) Component Failure Appearance</w:t>
      </w:r>
    </w:p>
    <w:p w14:paraId="66FF5E04">
      <w:pPr>
        <w:pStyle w:val="16"/>
        <w:spacing w:before="31" w:after="31"/>
        <w:ind w:firstLine="480"/>
        <w:rPr>
          <w:szCs w:val="24"/>
        </w:rPr>
      </w:pPr>
      <w:r>
        <w:rPr>
          <w:szCs w:val="24"/>
        </w:rPr>
        <w:t>The fracture area of the servo line is located in the welding heat-affected zone. The macroscopic fracture surface is rough, with no apparent signs of plastic deformation and a prominent protruding ridge near the center (Figure 7-19.1).</w:t>
      </w:r>
    </w:p>
    <w:p w14:paraId="7C65C531">
      <w:pPr>
        <w:pStyle w:val="16"/>
        <w:spacing w:before="31" w:after="31"/>
        <w:ind w:firstLine="482"/>
        <w:jc w:val="center"/>
        <w:rPr>
          <w:b/>
          <w:bCs/>
          <w:szCs w:val="24"/>
        </w:rPr>
      </w:pPr>
      <w:r>
        <w:rPr>
          <w:b/>
          <w:bCs/>
          <w:szCs w:val="24"/>
        </w:rPr>
        <w:t>Figure 7-19.1 Macroscopic fracture appearance</w:t>
      </w:r>
    </w:p>
    <w:p w14:paraId="674AE4CE">
      <w:pPr>
        <w:pStyle w:val="16"/>
        <w:spacing w:before="31" w:after="31"/>
        <w:ind w:firstLine="480"/>
        <w:rPr>
          <w:szCs w:val="24"/>
        </w:rPr>
      </w:pPr>
    </w:p>
    <w:p w14:paraId="3F38A45A">
      <w:pPr>
        <w:pStyle w:val="16"/>
        <w:spacing w:before="31" w:after="31"/>
        <w:ind w:firstLine="480"/>
        <w:rPr>
          <w:szCs w:val="24"/>
        </w:rPr>
      </w:pPr>
      <w:r>
        <w:rPr>
          <w:szCs w:val="24"/>
        </w:rPr>
        <w:t>The microscopic appearance of the fracture is shown in Figures 7-19.2 to 7-19.4. The protruding ridge in the center of the fracture exhibits a dimple fracture feature (Figure 7-19.2), while other areas show a "mud-like" appearance without ductile fracture features. The crack originates on both sides of the surface corresponding to the line perpendicular to the protruding ridge, displaying a multi-source feature. The middle of the fracture is the instantaneous fracture zone, and microscopic particles are visible in some dimples. Electron probe analysis indicates that the particles are Cu2O. No obvious fatigue bands are found in the fracture source and propagation zones (Figures 7-19.3 and 7-19.4).</w:t>
      </w:r>
    </w:p>
    <w:p w14:paraId="2B1BD825">
      <w:pPr>
        <w:pStyle w:val="16"/>
        <w:spacing w:before="31" w:after="31"/>
        <w:ind w:firstLine="482"/>
        <w:jc w:val="center"/>
        <w:rPr>
          <w:b/>
          <w:bCs/>
          <w:szCs w:val="24"/>
        </w:rPr>
      </w:pPr>
      <w:r>
        <w:rPr>
          <w:b/>
          <w:bCs/>
          <w:szCs w:val="24"/>
        </w:rPr>
        <w:t>Figure 7-19.2 Microscopic appearance of the protruding ridge</w:t>
      </w:r>
    </w:p>
    <w:p w14:paraId="783C1CB4">
      <w:pPr>
        <w:pStyle w:val="16"/>
        <w:spacing w:before="31" w:after="31"/>
        <w:ind w:firstLine="482"/>
        <w:jc w:val="center"/>
        <w:rPr>
          <w:b/>
          <w:bCs/>
          <w:szCs w:val="24"/>
        </w:rPr>
      </w:pPr>
      <w:r>
        <w:rPr>
          <w:b/>
          <w:bCs/>
          <w:szCs w:val="24"/>
        </w:rPr>
        <w:t>Figure 7-19.3 Microscopic appearance of the fatigue source zone</w:t>
      </w:r>
    </w:p>
    <w:p w14:paraId="2E146F28">
      <w:pPr>
        <w:pStyle w:val="16"/>
        <w:spacing w:before="31" w:after="31"/>
        <w:ind w:firstLine="482"/>
        <w:jc w:val="center"/>
        <w:rPr>
          <w:b/>
          <w:bCs/>
          <w:szCs w:val="24"/>
        </w:rPr>
      </w:pPr>
      <w:r>
        <w:rPr>
          <w:b/>
          <w:bCs/>
          <w:szCs w:val="24"/>
        </w:rPr>
        <w:t>Figure 7-19.4 Microscopic appearance of the propagation zone</w:t>
      </w:r>
    </w:p>
    <w:p w14:paraId="60F92320">
      <w:pPr>
        <w:pStyle w:val="16"/>
        <w:spacing w:before="31" w:after="31"/>
        <w:ind w:firstLine="480"/>
        <w:rPr>
          <w:szCs w:val="24"/>
        </w:rPr>
      </w:pPr>
    </w:p>
    <w:p w14:paraId="50C57B69">
      <w:pPr>
        <w:pStyle w:val="16"/>
        <w:spacing w:before="31" w:after="31"/>
        <w:ind w:firstLine="480"/>
        <w:rPr>
          <w:szCs w:val="24"/>
        </w:rPr>
      </w:pPr>
    </w:p>
    <w:p w14:paraId="2D6FD627">
      <w:pPr>
        <w:pStyle w:val="16"/>
        <w:spacing w:before="31" w:after="31"/>
        <w:ind w:firstLine="480"/>
        <w:rPr>
          <w:szCs w:val="24"/>
        </w:rPr>
      </w:pPr>
      <w:r>
        <w:rPr>
          <w:szCs w:val="24"/>
        </w:rPr>
        <w:t>The servo line is made of tin-plated copper wire, with the standard ASTM B 33-91 for "Soft or Annealed Tin-Coated Copper Wire for Electrical Purposes." The chemical composition analysis results are shown in Table 7-8, and the composition complies with ASTM B 49-92 standard requirements. Microhardness tests converted to tensile strength also meet standard requirements.</w:t>
      </w:r>
    </w:p>
    <w:p w14:paraId="367765AB">
      <w:pPr>
        <w:pStyle w:val="16"/>
        <w:spacing w:before="31" w:after="31"/>
        <w:ind w:firstLine="480"/>
        <w:rPr>
          <w:szCs w:val="24"/>
        </w:rPr>
      </w:pPr>
    </w:p>
    <w:p w14:paraId="1D84203F">
      <w:pPr>
        <w:pStyle w:val="16"/>
        <w:spacing w:before="31" w:after="31"/>
        <w:ind w:firstLine="482"/>
        <w:jc w:val="center"/>
        <w:rPr>
          <w:b/>
          <w:bCs/>
          <w:szCs w:val="24"/>
        </w:rPr>
      </w:pPr>
      <w:r>
        <w:rPr>
          <w:b/>
          <w:bCs/>
          <w:szCs w:val="24"/>
        </w:rPr>
        <w:t>Table 7-8 Chemical composition of the fractured servo line (mass fractions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3BC79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F7DD5CB">
            <w:pPr>
              <w:pStyle w:val="16"/>
              <w:spacing w:before="31" w:after="31"/>
              <w:ind w:firstLine="0" w:firstLineChars="0"/>
              <w:rPr>
                <w:szCs w:val="24"/>
              </w:rPr>
            </w:pPr>
            <w:r>
              <w:rPr>
                <w:szCs w:val="24"/>
              </w:rPr>
              <w:t>Element</w:t>
            </w:r>
          </w:p>
        </w:tc>
        <w:tc>
          <w:tcPr>
            <w:tcW w:w="1704" w:type="dxa"/>
          </w:tcPr>
          <w:p w14:paraId="297FA5B0">
            <w:pPr>
              <w:pStyle w:val="16"/>
              <w:spacing w:before="31" w:after="31"/>
              <w:ind w:firstLine="0" w:firstLineChars="0"/>
              <w:rPr>
                <w:szCs w:val="24"/>
              </w:rPr>
            </w:pPr>
            <w:r>
              <w:rPr>
                <w:szCs w:val="24"/>
              </w:rPr>
              <w:t>Cu+Ag</w:t>
            </w:r>
          </w:p>
        </w:tc>
        <w:tc>
          <w:tcPr>
            <w:tcW w:w="1704" w:type="dxa"/>
          </w:tcPr>
          <w:p w14:paraId="21041BB8">
            <w:pPr>
              <w:pStyle w:val="16"/>
              <w:spacing w:before="31" w:after="31"/>
              <w:ind w:firstLine="0" w:firstLineChars="0"/>
              <w:rPr>
                <w:szCs w:val="24"/>
              </w:rPr>
            </w:pPr>
            <w:r>
              <w:rPr>
                <w:szCs w:val="24"/>
              </w:rPr>
              <w:t>Fe</w:t>
            </w:r>
          </w:p>
        </w:tc>
        <w:tc>
          <w:tcPr>
            <w:tcW w:w="1705" w:type="dxa"/>
          </w:tcPr>
          <w:p w14:paraId="35A81FF6">
            <w:pPr>
              <w:pStyle w:val="16"/>
              <w:spacing w:before="31" w:after="31"/>
              <w:ind w:firstLine="0" w:firstLineChars="0"/>
              <w:rPr>
                <w:szCs w:val="24"/>
              </w:rPr>
            </w:pPr>
            <w:r>
              <w:rPr>
                <w:szCs w:val="24"/>
              </w:rPr>
              <w:t>Sn</w:t>
            </w:r>
          </w:p>
        </w:tc>
        <w:tc>
          <w:tcPr>
            <w:tcW w:w="1705" w:type="dxa"/>
          </w:tcPr>
          <w:p w14:paraId="0DDEEA1A">
            <w:pPr>
              <w:pStyle w:val="16"/>
              <w:spacing w:before="31" w:after="31"/>
              <w:ind w:firstLine="0" w:firstLineChars="0"/>
              <w:rPr>
                <w:szCs w:val="24"/>
              </w:rPr>
            </w:pPr>
            <w:r>
              <w:rPr>
                <w:szCs w:val="24"/>
              </w:rPr>
              <w:t>O</w:t>
            </w:r>
          </w:p>
        </w:tc>
      </w:tr>
      <w:tr w14:paraId="5D132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20832FE">
            <w:pPr>
              <w:pStyle w:val="16"/>
              <w:spacing w:before="31" w:after="31"/>
              <w:ind w:firstLine="0" w:firstLineChars="0"/>
              <w:rPr>
                <w:szCs w:val="24"/>
              </w:rPr>
            </w:pPr>
            <w:r>
              <w:rPr>
                <w:szCs w:val="24"/>
              </w:rPr>
              <w:t>Test Value</w:t>
            </w:r>
          </w:p>
        </w:tc>
        <w:tc>
          <w:tcPr>
            <w:tcW w:w="1704" w:type="dxa"/>
          </w:tcPr>
          <w:p w14:paraId="3F992B0A">
            <w:pPr>
              <w:pStyle w:val="16"/>
              <w:spacing w:before="31" w:after="31"/>
              <w:ind w:firstLine="0" w:firstLineChars="0"/>
              <w:rPr>
                <w:szCs w:val="24"/>
              </w:rPr>
            </w:pPr>
            <w:r>
              <w:rPr>
                <w:szCs w:val="24"/>
              </w:rPr>
              <w:t>99.92</w:t>
            </w:r>
          </w:p>
        </w:tc>
        <w:tc>
          <w:tcPr>
            <w:tcW w:w="1704" w:type="dxa"/>
          </w:tcPr>
          <w:p w14:paraId="721506B5">
            <w:pPr>
              <w:pStyle w:val="16"/>
              <w:spacing w:before="31" w:after="31"/>
              <w:ind w:firstLine="0" w:firstLineChars="0"/>
              <w:rPr>
                <w:szCs w:val="24"/>
              </w:rPr>
            </w:pPr>
            <w:r>
              <w:rPr>
                <w:szCs w:val="24"/>
              </w:rPr>
              <w:t>0.002</w:t>
            </w:r>
          </w:p>
        </w:tc>
        <w:tc>
          <w:tcPr>
            <w:tcW w:w="1705" w:type="dxa"/>
          </w:tcPr>
          <w:p w14:paraId="2BAF330F">
            <w:pPr>
              <w:pStyle w:val="16"/>
              <w:spacing w:before="31" w:after="31"/>
              <w:ind w:firstLine="0" w:firstLineChars="0"/>
              <w:rPr>
                <w:szCs w:val="24"/>
              </w:rPr>
            </w:pPr>
            <w:r>
              <w:rPr>
                <w:szCs w:val="24"/>
              </w:rPr>
              <w:t>0.001</w:t>
            </w:r>
          </w:p>
        </w:tc>
        <w:tc>
          <w:tcPr>
            <w:tcW w:w="1705" w:type="dxa"/>
          </w:tcPr>
          <w:p w14:paraId="7B46901A">
            <w:pPr>
              <w:pStyle w:val="16"/>
              <w:spacing w:before="31" w:after="31"/>
              <w:ind w:firstLine="0" w:firstLineChars="0"/>
              <w:rPr>
                <w:szCs w:val="24"/>
              </w:rPr>
            </w:pPr>
            <w:r>
              <w:rPr>
                <w:szCs w:val="24"/>
              </w:rPr>
              <w:t>0.05</w:t>
            </w:r>
          </w:p>
        </w:tc>
      </w:tr>
      <w:tr w14:paraId="7CC4C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26BB0BE">
            <w:pPr>
              <w:pStyle w:val="16"/>
              <w:spacing w:before="31" w:after="31"/>
              <w:ind w:firstLine="0" w:firstLineChars="0"/>
              <w:rPr>
                <w:rFonts w:hint="eastAsia"/>
                <w:szCs w:val="24"/>
              </w:rPr>
            </w:pPr>
            <w:r>
              <w:rPr>
                <w:rFonts w:hint="eastAsia"/>
                <w:szCs w:val="24"/>
              </w:rPr>
              <w:t>Standard Value</w:t>
            </w:r>
          </w:p>
        </w:tc>
        <w:tc>
          <w:tcPr>
            <w:tcW w:w="1704" w:type="dxa"/>
          </w:tcPr>
          <w:p w14:paraId="386840FD">
            <w:pPr>
              <w:pStyle w:val="16"/>
              <w:spacing w:before="31" w:after="31"/>
              <w:ind w:firstLine="0" w:firstLineChars="0"/>
              <w:rPr>
                <w:rFonts w:hint="eastAsia"/>
                <w:szCs w:val="24"/>
              </w:rPr>
            </w:pPr>
            <w:r>
              <w:rPr>
                <w:rFonts w:hint="eastAsia"/>
                <w:szCs w:val="24"/>
              </w:rPr>
              <w:t>≥99.90</w:t>
            </w:r>
          </w:p>
        </w:tc>
        <w:tc>
          <w:tcPr>
            <w:tcW w:w="1704" w:type="dxa"/>
          </w:tcPr>
          <w:p w14:paraId="12920D31">
            <w:pPr>
              <w:pStyle w:val="16"/>
              <w:spacing w:before="31" w:after="31"/>
              <w:ind w:firstLine="0" w:firstLineChars="0"/>
              <w:rPr>
                <w:rFonts w:hint="eastAsia"/>
                <w:szCs w:val="24"/>
              </w:rPr>
            </w:pPr>
            <w:r>
              <w:rPr>
                <w:rFonts w:hint="eastAsia"/>
                <w:szCs w:val="24"/>
              </w:rPr>
              <w:t>≤0.005</w:t>
            </w:r>
          </w:p>
        </w:tc>
        <w:tc>
          <w:tcPr>
            <w:tcW w:w="1705" w:type="dxa"/>
          </w:tcPr>
          <w:p w14:paraId="0810DE21">
            <w:pPr>
              <w:pStyle w:val="16"/>
              <w:spacing w:before="31" w:after="31"/>
              <w:ind w:firstLine="0" w:firstLineChars="0"/>
              <w:rPr>
                <w:rFonts w:hint="eastAsia"/>
                <w:szCs w:val="24"/>
              </w:rPr>
            </w:pPr>
            <w:r>
              <w:rPr>
                <w:rFonts w:hint="eastAsia"/>
                <w:szCs w:val="24"/>
              </w:rPr>
              <w:t>≤0.002</w:t>
            </w:r>
          </w:p>
        </w:tc>
        <w:tc>
          <w:tcPr>
            <w:tcW w:w="1705" w:type="dxa"/>
          </w:tcPr>
          <w:p w14:paraId="0A265CDA">
            <w:pPr>
              <w:pStyle w:val="16"/>
              <w:spacing w:before="31" w:after="31"/>
              <w:ind w:firstLine="0" w:firstLineChars="0"/>
              <w:rPr>
                <w:rFonts w:hint="eastAsia"/>
                <w:szCs w:val="24"/>
              </w:rPr>
            </w:pPr>
            <w:r>
              <w:rPr>
                <w:rFonts w:hint="eastAsia"/>
                <w:szCs w:val="24"/>
              </w:rPr>
              <w:t>≤0.06</w:t>
            </w:r>
          </w:p>
        </w:tc>
      </w:tr>
    </w:tbl>
    <w:p w14:paraId="1C71CD83">
      <w:pPr>
        <w:pStyle w:val="16"/>
        <w:spacing w:before="31" w:after="31"/>
        <w:ind w:firstLine="480"/>
        <w:rPr>
          <w:szCs w:val="24"/>
        </w:rPr>
      </w:pPr>
    </w:p>
    <w:p w14:paraId="54E5D6E8">
      <w:pPr>
        <w:pStyle w:val="16"/>
        <w:spacing w:before="31" w:after="31"/>
        <w:ind w:firstLine="480"/>
        <w:rPr>
          <w:szCs w:val="24"/>
        </w:rPr>
      </w:pPr>
      <w:r>
        <w:rPr>
          <w:szCs w:val="24"/>
        </w:rPr>
        <w:t>(6) Failure Analysis</w:t>
      </w:r>
    </w:p>
    <w:p w14:paraId="10726497">
      <w:pPr>
        <w:pStyle w:val="16"/>
        <w:spacing w:before="31" w:after="31"/>
        <w:ind w:firstLine="480"/>
        <w:rPr>
          <w:szCs w:val="24"/>
        </w:rPr>
      </w:pPr>
      <w:r>
        <w:rPr>
          <w:szCs w:val="24"/>
        </w:rPr>
        <w:t>From the macroscopic and microscopic appearances of the fracture, combined with the servo's usage, hanging flight, and stress characteristics, it is confirmed that the fracture nature is fatigue. During the missile hanging flight and autonomous flight after launch, the heat-affected zone of the servo line weld is subjected to alternating two-way planar bending stress. Fatigue cracks initiate from both sides, propagate inward simultaneously, and ultimately undergo instantaneous fracture in the middle of the servo line, forming a protruding ridge.</w:t>
      </w:r>
    </w:p>
    <w:p w14:paraId="0F89B453">
      <w:pPr>
        <w:pStyle w:val="16"/>
        <w:spacing w:before="31" w:after="31"/>
        <w:ind w:firstLine="480"/>
        <w:rPr>
          <w:szCs w:val="24"/>
        </w:rPr>
      </w:pPr>
    </w:p>
    <w:p w14:paraId="30D781DC">
      <w:pPr>
        <w:pStyle w:val="16"/>
        <w:spacing w:before="31" w:after="31"/>
        <w:ind w:firstLine="480"/>
        <w:rPr>
          <w:szCs w:val="24"/>
        </w:rPr>
      </w:pPr>
      <w:r>
        <w:rPr>
          <w:szCs w:val="24"/>
        </w:rPr>
        <w:t>Fatigue fracture is independent of the material. Since the fracture is located in the heat-affected zone, welding may have an impact on the performance of the servo line.</w:t>
      </w:r>
    </w:p>
    <w:p w14:paraId="569DA71E">
      <w:pPr>
        <w:pStyle w:val="16"/>
        <w:spacing w:before="31" w:after="31"/>
        <w:ind w:firstLine="480"/>
        <w:rPr>
          <w:szCs w:val="24"/>
        </w:rPr>
      </w:pPr>
    </w:p>
    <w:p w14:paraId="79210DB3">
      <w:pPr>
        <w:pStyle w:val="16"/>
        <w:spacing w:before="31" w:after="31"/>
        <w:ind w:firstLine="480"/>
        <w:rPr>
          <w:szCs w:val="24"/>
        </w:rPr>
      </w:pPr>
      <w:r>
        <w:rPr>
          <w:szCs w:val="24"/>
        </w:rPr>
        <w:t>The copper-based metal material grade of the servo line is UNS C11000, and it is not suitable for processing at high temperatures (&gt; 370°C) such as annealing or welding. Temperature checks on the servo line welding station at the production site revealed significant differences in welding temperatures (some exceeding 420°C), and there are variations in welding times.</w:t>
      </w:r>
    </w:p>
    <w:p w14:paraId="04178A23">
      <w:pPr>
        <w:pStyle w:val="16"/>
        <w:spacing w:before="31" w:after="31"/>
        <w:ind w:firstLine="480"/>
        <w:rPr>
          <w:szCs w:val="24"/>
        </w:rPr>
      </w:pPr>
    </w:p>
    <w:p w14:paraId="161B08CE">
      <w:pPr>
        <w:pStyle w:val="16"/>
        <w:spacing w:before="31" w:after="31"/>
        <w:ind w:firstLine="480"/>
        <w:rPr>
          <w:szCs w:val="24"/>
        </w:rPr>
      </w:pPr>
      <w:r>
        <w:rPr>
          <w:szCs w:val="24"/>
        </w:rPr>
        <w:t>Testing shows that welding temperature has a certain influence on the conventional mechanical properties of the servo line. With the increase in welding temperature, the tensile strength of the specimen decreases. When the temperature rises to 450°C, the fracture elongation rate significantly decreases.</w:t>
      </w:r>
    </w:p>
    <w:p w14:paraId="262D8122">
      <w:pPr>
        <w:pStyle w:val="16"/>
        <w:spacing w:before="31" w:after="31"/>
        <w:ind w:firstLine="480"/>
        <w:rPr>
          <w:szCs w:val="24"/>
        </w:rPr>
      </w:pPr>
    </w:p>
    <w:p w14:paraId="3ABFB4F7">
      <w:pPr>
        <w:pStyle w:val="16"/>
        <w:spacing w:before="31" w:after="31"/>
        <w:ind w:firstLine="480"/>
        <w:rPr>
          <w:szCs w:val="24"/>
        </w:rPr>
      </w:pPr>
      <w:r>
        <w:rPr>
          <w:szCs w:val="24"/>
        </w:rPr>
        <w:t>In a fault reproduction simulation test, two servo lines with welding temperatures of 450°C and welding times of 3 s and 5 s, respectively, experienced fracture, with fracture surfaces similar to those of the faulty component, as shown in Figures 7-19.5 and 7-19.6.</w:t>
      </w:r>
    </w:p>
    <w:p w14:paraId="312BD7A0">
      <w:pPr>
        <w:pStyle w:val="16"/>
        <w:spacing w:before="31" w:after="31"/>
        <w:ind w:firstLine="482"/>
        <w:jc w:val="center"/>
        <w:rPr>
          <w:b/>
          <w:bCs/>
          <w:szCs w:val="24"/>
        </w:rPr>
      </w:pPr>
      <w:r>
        <w:rPr>
          <w:b/>
          <w:bCs/>
          <w:szCs w:val="24"/>
        </w:rPr>
        <w:t>Figure 7-19.5 Microscopic appearance of the protruding ridge in the fault reproduction test</w:t>
      </w:r>
    </w:p>
    <w:p w14:paraId="58AFA19D">
      <w:pPr>
        <w:pStyle w:val="16"/>
        <w:spacing w:before="31" w:after="31"/>
        <w:ind w:firstLine="482"/>
        <w:jc w:val="center"/>
        <w:rPr>
          <w:b/>
          <w:bCs/>
          <w:szCs w:val="24"/>
        </w:rPr>
      </w:pPr>
      <w:r>
        <w:rPr>
          <w:b/>
          <w:bCs/>
          <w:szCs w:val="24"/>
        </w:rPr>
        <w:t>Figure 7-19.6 Microscopic appearance of the propagation zone in the fault reproduction test</w:t>
      </w:r>
    </w:p>
    <w:p w14:paraId="64D7E896">
      <w:pPr>
        <w:pStyle w:val="16"/>
        <w:spacing w:before="31" w:after="31"/>
        <w:ind w:firstLine="480"/>
        <w:rPr>
          <w:szCs w:val="24"/>
        </w:rPr>
      </w:pPr>
    </w:p>
    <w:p w14:paraId="4A02B98E">
      <w:pPr>
        <w:pStyle w:val="16"/>
        <w:spacing w:before="31" w:after="31"/>
        <w:ind w:firstLine="480"/>
        <w:rPr>
          <w:szCs w:val="24"/>
        </w:rPr>
      </w:pPr>
      <w:r>
        <w:rPr>
          <w:szCs w:val="24"/>
        </w:rPr>
        <w:t>(7) Impact and Harm Caused</w:t>
      </w:r>
    </w:p>
    <w:p w14:paraId="6595481D">
      <w:pPr>
        <w:pStyle w:val="16"/>
        <w:spacing w:before="31" w:after="31"/>
        <w:ind w:firstLine="480"/>
        <w:rPr>
          <w:szCs w:val="24"/>
        </w:rPr>
      </w:pPr>
      <w:r>
        <w:rPr>
          <w:szCs w:val="24"/>
        </w:rPr>
        <w:t>Missile loss of control, leading to test failure.</w:t>
      </w:r>
    </w:p>
    <w:p w14:paraId="2AFC5DF9">
      <w:pPr>
        <w:pStyle w:val="16"/>
        <w:spacing w:before="31" w:after="31"/>
        <w:ind w:firstLine="480"/>
        <w:rPr>
          <w:szCs w:val="24"/>
        </w:rPr>
      </w:pPr>
    </w:p>
    <w:p w14:paraId="2EADE057">
      <w:pPr>
        <w:pStyle w:val="16"/>
        <w:spacing w:before="31" w:after="31"/>
        <w:ind w:firstLine="480"/>
        <w:rPr>
          <w:szCs w:val="24"/>
        </w:rPr>
      </w:pPr>
      <w:r>
        <w:rPr>
          <w:szCs w:val="24"/>
        </w:rPr>
        <w:t>(8) Conclusion and Improvement Measures</w:t>
      </w:r>
    </w:p>
    <w:p w14:paraId="1CF0A79C">
      <w:pPr>
        <w:pStyle w:val="16"/>
        <w:spacing w:before="31" w:after="31"/>
        <w:ind w:firstLine="0" w:firstLineChars="0"/>
        <w:rPr>
          <w:szCs w:val="24"/>
        </w:rPr>
      </w:pPr>
      <w:r>
        <w:rPr>
          <w:szCs w:val="24"/>
        </w:rPr>
        <w:t>The fracture of the servo line is a fatigue fracture, mainly due to the comprehensive performance deterioration of the servo line caused by unreasonable welding process parameters, such as welding temperature and time. The following measures are recommende</w:t>
      </w:r>
      <w:r>
        <w:rPr>
          <w:rFonts w:hint="eastAsia"/>
          <w:szCs w:val="24"/>
        </w:rPr>
        <w:t>d: (a) Strict control of servo line welding process parameters, with a suggested welding temperature of 350 ± 5°C and welding time ≤ 3 s. (b) Necessary vibration reduction measures are recommended for the servo circuit printed board to improve product qual</w:t>
      </w:r>
      <w:r>
        <w:rPr>
          <w:szCs w:val="24"/>
        </w:rPr>
        <w:t>ity and reliability.</w:t>
      </w:r>
    </w:p>
    <w:p w14:paraId="00C9CCBD">
      <w:pPr>
        <w:pStyle w:val="16"/>
        <w:spacing w:before="31" w:after="31"/>
        <w:ind w:firstLine="0" w:firstLineChars="0"/>
        <w:rPr>
          <w:szCs w:val="24"/>
        </w:rPr>
      </w:pPr>
      <w:r>
        <w:rPr>
          <w:b/>
          <w:bCs/>
          <w:szCs w:val="24"/>
        </w:rPr>
        <w:t>7.2.20 Case 7-20 Hydrogen Embrittlement Fracture of Spring Washer in Missile Seeker</w:t>
      </w:r>
    </w:p>
    <w:p w14:paraId="58C01399">
      <w:pPr>
        <w:pStyle w:val="16"/>
        <w:spacing w:before="31" w:after="31"/>
        <w:ind w:firstLine="480"/>
        <w:rPr>
          <w:szCs w:val="24"/>
        </w:rPr>
      </w:pPr>
      <w:r>
        <w:rPr>
          <w:szCs w:val="24"/>
        </w:rPr>
        <w:t>(1) Case Name</w:t>
      </w:r>
    </w:p>
    <w:p w14:paraId="5BBCC37A">
      <w:pPr>
        <w:pStyle w:val="16"/>
        <w:spacing w:before="31" w:after="31"/>
        <w:ind w:firstLine="480"/>
        <w:rPr>
          <w:szCs w:val="24"/>
        </w:rPr>
      </w:pPr>
      <w:r>
        <w:rPr>
          <w:szCs w:val="24"/>
        </w:rPr>
        <w:t>Hydrogen embrittlement fracture of spring washer in missile seeker [56]</w:t>
      </w:r>
    </w:p>
    <w:p w14:paraId="73A3FE07">
      <w:pPr>
        <w:pStyle w:val="16"/>
        <w:spacing w:before="31" w:after="31"/>
        <w:ind w:firstLine="480"/>
        <w:rPr>
          <w:szCs w:val="24"/>
        </w:rPr>
      </w:pPr>
      <w:r>
        <w:rPr>
          <w:szCs w:val="24"/>
        </w:rPr>
        <w:t>(2) Failure Process Description</w:t>
      </w:r>
    </w:p>
    <w:p w14:paraId="75554328">
      <w:pPr>
        <w:pStyle w:val="16"/>
        <w:spacing w:before="31" w:after="31"/>
        <w:ind w:firstLine="480"/>
        <w:rPr>
          <w:szCs w:val="24"/>
        </w:rPr>
      </w:pPr>
      <w:r>
        <w:rPr>
          <w:szCs w:val="24"/>
        </w:rPr>
        <w:t>A certain model of missile seeker experienced a fracture in the spring washer during on-site assembly.</w:t>
      </w:r>
    </w:p>
    <w:p w14:paraId="62FE5608">
      <w:pPr>
        <w:pStyle w:val="16"/>
        <w:spacing w:before="31" w:after="31"/>
        <w:ind w:firstLine="480"/>
        <w:rPr>
          <w:szCs w:val="24"/>
        </w:rPr>
      </w:pPr>
      <w:r>
        <w:rPr>
          <w:szCs w:val="24"/>
        </w:rPr>
        <w:t>(3) Service Environment</w:t>
      </w:r>
    </w:p>
    <w:p w14:paraId="52375E87">
      <w:pPr>
        <w:pStyle w:val="16"/>
        <w:spacing w:before="31" w:after="31"/>
        <w:ind w:firstLine="480"/>
        <w:rPr>
          <w:szCs w:val="24"/>
        </w:rPr>
      </w:pPr>
      <w:r>
        <w:rPr>
          <w:szCs w:val="24"/>
        </w:rPr>
        <w:t>Natural atmospheric environment.</w:t>
      </w:r>
    </w:p>
    <w:p w14:paraId="313230EB">
      <w:pPr>
        <w:pStyle w:val="16"/>
        <w:spacing w:before="31" w:after="31"/>
        <w:ind w:firstLine="480"/>
        <w:rPr>
          <w:szCs w:val="24"/>
        </w:rPr>
      </w:pPr>
      <w:r>
        <w:rPr>
          <w:szCs w:val="24"/>
        </w:rPr>
        <w:t>(4) Failed Component and Material</w:t>
      </w:r>
    </w:p>
    <w:p w14:paraId="6D8B72F9">
      <w:pPr>
        <w:pStyle w:val="16"/>
        <w:spacing w:before="31" w:after="31"/>
        <w:ind w:firstLine="480"/>
        <w:rPr>
          <w:rFonts w:hint="eastAsia"/>
          <w:szCs w:val="24"/>
        </w:rPr>
      </w:pPr>
      <w:r>
        <w:rPr>
          <w:rFonts w:hint="eastAsia"/>
          <w:szCs w:val="24"/>
        </w:rPr>
        <w:t>Failed component: spring washer used in the missile seeker. Material: 65Mn spring steel. Manufacturing process: forming → quenching → tempering → surface treatment (galvanizing) → finished product.</w:t>
      </w:r>
    </w:p>
    <w:p w14:paraId="19C69EDD">
      <w:pPr>
        <w:pStyle w:val="16"/>
        <w:spacing w:before="31" w:after="31"/>
        <w:ind w:firstLine="480"/>
        <w:rPr>
          <w:szCs w:val="24"/>
        </w:rPr>
      </w:pPr>
      <w:r>
        <w:rPr>
          <w:szCs w:val="24"/>
        </w:rPr>
        <w:t>(5) Component Failure Appearance</w:t>
      </w:r>
    </w:p>
    <w:p w14:paraId="73C9470B">
      <w:pPr>
        <w:pStyle w:val="16"/>
        <w:spacing w:before="31" w:after="31"/>
        <w:ind w:firstLine="480"/>
        <w:rPr>
          <w:szCs w:val="24"/>
        </w:rPr>
      </w:pPr>
      <w:r>
        <w:rPr>
          <w:szCs w:val="24"/>
        </w:rPr>
        <w:t>The macroscopic appearance of the spring washer fracture is shown in Figure 7-20.1. The fracture surface is silver-gray and fine-grained, with shiny facets, and there is no apparent macroscopic deformation, exhibiting typical brittle fracture characteristics. No inclusions, looseness, or other metallurgical defects were found on the fracture surface.</w:t>
      </w:r>
    </w:p>
    <w:p w14:paraId="0BB76B22">
      <w:pPr>
        <w:pStyle w:val="16"/>
        <w:spacing w:before="31" w:after="31"/>
        <w:ind w:firstLine="480"/>
        <w:rPr>
          <w:szCs w:val="24"/>
        </w:rPr>
      </w:pPr>
      <w:r>
        <w:rPr>
          <w:szCs w:val="24"/>
        </w:rPr>
        <w:t>Under scanning electron microscopy, the fracture surface shows an intergranular separation morphology resembling sugar grains, as shown in Figures 7-20.2 and 7-20.3. There are secondary cracks on the fracture surface, displaying typical "chicken claw" features, and no corrosion products are observed. Energy-dispersive X-ray spectroscopy (EDS) analysis of the fracture surface indicates that its chemical composition complies with the material requirements of the washer, and no corrosive elements are detected.</w:t>
      </w:r>
    </w:p>
    <w:p w14:paraId="073A5385">
      <w:pPr>
        <w:pStyle w:val="16"/>
        <w:spacing w:before="31" w:after="31"/>
        <w:ind w:firstLine="482"/>
        <w:jc w:val="center"/>
        <w:rPr>
          <w:b/>
          <w:bCs/>
          <w:szCs w:val="24"/>
        </w:rPr>
      </w:pPr>
      <w:r>
        <w:rPr>
          <w:b/>
          <w:bCs/>
          <w:szCs w:val="24"/>
        </w:rPr>
        <w:t>Figure 7-20.1 Macroscopic appearance of spring washer fracture</w:t>
      </w:r>
    </w:p>
    <w:p w14:paraId="7537B9D9">
      <w:pPr>
        <w:pStyle w:val="16"/>
        <w:spacing w:before="31" w:after="31"/>
        <w:ind w:firstLine="482"/>
        <w:jc w:val="center"/>
        <w:rPr>
          <w:b/>
          <w:bCs/>
          <w:szCs w:val="24"/>
        </w:rPr>
      </w:pPr>
      <w:r>
        <w:rPr>
          <w:b/>
          <w:bCs/>
          <w:szCs w:val="24"/>
        </w:rPr>
        <w:t>Figure 7-20.2 Microscopic appearance of spring washer fracture</w:t>
      </w:r>
    </w:p>
    <w:p w14:paraId="6F713F9A">
      <w:pPr>
        <w:pStyle w:val="16"/>
        <w:spacing w:before="31" w:after="31"/>
        <w:ind w:firstLine="482"/>
        <w:jc w:val="center"/>
        <w:rPr>
          <w:b/>
          <w:bCs/>
          <w:szCs w:val="24"/>
        </w:rPr>
      </w:pPr>
      <w:r>
        <w:rPr>
          <w:b/>
          <w:bCs/>
          <w:szCs w:val="24"/>
        </w:rPr>
        <w:t>Figure 7-20.3 Microscopic appearance of spring washer fracture</w:t>
      </w:r>
    </w:p>
    <w:p w14:paraId="66A1DD12">
      <w:pPr>
        <w:pStyle w:val="16"/>
        <w:spacing w:before="31" w:after="31"/>
        <w:ind w:firstLine="480"/>
        <w:rPr>
          <w:szCs w:val="24"/>
        </w:rPr>
      </w:pPr>
    </w:p>
    <w:p w14:paraId="6AAAEB8E">
      <w:pPr>
        <w:pStyle w:val="16"/>
        <w:spacing w:before="31" w:after="31"/>
        <w:ind w:firstLine="480"/>
        <w:rPr>
          <w:szCs w:val="24"/>
        </w:rPr>
      </w:pPr>
      <w:r>
        <w:rPr>
          <w:szCs w:val="24"/>
        </w:rPr>
        <w:t>Hydrogen content in the fractured spring washer was measured to have an average value of 17×10^-6.</w:t>
      </w:r>
    </w:p>
    <w:p w14:paraId="3A1B95A1">
      <w:pPr>
        <w:pStyle w:val="16"/>
        <w:spacing w:before="31" w:after="31"/>
        <w:ind w:firstLine="480"/>
        <w:rPr>
          <w:szCs w:val="24"/>
        </w:rPr>
      </w:pPr>
      <w:r>
        <w:rPr>
          <w:szCs w:val="24"/>
        </w:rPr>
        <w:t>(6) Failure Analysis</w:t>
      </w:r>
    </w:p>
    <w:p w14:paraId="4F4822AB">
      <w:pPr>
        <w:pStyle w:val="16"/>
        <w:spacing w:before="31" w:after="31"/>
        <w:ind w:firstLine="480"/>
        <w:rPr>
          <w:rFonts w:hint="eastAsia"/>
          <w:szCs w:val="24"/>
        </w:rPr>
      </w:pPr>
      <w:r>
        <w:rPr>
          <w:szCs w:val="24"/>
        </w:rPr>
        <w:t>The metallurgical quality of the failed component material meets the requirements. The hydrogen in the spring washer mainly comes from the electroplating process. An investigation into the production process of these spring washers revealed that this batch</w:t>
      </w:r>
      <w:r>
        <w:rPr>
          <w:rFonts w:hint="eastAsia"/>
          <w:szCs w:val="24"/>
        </w:rPr>
        <w:t xml:space="preserve"> of spring washers did not undergo timely and sufficient hydrogen removal after electroplating, with only 3 hours of hydrogen removal time (standard requirement ≥8 hours).</w:t>
      </w:r>
    </w:p>
    <w:p w14:paraId="1D66EA84">
      <w:pPr>
        <w:pStyle w:val="16"/>
        <w:spacing w:before="31" w:after="31"/>
        <w:ind w:firstLine="480"/>
        <w:rPr>
          <w:szCs w:val="24"/>
        </w:rPr>
      </w:pPr>
      <w:r>
        <w:rPr>
          <w:szCs w:val="24"/>
        </w:rPr>
        <w:t>The fracture morphology indicates that the failure is due to hydrogen embrittlement. Generally, in steels, hydrogen-induced cracking occurs when the hydrogen content is above (5~10)×10^-6. In the failed washer, the average hydrogen content is significantly higher at 17×10^-6. When hydrogen encounters assembly stress, it aggregates, leading to hydrogen embrittlement fracture.</w:t>
      </w:r>
    </w:p>
    <w:p w14:paraId="103F8F1D">
      <w:pPr>
        <w:pStyle w:val="16"/>
        <w:spacing w:before="31" w:after="31"/>
        <w:ind w:firstLine="480"/>
        <w:rPr>
          <w:szCs w:val="24"/>
        </w:rPr>
      </w:pPr>
    </w:p>
    <w:p w14:paraId="7162181C">
      <w:pPr>
        <w:pStyle w:val="16"/>
        <w:spacing w:before="31" w:after="31"/>
        <w:ind w:firstLine="480"/>
        <w:rPr>
          <w:szCs w:val="24"/>
        </w:rPr>
      </w:pPr>
      <w:r>
        <w:rPr>
          <w:szCs w:val="24"/>
        </w:rPr>
        <w:t>(7) Impact and Harm Caused</w:t>
      </w:r>
    </w:p>
    <w:p w14:paraId="5B43DC70">
      <w:pPr>
        <w:pStyle w:val="16"/>
        <w:spacing w:before="31" w:after="31"/>
        <w:ind w:firstLine="480"/>
        <w:rPr>
          <w:szCs w:val="24"/>
        </w:rPr>
      </w:pPr>
      <w:r>
        <w:rPr>
          <w:szCs w:val="24"/>
        </w:rPr>
        <w:t>Missile assembly failure.</w:t>
      </w:r>
    </w:p>
    <w:p w14:paraId="556C8EAD">
      <w:pPr>
        <w:pStyle w:val="16"/>
        <w:spacing w:before="31" w:after="31"/>
        <w:ind w:firstLine="480"/>
        <w:rPr>
          <w:szCs w:val="24"/>
        </w:rPr>
      </w:pPr>
      <w:r>
        <w:rPr>
          <w:szCs w:val="24"/>
        </w:rPr>
        <w:t>(8) Conclusion and Improvement Measures</w:t>
      </w:r>
    </w:p>
    <w:p w14:paraId="40AA6275">
      <w:pPr>
        <w:pStyle w:val="16"/>
        <w:spacing w:before="31" w:after="31"/>
        <w:ind w:firstLine="480"/>
        <w:rPr>
          <w:szCs w:val="24"/>
        </w:rPr>
      </w:pPr>
      <w:r>
        <w:rPr>
          <w:szCs w:val="24"/>
        </w:rPr>
        <w:t>The fracture mechanism of the spring washer is hydrogen embrittlement. Improper hydrogen removal after electroplating led to incomplete hydrogen removal in the washer, resulting in hydrogen embrittlement fracture during assembly.</w:t>
      </w:r>
    </w:p>
    <w:p w14:paraId="638FF3A6">
      <w:pPr>
        <w:pStyle w:val="16"/>
        <w:spacing w:before="31" w:after="31"/>
        <w:ind w:firstLine="480"/>
        <w:rPr>
          <w:szCs w:val="24"/>
        </w:rPr>
      </w:pPr>
      <w:r>
        <w:rPr>
          <w:szCs w:val="24"/>
        </w:rPr>
        <w:t>Recommended improvement measures: (a) Change the material of the spring washer to 1Cr18Ni9Ti stainless steel with better elasticity. (b) Adopt advanced surface treatment and hydrogen removal processes, strictly controlling the hydrogen content in the metal matrix. (c) Strengthen the incoming inspection of standard parts.</w:t>
      </w:r>
    </w:p>
    <w:p w14:paraId="24831CA5">
      <w:pPr>
        <w:pStyle w:val="16"/>
        <w:spacing w:before="31" w:after="31"/>
        <w:ind w:firstLine="480"/>
        <w:rPr>
          <w:szCs w:val="24"/>
        </w:rPr>
      </w:pPr>
    </w:p>
    <w:p w14:paraId="54EEAAA6">
      <w:pPr>
        <w:pStyle w:val="16"/>
        <w:spacing w:before="31" w:after="31"/>
        <w:ind w:firstLine="0" w:firstLineChars="0"/>
        <w:rPr>
          <w:b/>
          <w:bCs/>
          <w:szCs w:val="24"/>
        </w:rPr>
      </w:pPr>
      <w:r>
        <w:rPr>
          <w:b/>
          <w:bCs/>
          <w:szCs w:val="24"/>
        </w:rPr>
        <w:t>7.2.21 Case 7-21 Fracture of Front Landing Gear in a Certain Aircraft</w:t>
      </w:r>
    </w:p>
    <w:p w14:paraId="631591CC">
      <w:pPr>
        <w:pStyle w:val="16"/>
        <w:spacing w:before="31" w:after="31"/>
        <w:ind w:firstLine="480"/>
        <w:rPr>
          <w:szCs w:val="24"/>
        </w:rPr>
      </w:pPr>
      <w:r>
        <w:rPr>
          <w:szCs w:val="24"/>
        </w:rPr>
        <w:t>(1) Case Name</w:t>
      </w:r>
    </w:p>
    <w:p w14:paraId="4D8723BD">
      <w:pPr>
        <w:pStyle w:val="16"/>
        <w:spacing w:before="31" w:after="31"/>
        <w:ind w:firstLine="480"/>
        <w:rPr>
          <w:szCs w:val="24"/>
        </w:rPr>
      </w:pPr>
      <w:r>
        <w:rPr>
          <w:szCs w:val="24"/>
        </w:rPr>
        <w:t>Fracture of front landing gear in a certain aircraft [39]</w:t>
      </w:r>
    </w:p>
    <w:p w14:paraId="5472E153">
      <w:pPr>
        <w:pStyle w:val="16"/>
        <w:spacing w:before="31" w:after="31"/>
        <w:ind w:firstLine="480"/>
        <w:rPr>
          <w:szCs w:val="24"/>
        </w:rPr>
      </w:pPr>
      <w:r>
        <w:rPr>
          <w:szCs w:val="24"/>
        </w:rPr>
        <w:t>(2) Failure Process Description</w:t>
      </w:r>
    </w:p>
    <w:p w14:paraId="563B1AEC">
      <w:pPr>
        <w:pStyle w:val="16"/>
        <w:spacing w:before="31" w:after="31"/>
        <w:ind w:firstLine="480"/>
        <w:rPr>
          <w:szCs w:val="24"/>
        </w:rPr>
      </w:pPr>
      <w:r>
        <w:rPr>
          <w:szCs w:val="24"/>
        </w:rPr>
        <w:t>A certain aircraft, after completing passenger boarding, experienced the front landing gear folding forward suddenly while being towed away from the gate for approximately 29.57 meters. The aircraft nose descended, and both front landing gear doors touched the ground, causing no casualties. After the incident, the aircraft's condition is shown in Figure 7-21.1, with the aircraft nose pressed against the towbar.</w:t>
      </w:r>
    </w:p>
    <w:p w14:paraId="3484AD8C">
      <w:pPr>
        <w:pStyle w:val="16"/>
        <w:spacing w:before="31" w:after="31"/>
        <w:ind w:firstLine="480"/>
        <w:rPr>
          <w:szCs w:val="24"/>
        </w:rPr>
      </w:pPr>
      <w:r>
        <w:rPr>
          <w:szCs w:val="24"/>
        </w:rPr>
        <w:t>Scene records indicate: (a) The landing gear locking mechanism's safety pin was in place. (b) Both shear pins on the towbar were fractured. (c) After the shear pin fracture on the towbar, the aircraft could not detach from the towbar.</w:t>
      </w:r>
    </w:p>
    <w:p w14:paraId="61029738">
      <w:pPr>
        <w:pStyle w:val="16"/>
        <w:spacing w:before="31" w:after="31"/>
        <w:ind w:firstLine="482"/>
        <w:jc w:val="center"/>
        <w:rPr>
          <w:b/>
          <w:bCs/>
          <w:szCs w:val="24"/>
        </w:rPr>
      </w:pPr>
      <w:r>
        <w:rPr>
          <w:b/>
          <w:bCs/>
          <w:szCs w:val="24"/>
        </w:rPr>
        <w:t>Figure 7-21.1: Aircraft condition after the incident</w:t>
      </w:r>
    </w:p>
    <w:p w14:paraId="3B70247F">
      <w:pPr>
        <w:pStyle w:val="16"/>
        <w:spacing w:before="31" w:after="31"/>
        <w:ind w:firstLine="480"/>
        <w:rPr>
          <w:szCs w:val="24"/>
        </w:rPr>
      </w:pPr>
    </w:p>
    <w:p w14:paraId="5834FE37">
      <w:pPr>
        <w:pStyle w:val="16"/>
        <w:spacing w:before="31" w:after="31"/>
        <w:ind w:firstLine="480"/>
        <w:rPr>
          <w:szCs w:val="24"/>
        </w:rPr>
      </w:pPr>
      <w:r>
        <w:rPr>
          <w:szCs w:val="24"/>
        </w:rPr>
        <w:t>(3) Service Environment</w:t>
      </w:r>
    </w:p>
    <w:p w14:paraId="04097B45">
      <w:pPr>
        <w:pStyle w:val="16"/>
        <w:spacing w:before="31" w:after="31"/>
        <w:ind w:firstLine="480"/>
        <w:rPr>
          <w:szCs w:val="24"/>
        </w:rPr>
      </w:pPr>
      <w:r>
        <w:rPr>
          <w:szCs w:val="24"/>
        </w:rPr>
        <w:t>Natural atmospheric environment.</w:t>
      </w:r>
    </w:p>
    <w:p w14:paraId="7ACAC022">
      <w:pPr>
        <w:pStyle w:val="16"/>
        <w:spacing w:before="31" w:after="31"/>
        <w:ind w:firstLine="480"/>
        <w:rPr>
          <w:szCs w:val="24"/>
        </w:rPr>
      </w:pPr>
      <w:r>
        <w:rPr>
          <w:szCs w:val="24"/>
        </w:rPr>
        <w:t>(4) Failed Component and Material</w:t>
      </w:r>
    </w:p>
    <w:p w14:paraId="4F39CFC9">
      <w:pPr>
        <w:pStyle w:val="16"/>
        <w:spacing w:before="31" w:after="31"/>
        <w:ind w:firstLine="480"/>
        <w:rPr>
          <w:szCs w:val="24"/>
        </w:rPr>
      </w:pPr>
      <w:r>
        <w:rPr>
          <w:szCs w:val="24"/>
        </w:rPr>
        <w:t>Failed component: front landing gear. The fractured lower drag link material is similar to the U.S. material grade 4340 steel, and the shear pin material is alloy structural steel.</w:t>
      </w:r>
    </w:p>
    <w:p w14:paraId="77E54089">
      <w:pPr>
        <w:pStyle w:val="16"/>
        <w:spacing w:before="31" w:after="31"/>
        <w:ind w:firstLine="480"/>
        <w:rPr>
          <w:szCs w:val="24"/>
        </w:rPr>
      </w:pPr>
      <w:r>
        <w:rPr>
          <w:szCs w:val="24"/>
        </w:rPr>
        <w:t>(5) Component Failure Appearance</w:t>
      </w:r>
    </w:p>
    <w:p w14:paraId="30E9C4E7">
      <w:pPr>
        <w:pStyle w:val="16"/>
        <w:spacing w:before="31" w:after="31"/>
        <w:ind w:firstLine="480"/>
        <w:rPr>
          <w:szCs w:val="24"/>
        </w:rPr>
      </w:pPr>
      <w:r>
        <w:rPr>
          <w:szCs w:val="24"/>
        </w:rPr>
        <w:t>The main damages to the aircraft include: fracture of the lower drag link of the front landing gear, bending deformation of the connecting pin at the upper pivot point of the lower drag link, traces of the inner side of the left lug at the lower pivot point of the lower drag link being pressed by the lower drag link, deformation of the front landing gear locking mechanism, tearing of the rear belly plate of the front landing gear bay, damage to the front landing gear turning mechanism, fracture of the landing light base in the front landing gear, severe deformation of the shear pins on the towbar, and fracture of the upper lug on the towbar head.</w:t>
      </w:r>
    </w:p>
    <w:p w14:paraId="13339296">
      <w:pPr>
        <w:pStyle w:val="16"/>
        <w:spacing w:before="31" w:after="31"/>
        <w:ind w:firstLine="480"/>
        <w:rPr>
          <w:szCs w:val="24"/>
        </w:rPr>
      </w:pPr>
      <w:r>
        <w:rPr>
          <w:szCs w:val="24"/>
        </w:rPr>
        <w:t>The external appearance of the fractured lower drag link is shown in Figure 7-21.2, with the fracture occurring near the middle of the lower drag link. There is obvious macroscopic plastic deformation near the fracture, as shown in Figure 7-21.3. Near the fracture, the front edge of the "I"-shaped cross-section of the lower drag link has buckling, and there is significant necking deformation at the rear edge. The overall appearance of the fracture on the lower drag link is shown in Figure 7-21.4, with a dimple fracture morphology at the rear edge of the "I"-shaped cross-section and a shear dimple morphology at the front edge.</w:t>
      </w:r>
    </w:p>
    <w:p w14:paraId="3C8B2E9A">
      <w:pPr>
        <w:pStyle w:val="16"/>
        <w:spacing w:before="31" w:after="31"/>
        <w:ind w:firstLine="480"/>
        <w:rPr>
          <w:szCs w:val="24"/>
        </w:rPr>
      </w:pPr>
      <w:r>
        <w:rPr>
          <w:szCs w:val="24"/>
        </w:rPr>
        <w:t>Upon examination, the material of the lower drag link meets the requirements of material strength specifications, and the microstructure is tempered martensite, showing no abnormalities.</w:t>
      </w:r>
    </w:p>
    <w:p w14:paraId="691BE242">
      <w:pPr>
        <w:pStyle w:val="16"/>
        <w:spacing w:before="31" w:after="31"/>
        <w:ind w:firstLine="482"/>
        <w:jc w:val="center"/>
        <w:rPr>
          <w:b/>
          <w:bCs/>
          <w:szCs w:val="24"/>
        </w:rPr>
      </w:pPr>
      <w:r>
        <w:rPr>
          <w:b/>
          <w:bCs/>
          <w:szCs w:val="24"/>
        </w:rPr>
        <w:t>Figure 7-21.2: External appearance of lower drag link</w:t>
      </w:r>
    </w:p>
    <w:p w14:paraId="0FF89F0C">
      <w:pPr>
        <w:pStyle w:val="16"/>
        <w:spacing w:before="31" w:after="31"/>
        <w:ind w:firstLine="482"/>
        <w:jc w:val="center"/>
        <w:rPr>
          <w:b/>
          <w:bCs/>
          <w:szCs w:val="24"/>
        </w:rPr>
      </w:pPr>
      <w:r>
        <w:rPr>
          <w:b/>
          <w:bCs/>
          <w:szCs w:val="24"/>
        </w:rPr>
        <w:t>Figure 7-21.3: Obvious macroscopic deformation near the fracture</w:t>
      </w:r>
    </w:p>
    <w:p w14:paraId="4DA0EBE6">
      <w:pPr>
        <w:pStyle w:val="16"/>
        <w:spacing w:before="31" w:after="31"/>
        <w:ind w:firstLine="482"/>
        <w:jc w:val="center"/>
        <w:rPr>
          <w:b/>
          <w:bCs/>
          <w:szCs w:val="24"/>
        </w:rPr>
      </w:pPr>
      <w:r>
        <w:rPr>
          <w:b/>
          <w:bCs/>
          <w:szCs w:val="24"/>
        </w:rPr>
        <w:t>Figure 7-21.4: Overall appearance of the lower drag link fractur</w:t>
      </w:r>
      <w:r>
        <w:rPr>
          <w:rFonts w:hint="eastAsia"/>
          <w:b/>
          <w:bCs/>
          <w:szCs w:val="24"/>
        </w:rPr>
        <w:t>e</w:t>
      </w:r>
    </w:p>
    <w:p w14:paraId="3186B125">
      <w:pPr>
        <w:pStyle w:val="16"/>
        <w:spacing w:before="31" w:after="31"/>
        <w:ind w:firstLine="480"/>
        <w:rPr>
          <w:szCs w:val="24"/>
        </w:rPr>
      </w:pPr>
    </w:p>
    <w:p w14:paraId="1746A313">
      <w:pPr>
        <w:pStyle w:val="16"/>
        <w:spacing w:before="31" w:after="31"/>
        <w:ind w:firstLine="480"/>
        <w:rPr>
          <w:szCs w:val="24"/>
        </w:rPr>
      </w:pPr>
      <w:r>
        <w:rPr>
          <w:szCs w:val="24"/>
        </w:rPr>
        <w:t>Both shear pins are fractured, with each shear pin breaking into three segments. Two segments of each shear pin are scattered on the ground, while the other four segments remain in the shear pin holes of the towbar. The microscopic appearance of all shear pin fractures is elongated shear dimples.</w:t>
      </w:r>
    </w:p>
    <w:p w14:paraId="0BEAC016">
      <w:pPr>
        <w:pStyle w:val="16"/>
        <w:spacing w:before="31" w:after="31"/>
        <w:ind w:firstLine="480"/>
        <w:rPr>
          <w:szCs w:val="24"/>
        </w:rPr>
      </w:pPr>
      <w:r>
        <w:rPr>
          <w:szCs w:val="24"/>
        </w:rPr>
        <w:t>Upon inspection, the strength of the shear pins meets the requirements of technical specifications, and the microstructure of the shear pins is tempered sorbite, exhibiting normal structure.</w:t>
      </w:r>
    </w:p>
    <w:p w14:paraId="47D7B79A">
      <w:pPr>
        <w:pStyle w:val="16"/>
        <w:spacing w:before="31" w:after="31"/>
        <w:ind w:firstLine="480"/>
        <w:rPr>
          <w:szCs w:val="24"/>
        </w:rPr>
      </w:pPr>
      <w:r>
        <w:rPr>
          <w:szCs w:val="24"/>
        </w:rPr>
        <w:t>The upper lug on the towbar head suffered severe deformation, with marks indicating being pressed by the tongue-shaped lug, as shown in Figure 7-21.5. The towbar locking pin is severely deformed, located in the lug hole near the end of the tongue-shaped lug, and is squeezed by the edge of the lug hole, making it unable to be pulled out normally, as shown in Figure 7-21.6. The lower lug on the towbar head also shows traces of being pressed by the tongue-shaped lug, as shown in Figure 7-21.7. The deformation and fracture condition of the upper shear pin on the lower lug, and the deformation and fracture condition of the shear pin on</w:t>
      </w:r>
    </w:p>
    <w:p w14:paraId="39AB5DD8">
      <w:pPr>
        <w:pStyle w:val="16"/>
        <w:spacing w:before="31" w:after="31"/>
        <w:ind w:firstLine="480"/>
        <w:rPr>
          <w:szCs w:val="24"/>
        </w:rPr>
      </w:pPr>
    </w:p>
    <w:p w14:paraId="7E3C0B92">
      <w:pPr>
        <w:pStyle w:val="16"/>
        <w:spacing w:before="31" w:after="31"/>
        <w:ind w:firstLine="480"/>
        <w:rPr>
          <w:szCs w:val="24"/>
        </w:rPr>
      </w:pPr>
      <w:r>
        <w:rPr>
          <w:szCs w:val="24"/>
        </w:rPr>
        <w:t xml:space="preserve"> the tongue-shaped lug are shown in Figures 7-21.8 and 7-21.9, respectively.</w:t>
      </w:r>
    </w:p>
    <w:p w14:paraId="488891FF">
      <w:pPr>
        <w:pStyle w:val="16"/>
        <w:spacing w:before="31" w:after="31"/>
        <w:ind w:firstLine="482"/>
        <w:jc w:val="center"/>
        <w:rPr>
          <w:b/>
          <w:bCs/>
          <w:szCs w:val="24"/>
        </w:rPr>
      </w:pPr>
      <w:r>
        <w:rPr>
          <w:b/>
          <w:bCs/>
          <w:szCs w:val="24"/>
        </w:rPr>
        <w:t>Figure 7-21.5: Severe deformation of upper lug on towbar head</w:t>
      </w:r>
    </w:p>
    <w:p w14:paraId="0791D4A4">
      <w:pPr>
        <w:pStyle w:val="16"/>
        <w:spacing w:before="31" w:after="31"/>
        <w:ind w:firstLine="482"/>
        <w:jc w:val="center"/>
        <w:rPr>
          <w:b/>
          <w:bCs/>
          <w:szCs w:val="24"/>
        </w:rPr>
      </w:pPr>
      <w:r>
        <w:rPr>
          <w:b/>
          <w:bCs/>
          <w:szCs w:val="24"/>
        </w:rPr>
        <w:t>Figure 7-21.6: Towbar locking pin deformed and squeezed</w:t>
      </w:r>
    </w:p>
    <w:p w14:paraId="4786057D">
      <w:pPr>
        <w:pStyle w:val="16"/>
        <w:spacing w:before="31" w:after="31"/>
        <w:ind w:firstLine="482"/>
        <w:jc w:val="center"/>
        <w:rPr>
          <w:b/>
          <w:bCs/>
          <w:szCs w:val="24"/>
        </w:rPr>
      </w:pPr>
      <w:r>
        <w:rPr>
          <w:b/>
          <w:bCs/>
          <w:szCs w:val="24"/>
        </w:rPr>
        <w:t>Figure 7-21.7: Traces of lower lug on towbar head being pressed</w:t>
      </w:r>
    </w:p>
    <w:p w14:paraId="7D250507">
      <w:pPr>
        <w:pStyle w:val="16"/>
        <w:spacing w:before="31" w:after="31"/>
        <w:ind w:firstLine="482"/>
        <w:jc w:val="center"/>
        <w:rPr>
          <w:b/>
          <w:bCs/>
          <w:szCs w:val="24"/>
        </w:rPr>
      </w:pPr>
      <w:r>
        <w:rPr>
          <w:b/>
          <w:bCs/>
          <w:szCs w:val="24"/>
        </w:rPr>
        <w:t>Figure 7-21.8: Deformation and fracture of upper shear pin on lower lug</w:t>
      </w:r>
    </w:p>
    <w:p w14:paraId="535861F7">
      <w:pPr>
        <w:pStyle w:val="16"/>
        <w:spacing w:before="31" w:after="31"/>
        <w:ind w:firstLine="482"/>
        <w:jc w:val="center"/>
        <w:rPr>
          <w:b/>
          <w:bCs/>
          <w:szCs w:val="24"/>
        </w:rPr>
      </w:pPr>
      <w:r>
        <w:rPr>
          <w:b/>
          <w:bCs/>
          <w:szCs w:val="24"/>
        </w:rPr>
        <w:t>Figure 7-21.9: Deformation and fracture of shear pin on tongue-shaped lug</w:t>
      </w:r>
    </w:p>
    <w:p w14:paraId="00B32464">
      <w:pPr>
        <w:pStyle w:val="16"/>
        <w:spacing w:before="31" w:after="31"/>
        <w:ind w:firstLine="480"/>
        <w:rPr>
          <w:szCs w:val="24"/>
        </w:rPr>
      </w:pPr>
    </w:p>
    <w:p w14:paraId="7387B3C4">
      <w:pPr>
        <w:pStyle w:val="16"/>
        <w:spacing w:before="31" w:after="31"/>
        <w:ind w:firstLine="480"/>
        <w:rPr>
          <w:szCs w:val="24"/>
        </w:rPr>
      </w:pPr>
      <w:r>
        <w:rPr>
          <w:szCs w:val="24"/>
        </w:rPr>
        <w:t>(6) Failure Analysis</w:t>
      </w:r>
    </w:p>
    <w:p w14:paraId="3808632F">
      <w:pPr>
        <w:pStyle w:val="16"/>
        <w:spacing w:before="31" w:after="31"/>
        <w:ind w:firstLine="480"/>
        <w:rPr>
          <w:szCs w:val="24"/>
        </w:rPr>
      </w:pPr>
      <w:r>
        <w:rPr>
          <w:szCs w:val="24"/>
        </w:rPr>
        <w:t>Based on the analysis of the fracture morphology: the shear pin fractures were overload shear fractures; the lower drag link failed due to instability under compressive stress, initially bowing to the right. Due to the constraint of the connecting lug, it ultimately bowed backward until complete fracture. Based on the deformation and fracture conditions of the shear pins and the locations where the upper and lower lugs on the towbar head were pressed by the tongue-shaped lug, it indicates that the aircraft experienced tension forces from the towbar during the incident, not the normal pushing force when towing the aircraft. Stress analysis indicates that when the tension force applied to the aircraft by the towbar reaches 2.26×10^5 N, the lower drag link of the front landing gear will experience unstable fracture.</w:t>
      </w:r>
    </w:p>
    <w:p w14:paraId="34D1E68E">
      <w:pPr>
        <w:pStyle w:val="16"/>
        <w:spacing w:before="31" w:after="31"/>
        <w:ind w:firstLine="480"/>
        <w:rPr>
          <w:szCs w:val="24"/>
        </w:rPr>
      </w:pPr>
      <w:r>
        <w:rPr>
          <w:szCs w:val="24"/>
        </w:rPr>
        <w:t>(7) Impact and Harm Caused</w:t>
      </w:r>
    </w:p>
    <w:p w14:paraId="73869F50">
      <w:pPr>
        <w:pStyle w:val="16"/>
        <w:spacing w:before="31" w:after="31"/>
        <w:ind w:firstLine="480"/>
        <w:rPr>
          <w:szCs w:val="24"/>
        </w:rPr>
      </w:pPr>
      <w:r>
        <w:rPr>
          <w:szCs w:val="24"/>
        </w:rPr>
        <w:t>Front landing gear damage, preventing the aircraft from flying normally.</w:t>
      </w:r>
    </w:p>
    <w:p w14:paraId="0E9AB614">
      <w:pPr>
        <w:pStyle w:val="16"/>
        <w:spacing w:before="31" w:after="31"/>
        <w:ind w:firstLine="480"/>
        <w:rPr>
          <w:szCs w:val="24"/>
        </w:rPr>
      </w:pPr>
      <w:r>
        <w:rPr>
          <w:szCs w:val="24"/>
        </w:rPr>
        <w:t>(8) Conclusion and Improvement Measures</w:t>
      </w:r>
    </w:p>
    <w:p w14:paraId="6047D409">
      <w:pPr>
        <w:pStyle w:val="16"/>
        <w:spacing w:before="31" w:after="31"/>
        <w:ind w:firstLine="480"/>
        <w:rPr>
          <w:szCs w:val="24"/>
        </w:rPr>
      </w:pPr>
      <w:r>
        <w:rPr>
          <w:szCs w:val="24"/>
        </w:rPr>
        <w:t>The fractures of the lower drag link in the front landing gear and the shear pins on the towbar are overload fractures. The reason is that the towbar applied excessive tension force to the aircraft, leading to the unstable fracture of the lower drag link.</w:t>
      </w:r>
    </w:p>
    <w:p w14:paraId="7ABAC557">
      <w:pPr>
        <w:pStyle w:val="16"/>
        <w:spacing w:before="31" w:after="31"/>
        <w:ind w:firstLine="0" w:firstLineChars="0"/>
        <w:rPr>
          <w:szCs w:val="24"/>
        </w:rPr>
      </w:pPr>
      <w:r>
        <w:rPr>
          <w:szCs w:val="24"/>
        </w:rPr>
        <w:t>In response to this landing gear incident, the aircraft manufacturer has issued a service bulletin, warning that the towbar may apply excessive loads to the front landing gear, causing unintended incidents of the front landing gear retracting.</w:t>
      </w:r>
    </w:p>
    <w:p w14:paraId="4960F192">
      <w:pPr>
        <w:pStyle w:val="16"/>
        <w:spacing w:before="31" w:after="31"/>
        <w:ind w:firstLine="0" w:firstLineChars="0"/>
        <w:rPr>
          <w:b/>
          <w:bCs/>
          <w:szCs w:val="24"/>
        </w:rPr>
      </w:pPr>
      <w:r>
        <w:rPr>
          <w:b/>
          <w:bCs/>
          <w:szCs w:val="24"/>
        </w:rPr>
        <w:t>7.3 Summary</w:t>
      </w:r>
    </w:p>
    <w:p w14:paraId="1CC8A789">
      <w:pPr>
        <w:pStyle w:val="16"/>
        <w:spacing w:before="31" w:after="31"/>
        <w:ind w:firstLine="0" w:firstLineChars="0"/>
        <w:rPr>
          <w:b/>
          <w:bCs/>
          <w:szCs w:val="24"/>
        </w:rPr>
      </w:pPr>
      <w:r>
        <w:rPr>
          <w:b/>
          <w:bCs/>
          <w:szCs w:val="24"/>
        </w:rPr>
        <w:t>7.3.1 Primary Failure Modes and Issues</w:t>
      </w:r>
    </w:p>
    <w:p w14:paraId="3DCBCD83">
      <w:pPr>
        <w:pStyle w:val="16"/>
        <w:spacing w:before="31" w:after="31"/>
        <w:ind w:firstLine="0" w:firstLineChars="0"/>
        <w:rPr>
          <w:szCs w:val="24"/>
        </w:rPr>
      </w:pPr>
      <w:r>
        <w:rPr>
          <w:szCs w:val="24"/>
        </w:rPr>
        <w:t>7.3.1.1 Main Failure Modes</w:t>
      </w:r>
    </w:p>
    <w:p w14:paraId="4E97EFB5">
      <w:pPr>
        <w:pStyle w:val="16"/>
        <w:spacing w:before="31" w:after="31"/>
        <w:ind w:firstLine="480"/>
        <w:rPr>
          <w:szCs w:val="24"/>
        </w:rPr>
      </w:pPr>
    </w:p>
    <w:p w14:paraId="35D3D9C8">
      <w:pPr>
        <w:pStyle w:val="16"/>
        <w:spacing w:before="31" w:after="31"/>
        <w:ind w:firstLine="480"/>
        <w:rPr>
          <w:szCs w:val="24"/>
        </w:rPr>
      </w:pPr>
      <w:r>
        <w:rPr>
          <w:szCs w:val="24"/>
        </w:rPr>
        <w:t>From the results of failure investigations, the cases involve components of aerospace engines, wing structures, landing gear, control mechanisms, missiles, and other aerospace components. Statistically, the main failure modes in aerospace structures are fatigue, fracture, and corrosion. Among them, the common interaction of environmental and load factors is the most prevalent failure mode. Specific investigations into the causes of accidents were categorized based on material factors, production and construction, design factors, and environmental factors, as summarized in Table 7-9.</w:t>
      </w:r>
    </w:p>
    <w:p w14:paraId="1B569E22">
      <w:pPr>
        <w:pStyle w:val="16"/>
        <w:spacing w:before="31" w:after="31"/>
        <w:ind w:firstLine="480"/>
        <w:rPr>
          <w:szCs w:val="24"/>
        </w:rPr>
      </w:pPr>
    </w:p>
    <w:p w14:paraId="64FD34F9">
      <w:pPr>
        <w:pStyle w:val="16"/>
        <w:spacing w:before="31" w:after="31"/>
        <w:ind w:firstLine="482"/>
        <w:jc w:val="center"/>
        <w:rPr>
          <w:b/>
          <w:bCs/>
          <w:szCs w:val="24"/>
        </w:rPr>
      </w:pPr>
      <w:r>
        <w:rPr>
          <w:b/>
          <w:bCs/>
          <w:szCs w:val="24"/>
        </w:rPr>
        <w:t>Table 7-9: Summary of Aerospace Industry Failure Case Investigations</w:t>
      </w:r>
    </w:p>
    <w:p w14:paraId="64138794">
      <w:pPr>
        <w:pStyle w:val="16"/>
        <w:spacing w:before="31" w:after="31"/>
        <w:ind w:firstLine="199" w:firstLineChars="83"/>
        <w:rPr>
          <w:szCs w:val="24"/>
        </w:rPr>
      </w:pPr>
    </w:p>
    <w:p w14:paraId="5C4529E8">
      <w:pPr>
        <w:pStyle w:val="16"/>
        <w:spacing w:before="31" w:after="31"/>
        <w:ind w:firstLine="480"/>
        <w:rPr>
          <w:szCs w:val="24"/>
        </w:rPr>
      </w:pPr>
      <w:r>
        <w:rPr>
          <w:szCs w:val="24"/>
        </w:rPr>
        <w:t>| Serial No. | Case Name | Failure Causes | Material Itself | Production and Construction | Design Factors | Environmental Factors |</w:t>
      </w:r>
    </w:p>
    <w:p w14:paraId="64658DC2">
      <w:pPr>
        <w:pStyle w:val="16"/>
        <w:spacing w:before="31" w:after="31"/>
        <w:ind w:firstLine="480"/>
        <w:rPr>
          <w:szCs w:val="24"/>
        </w:rPr>
      </w:pPr>
      <w:r>
        <w:rPr>
          <w:szCs w:val="24"/>
        </w:rPr>
        <w:t>|------------|-----------|----------------|-----------------|----------------------------|----------------|------------------------|</w:t>
      </w:r>
    </w:p>
    <w:p w14:paraId="26FC3B92">
      <w:pPr>
        <w:pStyle w:val="16"/>
        <w:spacing w:before="31" w:after="31"/>
        <w:ind w:firstLine="480"/>
        <w:rPr>
          <w:szCs w:val="24"/>
        </w:rPr>
      </w:pPr>
      <w:r>
        <w:rPr>
          <w:szCs w:val="24"/>
        </w:rPr>
        <w:t xml:space="preserve">| Case 7-1 | Fatigue failure of a certain aircraft wing spar causing a crash | </w:t>
      </w:r>
      <w:r>
        <w:rPr>
          <w:rFonts w:ascii="Segoe UI Emoji" w:hAnsi="Segoe UI Emoji" w:cs="Segoe UI Emoji"/>
          <w:szCs w:val="24"/>
        </w:rPr>
        <w:t>✔</w:t>
      </w:r>
      <w:r>
        <w:rPr>
          <w:szCs w:val="24"/>
        </w:rPr>
        <w:t xml:space="preserve"> | </w:t>
      </w:r>
      <w:r>
        <w:rPr>
          <w:rFonts w:ascii="Segoe UI Emoji" w:hAnsi="Segoe UI Emoji" w:cs="Segoe UI Emoji"/>
          <w:szCs w:val="24"/>
        </w:rPr>
        <w:t>✔</w:t>
      </w:r>
      <w:r>
        <w:rPr>
          <w:szCs w:val="24"/>
        </w:rPr>
        <w:t xml:space="preserve"> | | |</w:t>
      </w:r>
    </w:p>
    <w:p w14:paraId="35861FB0">
      <w:pPr>
        <w:pStyle w:val="16"/>
        <w:spacing w:before="31" w:after="31"/>
        <w:ind w:firstLine="480"/>
        <w:rPr>
          <w:szCs w:val="24"/>
        </w:rPr>
      </w:pPr>
      <w:r>
        <w:rPr>
          <w:szCs w:val="24"/>
        </w:rPr>
        <w:t xml:space="preserve">| Case 7-2 | Stress corrosion of the 1st beam lug of J-8 aircraft wing | | | </w:t>
      </w:r>
      <w:r>
        <w:rPr>
          <w:rFonts w:ascii="Segoe UI Emoji" w:hAnsi="Segoe UI Emoji" w:cs="Segoe UI Emoji"/>
          <w:szCs w:val="24"/>
        </w:rPr>
        <w:t>✔</w:t>
      </w:r>
      <w:r>
        <w:rPr>
          <w:szCs w:val="24"/>
        </w:rPr>
        <w:t xml:space="preserve"> | |</w:t>
      </w:r>
    </w:p>
    <w:p w14:paraId="757A7FFF">
      <w:pPr>
        <w:pStyle w:val="16"/>
        <w:spacing w:before="31" w:after="31"/>
        <w:ind w:firstLine="480"/>
        <w:rPr>
          <w:szCs w:val="24"/>
        </w:rPr>
      </w:pPr>
      <w:r>
        <w:rPr>
          <w:szCs w:val="24"/>
        </w:rPr>
        <w:t xml:space="preserve">| Case 7-3 | Fracture of the 4th-stage compressor rotor blade of a certain aviation engine | </w:t>
      </w:r>
      <w:r>
        <w:rPr>
          <w:rFonts w:ascii="Segoe UI Emoji" w:hAnsi="Segoe UI Emoji" w:cs="Segoe UI Emoji"/>
          <w:szCs w:val="24"/>
        </w:rPr>
        <w:t>✔</w:t>
      </w:r>
      <w:r>
        <w:rPr>
          <w:szCs w:val="24"/>
        </w:rPr>
        <w:t xml:space="preserve"> | | | |</w:t>
      </w:r>
    </w:p>
    <w:p w14:paraId="778D4A67">
      <w:pPr>
        <w:pStyle w:val="16"/>
        <w:spacing w:before="31" w:after="31"/>
        <w:ind w:firstLine="480"/>
        <w:rPr>
          <w:szCs w:val="24"/>
        </w:rPr>
      </w:pPr>
      <w:r>
        <w:rPr>
          <w:szCs w:val="24"/>
        </w:rPr>
        <w:t xml:space="preserve">| Case 7-4 | Hydrogen embrittlement fracture of aircraft landing gear pillar fixing bolt | | | | </w:t>
      </w:r>
      <w:r>
        <w:rPr>
          <w:rFonts w:ascii="Segoe UI Emoji" w:hAnsi="Segoe UI Emoji" w:cs="Segoe UI Emoji"/>
          <w:szCs w:val="24"/>
        </w:rPr>
        <w:t>✔</w:t>
      </w:r>
      <w:r>
        <w:rPr>
          <w:szCs w:val="24"/>
        </w:rPr>
        <w:t xml:space="preserve"> |</w:t>
      </w:r>
    </w:p>
    <w:p w14:paraId="026C397F">
      <w:pPr>
        <w:pStyle w:val="16"/>
        <w:spacing w:before="31" w:after="31"/>
        <w:ind w:firstLine="480"/>
        <w:rPr>
          <w:szCs w:val="24"/>
        </w:rPr>
      </w:pPr>
      <w:r>
        <w:rPr>
          <w:szCs w:val="24"/>
        </w:rPr>
        <w:t xml:space="preserve">| Case 7-5 | Fracture of certain aircraft brake pad | | </w:t>
      </w:r>
      <w:r>
        <w:rPr>
          <w:rFonts w:ascii="Segoe UI Emoji" w:hAnsi="Segoe UI Emoji" w:cs="Segoe UI Emoji"/>
          <w:szCs w:val="24"/>
        </w:rPr>
        <w:t>✔</w:t>
      </w:r>
      <w:r>
        <w:rPr>
          <w:szCs w:val="24"/>
        </w:rPr>
        <w:t xml:space="preserve"> | | |</w:t>
      </w:r>
    </w:p>
    <w:p w14:paraId="0CE67C28">
      <w:pPr>
        <w:pStyle w:val="16"/>
        <w:spacing w:before="31" w:after="31"/>
        <w:ind w:firstLine="480"/>
        <w:rPr>
          <w:szCs w:val="24"/>
        </w:rPr>
      </w:pPr>
      <w:r>
        <w:rPr>
          <w:szCs w:val="24"/>
        </w:rPr>
        <w:t xml:space="preserve">| Case 7-6 | Fracture of pressure valve used in a certain missile launching device | | </w:t>
      </w:r>
      <w:r>
        <w:rPr>
          <w:rFonts w:ascii="Segoe UI Emoji" w:hAnsi="Segoe UI Emoji" w:cs="Segoe UI Emoji"/>
          <w:szCs w:val="24"/>
        </w:rPr>
        <w:t>✔</w:t>
      </w:r>
      <w:r>
        <w:rPr>
          <w:szCs w:val="24"/>
        </w:rPr>
        <w:t xml:space="preserve"> | | |</w:t>
      </w:r>
    </w:p>
    <w:p w14:paraId="0135B4CC">
      <w:pPr>
        <w:pStyle w:val="16"/>
        <w:spacing w:before="31" w:after="31"/>
        <w:ind w:firstLine="480"/>
        <w:rPr>
          <w:szCs w:val="24"/>
        </w:rPr>
      </w:pPr>
      <w:r>
        <w:rPr>
          <w:szCs w:val="24"/>
        </w:rPr>
        <w:t xml:space="preserve">| Case 7-7 | Corrosion of MD-82 aircraft cargo compartment structure gap | | | | </w:t>
      </w:r>
      <w:r>
        <w:rPr>
          <w:rFonts w:ascii="Segoe UI Emoji" w:hAnsi="Segoe UI Emoji" w:cs="Segoe UI Emoji"/>
          <w:szCs w:val="24"/>
        </w:rPr>
        <w:t>✔</w:t>
      </w:r>
      <w:r>
        <w:rPr>
          <w:szCs w:val="24"/>
        </w:rPr>
        <w:t xml:space="preserve"> |</w:t>
      </w:r>
    </w:p>
    <w:p w14:paraId="0465AB4E">
      <w:pPr>
        <w:pStyle w:val="16"/>
        <w:spacing w:before="31" w:after="31"/>
        <w:ind w:firstLine="480"/>
        <w:rPr>
          <w:szCs w:val="24"/>
        </w:rPr>
      </w:pPr>
      <w:r>
        <w:rPr>
          <w:szCs w:val="24"/>
        </w:rPr>
        <w:t xml:space="preserve">| Case 7-8 | Corrosion and cracking of control lever for adjusting flap on certain seaplane | | | | </w:t>
      </w:r>
      <w:r>
        <w:rPr>
          <w:rFonts w:ascii="Segoe UI Emoji" w:hAnsi="Segoe UI Emoji" w:cs="Segoe UI Emoji"/>
          <w:szCs w:val="24"/>
        </w:rPr>
        <w:t>✔</w:t>
      </w:r>
      <w:r>
        <w:rPr>
          <w:szCs w:val="24"/>
        </w:rPr>
        <w:t xml:space="preserve"> |</w:t>
      </w:r>
    </w:p>
    <w:p w14:paraId="4B697235">
      <w:pPr>
        <w:pStyle w:val="16"/>
        <w:spacing w:before="31" w:after="31"/>
        <w:ind w:firstLine="480"/>
        <w:rPr>
          <w:szCs w:val="24"/>
        </w:rPr>
      </w:pPr>
      <w:r>
        <w:rPr>
          <w:szCs w:val="24"/>
        </w:rPr>
        <w:t xml:space="preserve">| Case 7-9 | Fracture of the main landing gear axle of J-8 aircraft | | | | </w:t>
      </w:r>
      <w:r>
        <w:rPr>
          <w:rFonts w:ascii="Segoe UI Emoji" w:hAnsi="Segoe UI Emoji" w:cs="Segoe UI Emoji"/>
          <w:szCs w:val="24"/>
        </w:rPr>
        <w:t>✔</w:t>
      </w:r>
      <w:r>
        <w:rPr>
          <w:szCs w:val="24"/>
        </w:rPr>
        <w:t xml:space="preserve"> |</w:t>
      </w:r>
    </w:p>
    <w:p w14:paraId="274F3365">
      <w:pPr>
        <w:pStyle w:val="16"/>
        <w:spacing w:before="31" w:after="31"/>
        <w:ind w:firstLine="480"/>
        <w:rPr>
          <w:szCs w:val="24"/>
        </w:rPr>
      </w:pPr>
      <w:r>
        <w:rPr>
          <w:szCs w:val="24"/>
        </w:rPr>
        <w:t xml:space="preserve">| Case 7-10 | Fracture of composite material adjusting plate leading edge of certain aircraft | </w:t>
      </w:r>
      <w:r>
        <w:rPr>
          <w:rFonts w:ascii="Segoe UI Emoji" w:hAnsi="Segoe UI Emoji" w:cs="Segoe UI Emoji"/>
          <w:szCs w:val="24"/>
        </w:rPr>
        <w:t>✔</w:t>
      </w:r>
      <w:r>
        <w:rPr>
          <w:szCs w:val="24"/>
        </w:rPr>
        <w:t xml:space="preserve"> | | | |</w:t>
      </w:r>
    </w:p>
    <w:p w14:paraId="24737452">
      <w:pPr>
        <w:pStyle w:val="16"/>
        <w:spacing w:before="31" w:after="31"/>
        <w:ind w:firstLine="480"/>
        <w:rPr>
          <w:szCs w:val="24"/>
        </w:rPr>
      </w:pPr>
      <w:r>
        <w:rPr>
          <w:szCs w:val="24"/>
        </w:rPr>
        <w:t xml:space="preserve">| Case 7-11 | Fatigue fracture of quasi-full-scale wing-body combination root structure of certain aircraft | | | | </w:t>
      </w:r>
      <w:r>
        <w:rPr>
          <w:rFonts w:ascii="Segoe UI Emoji" w:hAnsi="Segoe UI Emoji" w:cs="Segoe UI Emoji"/>
          <w:szCs w:val="24"/>
        </w:rPr>
        <w:t>✔</w:t>
      </w:r>
      <w:r>
        <w:rPr>
          <w:szCs w:val="24"/>
        </w:rPr>
        <w:t xml:space="preserve"> |</w:t>
      </w:r>
    </w:p>
    <w:p w14:paraId="7C424454">
      <w:pPr>
        <w:pStyle w:val="16"/>
        <w:spacing w:before="31" w:after="31"/>
        <w:ind w:firstLine="480"/>
        <w:rPr>
          <w:szCs w:val="24"/>
        </w:rPr>
      </w:pPr>
      <w:r>
        <w:rPr>
          <w:szCs w:val="24"/>
        </w:rPr>
        <w:t xml:space="preserve">| Case 7-12 | Analysis of failure of third-stage turbine blade in a certain aviation engine | | | </w:t>
      </w:r>
      <w:r>
        <w:rPr>
          <w:rFonts w:ascii="Segoe UI Emoji" w:hAnsi="Segoe UI Emoji" w:cs="Segoe UI Emoji"/>
          <w:szCs w:val="24"/>
        </w:rPr>
        <w:t>✔</w:t>
      </w:r>
      <w:r>
        <w:rPr>
          <w:szCs w:val="24"/>
        </w:rPr>
        <w:t xml:space="preserve"> | |</w:t>
      </w:r>
    </w:p>
    <w:p w14:paraId="154442DA">
      <w:pPr>
        <w:pStyle w:val="16"/>
        <w:spacing w:before="31" w:after="31"/>
        <w:ind w:firstLine="480"/>
        <w:rPr>
          <w:szCs w:val="24"/>
        </w:rPr>
      </w:pPr>
      <w:r>
        <w:rPr>
          <w:szCs w:val="24"/>
        </w:rPr>
        <w:t xml:space="preserve">| Case 7-13 | Failure of aircraft horizontal tail shaft | | | | </w:t>
      </w:r>
      <w:r>
        <w:rPr>
          <w:rFonts w:ascii="Segoe UI Emoji" w:hAnsi="Segoe UI Emoji" w:cs="Segoe UI Emoji"/>
          <w:szCs w:val="24"/>
        </w:rPr>
        <w:t>✔</w:t>
      </w:r>
      <w:r>
        <w:rPr>
          <w:szCs w:val="24"/>
        </w:rPr>
        <w:t xml:space="preserve"> |</w:t>
      </w:r>
    </w:p>
    <w:p w14:paraId="76C5743E">
      <w:pPr>
        <w:pStyle w:val="16"/>
        <w:spacing w:before="31" w:after="31"/>
        <w:ind w:firstLine="480"/>
        <w:rPr>
          <w:szCs w:val="24"/>
        </w:rPr>
      </w:pPr>
      <w:r>
        <w:rPr>
          <w:szCs w:val="24"/>
        </w:rPr>
        <w:t xml:space="preserve">| Case 7-14 | Fracture of landing gear cushion plunger in aircraft | | </w:t>
      </w:r>
      <w:r>
        <w:rPr>
          <w:rFonts w:ascii="Segoe UI Emoji" w:hAnsi="Segoe UI Emoji" w:cs="Segoe UI Emoji"/>
          <w:szCs w:val="24"/>
        </w:rPr>
        <w:t>✔</w:t>
      </w:r>
      <w:r>
        <w:rPr>
          <w:szCs w:val="24"/>
        </w:rPr>
        <w:t xml:space="preserve"> | | |</w:t>
      </w:r>
    </w:p>
    <w:p w14:paraId="10096091">
      <w:pPr>
        <w:pStyle w:val="16"/>
        <w:spacing w:before="31" w:after="31"/>
        <w:ind w:firstLine="480"/>
        <w:rPr>
          <w:szCs w:val="24"/>
        </w:rPr>
      </w:pPr>
      <w:r>
        <w:rPr>
          <w:szCs w:val="24"/>
        </w:rPr>
        <w:t xml:space="preserve">| Case 7-15 | Fracture of chain pin shaft in aircraft control system | | </w:t>
      </w:r>
      <w:r>
        <w:rPr>
          <w:rFonts w:ascii="Segoe UI Emoji" w:hAnsi="Segoe UI Emoji" w:cs="Segoe UI Emoji"/>
          <w:szCs w:val="24"/>
        </w:rPr>
        <w:t>✔</w:t>
      </w:r>
      <w:r>
        <w:rPr>
          <w:szCs w:val="24"/>
        </w:rPr>
        <w:t xml:space="preserve"> | | |</w:t>
      </w:r>
    </w:p>
    <w:p w14:paraId="52CA5FD5">
      <w:pPr>
        <w:pStyle w:val="16"/>
        <w:spacing w:before="31" w:after="31"/>
        <w:ind w:firstLine="480"/>
        <w:rPr>
          <w:szCs w:val="24"/>
        </w:rPr>
      </w:pPr>
      <w:r>
        <w:rPr>
          <w:szCs w:val="24"/>
        </w:rPr>
        <w:t xml:space="preserve">| Case 7-16 | Stress corrosion cracking of horizontal stabilizer rear spar of aircraft | | | | </w:t>
      </w:r>
      <w:r>
        <w:rPr>
          <w:rFonts w:ascii="Segoe UI Emoji" w:hAnsi="Segoe UI Emoji" w:cs="Segoe UI Emoji"/>
          <w:szCs w:val="24"/>
        </w:rPr>
        <w:t>✔</w:t>
      </w:r>
      <w:r>
        <w:rPr>
          <w:szCs w:val="24"/>
        </w:rPr>
        <w:t xml:space="preserve"> |</w:t>
      </w:r>
    </w:p>
    <w:p w14:paraId="38CB6152">
      <w:pPr>
        <w:pStyle w:val="16"/>
        <w:spacing w:before="31" w:after="31"/>
        <w:ind w:firstLine="480"/>
        <w:rPr>
          <w:szCs w:val="24"/>
        </w:rPr>
      </w:pPr>
      <w:r>
        <w:rPr>
          <w:szCs w:val="24"/>
        </w:rPr>
        <w:t xml:space="preserve">| Case 7-17 | High-cycle fatigue fracture of static vane of LPT4 in a certain engine | | </w:t>
      </w:r>
      <w:r>
        <w:rPr>
          <w:rFonts w:ascii="Segoe UI Emoji" w:hAnsi="Segoe UI Emoji" w:cs="Segoe UI Emoji"/>
          <w:szCs w:val="24"/>
        </w:rPr>
        <w:t>✔</w:t>
      </w:r>
      <w:r>
        <w:rPr>
          <w:szCs w:val="24"/>
        </w:rPr>
        <w:t xml:space="preserve"> | | |</w:t>
      </w:r>
    </w:p>
    <w:p w14:paraId="6D6152B0">
      <w:pPr>
        <w:pStyle w:val="16"/>
        <w:spacing w:before="31" w:after="31"/>
        <w:ind w:firstLine="480"/>
        <w:rPr>
          <w:szCs w:val="24"/>
        </w:rPr>
      </w:pPr>
      <w:r>
        <w:rPr>
          <w:szCs w:val="24"/>
        </w:rPr>
        <w:t xml:space="preserve">| Case 7-18 | Fracture of turbine blade at stage II in aviation engine | | </w:t>
      </w:r>
      <w:r>
        <w:rPr>
          <w:rFonts w:ascii="Segoe UI Emoji" w:hAnsi="Segoe UI Emoji" w:cs="Segoe UI Emoji"/>
          <w:szCs w:val="24"/>
        </w:rPr>
        <w:t>✔</w:t>
      </w:r>
      <w:r>
        <w:rPr>
          <w:szCs w:val="24"/>
        </w:rPr>
        <w:t xml:space="preserve"> | | |</w:t>
      </w:r>
    </w:p>
    <w:p w14:paraId="49AE2A37">
      <w:pPr>
        <w:pStyle w:val="16"/>
        <w:spacing w:before="31" w:after="31"/>
        <w:ind w:firstLine="480"/>
        <w:rPr>
          <w:szCs w:val="24"/>
        </w:rPr>
      </w:pPr>
      <w:r>
        <w:rPr>
          <w:szCs w:val="24"/>
        </w:rPr>
        <w:t xml:space="preserve">| Case 7-19 | Fatigue fracture of missile servo manifold | | | | </w:t>
      </w:r>
      <w:r>
        <w:rPr>
          <w:rFonts w:ascii="Segoe UI Emoji" w:hAnsi="Segoe UI Emoji" w:cs="Segoe UI Emoji"/>
          <w:szCs w:val="24"/>
        </w:rPr>
        <w:t>✔</w:t>
      </w:r>
      <w:r>
        <w:rPr>
          <w:szCs w:val="24"/>
        </w:rPr>
        <w:t xml:space="preserve"> |</w:t>
      </w:r>
    </w:p>
    <w:p w14:paraId="3996589F">
      <w:pPr>
        <w:pStyle w:val="16"/>
        <w:spacing w:before="31" w:after="31"/>
        <w:ind w:firstLine="480"/>
        <w:rPr>
          <w:szCs w:val="24"/>
        </w:rPr>
      </w:pPr>
      <w:r>
        <w:rPr>
          <w:szCs w:val="24"/>
        </w:rPr>
        <w:t xml:space="preserve">| Case 7-20 | Hydrogen embrittlement fracture of spring washer used in a certain missile positioner | </w:t>
      </w:r>
      <w:r>
        <w:rPr>
          <w:rFonts w:ascii="Segoe UI Emoji" w:hAnsi="Segoe UI Emoji" w:cs="Segoe UI Emoji"/>
          <w:szCs w:val="24"/>
        </w:rPr>
        <w:t>✔</w:t>
      </w:r>
      <w:r>
        <w:rPr>
          <w:szCs w:val="24"/>
        </w:rPr>
        <w:t xml:space="preserve"> | | | |</w:t>
      </w:r>
    </w:p>
    <w:p w14:paraId="57D2A107">
      <w:pPr>
        <w:pStyle w:val="16"/>
        <w:spacing w:before="31" w:after="31"/>
        <w:ind w:firstLine="480"/>
        <w:rPr>
          <w:szCs w:val="24"/>
        </w:rPr>
      </w:pPr>
      <w:r>
        <w:rPr>
          <w:szCs w:val="24"/>
        </w:rPr>
        <w:t xml:space="preserve">| Case 7-21 | Fracture of front landing gear of a certain type of aircraft | | | | </w:t>
      </w:r>
      <w:r>
        <w:rPr>
          <w:rFonts w:ascii="Segoe UI Emoji" w:hAnsi="Segoe UI Emoji" w:cs="Segoe UI Emoji"/>
          <w:szCs w:val="24"/>
        </w:rPr>
        <w:t>✔</w:t>
      </w:r>
      <w:r>
        <w:rPr>
          <w:szCs w:val="24"/>
        </w:rPr>
        <w:t xml:space="preserve"> |</w:t>
      </w:r>
    </w:p>
    <w:p w14:paraId="46787E82">
      <w:pPr>
        <w:pStyle w:val="16"/>
        <w:spacing w:before="31" w:after="31"/>
        <w:ind w:firstLine="480"/>
        <w:rPr>
          <w:szCs w:val="24"/>
        </w:rPr>
      </w:pPr>
    </w:p>
    <w:p w14:paraId="1E855D00">
      <w:pPr>
        <w:pStyle w:val="16"/>
        <w:spacing w:before="31" w:after="31"/>
        <w:ind w:firstLine="0" w:firstLineChars="0"/>
        <w:rPr>
          <w:szCs w:val="24"/>
        </w:rPr>
      </w:pPr>
      <w:r>
        <w:rPr>
          <w:szCs w:val="24"/>
        </w:rPr>
        <w:t>7.3.1.2 Existing Issues</w:t>
      </w:r>
    </w:p>
    <w:p w14:paraId="7D4D9B0B">
      <w:pPr>
        <w:pStyle w:val="16"/>
        <w:spacing w:before="31" w:after="31"/>
        <w:ind w:firstLine="480"/>
        <w:rPr>
          <w:szCs w:val="24"/>
        </w:rPr>
      </w:pPr>
    </w:p>
    <w:p w14:paraId="2541F13B">
      <w:pPr>
        <w:pStyle w:val="16"/>
        <w:spacing w:before="31" w:after="31"/>
        <w:ind w:firstLine="480"/>
        <w:rPr>
          <w:szCs w:val="24"/>
        </w:rPr>
      </w:pPr>
      <w:r>
        <w:rPr>
          <w:szCs w:val="24"/>
        </w:rPr>
        <w:t>Through failure investigations, it is evident that despite a thorough understanding of the severity and hazards of aerospace accidents and the establishment of a comprehensive set of maintenance and repair measures and standards, failures in aerospace structures and materials are still prevalent. These failures significantly impact the normal operation of aerospace vehicles, resulting in substantial economic losses. The main reasons for aerospace structure and material failure incidents include:</w:t>
      </w:r>
    </w:p>
    <w:p w14:paraId="6DD01E33">
      <w:pPr>
        <w:pStyle w:val="16"/>
        <w:spacing w:before="31" w:after="31"/>
        <w:ind w:firstLine="480"/>
        <w:rPr>
          <w:szCs w:val="24"/>
        </w:rPr>
      </w:pPr>
    </w:p>
    <w:p w14:paraId="64238C73">
      <w:pPr>
        <w:pStyle w:val="16"/>
        <w:spacing w:before="31" w:after="31"/>
        <w:ind w:firstLine="480"/>
        <w:rPr>
          <w:szCs w:val="24"/>
        </w:rPr>
      </w:pPr>
      <w:r>
        <w:rPr>
          <w:szCs w:val="24"/>
        </w:rPr>
        <w:t>1. Fatigue Failure: This is the primary failure mode. Besides design factors, processing defects, stress concentration, and local wear and corrosion are factors contributing to the initiation of fatigue cracks. Fatigue sources extend under the action of cyclic loads, leading to the fatigue failure of components. To prevent fatigue failure, it is essential to enhance the design details, strictly control component processing technology, and improve the ability and level of fatigue life prediction and evaluation.</w:t>
      </w:r>
    </w:p>
    <w:p w14:paraId="42D016C8">
      <w:pPr>
        <w:pStyle w:val="16"/>
        <w:spacing w:before="31" w:after="31"/>
        <w:ind w:firstLine="480"/>
        <w:rPr>
          <w:szCs w:val="24"/>
        </w:rPr>
      </w:pPr>
    </w:p>
    <w:p w14:paraId="4406CBED">
      <w:pPr>
        <w:pStyle w:val="16"/>
        <w:spacing w:before="31" w:after="31"/>
        <w:ind w:firstLine="480"/>
        <w:rPr>
          <w:szCs w:val="24"/>
        </w:rPr>
      </w:pPr>
      <w:r>
        <w:rPr>
          <w:szCs w:val="24"/>
        </w:rPr>
        <w:t>2. Fracture: Aerospace structures experience various fracture modes, including hydrogen-induced hydrogen embrittlement during processing, creep fracture, and, more commonly, exceeding the ultimate strength of components due to overload during service. Therefore, it is necessary to strengthen the process management of materials and components and strictly adhere to aircraft operating procedures.</w:t>
      </w:r>
    </w:p>
    <w:p w14:paraId="53CA11B2">
      <w:pPr>
        <w:pStyle w:val="16"/>
        <w:spacing w:before="31" w:after="31"/>
        <w:ind w:firstLine="480"/>
        <w:rPr>
          <w:szCs w:val="24"/>
        </w:rPr>
      </w:pPr>
    </w:p>
    <w:p w14:paraId="0A15C843">
      <w:pPr>
        <w:pStyle w:val="16"/>
        <w:spacing w:before="31" w:after="31"/>
        <w:ind w:firstLine="480"/>
        <w:rPr>
          <w:szCs w:val="24"/>
        </w:rPr>
      </w:pPr>
      <w:r>
        <w:rPr>
          <w:szCs w:val="24"/>
        </w:rPr>
        <w:t>3. Corrosion:*The issue of corrosion in aircraft structures is increasingly emphasized. In response to the widespread corrosion issues in certain aircraft models, China has conducted extensive basic research and engineering practice in corrosion damage mechanisms, rules, corrosion protection, and corrosion failure analysis for specific aircraft models [4-9]. However, due to the complexity of corrosion issues and the late start of corrosion control and protection in aircraft in China, coupled with weak foundations and insufficient previous emphasis, anti-corrosion and corrosion prediction and assessment for aircraft remain challenging tasks.</w:t>
      </w:r>
    </w:p>
    <w:p w14:paraId="00B069B7">
      <w:pPr>
        <w:pStyle w:val="16"/>
        <w:spacing w:before="31" w:after="31"/>
        <w:ind w:firstLine="480"/>
        <w:rPr>
          <w:szCs w:val="24"/>
        </w:rPr>
      </w:pPr>
    </w:p>
    <w:p w14:paraId="0AD44DE0">
      <w:pPr>
        <w:pStyle w:val="16"/>
        <w:spacing w:before="31" w:after="31"/>
        <w:ind w:firstLineChars="83"/>
        <w:rPr>
          <w:b/>
          <w:bCs/>
          <w:szCs w:val="24"/>
        </w:rPr>
      </w:pPr>
      <w:r>
        <w:rPr>
          <w:b/>
          <w:bCs/>
          <w:szCs w:val="24"/>
        </w:rPr>
        <w:t>7.3.2 Current Status of Failure Accident Investigation Work</w:t>
      </w:r>
    </w:p>
    <w:p w14:paraId="0DBC4D4A">
      <w:pPr>
        <w:pStyle w:val="16"/>
        <w:spacing w:before="31" w:after="31"/>
        <w:ind w:firstLine="480"/>
        <w:rPr>
          <w:szCs w:val="24"/>
        </w:rPr>
      </w:pPr>
    </w:p>
    <w:p w14:paraId="0BEDD6BB">
      <w:pPr>
        <w:pStyle w:val="16"/>
        <w:spacing w:before="31" w:after="31"/>
        <w:ind w:firstLine="480"/>
        <w:rPr>
          <w:szCs w:val="24"/>
        </w:rPr>
      </w:pPr>
      <w:r>
        <w:rPr>
          <w:szCs w:val="24"/>
        </w:rPr>
        <w:t>The structure of aerospace vehicles is complex, with diverse materials, varying service loads, and changing environments. The harm and impact of material failure in aerospace structures are enormous. Therefore, the analysis and investigation of failure accidents receive significant attention. Special industry standards have been formulated for failure analysis, laying a good foundation for the scientific, reasonable, and comprehensive analysis of failure accidents.</w:t>
      </w:r>
    </w:p>
    <w:p w14:paraId="3E5380AA">
      <w:pPr>
        <w:pStyle w:val="16"/>
        <w:spacing w:before="31" w:after="31"/>
        <w:ind w:firstLine="480"/>
        <w:rPr>
          <w:szCs w:val="24"/>
        </w:rPr>
      </w:pPr>
    </w:p>
    <w:p w14:paraId="247BC8D9">
      <w:pPr>
        <w:pStyle w:val="16"/>
        <w:spacing w:before="31" w:after="31"/>
        <w:ind w:firstLine="480"/>
        <w:rPr>
          <w:szCs w:val="24"/>
        </w:rPr>
      </w:pPr>
      <w:r>
        <w:rPr>
          <w:szCs w:val="24"/>
        </w:rPr>
        <w:t>In the analysis of failure cases related to aerospace structures and materials, the standard process, including process investigation, fracture analysis, component analysis, material inspection, simulation calculation, and replication tests, has generally been followed. Accurate inferences about the causes of accidents have been made, along with corresponding improvement measures and suggestions. In-depth investigations of some typical cases have elevated the operational safety levels of many aircraft models.</w:t>
      </w:r>
    </w:p>
    <w:p w14:paraId="3BD4E8C6">
      <w:pPr>
        <w:pStyle w:val="16"/>
        <w:spacing w:before="31" w:after="31"/>
        <w:ind w:firstLine="480"/>
        <w:rPr>
          <w:szCs w:val="24"/>
        </w:rPr>
      </w:pPr>
    </w:p>
    <w:p w14:paraId="71F2D9C1">
      <w:pPr>
        <w:pStyle w:val="16"/>
        <w:spacing w:before="31" w:after="31"/>
        <w:ind w:firstLine="480"/>
        <w:rPr>
          <w:szCs w:val="24"/>
        </w:rPr>
      </w:pPr>
      <w:r>
        <w:rPr>
          <w:szCs w:val="24"/>
        </w:rPr>
        <w:t>However, through failure investigations, some shortcomings in the analysis process of aerospace accidents are still evident:</w:t>
      </w:r>
    </w:p>
    <w:p w14:paraId="0C98BB8D">
      <w:pPr>
        <w:pStyle w:val="16"/>
        <w:spacing w:before="31" w:after="31"/>
        <w:ind w:firstLine="480"/>
        <w:rPr>
          <w:szCs w:val="24"/>
        </w:rPr>
      </w:pPr>
    </w:p>
    <w:p w14:paraId="5A5FBC34">
      <w:pPr>
        <w:pStyle w:val="16"/>
        <w:spacing w:before="31" w:after="31"/>
        <w:ind w:firstLine="480"/>
        <w:rPr>
          <w:szCs w:val="24"/>
        </w:rPr>
      </w:pPr>
      <w:r>
        <w:rPr>
          <w:szCs w:val="24"/>
        </w:rPr>
        <w:t>1. Lack of Service History Data: Insufficient data on the service history of aircraft, with some failure analysis relying solely on design load data, lacking the accumulation of real-service data.</w:t>
      </w:r>
    </w:p>
    <w:p w14:paraId="25C408A2">
      <w:pPr>
        <w:pStyle w:val="16"/>
        <w:spacing w:before="31" w:after="31"/>
        <w:ind w:firstLine="480"/>
        <w:rPr>
          <w:szCs w:val="24"/>
        </w:rPr>
      </w:pPr>
    </w:p>
    <w:p w14:paraId="62C2D90F">
      <w:pPr>
        <w:pStyle w:val="16"/>
        <w:spacing w:before="31" w:after="31"/>
        <w:ind w:firstLine="0" w:firstLineChars="0"/>
        <w:rPr>
          <w:szCs w:val="24"/>
        </w:rPr>
      </w:pPr>
      <w:r>
        <w:rPr>
          <w:szCs w:val="24"/>
        </w:rPr>
        <w:t>2. Corrosion Control Challenges:While corrosion control in aircraft structures is gaining attention, there is a lack of quantitative descriptions of environmental factors due to limited data accumulation.</w:t>
      </w:r>
    </w:p>
    <w:p w14:paraId="0B6834AF">
      <w:pPr>
        <w:pStyle w:val="16"/>
        <w:spacing w:before="31" w:after="31"/>
        <w:ind w:firstLine="0" w:firstLineChars="0"/>
        <w:rPr>
          <w:b/>
          <w:bCs/>
          <w:sz w:val="30"/>
          <w:szCs w:val="30"/>
        </w:rPr>
      </w:pPr>
      <w:r>
        <w:rPr>
          <w:b/>
          <w:bCs/>
          <w:sz w:val="30"/>
          <w:szCs w:val="30"/>
        </w:rPr>
        <w:t>8. Summary of Failure Cases in Transportation Industry</w:t>
      </w:r>
    </w:p>
    <w:p w14:paraId="37B9CDAE">
      <w:pPr>
        <w:pStyle w:val="16"/>
        <w:spacing w:before="31" w:after="31"/>
        <w:ind w:firstLine="480"/>
        <w:rPr>
          <w:szCs w:val="24"/>
        </w:rPr>
      </w:pPr>
    </w:p>
    <w:p w14:paraId="6E145736">
      <w:pPr>
        <w:pStyle w:val="16"/>
        <w:spacing w:before="31" w:after="31"/>
        <w:ind w:firstLine="480"/>
        <w:rPr>
          <w:szCs w:val="24"/>
        </w:rPr>
      </w:pPr>
      <w:r>
        <w:rPr>
          <w:szCs w:val="24"/>
        </w:rPr>
        <w:t>The transportation industry encompasses a wide range of areas, leading to a multitude of failure incidents. Therefore, in the research on failure cases, vehicles, bridges, highways, railways, etc., were identified as the subjects of investigation. The research was conducted through on-site surveys and online inquiries, collecting a total of 17 failure and accident cases in the domestic transportation sector. These cases involved specific structures and components related to vehicles, bridges, road foundations, railways, etc. The study systematically categorized the characteristics of the failed components, failure modes, post-failure process analysis, failure cause analysis, remedial measures, and summarized experiences.</w:t>
      </w:r>
    </w:p>
    <w:p w14:paraId="1D62AC01">
      <w:pPr>
        <w:pStyle w:val="16"/>
        <w:spacing w:before="31" w:after="31"/>
        <w:ind w:firstLine="480"/>
        <w:rPr>
          <w:szCs w:val="24"/>
        </w:rPr>
      </w:pPr>
    </w:p>
    <w:p w14:paraId="6D6D5FBA">
      <w:pPr>
        <w:pStyle w:val="16"/>
        <w:spacing w:before="31" w:after="31"/>
        <w:ind w:firstLine="480"/>
        <w:rPr>
          <w:szCs w:val="24"/>
        </w:rPr>
      </w:pPr>
      <w:r>
        <w:rPr>
          <w:szCs w:val="24"/>
        </w:rPr>
        <w:t>The research primarily focused on failures caused by structural material issues. It addressed the specific structures of the material components, considering the complexity of service loads and the characteristics of operating environments. Failure modes in the transportation industry components can be broadly categorized as fracture, wear, corrosion, and thermal aging. The causes of these failures are related to structural strength, design, and safety standards. The transportation industry study covered a total of 17 cases, with detailed quantities and outcomes listed in Table 8-1.</w:t>
      </w:r>
    </w:p>
    <w:p w14:paraId="17FE59B6">
      <w:pPr>
        <w:pStyle w:val="16"/>
        <w:spacing w:before="31" w:after="31"/>
        <w:ind w:firstLine="480"/>
        <w:rPr>
          <w:szCs w:val="24"/>
        </w:rPr>
      </w:pPr>
    </w:p>
    <w:p w14:paraId="13C44767">
      <w:pPr>
        <w:pStyle w:val="16"/>
        <w:spacing w:before="31" w:after="31"/>
        <w:ind w:firstLine="482"/>
        <w:jc w:val="center"/>
        <w:rPr>
          <w:b/>
          <w:bCs/>
          <w:szCs w:val="24"/>
        </w:rPr>
      </w:pPr>
      <w:r>
        <w:rPr>
          <w:b/>
          <w:bCs/>
          <w:szCs w:val="24"/>
        </w:rPr>
        <w:t>Table 8-1: Summary of Research on Failure Cases in the Transportation Industry</w:t>
      </w:r>
    </w:p>
    <w:p w14:paraId="6BF3FB4E">
      <w:pPr>
        <w:pStyle w:val="16"/>
        <w:spacing w:before="31" w:after="31"/>
        <w:ind w:firstLine="480"/>
        <w:jc w:val="center"/>
        <w:rPr>
          <w:szCs w:val="24"/>
        </w:rPr>
      </w:pPr>
      <w:r>
        <w:rPr>
          <w:szCs w:val="24"/>
        </w:rPr>
        <w:t>| Outcome | Transportation Industry | Total |</w:t>
      </w:r>
    </w:p>
    <w:p w14:paraId="09FCC4B8">
      <w:pPr>
        <w:pStyle w:val="16"/>
        <w:spacing w:before="31" w:after="31"/>
        <w:ind w:firstLine="480"/>
        <w:jc w:val="center"/>
        <w:rPr>
          <w:szCs w:val="24"/>
        </w:rPr>
      </w:pPr>
      <w:r>
        <w:rPr>
          <w:szCs w:val="24"/>
        </w:rPr>
        <w:t>|---------|--------------------------|-------|</w:t>
      </w:r>
    </w:p>
    <w:p w14:paraId="4113712E">
      <w:pPr>
        <w:pStyle w:val="16"/>
        <w:spacing w:before="31" w:after="31"/>
        <w:ind w:firstLine="480"/>
        <w:jc w:val="center"/>
        <w:rPr>
          <w:szCs w:val="24"/>
        </w:rPr>
      </w:pPr>
      <w:r>
        <w:rPr>
          <w:szCs w:val="24"/>
        </w:rPr>
        <w:t>| Number of Investigated Cases | 17 | 17 |</w:t>
      </w:r>
    </w:p>
    <w:p w14:paraId="21E9BD3E">
      <w:pPr>
        <w:pStyle w:val="16"/>
        <w:spacing w:before="31" w:after="31"/>
        <w:ind w:firstLine="480"/>
        <w:jc w:val="center"/>
        <w:rPr>
          <w:szCs w:val="24"/>
        </w:rPr>
      </w:pPr>
      <w:r>
        <w:rPr>
          <w:szCs w:val="24"/>
        </w:rPr>
        <w:t>| Image Data | 36 | 36 |</w:t>
      </w:r>
    </w:p>
    <w:p w14:paraId="1F0DAA99">
      <w:pPr>
        <w:pStyle w:val="16"/>
        <w:spacing w:before="31" w:after="31"/>
        <w:ind w:firstLine="480"/>
        <w:jc w:val="center"/>
        <w:rPr>
          <w:szCs w:val="24"/>
        </w:rPr>
      </w:pPr>
      <w:r>
        <w:rPr>
          <w:szCs w:val="24"/>
        </w:rPr>
        <w:t>| Number of References | 24 | 24 |</w:t>
      </w:r>
    </w:p>
    <w:p w14:paraId="6A567676">
      <w:pPr>
        <w:pStyle w:val="16"/>
        <w:spacing w:before="31" w:after="31"/>
        <w:ind w:firstLine="480"/>
        <w:rPr>
          <w:szCs w:val="24"/>
        </w:rPr>
      </w:pPr>
    </w:p>
    <w:p w14:paraId="120B86A1">
      <w:pPr>
        <w:pStyle w:val="16"/>
        <w:spacing w:before="31" w:after="31"/>
        <w:ind w:firstLine="0" w:firstLineChars="0"/>
        <w:rPr>
          <w:b/>
          <w:bCs/>
          <w:szCs w:val="24"/>
        </w:rPr>
      </w:pPr>
      <w:r>
        <w:rPr>
          <w:b/>
          <w:bCs/>
          <w:szCs w:val="24"/>
        </w:rPr>
        <w:t>8.1 Common Failure Locations</w:t>
      </w:r>
    </w:p>
    <w:p w14:paraId="5F388855">
      <w:pPr>
        <w:pStyle w:val="16"/>
        <w:spacing w:before="31" w:after="31"/>
        <w:ind w:firstLine="480"/>
        <w:rPr>
          <w:szCs w:val="24"/>
        </w:rPr>
      </w:pPr>
    </w:p>
    <w:p w14:paraId="16D3076A">
      <w:pPr>
        <w:pStyle w:val="16"/>
        <w:spacing w:before="31" w:after="31"/>
        <w:ind w:firstLine="0" w:firstLineChars="0"/>
        <w:rPr>
          <w:szCs w:val="24"/>
        </w:rPr>
      </w:pPr>
      <w:r>
        <w:rPr>
          <w:szCs w:val="24"/>
        </w:rPr>
        <w:t>(1) Automobiles</w:t>
      </w:r>
    </w:p>
    <w:p w14:paraId="22BC5EA9">
      <w:pPr>
        <w:pStyle w:val="16"/>
        <w:spacing w:before="31" w:after="31"/>
        <w:ind w:firstLine="480"/>
        <w:rPr>
          <w:szCs w:val="24"/>
        </w:rPr>
      </w:pPr>
      <w:r>
        <w:rPr>
          <w:szCs w:val="24"/>
        </w:rPr>
        <w:t>Failure incidents in automobiles mainly involve critical structural components. The study collected cases such as suspension fractures, steering rocker arm shaft fractures, torsion bar spring fractures, main shaft failures in transmissions, timing chain failures, and GCr15 steel failures in water pump cores, totaling six types of failure incidents. The predominant failure types include fatigue fractures, wear, corrosion, and aging.</w:t>
      </w:r>
    </w:p>
    <w:p w14:paraId="1AF3E1B9">
      <w:pPr>
        <w:pStyle w:val="16"/>
        <w:spacing w:before="31" w:after="31"/>
        <w:ind w:firstLine="0" w:firstLineChars="0"/>
        <w:rPr>
          <w:szCs w:val="24"/>
        </w:rPr>
      </w:pPr>
      <w:r>
        <w:rPr>
          <w:szCs w:val="24"/>
        </w:rPr>
        <w:t>(2) Bridges</w:t>
      </w:r>
    </w:p>
    <w:p w14:paraId="19273680">
      <w:pPr>
        <w:pStyle w:val="16"/>
        <w:spacing w:before="31" w:after="31"/>
        <w:ind w:firstLine="480"/>
        <w:rPr>
          <w:szCs w:val="24"/>
        </w:rPr>
      </w:pPr>
    </w:p>
    <w:p w14:paraId="10627A22">
      <w:pPr>
        <w:pStyle w:val="16"/>
        <w:spacing w:before="31" w:after="31"/>
        <w:ind w:firstLine="480"/>
        <w:rPr>
          <w:szCs w:val="24"/>
        </w:rPr>
      </w:pPr>
      <w:r>
        <w:rPr>
          <w:szCs w:val="24"/>
        </w:rPr>
        <w:t>The study compiled several failure and accident cases related to the structural materials of large bridges in China, analyzing the causes of their failures. Examples include the collapse of the Jiujiang Bridge due to improper design and safety standards, and the collapse of the Hongqiao Bridge in Qijiang County, Chongqing, due to improper material selection and use.</w:t>
      </w:r>
    </w:p>
    <w:p w14:paraId="2CF43595">
      <w:pPr>
        <w:pStyle w:val="16"/>
        <w:spacing w:before="31" w:after="31"/>
        <w:ind w:firstLine="480"/>
        <w:rPr>
          <w:szCs w:val="24"/>
        </w:rPr>
      </w:pPr>
    </w:p>
    <w:p w14:paraId="2FB856B1">
      <w:pPr>
        <w:pStyle w:val="16"/>
        <w:spacing w:before="31" w:after="31"/>
        <w:ind w:firstLine="0" w:firstLineChars="0"/>
        <w:rPr>
          <w:szCs w:val="24"/>
        </w:rPr>
      </w:pPr>
      <w:r>
        <w:rPr>
          <w:szCs w:val="24"/>
        </w:rPr>
        <w:t>(3) Railways</w:t>
      </w:r>
    </w:p>
    <w:p w14:paraId="4DE29BAB">
      <w:pPr>
        <w:pStyle w:val="16"/>
        <w:spacing w:before="31" w:after="31"/>
        <w:ind w:firstLine="480"/>
        <w:rPr>
          <w:szCs w:val="24"/>
        </w:rPr>
      </w:pPr>
    </w:p>
    <w:p w14:paraId="097AC105">
      <w:pPr>
        <w:pStyle w:val="16"/>
        <w:spacing w:before="31" w:after="31"/>
        <w:ind w:firstLine="480"/>
        <w:rPr>
          <w:szCs w:val="24"/>
        </w:rPr>
      </w:pPr>
      <w:r>
        <w:rPr>
          <w:szCs w:val="24"/>
        </w:rPr>
        <w:t>Major failures in the railway industry occur in locomotives, vehicles, and steel rails. Failure modes include wheel failures, axle failures, main load-bearing component failures in bogies, and rail failures. The main causes include design defects, fatigue fractures, wear, crushing, peeling, and thermal cracking.</w:t>
      </w:r>
    </w:p>
    <w:p w14:paraId="454BA4BF">
      <w:pPr>
        <w:pStyle w:val="16"/>
        <w:spacing w:before="31" w:after="31"/>
        <w:ind w:firstLine="480"/>
        <w:rPr>
          <w:szCs w:val="24"/>
        </w:rPr>
      </w:pPr>
    </w:p>
    <w:p w14:paraId="01FC1B9E">
      <w:pPr>
        <w:pStyle w:val="16"/>
        <w:spacing w:before="31" w:after="31"/>
        <w:ind w:firstLine="0" w:firstLineChars="0"/>
        <w:rPr>
          <w:szCs w:val="24"/>
        </w:rPr>
      </w:pPr>
      <w:r>
        <w:rPr>
          <w:szCs w:val="24"/>
        </w:rPr>
        <w:t>(4) Roadbeds and Pavements</w:t>
      </w:r>
    </w:p>
    <w:p w14:paraId="3FBC22E9">
      <w:pPr>
        <w:pStyle w:val="16"/>
        <w:spacing w:before="31" w:after="31"/>
        <w:ind w:firstLine="480"/>
        <w:rPr>
          <w:szCs w:val="24"/>
        </w:rPr>
      </w:pPr>
    </w:p>
    <w:p w14:paraId="2F942C6D">
      <w:pPr>
        <w:pStyle w:val="16"/>
        <w:spacing w:before="31" w:after="31"/>
        <w:ind w:firstLine="480"/>
        <w:rPr>
          <w:szCs w:val="24"/>
        </w:rPr>
      </w:pPr>
      <w:r>
        <w:rPr>
          <w:szCs w:val="24"/>
        </w:rPr>
        <w:t>Numerous cases involve the failure of high-grade road cement concrete pavement panels. Although failure modes vary, common issues include cracking, panel rupture, subsidence, and misalignment.</w:t>
      </w:r>
    </w:p>
    <w:p w14:paraId="62790BAA">
      <w:pPr>
        <w:pStyle w:val="16"/>
        <w:spacing w:before="31" w:after="31"/>
        <w:ind w:firstLine="480"/>
        <w:rPr>
          <w:szCs w:val="24"/>
        </w:rPr>
      </w:pPr>
    </w:p>
    <w:p w14:paraId="58C17031">
      <w:pPr>
        <w:pStyle w:val="16"/>
        <w:spacing w:before="31" w:after="31"/>
        <w:ind w:firstLine="0" w:firstLineChars="0"/>
        <w:rPr>
          <w:b/>
          <w:bCs/>
          <w:szCs w:val="24"/>
        </w:rPr>
      </w:pPr>
      <w:r>
        <w:rPr>
          <w:b/>
          <w:bCs/>
          <w:szCs w:val="24"/>
        </w:rPr>
        <w:t>8.2 Examples of Failure Cases in Transportation</w:t>
      </w:r>
    </w:p>
    <w:p w14:paraId="176CC4E2">
      <w:pPr>
        <w:pStyle w:val="16"/>
        <w:spacing w:before="31" w:after="31"/>
        <w:ind w:firstLine="0" w:firstLineChars="0"/>
        <w:rPr>
          <w:b/>
          <w:bCs/>
          <w:szCs w:val="24"/>
        </w:rPr>
      </w:pPr>
      <w:r>
        <w:rPr>
          <w:b/>
          <w:bCs/>
          <w:szCs w:val="24"/>
        </w:rPr>
        <w:t>8.2.1 Case 8-1: Mondeo Sedan Fire Incident</w:t>
      </w:r>
    </w:p>
    <w:p w14:paraId="42C9BD2F">
      <w:pPr>
        <w:pStyle w:val="16"/>
        <w:spacing w:before="31" w:after="31"/>
        <w:ind w:firstLine="480"/>
        <w:rPr>
          <w:szCs w:val="24"/>
        </w:rPr>
      </w:pPr>
      <w:r>
        <w:rPr>
          <w:szCs w:val="24"/>
        </w:rPr>
        <w:t>(1) Case Name</w:t>
      </w:r>
    </w:p>
    <w:p w14:paraId="506B9EEC">
      <w:pPr>
        <w:pStyle w:val="16"/>
        <w:spacing w:before="31" w:after="31"/>
        <w:ind w:firstLine="480"/>
        <w:rPr>
          <w:szCs w:val="24"/>
        </w:rPr>
      </w:pPr>
      <w:r>
        <w:rPr>
          <w:szCs w:val="24"/>
        </w:rPr>
        <w:t>Mondeo Sedan Fire Incident [4]</w:t>
      </w:r>
    </w:p>
    <w:p w14:paraId="4BBC9E53">
      <w:pPr>
        <w:pStyle w:val="16"/>
        <w:spacing w:before="31" w:after="31"/>
        <w:ind w:firstLine="480"/>
        <w:rPr>
          <w:szCs w:val="24"/>
        </w:rPr>
      </w:pPr>
      <w:r>
        <w:rPr>
          <w:szCs w:val="24"/>
        </w:rPr>
        <w:t>(2) Description of Failure Process</w:t>
      </w:r>
    </w:p>
    <w:p w14:paraId="1E12A0C9">
      <w:pPr>
        <w:pStyle w:val="16"/>
        <w:spacing w:before="31" w:after="31"/>
        <w:ind w:firstLine="480"/>
        <w:rPr>
          <w:szCs w:val="24"/>
        </w:rPr>
      </w:pPr>
      <w:r>
        <w:rPr>
          <w:szCs w:val="24"/>
        </w:rPr>
        <w:t>In August 2006, a Mondeo CAF7200B sedan manufactured in March 2005 had a fuel system modification, adding a fuel economizer (produced by Beijing Gaier Technology Development Co., Ltd.) between the fuel filter and the fuel inlet manifold. The economizer was connected to the original fuel inlet pipe with rubber hoses. While driving at the T-junction of Tuanjie South Road and Hancheng East Road, a "bang" sound was heard near the engine (as described by the driver). Smoke and fire erupted under the engine hood. The driver and passengers promptly stopped the vehicle and extinguished the fire with a fire extinguisher, but the vehicle suffered damage.</w:t>
      </w:r>
    </w:p>
    <w:p w14:paraId="4BAEEF33">
      <w:pPr>
        <w:pStyle w:val="16"/>
        <w:spacing w:before="31" w:after="31"/>
        <w:ind w:firstLine="480"/>
        <w:rPr>
          <w:szCs w:val="24"/>
        </w:rPr>
      </w:pPr>
      <w:r>
        <w:rPr>
          <w:szCs w:val="24"/>
        </w:rPr>
        <w:t>(3) Component Service Environment</w:t>
      </w:r>
    </w:p>
    <w:p w14:paraId="111B4981">
      <w:pPr>
        <w:pStyle w:val="16"/>
        <w:spacing w:before="31" w:after="31"/>
        <w:ind w:firstLine="480"/>
        <w:rPr>
          <w:szCs w:val="24"/>
        </w:rPr>
      </w:pPr>
      <w:r>
        <w:rPr>
          <w:szCs w:val="24"/>
        </w:rPr>
        <w:t>Normal driving conditions for private cars</w:t>
      </w:r>
    </w:p>
    <w:p w14:paraId="5EDF8266">
      <w:pPr>
        <w:pStyle w:val="16"/>
        <w:spacing w:before="31" w:after="31"/>
        <w:ind w:firstLine="480"/>
        <w:rPr>
          <w:szCs w:val="24"/>
        </w:rPr>
      </w:pPr>
      <w:r>
        <w:rPr>
          <w:szCs w:val="24"/>
        </w:rPr>
        <w:t>(4) Failed Component and Material</w:t>
      </w:r>
    </w:p>
    <w:p w14:paraId="3F9A6729">
      <w:pPr>
        <w:pStyle w:val="16"/>
        <w:spacing w:before="31" w:after="31"/>
        <w:ind w:firstLine="480"/>
        <w:rPr>
          <w:szCs w:val="24"/>
        </w:rPr>
      </w:pPr>
      <w:r>
        <w:rPr>
          <w:szCs w:val="24"/>
        </w:rPr>
        <w:t>Fuel economizer inlet hose, material unknown</w:t>
      </w:r>
    </w:p>
    <w:p w14:paraId="21745D26">
      <w:pPr>
        <w:pStyle w:val="16"/>
        <w:spacing w:before="31" w:after="31"/>
        <w:ind w:firstLine="480"/>
        <w:rPr>
          <w:szCs w:val="24"/>
        </w:rPr>
      </w:pPr>
      <w:r>
        <w:rPr>
          <w:szCs w:val="24"/>
        </w:rPr>
        <w:t>(5) Failure Appearance</w:t>
      </w:r>
    </w:p>
    <w:p w14:paraId="082638B3">
      <w:pPr>
        <w:pStyle w:val="16"/>
        <w:spacing w:before="31" w:after="31"/>
        <w:ind w:firstLine="480"/>
        <w:rPr>
          <w:szCs w:val="24"/>
        </w:rPr>
      </w:pPr>
      <w:r>
        <w:rPr>
          <w:szCs w:val="24"/>
        </w:rPr>
        <w:t>The open rupture in the rubber inlet hose of the fuel economizer system (approximately 12cm in length) was observed in the middle section (see Figure 8-1.1). The rubber vacuum hose between the throttle valve and the vacuum booster was severely heat-deformed (see Figure 8-1.4). The heat shield under the engine hood was partially burnt, showing overall signs of heating. The insulation layer (plastic) of the wiring harness near the economizer suffered partial burning from the outer side with signs of heating (see Figure 8-1.2). The hydraulic oil reservoir for the clutch (hard plastic) was deformed due to heating (see Figure 8-1.4). The outlet hose (rubber) of the economizer disconnected from the metal fuel inlet pipe, but this area was not affected by the fire (Figure 8-1.3). A check of the entire vehicle's electrical circuit revealed no short circuits.</w:t>
      </w:r>
    </w:p>
    <w:p w14:paraId="3D59DFDA">
      <w:pPr>
        <w:pStyle w:val="16"/>
        <w:spacing w:before="31" w:after="31"/>
        <w:ind w:firstLine="480"/>
        <w:rPr>
          <w:szCs w:val="24"/>
        </w:rPr>
      </w:pPr>
    </w:p>
    <w:p w14:paraId="75F91D99">
      <w:pPr>
        <w:pStyle w:val="16"/>
        <w:spacing w:before="31" w:after="31"/>
        <w:ind w:firstLine="482"/>
        <w:jc w:val="center"/>
        <w:rPr>
          <w:b/>
          <w:bCs/>
          <w:szCs w:val="24"/>
        </w:rPr>
      </w:pPr>
      <w:r>
        <w:rPr>
          <w:b/>
          <w:bCs/>
          <w:szCs w:val="24"/>
        </w:rPr>
        <w:t>Figure 8-1.1 Open rupture in the middle of the inlet hose</w:t>
      </w:r>
    </w:p>
    <w:p w14:paraId="22DBEF31">
      <w:pPr>
        <w:pStyle w:val="16"/>
        <w:spacing w:before="31" w:after="31"/>
        <w:ind w:firstLine="482"/>
        <w:jc w:val="center"/>
        <w:rPr>
          <w:b/>
          <w:bCs/>
          <w:szCs w:val="24"/>
        </w:rPr>
      </w:pPr>
      <w:r>
        <w:rPr>
          <w:b/>
          <w:bCs/>
          <w:szCs w:val="24"/>
        </w:rPr>
        <w:t>Figure 8-1.2 Insulation burning traces</w:t>
      </w:r>
    </w:p>
    <w:p w14:paraId="55E9434F">
      <w:pPr>
        <w:pStyle w:val="16"/>
        <w:spacing w:before="31" w:after="31"/>
        <w:ind w:firstLine="482"/>
        <w:jc w:val="center"/>
        <w:rPr>
          <w:b/>
          <w:bCs/>
          <w:szCs w:val="24"/>
        </w:rPr>
      </w:pPr>
      <w:r>
        <w:rPr>
          <w:b/>
          <w:bCs/>
          <w:szCs w:val="24"/>
        </w:rPr>
        <w:t>Figure 8-1.3 Disconnection between outlet hose and fuel inlet pipe</w:t>
      </w:r>
    </w:p>
    <w:p w14:paraId="7F2801A7">
      <w:pPr>
        <w:pStyle w:val="16"/>
        <w:spacing w:before="31" w:after="31"/>
        <w:ind w:firstLine="482"/>
        <w:jc w:val="center"/>
        <w:rPr>
          <w:b/>
          <w:bCs/>
          <w:szCs w:val="24"/>
        </w:rPr>
      </w:pPr>
      <w:r>
        <w:rPr>
          <w:b/>
          <w:bCs/>
          <w:szCs w:val="24"/>
        </w:rPr>
        <w:t>Figure 8-1.4 Severely heat-deformed hard plastic vacuum hose</w:t>
      </w:r>
    </w:p>
    <w:p w14:paraId="3CD462BF">
      <w:pPr>
        <w:pStyle w:val="16"/>
        <w:spacing w:before="31" w:after="31"/>
        <w:ind w:firstLine="480"/>
        <w:rPr>
          <w:szCs w:val="24"/>
        </w:rPr>
      </w:pPr>
      <w:r>
        <w:rPr>
          <w:szCs w:val="24"/>
        </w:rPr>
        <w:t>(5) Analysis of Failure Causes</w:t>
      </w:r>
    </w:p>
    <w:p w14:paraId="3ADD15A0">
      <w:pPr>
        <w:pStyle w:val="16"/>
        <w:spacing w:before="31" w:after="31"/>
        <w:ind w:firstLine="480"/>
        <w:rPr>
          <w:szCs w:val="24"/>
        </w:rPr>
      </w:pPr>
      <w:r>
        <w:rPr>
          <w:szCs w:val="24"/>
        </w:rPr>
        <w:t>The vehicle experienced an oil leak from the added fuel economizer system during operation, leading to gasoline leakage and subsequent ignition.</w:t>
      </w:r>
    </w:p>
    <w:p w14:paraId="4E93659A">
      <w:pPr>
        <w:pStyle w:val="16"/>
        <w:spacing w:before="31" w:after="31"/>
        <w:ind w:firstLine="480"/>
        <w:rPr>
          <w:szCs w:val="24"/>
        </w:rPr>
      </w:pPr>
      <w:r>
        <w:rPr>
          <w:szCs w:val="24"/>
        </w:rPr>
        <w:t>(6) Impact and Harm Caused</w:t>
      </w:r>
    </w:p>
    <w:p w14:paraId="07ADB3EB">
      <w:pPr>
        <w:pStyle w:val="16"/>
        <w:spacing w:before="31" w:after="31"/>
        <w:ind w:firstLine="480"/>
        <w:rPr>
          <w:szCs w:val="24"/>
        </w:rPr>
      </w:pPr>
      <w:r>
        <w:rPr>
          <w:szCs w:val="24"/>
        </w:rPr>
        <w:t>The accident resulted in vehicle damage, but there were no injuries to the occupants.</w:t>
      </w:r>
    </w:p>
    <w:p w14:paraId="2DDBF239">
      <w:pPr>
        <w:pStyle w:val="16"/>
        <w:spacing w:before="31" w:after="31"/>
        <w:ind w:firstLine="480"/>
        <w:rPr>
          <w:szCs w:val="24"/>
        </w:rPr>
      </w:pPr>
    </w:p>
    <w:p w14:paraId="69E842DB">
      <w:pPr>
        <w:pStyle w:val="16"/>
        <w:spacing w:before="31" w:after="31"/>
        <w:ind w:firstLine="480"/>
        <w:rPr>
          <w:szCs w:val="24"/>
        </w:rPr>
      </w:pPr>
      <w:r>
        <w:rPr>
          <w:szCs w:val="24"/>
        </w:rPr>
        <w:t>8.2.2 Case 8-2: 5815 Car Steering Arm Axle Fracture</w:t>
      </w:r>
    </w:p>
    <w:p w14:paraId="0E59B6B6">
      <w:pPr>
        <w:pStyle w:val="16"/>
        <w:spacing w:before="31" w:after="31"/>
        <w:ind w:firstLine="480"/>
        <w:rPr>
          <w:szCs w:val="24"/>
        </w:rPr>
      </w:pPr>
      <w:r>
        <w:rPr>
          <w:szCs w:val="24"/>
        </w:rPr>
        <w:t>(1) Case Name</w:t>
      </w:r>
    </w:p>
    <w:p w14:paraId="22C30DDB">
      <w:pPr>
        <w:pStyle w:val="16"/>
        <w:spacing w:before="31" w:after="31"/>
        <w:ind w:firstLine="480"/>
        <w:rPr>
          <w:szCs w:val="24"/>
        </w:rPr>
      </w:pPr>
      <w:r>
        <w:rPr>
          <w:szCs w:val="24"/>
        </w:rPr>
        <w:t>5815 Car Steering Arm Axle Fracture [5]</w:t>
      </w:r>
    </w:p>
    <w:p w14:paraId="2FF744B4">
      <w:pPr>
        <w:pStyle w:val="16"/>
        <w:spacing w:before="31" w:after="31"/>
        <w:ind w:firstLine="480"/>
        <w:rPr>
          <w:szCs w:val="24"/>
        </w:rPr>
      </w:pPr>
      <w:r>
        <w:rPr>
          <w:szCs w:val="24"/>
        </w:rPr>
        <w:t>(2) Description of Failure Process</w:t>
      </w:r>
    </w:p>
    <w:p w14:paraId="3C13856F">
      <w:pPr>
        <w:pStyle w:val="16"/>
        <w:spacing w:before="31" w:after="31"/>
        <w:ind w:firstLine="480"/>
        <w:rPr>
          <w:szCs w:val="24"/>
        </w:rPr>
      </w:pPr>
      <w:r>
        <w:rPr>
          <w:szCs w:val="24"/>
        </w:rPr>
        <w:t>On July 18, 2004, an agricultural vehicle had an accident on the road from Xuanhua Gelapu to Changyukou, resulting in severe damage to the vehicle due to the fracture of the steering arm axle.</w:t>
      </w:r>
    </w:p>
    <w:p w14:paraId="53F2B735">
      <w:pPr>
        <w:pStyle w:val="16"/>
        <w:spacing w:before="31" w:after="31"/>
        <w:ind w:firstLine="480"/>
        <w:rPr>
          <w:szCs w:val="24"/>
        </w:rPr>
      </w:pPr>
      <w:r>
        <w:rPr>
          <w:szCs w:val="24"/>
        </w:rPr>
        <w:t>(3) Service Environment</w:t>
      </w:r>
    </w:p>
    <w:p w14:paraId="216B5BD3">
      <w:pPr>
        <w:pStyle w:val="16"/>
        <w:spacing w:before="31" w:after="31"/>
        <w:ind w:firstLine="480"/>
        <w:rPr>
          <w:szCs w:val="24"/>
        </w:rPr>
      </w:pPr>
      <w:r>
        <w:rPr>
          <w:szCs w:val="24"/>
        </w:rPr>
        <w:t>High-speed driving conditions for automobiles</w:t>
      </w:r>
    </w:p>
    <w:p w14:paraId="2EAE72E3">
      <w:pPr>
        <w:pStyle w:val="16"/>
        <w:spacing w:before="31" w:after="31"/>
        <w:ind w:firstLine="480"/>
        <w:rPr>
          <w:szCs w:val="24"/>
        </w:rPr>
      </w:pPr>
      <w:r>
        <w:rPr>
          <w:szCs w:val="24"/>
        </w:rPr>
        <w:t>(4) Failed Component and Material</w:t>
      </w:r>
    </w:p>
    <w:p w14:paraId="757A4202">
      <w:pPr>
        <w:pStyle w:val="16"/>
        <w:spacing w:before="31" w:after="31"/>
        <w:ind w:firstLine="480"/>
        <w:rPr>
          <w:szCs w:val="24"/>
        </w:rPr>
      </w:pPr>
      <w:r>
        <w:rPr>
          <w:szCs w:val="24"/>
        </w:rPr>
        <w:t>The fractured arm axle is made of 20CrMnTi alloy structural steel. The microstructure consists of tempered martensite, and the chemical composition complies with the national standard GB3077-1999.</w:t>
      </w:r>
    </w:p>
    <w:p w14:paraId="6E4334DE">
      <w:pPr>
        <w:pStyle w:val="16"/>
        <w:spacing w:before="31" w:after="31"/>
        <w:ind w:firstLine="480"/>
        <w:rPr>
          <w:szCs w:val="24"/>
        </w:rPr>
      </w:pPr>
      <w:r>
        <w:rPr>
          <w:szCs w:val="24"/>
        </w:rPr>
        <w:t>(5) Failure Appearance</w:t>
      </w:r>
    </w:p>
    <w:p w14:paraId="23502974">
      <w:pPr>
        <w:pStyle w:val="16"/>
        <w:spacing w:before="31" w:after="31"/>
        <w:ind w:firstLine="480"/>
        <w:rPr>
          <w:szCs w:val="24"/>
        </w:rPr>
      </w:pPr>
      <w:r>
        <w:rPr>
          <w:szCs w:val="24"/>
        </w:rPr>
        <w:t>(a) Macroscopic Appearance</w:t>
      </w:r>
    </w:p>
    <w:p w14:paraId="555303E8">
      <w:pPr>
        <w:pStyle w:val="16"/>
        <w:spacing w:before="31" w:after="31"/>
        <w:ind w:firstLine="480"/>
        <w:rPr>
          <w:szCs w:val="24"/>
        </w:rPr>
      </w:pPr>
      <w:r>
        <w:rPr>
          <w:szCs w:val="24"/>
        </w:rPr>
        <w:t>Visual inspection revealed significant distortion near the spline teeth adjacent to the fracture of the arm axle. There were clear signs of impact and deformation on the small end side of the arm that mates with the fractured arm axle. The fracture occurred on the side surface of the large end of the arm (non-nut tightening side), as shown in Figure 8-2.1. The adjacent area to the fracture exhibited obvious distortion of the spline teeth (Figure 8-2.2), and the arm that mates with the fractured axle showed evident plastic deformation (Figure 8-2.3, Figure 8-2.4). Figure 8-2.4 is a photograph of the two arm large ends simultaneously clamped in the same plane by a vise. There were clear impact deformation traces on one side of the small end cylindrical surface of the arm that mates with the fractured arm axle (Figure 8-2.5). Figure 8-2.6 shows the macroscopic appearance of the fracture. It can be observed that the fracture surface is smooth, and the fracture plane is essentially perpendicular to the axis of the arm axle. There are radial stripes on the fracture surface, with the center of the radial stripes biased towards one side, and the central area exhibits fibrous fracture. Metallographic examination revealed that the radial stripes on the fracture surface exhibited shear slip characteristics.</w:t>
      </w:r>
    </w:p>
    <w:p w14:paraId="6CC9C108">
      <w:pPr>
        <w:pStyle w:val="16"/>
        <w:spacing w:before="31" w:after="31"/>
        <w:ind w:firstLine="480"/>
        <w:rPr>
          <w:szCs w:val="24"/>
        </w:rPr>
      </w:pPr>
      <w:r>
        <w:rPr>
          <w:szCs w:val="24"/>
        </w:rPr>
        <w:t>(b) Microscopic Appearance</w:t>
      </w:r>
    </w:p>
    <w:p w14:paraId="12FF4360">
      <w:pPr>
        <w:pStyle w:val="16"/>
        <w:spacing w:before="31" w:after="31"/>
        <w:ind w:firstLine="480"/>
        <w:rPr>
          <w:szCs w:val="24"/>
        </w:rPr>
      </w:pPr>
      <w:r>
        <w:rPr>
          <w:szCs w:val="24"/>
        </w:rPr>
        <w:t>Microscopic observations showed that the fracture in the central fibrous area of the radial stripes had typical equiaxed dimple fracture characteristics, and the microscopic appearance of the radial stripes on the fracture surface was elongated dimples. Positions 1 to 3 in Figure 8-2.7 all exhibited elongated dimple features on the fracture surface (Figure 8-2.8), with the elongation direction of the dimples varying at these three locations but consistent with the direction of torsional shear during fracture.</w:t>
      </w:r>
    </w:p>
    <w:p w14:paraId="65C869E7">
      <w:pPr>
        <w:pStyle w:val="16"/>
        <w:spacing w:before="31" w:after="31"/>
        <w:ind w:firstLine="480"/>
        <w:rPr>
          <w:szCs w:val="24"/>
        </w:rPr>
      </w:pPr>
      <w:r>
        <w:rPr>
          <w:szCs w:val="24"/>
        </w:rPr>
        <w:t>The comprehensive analysis of the failure appearance indicates that the fracture of the arm axle is smooth, and the fracture plane is essentially perpendicular to the axis of the arm axle. The fracture surface exhibits characteristics of torsional shear fracture, with the microscopic appearance showing elongated dimples due to shear, and the fibrous area towards one side exhibits typical equiaxed dimple features. The analysis suggests that the fracture nature of the arm axle belongs to pure shear fracture (torsional shear fracture) under the action of torsional shear stress.</w:t>
      </w:r>
    </w:p>
    <w:p w14:paraId="406CD391">
      <w:pPr>
        <w:pStyle w:val="16"/>
        <w:spacing w:before="31" w:after="31"/>
        <w:ind w:firstLine="482"/>
        <w:jc w:val="center"/>
        <w:rPr>
          <w:b/>
          <w:bCs/>
          <w:szCs w:val="24"/>
        </w:rPr>
      </w:pPr>
    </w:p>
    <w:p w14:paraId="5637AE99">
      <w:pPr>
        <w:pStyle w:val="16"/>
        <w:spacing w:before="31" w:after="31"/>
        <w:ind w:firstLine="482"/>
        <w:jc w:val="center"/>
        <w:rPr>
          <w:b/>
          <w:bCs/>
          <w:szCs w:val="24"/>
        </w:rPr>
      </w:pPr>
      <w:r>
        <w:rPr>
          <w:b/>
          <w:bCs/>
          <w:szCs w:val="24"/>
        </w:rPr>
        <w:t>Figure 8-2.1 Schematic diagram of the fracture location of the arm axle</w:t>
      </w:r>
    </w:p>
    <w:p w14:paraId="29FD4508">
      <w:pPr>
        <w:pStyle w:val="16"/>
        <w:spacing w:before="31" w:after="31"/>
        <w:ind w:firstLine="482"/>
        <w:jc w:val="center"/>
        <w:rPr>
          <w:b/>
          <w:bCs/>
          <w:szCs w:val="24"/>
        </w:rPr>
      </w:pPr>
      <w:r>
        <w:rPr>
          <w:b/>
          <w:bCs/>
          <w:szCs w:val="24"/>
        </w:rPr>
        <w:t>Figure 8-2.2 Macroscopic appearance of the spline teeth adjacent to the fracture</w:t>
      </w:r>
    </w:p>
    <w:p w14:paraId="722F54CA">
      <w:pPr>
        <w:pStyle w:val="16"/>
        <w:spacing w:before="31" w:after="31"/>
        <w:ind w:firstLine="482"/>
        <w:jc w:val="center"/>
        <w:rPr>
          <w:b/>
          <w:bCs/>
          <w:szCs w:val="24"/>
        </w:rPr>
      </w:pPr>
      <w:r>
        <w:rPr>
          <w:b/>
          <w:bCs/>
          <w:szCs w:val="24"/>
        </w:rPr>
        <w:t>Figure 8-2.3 Normal arm and deformed arm (right)</w:t>
      </w:r>
    </w:p>
    <w:p w14:paraId="730343A0">
      <w:pPr>
        <w:pStyle w:val="16"/>
        <w:spacing w:before="31" w:after="31"/>
        <w:ind w:firstLine="482"/>
        <w:jc w:val="center"/>
        <w:rPr>
          <w:b/>
          <w:bCs/>
          <w:szCs w:val="24"/>
        </w:rPr>
      </w:pPr>
      <w:r>
        <w:rPr>
          <w:b/>
          <w:bCs/>
          <w:szCs w:val="24"/>
        </w:rPr>
        <w:t>Figure 8-2.4 Normal arm and fractured arm (below)</w:t>
      </w:r>
    </w:p>
    <w:p w14:paraId="79C14B36">
      <w:pPr>
        <w:pStyle w:val="16"/>
        <w:spacing w:before="31" w:after="31"/>
        <w:ind w:firstLine="482"/>
        <w:jc w:val="center"/>
        <w:rPr>
          <w:b/>
          <w:bCs/>
          <w:szCs w:val="24"/>
        </w:rPr>
      </w:pPr>
      <w:r>
        <w:rPr>
          <w:b/>
          <w:bCs/>
          <w:szCs w:val="24"/>
        </w:rPr>
        <w:t>Figure 8-2.5 Impact traces on the small end side of the arm that mates with the fractured arm axle</w:t>
      </w:r>
    </w:p>
    <w:p w14:paraId="64977811">
      <w:pPr>
        <w:pStyle w:val="16"/>
        <w:spacing w:before="31" w:after="31"/>
        <w:ind w:firstLine="482"/>
        <w:jc w:val="center"/>
        <w:rPr>
          <w:b/>
          <w:bCs/>
          <w:szCs w:val="24"/>
        </w:rPr>
      </w:pPr>
      <w:r>
        <w:rPr>
          <w:b/>
          <w:bCs/>
          <w:szCs w:val="24"/>
        </w:rPr>
        <w:t>Figure 8-2.6 Macroscopic appearance of the arm fracture</w:t>
      </w:r>
    </w:p>
    <w:p w14:paraId="16F70F33">
      <w:pPr>
        <w:pStyle w:val="16"/>
        <w:spacing w:before="31" w:after="31"/>
        <w:ind w:firstLine="482"/>
        <w:jc w:val="center"/>
        <w:rPr>
          <w:b/>
          <w:bCs/>
          <w:szCs w:val="24"/>
        </w:rPr>
      </w:pPr>
      <w:r>
        <w:rPr>
          <w:b/>
          <w:bCs/>
          <w:szCs w:val="24"/>
        </w:rPr>
        <w:t>Figure 8-2.7 Schematic diagram of microscopic observation positions on the arm axle fracture</w:t>
      </w:r>
    </w:p>
    <w:p w14:paraId="1F0ED5A5">
      <w:pPr>
        <w:pStyle w:val="16"/>
        <w:spacing w:before="31" w:after="31"/>
        <w:ind w:firstLine="482"/>
        <w:jc w:val="center"/>
        <w:rPr>
          <w:b/>
          <w:bCs/>
          <w:szCs w:val="24"/>
        </w:rPr>
      </w:pPr>
      <w:r>
        <w:rPr>
          <w:b/>
          <w:bCs/>
          <w:szCs w:val="24"/>
        </w:rPr>
        <w:t>Figure 8-2.8 Microscopic appearance at position 2 as shown in Figure 8-2.7</w:t>
      </w:r>
    </w:p>
    <w:p w14:paraId="1726E4AC">
      <w:pPr>
        <w:pStyle w:val="16"/>
        <w:spacing w:before="31" w:after="31"/>
        <w:ind w:firstLine="480"/>
        <w:rPr>
          <w:szCs w:val="24"/>
        </w:rPr>
      </w:pPr>
      <w:r>
        <w:rPr>
          <w:szCs w:val="24"/>
        </w:rPr>
        <w:t>(6) Analysis of Failure Causes</w:t>
      </w:r>
    </w:p>
    <w:p w14:paraId="4A1F6A22">
      <w:pPr>
        <w:pStyle w:val="16"/>
        <w:spacing w:before="31" w:after="31"/>
        <w:ind w:firstLine="480"/>
        <w:rPr>
          <w:szCs w:val="24"/>
        </w:rPr>
      </w:pPr>
      <w:r>
        <w:rPr>
          <w:szCs w:val="24"/>
        </w:rPr>
        <w:t>During high-speed driving, the small end of the arm received a violent impact. At the side surface of the large end of the arm (non-nut tightening side), the arm axle experienced significant torsional stress, leading to torsional shear fracture of the arm axle.</w:t>
      </w:r>
    </w:p>
    <w:p w14:paraId="3237776A">
      <w:pPr>
        <w:pStyle w:val="16"/>
        <w:spacing w:before="31" w:after="31"/>
        <w:ind w:firstLine="480"/>
        <w:rPr>
          <w:szCs w:val="24"/>
        </w:rPr>
      </w:pPr>
      <w:r>
        <w:rPr>
          <w:szCs w:val="24"/>
        </w:rPr>
        <w:t>(7) Impact and Harm Caused</w:t>
      </w:r>
    </w:p>
    <w:p w14:paraId="14ECE7EA">
      <w:pPr>
        <w:pStyle w:val="16"/>
        <w:spacing w:before="31" w:after="31"/>
        <w:ind w:firstLine="480"/>
        <w:rPr>
          <w:szCs w:val="24"/>
        </w:rPr>
      </w:pPr>
      <w:r>
        <w:rPr>
          <w:szCs w:val="24"/>
        </w:rPr>
        <w:t>The vehicle could not operate normally, resulting in a traffic accident with severe damage to the vehicle.</w:t>
      </w:r>
    </w:p>
    <w:p w14:paraId="5F89BDA5">
      <w:pPr>
        <w:pStyle w:val="16"/>
        <w:spacing w:before="31" w:after="31"/>
        <w:ind w:firstLine="480"/>
        <w:rPr>
          <w:szCs w:val="24"/>
        </w:rPr>
      </w:pPr>
      <w:r>
        <w:rPr>
          <w:szCs w:val="24"/>
        </w:rPr>
        <w:t>(8) Conclusion and Improvement Measures</w:t>
      </w:r>
    </w:p>
    <w:p w14:paraId="423D4147">
      <w:pPr>
        <w:pStyle w:val="16"/>
        <w:spacing w:before="31" w:after="31"/>
        <w:ind w:firstLine="480"/>
        <w:rPr>
          <w:szCs w:val="24"/>
        </w:rPr>
      </w:pPr>
      <w:r>
        <w:rPr>
          <w:szCs w:val="24"/>
        </w:rPr>
        <w:t>The fracture of the steering arm axle in the 5815 car is a pure shear fracture (torsional shear fracture) occurring under the action of torsional shear stress.</w:t>
      </w:r>
    </w:p>
    <w:p w14:paraId="42FE0E92">
      <w:pPr>
        <w:pStyle w:val="16"/>
        <w:spacing w:before="31" w:after="31"/>
        <w:ind w:firstLine="480"/>
        <w:rPr>
          <w:szCs w:val="24"/>
        </w:rPr>
      </w:pPr>
      <w:r>
        <w:rPr>
          <w:szCs w:val="24"/>
        </w:rPr>
        <w:t>The fundamental reason for the fracture of the steering arm axle</w:t>
      </w:r>
    </w:p>
    <w:p w14:paraId="2781BF59">
      <w:pPr>
        <w:pStyle w:val="16"/>
        <w:spacing w:before="31" w:after="31"/>
        <w:ind w:firstLine="480"/>
        <w:rPr>
          <w:szCs w:val="24"/>
        </w:rPr>
      </w:pPr>
    </w:p>
    <w:p w14:paraId="3B4CD185">
      <w:pPr>
        <w:pStyle w:val="16"/>
        <w:spacing w:before="31" w:after="31"/>
        <w:ind w:firstLine="0" w:firstLineChars="0"/>
        <w:rPr>
          <w:szCs w:val="24"/>
        </w:rPr>
      </w:pPr>
      <w:r>
        <w:rPr>
          <w:szCs w:val="24"/>
        </w:rPr>
        <w:t xml:space="preserve"> is that the small end of the steering arm experienced a violent impact, causing significant torsional stress on the large end side of the arm axle (non-nut tightening side). This is the root cause of the torsional shear fracture of the arm axle.</w:t>
      </w:r>
    </w:p>
    <w:p w14:paraId="3DC24471">
      <w:pPr>
        <w:pStyle w:val="16"/>
        <w:spacing w:before="31" w:after="31"/>
        <w:ind w:firstLine="0" w:firstLineChars="0"/>
        <w:rPr>
          <w:b/>
          <w:bCs/>
          <w:szCs w:val="24"/>
        </w:rPr>
      </w:pPr>
      <w:r>
        <w:rPr>
          <w:b/>
          <w:bCs/>
          <w:szCs w:val="24"/>
        </w:rPr>
        <w:t>8.2.3 Case 8-3: Traffic Accident of Jiefang Medium-sized Truck</w:t>
      </w:r>
    </w:p>
    <w:p w14:paraId="60C87864">
      <w:pPr>
        <w:pStyle w:val="16"/>
        <w:spacing w:before="31" w:after="31"/>
        <w:ind w:firstLine="480"/>
        <w:rPr>
          <w:szCs w:val="24"/>
        </w:rPr>
      </w:pPr>
      <w:r>
        <w:rPr>
          <w:szCs w:val="24"/>
        </w:rPr>
        <w:t>(1) Case Name</w:t>
      </w:r>
    </w:p>
    <w:p w14:paraId="05BF9043">
      <w:pPr>
        <w:pStyle w:val="16"/>
        <w:spacing w:before="31" w:after="31"/>
        <w:ind w:firstLine="480"/>
        <w:rPr>
          <w:szCs w:val="24"/>
        </w:rPr>
      </w:pPr>
      <w:r>
        <w:rPr>
          <w:szCs w:val="24"/>
        </w:rPr>
        <w:t>Traffic Accident of Jiefang Medium-sized Truck [6]</w:t>
      </w:r>
    </w:p>
    <w:p w14:paraId="210E1E74">
      <w:pPr>
        <w:pStyle w:val="16"/>
        <w:spacing w:before="31" w:after="31"/>
        <w:ind w:firstLine="480"/>
        <w:rPr>
          <w:szCs w:val="24"/>
        </w:rPr>
      </w:pPr>
      <w:r>
        <w:rPr>
          <w:szCs w:val="24"/>
        </w:rPr>
        <w:t>(2) Description of Failure Process</w:t>
      </w:r>
    </w:p>
    <w:p w14:paraId="35B2FFE3">
      <w:pPr>
        <w:pStyle w:val="16"/>
        <w:spacing w:before="31" w:after="31"/>
        <w:ind w:firstLine="480"/>
        <w:rPr>
          <w:szCs w:val="24"/>
        </w:rPr>
      </w:pPr>
      <w:r>
        <w:rPr>
          <w:szCs w:val="24"/>
        </w:rPr>
        <w:t>On June 28, 2008, a Jiefang medium-sized truck, traveling from Yan'an to Yongping on the S205 road, overturned to the left at the K83+600m location (right turn), causing injury to one person, damage to the vehicle and cargo. The front axle of the vehicle detached during the accident.</w:t>
      </w:r>
    </w:p>
    <w:p w14:paraId="2F0F86B3">
      <w:pPr>
        <w:pStyle w:val="16"/>
        <w:spacing w:before="31" w:after="31"/>
        <w:ind w:firstLine="480"/>
        <w:rPr>
          <w:szCs w:val="24"/>
        </w:rPr>
      </w:pPr>
      <w:r>
        <w:rPr>
          <w:szCs w:val="24"/>
        </w:rPr>
        <w:t>(3) Component Service Environment</w:t>
      </w:r>
    </w:p>
    <w:p w14:paraId="01AF55B3">
      <w:pPr>
        <w:pStyle w:val="16"/>
        <w:spacing w:before="31" w:after="31"/>
        <w:ind w:firstLine="480"/>
        <w:rPr>
          <w:szCs w:val="24"/>
        </w:rPr>
      </w:pPr>
      <w:r>
        <w:rPr>
          <w:szCs w:val="24"/>
        </w:rPr>
        <w:t>Service environment: Overcast conditions, dry asphalt road surface, vehicle in operation.</w:t>
      </w:r>
    </w:p>
    <w:p w14:paraId="3E77713F">
      <w:pPr>
        <w:pStyle w:val="16"/>
        <w:spacing w:before="31" w:after="31"/>
        <w:ind w:firstLine="480"/>
        <w:rPr>
          <w:szCs w:val="24"/>
        </w:rPr>
      </w:pPr>
      <w:r>
        <w:rPr>
          <w:szCs w:val="24"/>
        </w:rPr>
        <w:t>(4) Failed Component and Material</w:t>
      </w:r>
    </w:p>
    <w:p w14:paraId="074040BB">
      <w:pPr>
        <w:pStyle w:val="16"/>
        <w:spacing w:before="31" w:after="31"/>
        <w:ind w:firstLine="480"/>
        <w:rPr>
          <w:szCs w:val="24"/>
        </w:rPr>
      </w:pPr>
      <w:r>
        <w:rPr>
          <w:szCs w:val="24"/>
        </w:rPr>
        <w:t>Left front suspension shackle bracket, component material is cast iron.</w:t>
      </w:r>
    </w:p>
    <w:p w14:paraId="46FFEAF3">
      <w:pPr>
        <w:pStyle w:val="16"/>
        <w:spacing w:before="31" w:after="31"/>
        <w:ind w:firstLine="480"/>
        <w:rPr>
          <w:szCs w:val="24"/>
        </w:rPr>
      </w:pPr>
      <w:r>
        <w:rPr>
          <w:szCs w:val="24"/>
        </w:rPr>
        <w:t>(5) Failure Appearance</w:t>
      </w:r>
    </w:p>
    <w:p w14:paraId="62E53BC6">
      <w:pPr>
        <w:pStyle w:val="16"/>
        <w:spacing w:before="31" w:after="31"/>
        <w:ind w:firstLine="480"/>
        <w:rPr>
          <w:szCs w:val="24"/>
        </w:rPr>
      </w:pPr>
      <w:r>
        <w:rPr>
          <w:szCs w:val="24"/>
        </w:rPr>
        <w:t>The left front suspension (steel plate) rear shackle bracket of the vehicle has fractured, with a total length of about 13.5cm. The fresh fracture accounts for approximately 1/2, and the rest are intermittent old fractures with obvious rust spots (see Figure 8-3.1).</w:t>
      </w:r>
    </w:p>
    <w:p w14:paraId="0F33106C">
      <w:pPr>
        <w:pStyle w:val="16"/>
        <w:spacing w:before="31" w:after="31"/>
        <w:ind w:firstLine="480"/>
        <w:rPr>
          <w:szCs w:val="24"/>
        </w:rPr>
      </w:pPr>
    </w:p>
    <w:p w14:paraId="4F05CE34">
      <w:pPr>
        <w:pStyle w:val="16"/>
        <w:spacing w:before="31" w:after="31"/>
        <w:ind w:firstLine="482"/>
        <w:jc w:val="center"/>
        <w:rPr>
          <w:b/>
          <w:bCs/>
          <w:szCs w:val="24"/>
        </w:rPr>
      </w:pPr>
      <w:r>
        <w:rPr>
          <w:b/>
          <w:bCs/>
          <w:szCs w:val="24"/>
        </w:rPr>
        <w:t>Figure 8-3.1 Failure component appearance</w:t>
      </w:r>
    </w:p>
    <w:p w14:paraId="2CC48645">
      <w:pPr>
        <w:pStyle w:val="16"/>
        <w:spacing w:before="31" w:after="31"/>
        <w:ind w:firstLine="480"/>
        <w:rPr>
          <w:szCs w:val="24"/>
        </w:rPr>
      </w:pPr>
      <w:r>
        <w:rPr>
          <w:szCs w:val="24"/>
        </w:rPr>
        <w:t>(6) Analysis of Failure Causes</w:t>
      </w:r>
    </w:p>
    <w:p w14:paraId="0A5FD5B1">
      <w:pPr>
        <w:pStyle w:val="16"/>
        <w:spacing w:before="31" w:after="31"/>
        <w:ind w:firstLine="480"/>
        <w:rPr>
          <w:szCs w:val="24"/>
        </w:rPr>
      </w:pPr>
      <w:r>
        <w:rPr>
          <w:szCs w:val="24"/>
        </w:rPr>
        <w:t>Upon analysis, it was found that the left front suspension shackle bracket of the vehicle had a serious manufacturing defect (crack) before the accident. During downhill right turn driving, the shackle bracket suddenly disconnected, causing the vehicle to lose stability and leading to the occurrence of this accident.</w:t>
      </w:r>
    </w:p>
    <w:p w14:paraId="1995ABDD">
      <w:pPr>
        <w:pStyle w:val="16"/>
        <w:spacing w:before="31" w:after="31"/>
        <w:ind w:firstLine="480"/>
        <w:rPr>
          <w:szCs w:val="24"/>
        </w:rPr>
      </w:pPr>
      <w:r>
        <w:rPr>
          <w:szCs w:val="24"/>
        </w:rPr>
        <w:t>(7) Impact and Harm Caused</w:t>
      </w:r>
    </w:p>
    <w:p w14:paraId="1DEEF87B">
      <w:pPr>
        <w:pStyle w:val="16"/>
        <w:spacing w:before="31" w:after="31"/>
        <w:ind w:firstLine="480"/>
        <w:rPr>
          <w:szCs w:val="24"/>
        </w:rPr>
      </w:pPr>
      <w:r>
        <w:rPr>
          <w:szCs w:val="24"/>
        </w:rPr>
        <w:t>The accident resulted in vehicle damage and injuries to individuals.</w:t>
      </w:r>
    </w:p>
    <w:p w14:paraId="73BF4D30">
      <w:pPr>
        <w:pStyle w:val="16"/>
        <w:spacing w:before="31" w:after="31"/>
        <w:ind w:firstLine="480"/>
        <w:rPr>
          <w:szCs w:val="24"/>
        </w:rPr>
      </w:pPr>
      <w:r>
        <w:rPr>
          <w:szCs w:val="24"/>
        </w:rPr>
        <w:t>(8) Conclusion and Improvement Measures</w:t>
      </w:r>
    </w:p>
    <w:p w14:paraId="0D0127B9">
      <w:pPr>
        <w:pStyle w:val="16"/>
        <w:spacing w:before="31" w:after="31"/>
        <w:ind w:firstLine="480"/>
        <w:rPr>
          <w:szCs w:val="24"/>
        </w:rPr>
      </w:pPr>
      <w:r>
        <w:rPr>
          <w:szCs w:val="24"/>
        </w:rPr>
        <w:t>Based on the inspection results, combined with on-site investigation and the description provided by the parties involved, it was determined that the left front suspension shackle bracket of the vehicle had already fractured approximately half before the accident. During downhill right turn driving, the shackle bracket suddenly disconnected, causing the vehicle to lose stability.</w:t>
      </w:r>
    </w:p>
    <w:p w14:paraId="005D8C4C">
      <w:pPr>
        <w:pStyle w:val="16"/>
        <w:spacing w:before="31" w:after="31"/>
        <w:ind w:firstLine="480"/>
        <w:rPr>
          <w:szCs w:val="24"/>
        </w:rPr>
      </w:pPr>
    </w:p>
    <w:p w14:paraId="1FDBF9E8">
      <w:pPr>
        <w:pStyle w:val="16"/>
        <w:spacing w:before="31" w:after="31"/>
        <w:ind w:firstLine="480"/>
        <w:rPr>
          <w:szCs w:val="24"/>
        </w:rPr>
      </w:pPr>
      <w:r>
        <w:rPr>
          <w:szCs w:val="24"/>
        </w:rPr>
        <w:t>8.2.4 Case 8-4: Lateral Fracture of a Steel Rail on a Certain Bridge</w:t>
      </w:r>
    </w:p>
    <w:p w14:paraId="550EF8E5">
      <w:pPr>
        <w:pStyle w:val="16"/>
        <w:spacing w:before="31" w:after="31"/>
        <w:ind w:firstLine="480"/>
        <w:rPr>
          <w:szCs w:val="24"/>
        </w:rPr>
      </w:pPr>
      <w:r>
        <w:rPr>
          <w:szCs w:val="24"/>
        </w:rPr>
        <w:t>(1) Case Name</w:t>
      </w:r>
    </w:p>
    <w:p w14:paraId="3A6F5996">
      <w:pPr>
        <w:pStyle w:val="16"/>
        <w:spacing w:before="31" w:after="31"/>
        <w:ind w:firstLine="480"/>
        <w:rPr>
          <w:szCs w:val="24"/>
        </w:rPr>
      </w:pPr>
      <w:r>
        <w:rPr>
          <w:szCs w:val="24"/>
        </w:rPr>
        <w:t>Lateral Fracture of a Steel Rail on a Certain Bridge [7]</w:t>
      </w:r>
    </w:p>
    <w:p w14:paraId="5CCC94A6">
      <w:pPr>
        <w:pStyle w:val="16"/>
        <w:spacing w:before="31" w:after="31"/>
        <w:ind w:firstLine="480"/>
        <w:rPr>
          <w:szCs w:val="24"/>
        </w:rPr>
      </w:pPr>
      <w:r>
        <w:rPr>
          <w:szCs w:val="24"/>
        </w:rPr>
        <w:t>(2) Description of Failure Process</w:t>
      </w:r>
    </w:p>
    <w:p w14:paraId="2F6F973F">
      <w:pPr>
        <w:pStyle w:val="16"/>
        <w:spacing w:before="31" w:after="31"/>
        <w:ind w:firstLine="480"/>
        <w:rPr>
          <w:szCs w:val="24"/>
        </w:rPr>
      </w:pPr>
      <w:r>
        <w:rPr>
          <w:szCs w:val="24"/>
        </w:rPr>
        <w:t>A PD3 60kg/m steel rail laid on a certain bridge experienced lateral fracture. The steel rail had been in use for nearly 7 years since 1996, with a total weight passing through it of 630Mt, which did not reach the current U71Mn steel rail fatigue limit of 700Mt.</w:t>
      </w:r>
    </w:p>
    <w:p w14:paraId="670A17C9">
      <w:pPr>
        <w:pStyle w:val="16"/>
        <w:spacing w:before="31" w:after="31"/>
        <w:ind w:firstLine="480"/>
        <w:rPr>
          <w:szCs w:val="24"/>
        </w:rPr>
      </w:pPr>
      <w:r>
        <w:rPr>
          <w:szCs w:val="24"/>
        </w:rPr>
        <w:t>(3) Component Service Environment</w:t>
      </w:r>
    </w:p>
    <w:p w14:paraId="093F7A4D">
      <w:pPr>
        <w:pStyle w:val="16"/>
        <w:spacing w:before="31" w:after="31"/>
        <w:ind w:firstLine="480"/>
        <w:rPr>
          <w:szCs w:val="24"/>
        </w:rPr>
      </w:pPr>
      <w:r>
        <w:rPr>
          <w:szCs w:val="24"/>
        </w:rPr>
        <w:t>Humid environment</w:t>
      </w:r>
    </w:p>
    <w:p w14:paraId="63438E3F">
      <w:pPr>
        <w:pStyle w:val="16"/>
        <w:spacing w:before="31" w:after="31"/>
        <w:ind w:firstLine="480"/>
        <w:rPr>
          <w:szCs w:val="24"/>
        </w:rPr>
      </w:pPr>
      <w:r>
        <w:rPr>
          <w:szCs w:val="24"/>
        </w:rPr>
        <w:t>(4) Failed Component and Material</w:t>
      </w:r>
    </w:p>
    <w:p w14:paraId="31B50285">
      <w:pPr>
        <w:pStyle w:val="16"/>
        <w:spacing w:before="31" w:after="31"/>
        <w:ind w:firstLine="480"/>
        <w:rPr>
          <w:szCs w:val="24"/>
        </w:rPr>
      </w:pPr>
      <w:r>
        <w:rPr>
          <w:szCs w:val="24"/>
        </w:rPr>
        <w:t>Bridge steel rail</w:t>
      </w:r>
    </w:p>
    <w:p w14:paraId="082E76EB">
      <w:pPr>
        <w:pStyle w:val="16"/>
        <w:spacing w:before="31" w:after="31"/>
        <w:ind w:firstLine="480"/>
        <w:rPr>
          <w:szCs w:val="24"/>
        </w:rPr>
      </w:pPr>
      <w:r>
        <w:rPr>
          <w:szCs w:val="24"/>
        </w:rPr>
        <w:t>(5) Failure Appearance</w:t>
      </w:r>
    </w:p>
    <w:p w14:paraId="7994DD99">
      <w:pPr>
        <w:pStyle w:val="16"/>
        <w:spacing w:before="31" w:after="31"/>
        <w:ind w:firstLine="480"/>
        <w:rPr>
          <w:szCs w:val="24"/>
        </w:rPr>
      </w:pPr>
      <w:r>
        <w:rPr>
          <w:szCs w:val="24"/>
        </w:rPr>
        <w:t>Observing the rail fracture, there is a half-circle-shaped fatigue fracture feature in the middle of the rail bottom of the lateral fracture, measuring 7mm high and 14mm wide. The fracture surface is relatively smooth, with obvious fatigue fracture features. The crack originated from a small pit in the middle of the rail bottom where there is a slight depression. The crack initiated at the pit and exhibited slow fatigue expansion, followed by rapid expansion, resulting in three distinct areas: the fatigue crack source area (bottom of the pit), the fatigue crack fracture area (relatively smooth fracture), and the rapid fracture area (tearing-like fracture). The corrosion and oxidation in the pit area were severe, with the rail bottom showing the most significant oxidation. Chemical composition analysis near the fracture showed that the material met the technical standards for PD3 steel rail as per the agreement between Pangang Group and the Ministry of Railways (see Table 8-2).</w:t>
      </w:r>
    </w:p>
    <w:p w14:paraId="5F063AAE">
      <w:pPr>
        <w:pStyle w:val="16"/>
        <w:spacing w:before="31" w:after="31"/>
        <w:ind w:firstLine="480"/>
        <w:rPr>
          <w:szCs w:val="24"/>
        </w:rPr>
      </w:pPr>
    </w:p>
    <w:p w14:paraId="7BCC420D">
      <w:pPr>
        <w:pStyle w:val="16"/>
        <w:spacing w:before="31" w:after="31"/>
        <w:ind w:firstLine="482"/>
        <w:jc w:val="center"/>
        <w:rPr>
          <w:b/>
          <w:bCs/>
          <w:szCs w:val="24"/>
        </w:rPr>
      </w:pPr>
      <w:r>
        <w:rPr>
          <w:b/>
          <w:bCs/>
          <w:szCs w:val="24"/>
        </w:rPr>
        <w:t>Figure 8-4.1 Rail fracture appearance</w:t>
      </w:r>
    </w:p>
    <w:p w14:paraId="3B6F57E0">
      <w:pPr>
        <w:pStyle w:val="16"/>
        <w:spacing w:before="31" w:after="31"/>
        <w:ind w:firstLine="482"/>
        <w:jc w:val="center"/>
        <w:rPr>
          <w:b/>
          <w:bCs/>
          <w:szCs w:val="24"/>
        </w:rPr>
      </w:pPr>
      <w:r>
        <w:rPr>
          <w:b/>
          <w:bCs/>
          <w:szCs w:val="24"/>
        </w:rPr>
        <w:t>Figure 8-4.2 Crack source area fracture appearance</w:t>
      </w:r>
    </w:p>
    <w:p w14:paraId="49ECEED3">
      <w:pPr>
        <w:pStyle w:val="16"/>
        <w:spacing w:before="31" w:after="31"/>
        <w:ind w:firstLine="482"/>
        <w:jc w:val="center"/>
        <w:rPr>
          <w:b/>
          <w:bCs/>
          <w:szCs w:val="24"/>
        </w:rPr>
      </w:pPr>
      <w:r>
        <w:rPr>
          <w:b/>
          <w:bCs/>
          <w:szCs w:val="24"/>
        </w:rPr>
        <w:t>Figure 8-4.3 Fatigue crack source area from the pit</w:t>
      </w:r>
    </w:p>
    <w:p w14:paraId="2609F730">
      <w:pPr>
        <w:pStyle w:val="16"/>
        <w:spacing w:before="31" w:after="31"/>
        <w:ind w:firstLine="482"/>
        <w:jc w:val="center"/>
        <w:rPr>
          <w:b/>
          <w:bCs/>
          <w:szCs w:val="24"/>
        </w:rPr>
      </w:pPr>
      <w:r>
        <w:rPr>
          <w:b/>
          <w:bCs/>
          <w:szCs w:val="24"/>
        </w:rPr>
        <w:t>Figure 8-4.4 Micro-area composition analysis locations</w:t>
      </w:r>
    </w:p>
    <w:p w14:paraId="675CB797">
      <w:pPr>
        <w:pStyle w:val="16"/>
        <w:spacing w:before="31" w:after="31"/>
        <w:ind w:firstLine="482"/>
        <w:jc w:val="center"/>
        <w:rPr>
          <w:b/>
          <w:bCs/>
          <w:szCs w:val="24"/>
        </w:rPr>
      </w:pPr>
      <w:r>
        <w:rPr>
          <w:b/>
          <w:bCs/>
          <w:szCs w:val="24"/>
        </w:rPr>
        <w:t>Table 8-2 Chemical composition analysis results of the steel rail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71B3F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2FF8C0D5">
            <w:pPr>
              <w:pStyle w:val="16"/>
              <w:spacing w:before="31" w:after="31"/>
              <w:ind w:firstLine="0" w:firstLineChars="0"/>
              <w:rPr>
                <w:szCs w:val="24"/>
              </w:rPr>
            </w:pPr>
            <w:r>
              <w:rPr>
                <w:szCs w:val="24"/>
              </w:rPr>
              <w:t>Category</w:t>
            </w:r>
          </w:p>
        </w:tc>
        <w:tc>
          <w:tcPr>
            <w:tcW w:w="1217" w:type="dxa"/>
          </w:tcPr>
          <w:p w14:paraId="750A79AD">
            <w:pPr>
              <w:pStyle w:val="16"/>
              <w:spacing w:before="31" w:after="31"/>
              <w:ind w:firstLine="0" w:firstLineChars="0"/>
              <w:rPr>
                <w:szCs w:val="24"/>
              </w:rPr>
            </w:pPr>
            <w:r>
              <w:rPr>
                <w:szCs w:val="24"/>
              </w:rPr>
              <w:t>C</w:t>
            </w:r>
          </w:p>
        </w:tc>
        <w:tc>
          <w:tcPr>
            <w:tcW w:w="1217" w:type="dxa"/>
          </w:tcPr>
          <w:p w14:paraId="2DEADAEF">
            <w:pPr>
              <w:pStyle w:val="16"/>
              <w:spacing w:before="31" w:after="31"/>
              <w:ind w:firstLine="0" w:firstLineChars="0"/>
              <w:rPr>
                <w:szCs w:val="24"/>
              </w:rPr>
            </w:pPr>
            <w:r>
              <w:rPr>
                <w:szCs w:val="24"/>
              </w:rPr>
              <w:t>Si</w:t>
            </w:r>
          </w:p>
        </w:tc>
        <w:tc>
          <w:tcPr>
            <w:tcW w:w="1217" w:type="dxa"/>
          </w:tcPr>
          <w:p w14:paraId="25DDCAAF">
            <w:pPr>
              <w:pStyle w:val="16"/>
              <w:spacing w:before="31" w:after="31"/>
              <w:ind w:firstLine="0" w:firstLineChars="0"/>
              <w:rPr>
                <w:szCs w:val="24"/>
              </w:rPr>
            </w:pPr>
            <w:r>
              <w:rPr>
                <w:szCs w:val="24"/>
              </w:rPr>
              <w:t>Mn</w:t>
            </w:r>
          </w:p>
        </w:tc>
        <w:tc>
          <w:tcPr>
            <w:tcW w:w="1218" w:type="dxa"/>
          </w:tcPr>
          <w:p w14:paraId="48B55678">
            <w:pPr>
              <w:pStyle w:val="16"/>
              <w:spacing w:before="31" w:after="31"/>
              <w:ind w:firstLine="0" w:firstLineChars="0"/>
              <w:rPr>
                <w:szCs w:val="24"/>
              </w:rPr>
            </w:pPr>
            <w:r>
              <w:rPr>
                <w:szCs w:val="24"/>
              </w:rPr>
              <w:t>P</w:t>
            </w:r>
          </w:p>
        </w:tc>
        <w:tc>
          <w:tcPr>
            <w:tcW w:w="1218" w:type="dxa"/>
          </w:tcPr>
          <w:p w14:paraId="6FC30A97">
            <w:pPr>
              <w:pStyle w:val="16"/>
              <w:spacing w:before="31" w:after="31"/>
              <w:ind w:firstLine="0" w:firstLineChars="0"/>
              <w:rPr>
                <w:szCs w:val="24"/>
              </w:rPr>
            </w:pPr>
            <w:r>
              <w:rPr>
                <w:szCs w:val="24"/>
              </w:rPr>
              <w:t>S</w:t>
            </w:r>
          </w:p>
        </w:tc>
        <w:tc>
          <w:tcPr>
            <w:tcW w:w="1218" w:type="dxa"/>
          </w:tcPr>
          <w:p w14:paraId="287A2A42">
            <w:pPr>
              <w:pStyle w:val="16"/>
              <w:spacing w:before="31" w:after="31"/>
              <w:ind w:firstLine="0" w:firstLineChars="0"/>
              <w:rPr>
                <w:szCs w:val="24"/>
              </w:rPr>
            </w:pPr>
            <w:r>
              <w:rPr>
                <w:szCs w:val="24"/>
              </w:rPr>
              <w:t>V</w:t>
            </w:r>
          </w:p>
        </w:tc>
      </w:tr>
      <w:tr w14:paraId="267F1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1F7B5CD8">
            <w:pPr>
              <w:pStyle w:val="16"/>
              <w:spacing w:before="31" w:after="31"/>
              <w:ind w:firstLine="0" w:firstLineChars="0"/>
              <w:rPr>
                <w:rFonts w:hint="eastAsia"/>
                <w:szCs w:val="24"/>
              </w:rPr>
            </w:pPr>
            <w:r>
              <w:rPr>
                <w:rFonts w:hint="eastAsia"/>
                <w:szCs w:val="24"/>
              </w:rPr>
              <w:t>Enterprise Standard</w:t>
            </w:r>
          </w:p>
        </w:tc>
        <w:tc>
          <w:tcPr>
            <w:tcW w:w="1217" w:type="dxa"/>
          </w:tcPr>
          <w:p w14:paraId="5AA58FED">
            <w:pPr>
              <w:pStyle w:val="16"/>
              <w:spacing w:before="31" w:after="31"/>
              <w:ind w:firstLine="0" w:firstLineChars="0"/>
              <w:rPr>
                <w:rFonts w:hint="eastAsia"/>
                <w:szCs w:val="24"/>
              </w:rPr>
            </w:pPr>
            <w:r>
              <w:rPr>
                <w:rFonts w:hint="eastAsia"/>
                <w:szCs w:val="24"/>
              </w:rPr>
              <w:t>0.72~0.81</w:t>
            </w:r>
          </w:p>
        </w:tc>
        <w:tc>
          <w:tcPr>
            <w:tcW w:w="1217" w:type="dxa"/>
          </w:tcPr>
          <w:p w14:paraId="1C8F5F8D">
            <w:pPr>
              <w:pStyle w:val="16"/>
              <w:spacing w:before="31" w:after="31"/>
              <w:ind w:firstLine="0" w:firstLineChars="0"/>
              <w:rPr>
                <w:rFonts w:hint="eastAsia"/>
                <w:szCs w:val="24"/>
              </w:rPr>
            </w:pPr>
            <w:r>
              <w:rPr>
                <w:rFonts w:hint="eastAsia"/>
                <w:szCs w:val="24"/>
              </w:rPr>
              <w:t>0.70~0.90</w:t>
            </w:r>
          </w:p>
        </w:tc>
        <w:tc>
          <w:tcPr>
            <w:tcW w:w="1217" w:type="dxa"/>
          </w:tcPr>
          <w:p w14:paraId="43515FA4">
            <w:pPr>
              <w:pStyle w:val="16"/>
              <w:spacing w:before="31" w:after="31"/>
              <w:ind w:firstLine="0" w:firstLineChars="0"/>
              <w:rPr>
                <w:rFonts w:hint="eastAsia"/>
                <w:szCs w:val="24"/>
              </w:rPr>
            </w:pPr>
            <w:r>
              <w:rPr>
                <w:rFonts w:hint="eastAsia"/>
                <w:szCs w:val="24"/>
              </w:rPr>
              <w:t>0.70~1.05</w:t>
            </w:r>
          </w:p>
        </w:tc>
        <w:tc>
          <w:tcPr>
            <w:tcW w:w="1218" w:type="dxa"/>
          </w:tcPr>
          <w:p w14:paraId="23CEF1FE">
            <w:pPr>
              <w:pStyle w:val="16"/>
              <w:spacing w:before="31" w:after="31"/>
              <w:ind w:firstLine="0" w:firstLineChars="0"/>
              <w:rPr>
                <w:rFonts w:hint="eastAsia"/>
                <w:szCs w:val="24"/>
              </w:rPr>
            </w:pPr>
            <w:r>
              <w:rPr>
                <w:rFonts w:hint="eastAsia"/>
                <w:szCs w:val="24"/>
              </w:rPr>
              <w:t>≤0.035</w:t>
            </w:r>
          </w:p>
        </w:tc>
        <w:tc>
          <w:tcPr>
            <w:tcW w:w="1218" w:type="dxa"/>
          </w:tcPr>
          <w:p w14:paraId="552667D3">
            <w:pPr>
              <w:pStyle w:val="16"/>
              <w:spacing w:before="31" w:after="31"/>
              <w:ind w:firstLine="0" w:firstLineChars="0"/>
              <w:rPr>
                <w:rFonts w:hint="eastAsia"/>
                <w:szCs w:val="24"/>
              </w:rPr>
            </w:pPr>
            <w:r>
              <w:rPr>
                <w:rFonts w:hint="eastAsia"/>
                <w:szCs w:val="24"/>
              </w:rPr>
              <w:t>≤0.035</w:t>
            </w:r>
          </w:p>
        </w:tc>
        <w:tc>
          <w:tcPr>
            <w:tcW w:w="1218" w:type="dxa"/>
          </w:tcPr>
          <w:p w14:paraId="3D69FF97">
            <w:pPr>
              <w:pStyle w:val="16"/>
              <w:spacing w:before="31" w:after="31"/>
              <w:ind w:firstLine="0" w:firstLineChars="0"/>
              <w:rPr>
                <w:rFonts w:hint="eastAsia"/>
                <w:szCs w:val="24"/>
              </w:rPr>
            </w:pPr>
            <w:r>
              <w:rPr>
                <w:rFonts w:hint="eastAsia"/>
                <w:szCs w:val="24"/>
              </w:rPr>
              <w:t>0.08~0.12</w:t>
            </w:r>
          </w:p>
        </w:tc>
      </w:tr>
      <w:tr w14:paraId="06701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75134DCD">
            <w:pPr>
              <w:pStyle w:val="16"/>
              <w:spacing w:before="31" w:after="31"/>
              <w:ind w:firstLine="0" w:firstLineChars="0"/>
              <w:rPr>
                <w:szCs w:val="24"/>
              </w:rPr>
            </w:pPr>
            <w:r>
              <w:rPr>
                <w:szCs w:val="24"/>
              </w:rPr>
              <w:t>Test Value</w:t>
            </w:r>
          </w:p>
        </w:tc>
        <w:tc>
          <w:tcPr>
            <w:tcW w:w="1217" w:type="dxa"/>
          </w:tcPr>
          <w:p w14:paraId="009C991A">
            <w:pPr>
              <w:pStyle w:val="16"/>
              <w:spacing w:before="31" w:after="31"/>
              <w:ind w:firstLine="0" w:firstLineChars="0"/>
              <w:rPr>
                <w:szCs w:val="24"/>
              </w:rPr>
            </w:pPr>
            <w:r>
              <w:rPr>
                <w:szCs w:val="24"/>
              </w:rPr>
              <w:t>0.793</w:t>
            </w:r>
          </w:p>
        </w:tc>
        <w:tc>
          <w:tcPr>
            <w:tcW w:w="1217" w:type="dxa"/>
          </w:tcPr>
          <w:p w14:paraId="12AA3604">
            <w:pPr>
              <w:pStyle w:val="16"/>
              <w:spacing w:before="31" w:after="31"/>
              <w:ind w:firstLine="0" w:firstLineChars="0"/>
              <w:rPr>
                <w:szCs w:val="24"/>
              </w:rPr>
            </w:pPr>
            <w:r>
              <w:rPr>
                <w:szCs w:val="24"/>
              </w:rPr>
              <w:t>0.72</w:t>
            </w:r>
          </w:p>
        </w:tc>
        <w:tc>
          <w:tcPr>
            <w:tcW w:w="1217" w:type="dxa"/>
          </w:tcPr>
          <w:p w14:paraId="26E6FA71">
            <w:pPr>
              <w:pStyle w:val="16"/>
              <w:spacing w:before="31" w:after="31"/>
              <w:ind w:firstLine="0" w:firstLineChars="0"/>
              <w:rPr>
                <w:szCs w:val="24"/>
              </w:rPr>
            </w:pPr>
            <w:r>
              <w:rPr>
                <w:szCs w:val="24"/>
              </w:rPr>
              <w:t>0.825</w:t>
            </w:r>
          </w:p>
        </w:tc>
        <w:tc>
          <w:tcPr>
            <w:tcW w:w="1218" w:type="dxa"/>
          </w:tcPr>
          <w:p w14:paraId="06228EDE">
            <w:pPr>
              <w:pStyle w:val="16"/>
              <w:spacing w:before="31" w:after="31"/>
              <w:ind w:firstLine="0" w:firstLineChars="0"/>
              <w:rPr>
                <w:szCs w:val="24"/>
              </w:rPr>
            </w:pPr>
            <w:r>
              <w:rPr>
                <w:szCs w:val="24"/>
              </w:rPr>
              <w:t>0.020</w:t>
            </w:r>
          </w:p>
        </w:tc>
        <w:tc>
          <w:tcPr>
            <w:tcW w:w="1218" w:type="dxa"/>
          </w:tcPr>
          <w:p w14:paraId="76CF9341">
            <w:pPr>
              <w:pStyle w:val="16"/>
              <w:spacing w:before="31" w:after="31"/>
              <w:ind w:firstLine="0" w:firstLineChars="0"/>
              <w:rPr>
                <w:szCs w:val="24"/>
              </w:rPr>
            </w:pPr>
            <w:r>
              <w:rPr>
                <w:szCs w:val="24"/>
              </w:rPr>
              <w:t>0.013</w:t>
            </w:r>
          </w:p>
        </w:tc>
        <w:tc>
          <w:tcPr>
            <w:tcW w:w="1218" w:type="dxa"/>
          </w:tcPr>
          <w:p w14:paraId="14511A71">
            <w:pPr>
              <w:pStyle w:val="16"/>
              <w:spacing w:before="31" w:after="31"/>
              <w:ind w:firstLine="0" w:firstLineChars="0"/>
              <w:rPr>
                <w:szCs w:val="24"/>
              </w:rPr>
            </w:pPr>
            <w:r>
              <w:rPr>
                <w:szCs w:val="24"/>
              </w:rPr>
              <w:t>0.098</w:t>
            </w:r>
          </w:p>
        </w:tc>
      </w:tr>
    </w:tbl>
    <w:p w14:paraId="5816BB36">
      <w:pPr>
        <w:pStyle w:val="16"/>
        <w:spacing w:before="31" w:after="31"/>
        <w:ind w:firstLine="480"/>
        <w:rPr>
          <w:szCs w:val="24"/>
        </w:rPr>
      </w:pPr>
      <w:r>
        <w:rPr>
          <w:szCs w:val="24"/>
        </w:rPr>
        <w:t>Microscopic examination of the fracture source area revealed no abnormal inclusions. According to the GB/T 10561-1989 standard, the inclusion level was rated as A Class 2.5, indicating no abnormal inclusions. The microstructure of the fracture source area was similar to other areas, consisting of pearlite (see Figure 8-4.5).</w:t>
      </w:r>
    </w:p>
    <w:p w14:paraId="7B18D8F6">
      <w:pPr>
        <w:pStyle w:val="16"/>
        <w:spacing w:before="31" w:after="31"/>
        <w:ind w:firstLine="480"/>
        <w:rPr>
          <w:szCs w:val="24"/>
        </w:rPr>
      </w:pPr>
    </w:p>
    <w:p w14:paraId="06DCCCD3">
      <w:pPr>
        <w:pStyle w:val="16"/>
        <w:spacing w:before="31" w:after="31"/>
        <w:ind w:firstLine="482"/>
        <w:jc w:val="center"/>
        <w:rPr>
          <w:b/>
          <w:bCs/>
          <w:szCs w:val="24"/>
        </w:rPr>
      </w:pPr>
      <w:r>
        <w:rPr>
          <w:b/>
          <w:bCs/>
          <w:szCs w:val="24"/>
        </w:rPr>
        <w:t>Figure 8-4.5 Microstructure of the fracture source area 400×</w:t>
      </w:r>
    </w:p>
    <w:p w14:paraId="5FAA715A">
      <w:pPr>
        <w:pStyle w:val="16"/>
        <w:spacing w:before="31" w:after="31"/>
        <w:ind w:firstLine="480"/>
        <w:rPr>
          <w:szCs w:val="24"/>
        </w:rPr>
      </w:pPr>
      <w:r>
        <w:rPr>
          <w:szCs w:val="24"/>
        </w:rPr>
        <w:t>(6) Analysis of Failure Causes</w:t>
      </w:r>
    </w:p>
    <w:p w14:paraId="28CB6B18">
      <w:pPr>
        <w:pStyle w:val="16"/>
        <w:spacing w:before="31" w:after="31"/>
        <w:ind w:firstLine="480"/>
        <w:rPr>
          <w:szCs w:val="24"/>
        </w:rPr>
      </w:pPr>
      <w:r>
        <w:rPr>
          <w:szCs w:val="24"/>
        </w:rPr>
        <w:t>From the observations, it can be seen that there is a half-circle-shaped fracture on the cross-section of the rail near the bottom of the rail. The crack surface is relatively smooth, showing obvious fatigue fracture features. A small pit in the middle of the rail bottom is the origin of the crack. The crack originated from the pit, exhibiting slow fatigue expansion and then rapid expansion. Therefore, the rail fracture is divided into three parts: the crack source area, the fatigue crack expansion area, and the rapid fracture area. The features of the fracture surface are completely consistent with the fatigue fracture observed during the physical fatigue test of PD3 steel rail in the laboratory. This indicates that the steel rail experienced fatigue fracture. It is known that the fatigue life of a component is related to the material of the component. If there are abnormal inclusions or metallurgical defects inside the component, a fatigue crack source may form at the location of the defect, shortening the fatigue life of the component. The same applies to steel rails; if there are abnormal inclusions or metallurgical defects inside the rail, under the repeated stress of wheel loads, a fatigue crack may form at the location of the defect. Microscopic examination results showed no abnormal inclusions in the crack source area, and the microstructure was normal pearlite, indicating that the chemical composition of the steel rail meets the technical requirements. Therefore, the occurrence of fatigue cracks in the steel rail is not directly related to the material of the steel rail. From the observations in Figure 8-4.3 and Figure 8-4.4, severe corrosion and oxidation were observed in the rail bottom surface and the pit where the crack originated. The composition analysis also mainly indicated iron oxide (see Table 8-3). The corrosion and oxidation were most severe in the pit area, and the rail bottom surface was the most severely oxidized. The microscopic examination showed that there were no abnormal inclusions in the fracture source area. According to the standard GB/T 10561-1989, the inclusion level was rated as A Class 2.5, indicating no abnormal inclusions. The microstructure of the fracture source area was similar to other areas, consisting of pearlite (see Figure 8-4.5).</w:t>
      </w:r>
    </w:p>
    <w:p w14:paraId="1ED8475F">
      <w:pPr>
        <w:pStyle w:val="16"/>
        <w:spacing w:before="31" w:after="31"/>
        <w:ind w:firstLine="480"/>
        <w:rPr>
          <w:szCs w:val="24"/>
        </w:rPr>
      </w:pPr>
    </w:p>
    <w:p w14:paraId="6A36BE35">
      <w:pPr>
        <w:pStyle w:val="16"/>
        <w:spacing w:before="31" w:after="31"/>
        <w:ind w:firstLine="480"/>
        <w:rPr>
          <w:szCs w:val="24"/>
        </w:rPr>
      </w:pPr>
      <w:r>
        <w:rPr>
          <w:rFonts w:hint="eastAsia"/>
          <w:szCs w:val="24"/>
        </w:rPr>
        <w:t> </w:t>
      </w:r>
      <w:r>
        <w:rPr>
          <w:szCs w:val="24"/>
        </w:rPr>
        <w:t xml:space="preserve">      </w:t>
      </w:r>
    </w:p>
    <w:p w14:paraId="512BE805">
      <w:pPr>
        <w:pStyle w:val="16"/>
        <w:spacing w:before="31" w:after="31"/>
        <w:ind w:firstLine="482"/>
        <w:jc w:val="center"/>
        <w:rPr>
          <w:b/>
          <w:bCs/>
          <w:szCs w:val="24"/>
        </w:rPr>
      </w:pPr>
      <w:r>
        <w:rPr>
          <w:b/>
          <w:bCs/>
          <w:szCs w:val="24"/>
        </w:rPr>
        <w:t>Table 8-3 Chemical composition analysis results of four locations in Figure 5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535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7E034B8">
            <w:pPr>
              <w:pStyle w:val="16"/>
              <w:spacing w:before="31" w:after="31"/>
              <w:ind w:firstLine="0" w:firstLineChars="0"/>
              <w:rPr>
                <w:szCs w:val="24"/>
              </w:rPr>
            </w:pPr>
            <w:r>
              <w:rPr>
                <w:szCs w:val="24"/>
              </w:rPr>
              <w:t>Location</w:t>
            </w:r>
            <w:r>
              <w:rPr>
                <w:szCs w:val="24"/>
              </w:rPr>
              <w:tab/>
            </w:r>
            <w:r>
              <w:rPr>
                <w:szCs w:val="24"/>
              </w:rPr>
              <w:t>O</w:t>
            </w:r>
            <w:r>
              <w:rPr>
                <w:szCs w:val="24"/>
              </w:rPr>
              <w:tab/>
            </w:r>
            <w:r>
              <w:rPr>
                <w:szCs w:val="24"/>
              </w:rPr>
              <w:t>Si</w:t>
            </w:r>
            <w:r>
              <w:rPr>
                <w:szCs w:val="24"/>
              </w:rPr>
              <w:tab/>
            </w:r>
            <w:r>
              <w:rPr>
                <w:szCs w:val="24"/>
              </w:rPr>
              <w:t>Fe</w:t>
            </w:r>
          </w:p>
        </w:tc>
      </w:tr>
      <w:tr w14:paraId="4434E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AC6B5AF">
            <w:pPr>
              <w:pStyle w:val="16"/>
              <w:spacing w:before="31" w:after="31"/>
              <w:ind w:firstLine="0" w:firstLineChars="0"/>
              <w:rPr>
                <w:szCs w:val="24"/>
              </w:rPr>
            </w:pPr>
            <w:r>
              <w:rPr>
                <w:szCs w:val="24"/>
              </w:rPr>
              <w:t>1 (Rail bottom surface)</w:t>
            </w:r>
            <w:r>
              <w:rPr>
                <w:szCs w:val="24"/>
              </w:rPr>
              <w:tab/>
            </w:r>
            <w:r>
              <w:rPr>
                <w:szCs w:val="24"/>
              </w:rPr>
              <w:t>59.15</w:t>
            </w:r>
            <w:r>
              <w:rPr>
                <w:szCs w:val="24"/>
              </w:rPr>
              <w:tab/>
            </w:r>
            <w:r>
              <w:rPr>
                <w:szCs w:val="24"/>
              </w:rPr>
              <w:t>3.08</w:t>
            </w:r>
            <w:r>
              <w:rPr>
                <w:szCs w:val="24"/>
              </w:rPr>
              <w:tab/>
            </w:r>
            <w:r>
              <w:rPr>
                <w:szCs w:val="24"/>
              </w:rPr>
              <w:t>37.77</w:t>
            </w:r>
          </w:p>
        </w:tc>
      </w:tr>
      <w:tr w14:paraId="5B33C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BE4FFBD">
            <w:pPr>
              <w:pStyle w:val="16"/>
              <w:spacing w:before="31" w:after="31"/>
              <w:ind w:firstLine="0" w:firstLineChars="0"/>
              <w:rPr>
                <w:szCs w:val="24"/>
              </w:rPr>
            </w:pPr>
            <w:r>
              <w:rPr>
                <w:szCs w:val="24"/>
              </w:rPr>
              <w:t>2 (Corroded pit area)</w:t>
            </w:r>
            <w:r>
              <w:rPr>
                <w:szCs w:val="24"/>
              </w:rPr>
              <w:tab/>
            </w:r>
            <w:r>
              <w:rPr>
                <w:szCs w:val="24"/>
              </w:rPr>
              <w:t>24.14</w:t>
            </w:r>
            <w:r>
              <w:rPr>
                <w:szCs w:val="24"/>
              </w:rPr>
              <w:tab/>
            </w:r>
            <w:r>
              <w:rPr>
                <w:szCs w:val="24"/>
              </w:rPr>
              <w:t>1.47</w:t>
            </w:r>
            <w:r>
              <w:rPr>
                <w:szCs w:val="24"/>
              </w:rPr>
              <w:tab/>
            </w:r>
            <w:r>
              <w:rPr>
                <w:szCs w:val="24"/>
              </w:rPr>
              <w:t>74.40</w:t>
            </w:r>
          </w:p>
        </w:tc>
      </w:tr>
      <w:tr w14:paraId="27EB5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BDD67FE">
            <w:pPr>
              <w:pStyle w:val="16"/>
              <w:spacing w:before="31" w:after="31"/>
              <w:ind w:firstLine="0" w:firstLineChars="0"/>
              <w:rPr>
                <w:szCs w:val="24"/>
              </w:rPr>
            </w:pPr>
            <w:r>
              <w:rPr>
                <w:szCs w:val="24"/>
              </w:rPr>
              <w:t>3 (</w:t>
            </w:r>
          </w:p>
        </w:tc>
      </w:tr>
      <w:tr w14:paraId="72F5C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BCDD875">
            <w:pPr>
              <w:pStyle w:val="16"/>
              <w:spacing w:before="31" w:after="31"/>
              <w:ind w:firstLine="0" w:firstLineChars="0"/>
              <w:rPr>
                <w:szCs w:val="24"/>
              </w:rPr>
            </w:pPr>
          </w:p>
        </w:tc>
      </w:tr>
      <w:tr w14:paraId="11ED7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964FA91">
            <w:pPr>
              <w:pStyle w:val="16"/>
              <w:spacing w:before="31" w:after="31"/>
              <w:ind w:firstLine="0" w:firstLineChars="0"/>
              <w:rPr>
                <w:szCs w:val="24"/>
              </w:rPr>
            </w:pPr>
            <w:r>
              <w:rPr>
                <w:szCs w:val="24"/>
              </w:rPr>
              <w:t>Corroded pit area)</w:t>
            </w:r>
            <w:r>
              <w:rPr>
                <w:szCs w:val="24"/>
              </w:rPr>
              <w:tab/>
            </w:r>
            <w:r>
              <w:rPr>
                <w:szCs w:val="24"/>
              </w:rPr>
              <w:t>21.22</w:t>
            </w:r>
            <w:r>
              <w:rPr>
                <w:szCs w:val="24"/>
              </w:rPr>
              <w:tab/>
            </w:r>
            <w:r>
              <w:rPr>
                <w:szCs w:val="24"/>
              </w:rPr>
              <w:t>2.23</w:t>
            </w:r>
            <w:r>
              <w:rPr>
                <w:szCs w:val="24"/>
              </w:rPr>
              <w:tab/>
            </w:r>
            <w:r>
              <w:rPr>
                <w:szCs w:val="24"/>
              </w:rPr>
              <w:t>76.55</w:t>
            </w:r>
          </w:p>
        </w:tc>
      </w:tr>
      <w:tr w14:paraId="400E2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D5FD228">
            <w:pPr>
              <w:pStyle w:val="16"/>
              <w:spacing w:before="31" w:after="31"/>
              <w:ind w:firstLine="0" w:firstLineChars="0"/>
              <w:rPr>
                <w:szCs w:val="24"/>
              </w:rPr>
            </w:pPr>
            <w:r>
              <w:rPr>
                <w:szCs w:val="24"/>
              </w:rPr>
              <w:t>4 (Fatigue source area)</w:t>
            </w:r>
            <w:r>
              <w:rPr>
                <w:szCs w:val="24"/>
              </w:rPr>
              <w:tab/>
            </w:r>
            <w:r>
              <w:rPr>
                <w:szCs w:val="24"/>
              </w:rPr>
              <w:t>17.55</w:t>
            </w:r>
            <w:r>
              <w:rPr>
                <w:szCs w:val="24"/>
              </w:rPr>
              <w:tab/>
            </w:r>
            <w:r>
              <w:rPr>
                <w:szCs w:val="24"/>
              </w:rPr>
              <w:t>-----</w:t>
            </w:r>
            <w:r>
              <w:rPr>
                <w:szCs w:val="24"/>
              </w:rPr>
              <w:tab/>
            </w:r>
            <w:r>
              <w:rPr>
                <w:szCs w:val="24"/>
              </w:rPr>
              <w:t>82.45</w:t>
            </w:r>
          </w:p>
        </w:tc>
      </w:tr>
    </w:tbl>
    <w:p w14:paraId="2B6B1287">
      <w:pPr>
        <w:pStyle w:val="16"/>
        <w:spacing w:before="31" w:after="31"/>
        <w:ind w:firstLine="480"/>
        <w:rPr>
          <w:szCs w:val="24"/>
        </w:rPr>
      </w:pPr>
      <w:r>
        <w:rPr>
          <w:szCs w:val="24"/>
        </w:rPr>
        <w:t>(7) Impact and Harm Caused</w:t>
      </w:r>
    </w:p>
    <w:p w14:paraId="45B280C3">
      <w:pPr>
        <w:pStyle w:val="16"/>
        <w:spacing w:before="31" w:after="31"/>
        <w:ind w:firstLine="480"/>
        <w:rPr>
          <w:szCs w:val="24"/>
        </w:rPr>
      </w:pPr>
      <w:r>
        <w:rPr>
          <w:szCs w:val="24"/>
        </w:rPr>
        <w:t>The fracture of the steel rail on the bridge obstructed traffic, resulting in direct economic losses.</w:t>
      </w:r>
    </w:p>
    <w:p w14:paraId="6C0289C3">
      <w:pPr>
        <w:pStyle w:val="16"/>
        <w:spacing w:before="31" w:after="31"/>
        <w:ind w:firstLine="480"/>
        <w:rPr>
          <w:szCs w:val="24"/>
        </w:rPr>
      </w:pPr>
      <w:r>
        <w:rPr>
          <w:szCs w:val="24"/>
        </w:rPr>
        <w:t>(8) Conclusion and Improvement Measures</w:t>
      </w:r>
    </w:p>
    <w:p w14:paraId="386BDE46">
      <w:pPr>
        <w:pStyle w:val="16"/>
        <w:spacing w:before="31" w:after="31"/>
        <w:ind w:firstLine="480"/>
        <w:rPr>
          <w:szCs w:val="24"/>
        </w:rPr>
      </w:pPr>
      <w:r>
        <w:rPr>
          <w:szCs w:val="24"/>
        </w:rPr>
        <w:t>(a) The reason for the fracture of the steel rail is that it has been used in a humid environment for an extended period. The corrosion on the rail bottom surface resulted in the formation of corrosion pits. Under the repeated stress of wheel loads, corrosion fatigue cracks formed at the bottom of these pits, ultimately leading to the lateral brittle fracture of the steel rail.</w:t>
      </w:r>
    </w:p>
    <w:p w14:paraId="1D3AF494">
      <w:pPr>
        <w:pStyle w:val="16"/>
        <w:spacing w:before="31" w:after="31"/>
        <w:ind w:firstLine="480"/>
        <w:rPr>
          <w:szCs w:val="24"/>
        </w:rPr>
      </w:pPr>
      <w:r>
        <w:rPr>
          <w:szCs w:val="24"/>
        </w:rPr>
        <w:t>(b) There is no quality issue with the material of the steel rail itself. The occurrence of corrosion fatigue cracks is not directly related to the material of the steel rail.</w:t>
      </w:r>
    </w:p>
    <w:p w14:paraId="79C5A0BD">
      <w:pPr>
        <w:pStyle w:val="16"/>
        <w:spacing w:before="31" w:after="31"/>
        <w:ind w:firstLine="480"/>
        <w:rPr>
          <w:szCs w:val="24"/>
        </w:rPr>
      </w:pPr>
      <w:r>
        <w:rPr>
          <w:szCs w:val="24"/>
        </w:rPr>
        <w:t>(c) Strengthen ultrasonic testing of track steel rails to promptly detect rail defects and ensure operational safety.</w:t>
      </w:r>
    </w:p>
    <w:p w14:paraId="0FF9F62C">
      <w:pPr>
        <w:pStyle w:val="16"/>
        <w:spacing w:before="31" w:after="31"/>
        <w:ind w:firstLine="480"/>
        <w:rPr>
          <w:szCs w:val="24"/>
        </w:rPr>
      </w:pPr>
      <w:r>
        <w:rPr>
          <w:szCs w:val="24"/>
        </w:rPr>
        <w:t>(d) In sections with severe corrosion, lay corrosion-resistant steel rails that have been developed to prevent severe corrosion of rails leading to rail fractures.</w:t>
      </w:r>
    </w:p>
    <w:p w14:paraId="2C63B08A">
      <w:pPr>
        <w:pStyle w:val="16"/>
        <w:spacing w:before="31" w:after="31"/>
        <w:ind w:firstLine="0" w:firstLineChars="0"/>
        <w:rPr>
          <w:b/>
          <w:bCs/>
          <w:szCs w:val="24"/>
        </w:rPr>
      </w:pPr>
      <w:r>
        <w:rPr>
          <w:b/>
          <w:bCs/>
          <w:szCs w:val="24"/>
        </w:rPr>
        <w:t>8.2.5 Case 8-5: Ship Collision Incident on Guangdong Jiujiang Bridge</w:t>
      </w:r>
    </w:p>
    <w:p w14:paraId="07787BCC">
      <w:pPr>
        <w:pStyle w:val="16"/>
        <w:spacing w:before="31" w:after="31"/>
        <w:ind w:firstLine="480"/>
        <w:rPr>
          <w:szCs w:val="24"/>
        </w:rPr>
      </w:pPr>
      <w:r>
        <w:rPr>
          <w:szCs w:val="24"/>
        </w:rPr>
        <w:t>(1) Case Name</w:t>
      </w:r>
    </w:p>
    <w:p w14:paraId="3431F689">
      <w:pPr>
        <w:pStyle w:val="16"/>
        <w:spacing w:before="31" w:after="31"/>
        <w:ind w:firstLine="480"/>
        <w:rPr>
          <w:szCs w:val="24"/>
        </w:rPr>
      </w:pPr>
      <w:r>
        <w:rPr>
          <w:szCs w:val="24"/>
        </w:rPr>
        <w:t>Ship Collision Incident on Guangdong Jiujiang Bridge [8,9]</w:t>
      </w:r>
    </w:p>
    <w:p w14:paraId="7BCBACCC">
      <w:pPr>
        <w:pStyle w:val="16"/>
        <w:spacing w:before="31" w:after="31"/>
        <w:ind w:firstLine="480"/>
        <w:rPr>
          <w:szCs w:val="24"/>
        </w:rPr>
      </w:pPr>
      <w:r>
        <w:rPr>
          <w:szCs w:val="24"/>
        </w:rPr>
        <w:t>(2) Description of Failure Process</w:t>
      </w:r>
    </w:p>
    <w:p w14:paraId="4FB115CE">
      <w:pPr>
        <w:pStyle w:val="16"/>
        <w:spacing w:before="31" w:after="31"/>
        <w:ind w:firstLine="480"/>
        <w:rPr>
          <w:szCs w:val="24"/>
        </w:rPr>
      </w:pPr>
      <w:r>
        <w:rPr>
          <w:szCs w:val="24"/>
        </w:rPr>
        <w:t>In 2007, the sand transport ship "Nan Gui Ji 035" deviated from the main channel while traveling from Gaoming, Foshan, to Shunde, colliding with the Jiujiang Bridge. This collision resulted in the collapse of a section of the bridge, with approximately 200 meters of the bridge deck collapsing.</w:t>
      </w:r>
    </w:p>
    <w:p w14:paraId="579E57E0">
      <w:pPr>
        <w:pStyle w:val="16"/>
        <w:spacing w:before="31" w:after="31"/>
        <w:ind w:firstLine="480"/>
        <w:rPr>
          <w:szCs w:val="24"/>
        </w:rPr>
      </w:pPr>
      <w:r>
        <w:rPr>
          <w:szCs w:val="24"/>
        </w:rPr>
        <w:t>(3) Service Environment</w:t>
      </w:r>
    </w:p>
    <w:p w14:paraId="709E169F">
      <w:pPr>
        <w:pStyle w:val="16"/>
        <w:spacing w:before="31" w:after="31"/>
        <w:ind w:firstLine="480"/>
        <w:rPr>
          <w:szCs w:val="24"/>
        </w:rPr>
      </w:pPr>
      <w:r>
        <w:rPr>
          <w:szCs w:val="24"/>
        </w:rPr>
        <w:t>Not specified</w:t>
      </w:r>
    </w:p>
    <w:p w14:paraId="7BD6C154">
      <w:pPr>
        <w:pStyle w:val="16"/>
        <w:spacing w:before="31" w:after="31"/>
        <w:ind w:firstLine="480"/>
        <w:rPr>
          <w:szCs w:val="24"/>
        </w:rPr>
      </w:pPr>
      <w:r>
        <w:rPr>
          <w:szCs w:val="24"/>
        </w:rPr>
        <w:t>(4) Failed Component and Material</w:t>
      </w:r>
    </w:p>
    <w:p w14:paraId="598CB092">
      <w:pPr>
        <w:pStyle w:val="16"/>
        <w:spacing w:before="31" w:after="31"/>
        <w:ind w:firstLine="480"/>
        <w:rPr>
          <w:szCs w:val="24"/>
        </w:rPr>
      </w:pPr>
      <w:r>
        <w:rPr>
          <w:szCs w:val="24"/>
        </w:rPr>
        <w:t>Pier #23, designed for a lateral impact force of 40 tons.</w:t>
      </w:r>
    </w:p>
    <w:p w14:paraId="7A74CD54">
      <w:pPr>
        <w:pStyle w:val="16"/>
        <w:spacing w:before="31" w:after="31"/>
        <w:ind w:firstLine="480"/>
        <w:rPr>
          <w:szCs w:val="24"/>
        </w:rPr>
      </w:pPr>
      <w:r>
        <w:rPr>
          <w:szCs w:val="24"/>
        </w:rPr>
        <w:t>(5)Failed Component Morphology:</w:t>
      </w:r>
    </w:p>
    <w:p w14:paraId="5166B8AA">
      <w:pPr>
        <w:pStyle w:val="16"/>
        <w:spacing w:before="31" w:after="31"/>
        <w:ind w:firstLine="480"/>
        <w:rPr>
          <w:szCs w:val="24"/>
        </w:rPr>
      </w:pPr>
      <w:r>
        <w:rPr>
          <w:szCs w:val="24"/>
        </w:rPr>
        <w:t>Null</w:t>
      </w:r>
    </w:p>
    <w:p w14:paraId="28423697">
      <w:pPr>
        <w:pStyle w:val="16"/>
        <w:spacing w:before="31" w:after="31"/>
        <w:ind w:firstLine="480"/>
        <w:rPr>
          <w:szCs w:val="24"/>
        </w:rPr>
      </w:pPr>
    </w:p>
    <w:p w14:paraId="03BECF08">
      <w:pPr>
        <w:pStyle w:val="16"/>
        <w:spacing w:before="31" w:after="31"/>
        <w:ind w:firstLine="480"/>
        <w:rPr>
          <w:szCs w:val="24"/>
        </w:rPr>
      </w:pPr>
      <w:r>
        <w:rPr>
          <w:szCs w:val="24"/>
        </w:rPr>
        <w:t>(6) Analysis of Failure Causes</w:t>
      </w:r>
    </w:p>
    <w:p w14:paraId="4A190A3F">
      <w:pPr>
        <w:pStyle w:val="16"/>
        <w:spacing w:before="31" w:after="31"/>
        <w:ind w:firstLine="480"/>
        <w:rPr>
          <w:szCs w:val="24"/>
        </w:rPr>
      </w:pPr>
      <w:r>
        <w:rPr>
          <w:szCs w:val="24"/>
        </w:rPr>
        <w:t>The bridge's navigable span, with two spans of 160 meters, was designed for anti-collision based on the situation of river-sea vessels. The main piers were designed for a lateral impact force of 1200 tons, while the side piers of the non-navigable spans were designed for a lateral impact force of 40 tons as a precaution for potential collisions with small vessels and floating objects. The bridge design was appropriate and had a certain degree of foresight.</w:t>
      </w:r>
    </w:p>
    <w:p w14:paraId="3DAAF066">
      <w:pPr>
        <w:pStyle w:val="16"/>
        <w:spacing w:before="31" w:after="31"/>
        <w:ind w:firstLine="480"/>
        <w:rPr>
          <w:szCs w:val="24"/>
        </w:rPr>
      </w:pPr>
      <w:r>
        <w:rPr>
          <w:szCs w:val="24"/>
        </w:rPr>
        <w:t>However, the ship Nan Gui Ji 035 deviated from the navigation channel, entered a non-navigable span, and directly collided with Pier #23. The lateral impact force generated by the ship far exceeded the designed lateral impact force of 40 tons for the non-navigable span piers, leading to the collapse of the four non-navigable span piers and causing severe damage to the adjacent spans that did not collapse.</w:t>
      </w:r>
    </w:p>
    <w:p w14:paraId="61D546E7">
      <w:pPr>
        <w:pStyle w:val="16"/>
        <w:spacing w:before="31" w:after="31"/>
        <w:ind w:firstLine="480"/>
        <w:rPr>
          <w:szCs w:val="24"/>
        </w:rPr>
      </w:pPr>
      <w:r>
        <w:rPr>
          <w:szCs w:val="24"/>
        </w:rPr>
        <w:t>(7) Impact and Harm Caused</w:t>
      </w:r>
    </w:p>
    <w:p w14:paraId="4E0E018E">
      <w:pPr>
        <w:pStyle w:val="16"/>
        <w:spacing w:before="31" w:after="31"/>
        <w:ind w:firstLine="480"/>
        <w:rPr>
          <w:szCs w:val="24"/>
        </w:rPr>
      </w:pPr>
      <w:r>
        <w:rPr>
          <w:szCs w:val="24"/>
        </w:rPr>
        <w:t>The accident resulted in the collapse of the bridge, and a total of 9 people, including 4 car occupants, 7 passengers, and 2 on-site construction workers, went missing after falling into the river.</w:t>
      </w:r>
    </w:p>
    <w:p w14:paraId="0A5E852C">
      <w:pPr>
        <w:pStyle w:val="16"/>
        <w:spacing w:before="31" w:after="31"/>
        <w:ind w:firstLine="480"/>
        <w:rPr>
          <w:szCs w:val="24"/>
        </w:rPr>
      </w:pPr>
      <w:r>
        <w:rPr>
          <w:szCs w:val="24"/>
        </w:rPr>
        <w:t>(8) Conclusion and Improvement Measures</w:t>
      </w:r>
    </w:p>
    <w:p w14:paraId="6727A1A1">
      <w:pPr>
        <w:pStyle w:val="16"/>
        <w:spacing w:before="31" w:after="31"/>
        <w:ind w:firstLine="480"/>
        <w:rPr>
          <w:szCs w:val="24"/>
        </w:rPr>
      </w:pPr>
      <w:r>
        <w:rPr>
          <w:szCs w:val="24"/>
        </w:rPr>
        <w:t>It is recommended to promptly inspect the collapsed and damaged bridge conditions, take appropriate measures to prevent secondary accidents. The Ministry of Transport has decided to increase the security standards for important bridges.</w:t>
      </w:r>
    </w:p>
    <w:p w14:paraId="7670839D">
      <w:pPr>
        <w:pStyle w:val="16"/>
        <w:spacing w:before="31" w:after="31"/>
        <w:ind w:firstLine="480"/>
        <w:rPr>
          <w:szCs w:val="24"/>
        </w:rPr>
      </w:pPr>
    </w:p>
    <w:p w14:paraId="55760DFA">
      <w:pPr>
        <w:pStyle w:val="16"/>
        <w:spacing w:before="31" w:after="31"/>
        <w:ind w:firstLine="0" w:firstLineChars="0"/>
        <w:rPr>
          <w:b/>
          <w:bCs/>
          <w:szCs w:val="24"/>
        </w:rPr>
      </w:pPr>
      <w:r>
        <w:rPr>
          <w:b/>
          <w:bCs/>
          <w:szCs w:val="24"/>
        </w:rPr>
        <w:t>8.2.6 Case 8-6: Collapse of Zhaobao Mountain Bridge</w:t>
      </w:r>
    </w:p>
    <w:p w14:paraId="2D03180C">
      <w:pPr>
        <w:pStyle w:val="16"/>
        <w:spacing w:before="31" w:after="31"/>
        <w:ind w:firstLine="480"/>
        <w:rPr>
          <w:szCs w:val="24"/>
        </w:rPr>
      </w:pPr>
      <w:r>
        <w:rPr>
          <w:szCs w:val="24"/>
        </w:rPr>
        <w:t>(1) Case Name</w:t>
      </w:r>
    </w:p>
    <w:p w14:paraId="6ABE513C">
      <w:pPr>
        <w:pStyle w:val="16"/>
        <w:spacing w:before="31" w:after="31"/>
        <w:ind w:firstLine="480"/>
        <w:rPr>
          <w:szCs w:val="24"/>
        </w:rPr>
      </w:pPr>
      <w:r>
        <w:rPr>
          <w:szCs w:val="24"/>
        </w:rPr>
        <w:t>Collapse of Zhaobao Mountain Bridge [10-11]</w:t>
      </w:r>
    </w:p>
    <w:p w14:paraId="223F5293">
      <w:pPr>
        <w:pStyle w:val="16"/>
        <w:spacing w:before="31" w:after="31"/>
        <w:ind w:firstLine="480"/>
        <w:rPr>
          <w:szCs w:val="24"/>
        </w:rPr>
      </w:pPr>
      <w:r>
        <w:rPr>
          <w:szCs w:val="24"/>
        </w:rPr>
        <w:t>(2) Description of Failure Process</w:t>
      </w:r>
    </w:p>
    <w:p w14:paraId="724F9AD4">
      <w:pPr>
        <w:pStyle w:val="16"/>
        <w:spacing w:before="31" w:after="31"/>
        <w:ind w:firstLine="480"/>
        <w:rPr>
          <w:szCs w:val="24"/>
        </w:rPr>
      </w:pPr>
      <w:r>
        <w:rPr>
          <w:szCs w:val="24"/>
        </w:rPr>
        <w:t>On September 24, 1998, the under-construction Zhaobao Mountain Bridge experienced a main beam fracture incident, with destructive cracking occurring at the joint face of block #16.</w:t>
      </w:r>
    </w:p>
    <w:p w14:paraId="72F3B784">
      <w:pPr>
        <w:pStyle w:val="16"/>
        <w:spacing w:before="31" w:after="31"/>
        <w:ind w:firstLine="480"/>
        <w:rPr>
          <w:szCs w:val="24"/>
        </w:rPr>
      </w:pPr>
      <w:r>
        <w:rPr>
          <w:szCs w:val="24"/>
        </w:rPr>
        <w:t>(3) Component Service Environment</w:t>
      </w:r>
    </w:p>
    <w:p w14:paraId="0AD43094">
      <w:pPr>
        <w:pStyle w:val="16"/>
        <w:spacing w:before="31" w:after="31"/>
        <w:ind w:firstLine="480"/>
        <w:rPr>
          <w:szCs w:val="24"/>
        </w:rPr>
      </w:pPr>
      <w:r>
        <w:rPr>
          <w:szCs w:val="24"/>
        </w:rPr>
        <w:t>Compression stress environment</w:t>
      </w:r>
    </w:p>
    <w:p w14:paraId="0958475B">
      <w:pPr>
        <w:pStyle w:val="16"/>
        <w:spacing w:before="31" w:after="31"/>
        <w:ind w:firstLine="480"/>
        <w:rPr>
          <w:szCs w:val="24"/>
        </w:rPr>
      </w:pPr>
      <w:r>
        <w:rPr>
          <w:szCs w:val="24"/>
        </w:rPr>
        <w:t>(4) Failed Component and Material</w:t>
      </w:r>
    </w:p>
    <w:p w14:paraId="1AB61A45">
      <w:pPr>
        <w:pStyle w:val="16"/>
        <w:spacing w:before="31" w:after="31"/>
        <w:ind w:firstLine="480"/>
        <w:rPr>
          <w:szCs w:val="24"/>
        </w:rPr>
      </w:pPr>
      <w:r>
        <w:rPr>
          <w:szCs w:val="24"/>
        </w:rPr>
        <w:t>Blocks #16-17 of the bridge, which were the box structure, featured pre-stressed connectors with welded anchor plates. The material used was steel.</w:t>
      </w:r>
    </w:p>
    <w:p w14:paraId="2C47FC95">
      <w:pPr>
        <w:pStyle w:val="16"/>
        <w:spacing w:before="31" w:after="31"/>
        <w:ind w:firstLine="480"/>
        <w:rPr>
          <w:szCs w:val="24"/>
        </w:rPr>
      </w:pPr>
    </w:p>
    <w:p w14:paraId="61A629D7">
      <w:pPr>
        <w:pStyle w:val="16"/>
        <w:spacing w:before="31" w:after="31"/>
        <w:ind w:firstLine="480"/>
        <w:rPr>
          <w:szCs w:val="24"/>
        </w:rPr>
      </w:pPr>
      <w:r>
        <w:rPr>
          <w:szCs w:val="24"/>
        </w:rPr>
        <w:t>(5) Failed Component Morphology:</w:t>
      </w:r>
    </w:p>
    <w:p w14:paraId="3EA011EB">
      <w:pPr>
        <w:pStyle w:val="16"/>
        <w:spacing w:before="31" w:after="31"/>
        <w:ind w:firstLine="480"/>
        <w:rPr>
          <w:szCs w:val="24"/>
        </w:rPr>
      </w:pPr>
      <w:r>
        <w:rPr>
          <w:szCs w:val="24"/>
        </w:rPr>
        <w:t>Null</w:t>
      </w:r>
    </w:p>
    <w:p w14:paraId="571A82FC">
      <w:pPr>
        <w:pStyle w:val="16"/>
        <w:spacing w:before="31" w:after="31"/>
        <w:ind w:firstLine="480"/>
        <w:rPr>
          <w:szCs w:val="24"/>
        </w:rPr>
      </w:pPr>
      <w:r>
        <w:rPr>
          <w:szCs w:val="24"/>
        </w:rPr>
        <w:t>(6) Analysis of Failure Causes</w:t>
      </w:r>
    </w:p>
    <w:p w14:paraId="2F1FE70C">
      <w:pPr>
        <w:pStyle w:val="16"/>
        <w:spacing w:before="31" w:after="31"/>
        <w:ind w:firstLine="480"/>
        <w:rPr>
          <w:szCs w:val="24"/>
        </w:rPr>
      </w:pPr>
      <w:r>
        <w:rPr>
          <w:szCs w:val="24"/>
        </w:rPr>
        <w:t>During on-site investigations, it was found that there was destructive cracking at the joint of the bottom plate of block #16, where the pre-stressed connector with the anchor plate was located. Similar cracking was also observed downstream at the joint of the bottom plate of block #15, where the pre-stressed connector with the anchor plate was located.</w:t>
      </w:r>
    </w:p>
    <w:p w14:paraId="75EF879B">
      <w:pPr>
        <w:pStyle w:val="16"/>
        <w:spacing w:before="31" w:after="31"/>
        <w:ind w:firstLine="480"/>
        <w:rPr>
          <w:szCs w:val="24"/>
        </w:rPr>
      </w:pPr>
      <w:r>
        <w:rPr>
          <w:szCs w:val="24"/>
        </w:rPr>
        <w:t>(7) Impact and Harm Caused</w:t>
      </w:r>
    </w:p>
    <w:p w14:paraId="013233C2">
      <w:pPr>
        <w:pStyle w:val="16"/>
        <w:spacing w:before="31" w:after="31"/>
        <w:ind w:firstLine="480"/>
        <w:rPr>
          <w:szCs w:val="24"/>
        </w:rPr>
      </w:pPr>
      <w:r>
        <w:rPr>
          <w:szCs w:val="24"/>
        </w:rPr>
        <w:t>The accident resulted in the collapse of the under-construction bridge.</w:t>
      </w:r>
    </w:p>
    <w:p w14:paraId="7DF8430F">
      <w:pPr>
        <w:pStyle w:val="16"/>
        <w:spacing w:before="31" w:after="31"/>
        <w:ind w:firstLine="480"/>
        <w:rPr>
          <w:szCs w:val="24"/>
        </w:rPr>
      </w:pPr>
      <w:r>
        <w:rPr>
          <w:szCs w:val="24"/>
        </w:rPr>
        <w:t>(8) Conclusion and Improvement Measures</w:t>
      </w:r>
    </w:p>
    <w:p w14:paraId="34575D95">
      <w:pPr>
        <w:pStyle w:val="16"/>
        <w:spacing w:before="31" w:after="31"/>
        <w:ind w:firstLine="0" w:firstLineChars="0"/>
        <w:rPr>
          <w:szCs w:val="24"/>
        </w:rPr>
      </w:pPr>
      <w:r>
        <w:rPr>
          <w:szCs w:val="24"/>
        </w:rPr>
        <w:t>The main beam design structure was thin, especially with insufficient thickness in the bottom plate. This led to a smaller effective cross-section, causing higher actual stress in the compression zone.</w:t>
      </w:r>
    </w:p>
    <w:p w14:paraId="0E56B37A">
      <w:pPr>
        <w:pStyle w:val="16"/>
        <w:spacing w:before="31" w:after="31"/>
        <w:ind w:firstLine="0" w:firstLineChars="0"/>
        <w:rPr>
          <w:b/>
          <w:bCs/>
          <w:szCs w:val="24"/>
        </w:rPr>
      </w:pPr>
      <w:r>
        <w:rPr>
          <w:b/>
          <w:bCs/>
          <w:szCs w:val="24"/>
        </w:rPr>
        <w:t>8.2.7 Case 8-7: Failure of Outer Ring of Bearings in Locomotive Bogie</w:t>
      </w:r>
    </w:p>
    <w:p w14:paraId="2F2FF6CF">
      <w:pPr>
        <w:pStyle w:val="16"/>
        <w:spacing w:before="31" w:after="31"/>
        <w:ind w:firstLine="480"/>
        <w:rPr>
          <w:szCs w:val="24"/>
        </w:rPr>
      </w:pPr>
      <w:r>
        <w:rPr>
          <w:szCs w:val="24"/>
        </w:rPr>
        <w:t>(1) Case Name</w:t>
      </w:r>
    </w:p>
    <w:p w14:paraId="5E1C3279">
      <w:pPr>
        <w:pStyle w:val="16"/>
        <w:spacing w:before="31" w:after="31"/>
        <w:ind w:firstLine="480"/>
        <w:rPr>
          <w:szCs w:val="24"/>
        </w:rPr>
      </w:pPr>
      <w:r>
        <w:rPr>
          <w:szCs w:val="24"/>
        </w:rPr>
        <w:t>Failure of Outer Ring of Bearings in Locomotive Bogie [12~14]</w:t>
      </w:r>
    </w:p>
    <w:p w14:paraId="7AC92C89">
      <w:pPr>
        <w:pStyle w:val="16"/>
        <w:spacing w:before="31" w:after="31"/>
        <w:ind w:firstLine="480"/>
        <w:rPr>
          <w:szCs w:val="24"/>
        </w:rPr>
      </w:pPr>
      <w:r>
        <w:rPr>
          <w:szCs w:val="24"/>
        </w:rPr>
        <w:t>(2) Description of Failure Process</w:t>
      </w:r>
    </w:p>
    <w:p w14:paraId="12BE8925">
      <w:pPr>
        <w:pStyle w:val="16"/>
        <w:spacing w:before="31" w:after="31"/>
        <w:ind w:firstLine="480"/>
        <w:rPr>
          <w:szCs w:val="24"/>
        </w:rPr>
      </w:pPr>
      <w:r>
        <w:rPr>
          <w:szCs w:val="24"/>
        </w:rPr>
        <w:t>A 270 kW·h locomotive manufactured by a locomotive factory had its bogie bearings, deep groove ball bearings manufactured by SKF in Sweden with a rated speed of 1300 r/min. After being put into operation and working normally for over two months, the bearing suddenly triggered an overheating alarm, indicating temperatures exceeding 200°C on the inner surface of the bearing. Upon inspection, fractures were discovered in multiple locations on the outer ring of the bearing. At the time of the failure, the locomotive had accumulated over 10,000 kilometers of operation.</w:t>
      </w:r>
    </w:p>
    <w:p w14:paraId="32A01035">
      <w:pPr>
        <w:pStyle w:val="16"/>
        <w:spacing w:before="31" w:after="31"/>
        <w:ind w:firstLine="480"/>
        <w:rPr>
          <w:szCs w:val="24"/>
        </w:rPr>
      </w:pPr>
      <w:r>
        <w:rPr>
          <w:szCs w:val="24"/>
        </w:rPr>
        <w:t>(3) Service Environment</w:t>
      </w:r>
    </w:p>
    <w:p w14:paraId="419A8AD5">
      <w:pPr>
        <w:pStyle w:val="16"/>
        <w:spacing w:before="31" w:after="31"/>
        <w:ind w:firstLine="480"/>
        <w:rPr>
          <w:szCs w:val="24"/>
        </w:rPr>
      </w:pPr>
      <w:r>
        <w:rPr>
          <w:szCs w:val="24"/>
        </w:rPr>
        <w:t>High-speed operation.</w:t>
      </w:r>
    </w:p>
    <w:p w14:paraId="60CCF574">
      <w:pPr>
        <w:pStyle w:val="16"/>
        <w:spacing w:before="31" w:after="31"/>
        <w:ind w:firstLine="480"/>
        <w:rPr>
          <w:szCs w:val="24"/>
        </w:rPr>
      </w:pPr>
      <w:r>
        <w:rPr>
          <w:szCs w:val="24"/>
        </w:rPr>
        <w:t>(4) Failed Component and Material</w:t>
      </w:r>
    </w:p>
    <w:p w14:paraId="31F14872">
      <w:pPr>
        <w:pStyle w:val="16"/>
        <w:spacing w:before="31" w:after="31"/>
        <w:ind w:firstLine="480"/>
        <w:rPr>
          <w:szCs w:val="24"/>
        </w:rPr>
      </w:pPr>
      <w:r>
        <w:rPr>
          <w:szCs w:val="24"/>
        </w:rPr>
        <w:t>(a) Material and Composition</w:t>
      </w:r>
    </w:p>
    <w:p w14:paraId="10750712">
      <w:pPr>
        <w:pStyle w:val="16"/>
        <w:spacing w:before="31" w:after="31"/>
        <w:ind w:firstLine="480"/>
        <w:rPr>
          <w:szCs w:val="24"/>
        </w:rPr>
      </w:pPr>
      <w:r>
        <w:rPr>
          <w:szCs w:val="24"/>
        </w:rPr>
        <w:t>The failed component was the fractured outer ring of the bearing, with the material grade SKF3, equivalent to Chinese GCr15. The structure was tempered martensite at high temperatures, and the chemical composition analysis met the Swedish national standard (B10101 SKFD33 1988).</w:t>
      </w:r>
    </w:p>
    <w:p w14:paraId="749D0637">
      <w:pPr>
        <w:pStyle w:val="16"/>
        <w:spacing w:before="31" w:after="31"/>
        <w:ind w:firstLine="480"/>
        <w:rPr>
          <w:szCs w:val="24"/>
        </w:rPr>
      </w:pPr>
    </w:p>
    <w:p w14:paraId="47047387">
      <w:pPr>
        <w:pStyle w:val="16"/>
        <w:spacing w:before="31" w:after="31"/>
        <w:ind w:firstLine="480"/>
        <w:rPr>
          <w:szCs w:val="24"/>
        </w:rPr>
      </w:pPr>
      <w:r>
        <w:rPr>
          <w:szCs w:val="24"/>
        </w:rPr>
        <w:t>(b) Mechanical Properties</w:t>
      </w:r>
    </w:p>
    <w:p w14:paraId="10D0CC26">
      <w:pPr>
        <w:pStyle w:val="16"/>
        <w:spacing w:before="31" w:after="31"/>
        <w:ind w:firstLine="480"/>
        <w:rPr>
          <w:szCs w:val="24"/>
        </w:rPr>
      </w:pPr>
      <w:r>
        <w:rPr>
          <w:szCs w:val="24"/>
        </w:rPr>
        <w:t>The hardness values at different depths along the longitudinal section of the outer ring are shown in Table 8-4. The metal hardness near the bogie bearing raceway and guiding surface exhibited a significant decrease.</w:t>
      </w:r>
    </w:p>
    <w:p w14:paraId="353499EF">
      <w:pPr>
        <w:pStyle w:val="16"/>
        <w:spacing w:before="31" w:after="31"/>
        <w:ind w:firstLine="482"/>
        <w:jc w:val="center"/>
        <w:rPr>
          <w:b/>
          <w:bCs/>
          <w:szCs w:val="24"/>
        </w:rPr>
      </w:pPr>
      <w:r>
        <w:rPr>
          <w:b/>
          <w:bCs/>
          <w:szCs w:val="24"/>
        </w:rPr>
        <w:t>Table 8-4: Hardness Distribution at Different Depths in the Outer Ring of the Bearing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
        <w:gridCol w:w="888"/>
        <w:gridCol w:w="601"/>
        <w:gridCol w:w="601"/>
        <w:gridCol w:w="601"/>
        <w:gridCol w:w="601"/>
        <w:gridCol w:w="601"/>
        <w:gridCol w:w="601"/>
        <w:gridCol w:w="601"/>
        <w:gridCol w:w="601"/>
        <w:gridCol w:w="601"/>
        <w:gridCol w:w="601"/>
        <w:gridCol w:w="601"/>
      </w:tblGrid>
      <w:tr w14:paraId="07B6C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14:paraId="1669B162">
            <w:pPr>
              <w:pStyle w:val="16"/>
              <w:spacing w:before="31" w:after="31"/>
              <w:ind w:firstLine="0" w:firstLineChars="0"/>
              <w:rPr>
                <w:szCs w:val="24"/>
              </w:rPr>
            </w:pPr>
            <w:r>
              <w:rPr>
                <w:szCs w:val="24"/>
              </w:rPr>
              <w:t>Profile</w:t>
            </w:r>
          </w:p>
        </w:tc>
        <w:tc>
          <w:tcPr>
            <w:tcW w:w="7560" w:type="dxa"/>
            <w:gridSpan w:val="12"/>
          </w:tcPr>
          <w:p w14:paraId="2B80CFF6">
            <w:pPr>
              <w:pStyle w:val="16"/>
              <w:spacing w:before="31" w:after="31"/>
              <w:ind w:firstLine="0" w:firstLineChars="0"/>
              <w:rPr>
                <w:szCs w:val="24"/>
              </w:rPr>
            </w:pPr>
            <w:r>
              <w:rPr>
                <w:szCs w:val="24"/>
              </w:rPr>
              <w:t>Hardness Value (Distance from Surface/mm)</w:t>
            </w:r>
          </w:p>
        </w:tc>
      </w:tr>
      <w:tr w14:paraId="15E16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14:paraId="0AA37A36">
            <w:pPr>
              <w:pStyle w:val="16"/>
              <w:spacing w:before="31" w:after="31"/>
              <w:ind w:firstLine="0" w:firstLineChars="0"/>
              <w:rPr>
                <w:szCs w:val="24"/>
              </w:rPr>
            </w:pPr>
          </w:p>
        </w:tc>
        <w:tc>
          <w:tcPr>
            <w:tcW w:w="1277" w:type="dxa"/>
          </w:tcPr>
          <w:p w14:paraId="3C942689">
            <w:pPr>
              <w:pStyle w:val="16"/>
              <w:spacing w:before="31" w:after="31"/>
              <w:ind w:firstLine="0" w:firstLineChars="0"/>
              <w:rPr>
                <w:szCs w:val="24"/>
              </w:rPr>
            </w:pPr>
            <w:r>
              <w:rPr>
                <w:szCs w:val="24"/>
              </w:rPr>
              <w:t>Surface</w:t>
            </w:r>
          </w:p>
        </w:tc>
        <w:tc>
          <w:tcPr>
            <w:tcW w:w="572" w:type="dxa"/>
          </w:tcPr>
          <w:p w14:paraId="1A972319">
            <w:pPr>
              <w:pStyle w:val="16"/>
              <w:spacing w:before="31" w:after="31"/>
              <w:ind w:firstLine="0" w:firstLineChars="0"/>
              <w:rPr>
                <w:szCs w:val="24"/>
              </w:rPr>
            </w:pPr>
            <w:r>
              <w:rPr>
                <w:szCs w:val="24"/>
              </w:rPr>
              <w:t>1.0</w:t>
            </w:r>
          </w:p>
        </w:tc>
        <w:tc>
          <w:tcPr>
            <w:tcW w:w="572" w:type="dxa"/>
          </w:tcPr>
          <w:p w14:paraId="332A3AF1">
            <w:pPr>
              <w:pStyle w:val="16"/>
              <w:spacing w:before="31" w:after="31"/>
              <w:ind w:firstLine="0" w:firstLineChars="0"/>
              <w:rPr>
                <w:szCs w:val="24"/>
              </w:rPr>
            </w:pPr>
            <w:r>
              <w:rPr>
                <w:szCs w:val="24"/>
              </w:rPr>
              <w:t>2.0</w:t>
            </w:r>
          </w:p>
        </w:tc>
        <w:tc>
          <w:tcPr>
            <w:tcW w:w="571" w:type="dxa"/>
          </w:tcPr>
          <w:p w14:paraId="7624069D">
            <w:pPr>
              <w:pStyle w:val="16"/>
              <w:spacing w:before="31" w:after="31"/>
              <w:ind w:firstLine="0" w:firstLineChars="0"/>
              <w:rPr>
                <w:szCs w:val="24"/>
              </w:rPr>
            </w:pPr>
            <w:r>
              <w:rPr>
                <w:szCs w:val="24"/>
              </w:rPr>
              <w:t>3.0</w:t>
            </w:r>
          </w:p>
        </w:tc>
        <w:tc>
          <w:tcPr>
            <w:tcW w:w="571" w:type="dxa"/>
          </w:tcPr>
          <w:p w14:paraId="5F1EB7C9">
            <w:pPr>
              <w:pStyle w:val="16"/>
              <w:spacing w:before="31" w:after="31"/>
              <w:ind w:firstLine="0" w:firstLineChars="0"/>
              <w:rPr>
                <w:szCs w:val="24"/>
              </w:rPr>
            </w:pPr>
            <w:r>
              <w:rPr>
                <w:szCs w:val="24"/>
              </w:rPr>
              <w:t>4.0</w:t>
            </w:r>
          </w:p>
        </w:tc>
        <w:tc>
          <w:tcPr>
            <w:tcW w:w="571" w:type="dxa"/>
          </w:tcPr>
          <w:p w14:paraId="387D7283">
            <w:pPr>
              <w:pStyle w:val="16"/>
              <w:spacing w:before="31" w:after="31"/>
              <w:ind w:firstLine="0" w:firstLineChars="0"/>
              <w:rPr>
                <w:szCs w:val="24"/>
              </w:rPr>
            </w:pPr>
            <w:r>
              <w:rPr>
                <w:szCs w:val="24"/>
              </w:rPr>
              <w:t>5.0</w:t>
            </w:r>
          </w:p>
        </w:tc>
        <w:tc>
          <w:tcPr>
            <w:tcW w:w="571" w:type="dxa"/>
          </w:tcPr>
          <w:p w14:paraId="3F9ED2EC">
            <w:pPr>
              <w:pStyle w:val="16"/>
              <w:spacing w:before="31" w:after="31"/>
              <w:ind w:firstLine="0" w:firstLineChars="0"/>
              <w:rPr>
                <w:szCs w:val="24"/>
              </w:rPr>
            </w:pPr>
            <w:r>
              <w:rPr>
                <w:szCs w:val="24"/>
              </w:rPr>
              <w:t>6.0</w:t>
            </w:r>
          </w:p>
        </w:tc>
        <w:tc>
          <w:tcPr>
            <w:tcW w:w="571" w:type="dxa"/>
          </w:tcPr>
          <w:p w14:paraId="4B0E7E93">
            <w:pPr>
              <w:pStyle w:val="16"/>
              <w:spacing w:before="31" w:after="31"/>
              <w:ind w:firstLine="0" w:firstLineChars="0"/>
              <w:rPr>
                <w:szCs w:val="24"/>
              </w:rPr>
            </w:pPr>
            <w:r>
              <w:rPr>
                <w:szCs w:val="24"/>
              </w:rPr>
              <w:t>7.0</w:t>
            </w:r>
          </w:p>
        </w:tc>
        <w:tc>
          <w:tcPr>
            <w:tcW w:w="571" w:type="dxa"/>
          </w:tcPr>
          <w:p w14:paraId="061ABB40">
            <w:pPr>
              <w:pStyle w:val="16"/>
              <w:spacing w:before="31" w:after="31"/>
              <w:ind w:firstLine="0" w:firstLineChars="0"/>
              <w:rPr>
                <w:szCs w:val="24"/>
              </w:rPr>
            </w:pPr>
            <w:r>
              <w:rPr>
                <w:szCs w:val="24"/>
              </w:rPr>
              <w:t>8.0</w:t>
            </w:r>
          </w:p>
        </w:tc>
        <w:tc>
          <w:tcPr>
            <w:tcW w:w="571" w:type="dxa"/>
          </w:tcPr>
          <w:p w14:paraId="4A8E44AA">
            <w:pPr>
              <w:pStyle w:val="16"/>
              <w:spacing w:before="31" w:after="31"/>
              <w:ind w:firstLine="0" w:firstLineChars="0"/>
              <w:rPr>
                <w:szCs w:val="24"/>
              </w:rPr>
            </w:pPr>
            <w:r>
              <w:rPr>
                <w:szCs w:val="24"/>
              </w:rPr>
              <w:t>9.0</w:t>
            </w:r>
          </w:p>
        </w:tc>
        <w:tc>
          <w:tcPr>
            <w:tcW w:w="571" w:type="dxa"/>
          </w:tcPr>
          <w:p w14:paraId="4EED135C">
            <w:pPr>
              <w:pStyle w:val="16"/>
              <w:spacing w:before="31" w:after="31"/>
              <w:ind w:firstLine="0" w:firstLineChars="0"/>
              <w:rPr>
                <w:szCs w:val="24"/>
              </w:rPr>
            </w:pPr>
            <w:r>
              <w:rPr>
                <w:szCs w:val="24"/>
              </w:rPr>
              <w:t>10.0</w:t>
            </w:r>
          </w:p>
        </w:tc>
        <w:tc>
          <w:tcPr>
            <w:tcW w:w="571" w:type="dxa"/>
          </w:tcPr>
          <w:p w14:paraId="780C95F2">
            <w:pPr>
              <w:pStyle w:val="16"/>
              <w:spacing w:before="31" w:after="31"/>
              <w:ind w:firstLine="0" w:firstLineChars="0"/>
              <w:rPr>
                <w:szCs w:val="24"/>
              </w:rPr>
            </w:pPr>
            <w:r>
              <w:rPr>
                <w:szCs w:val="24"/>
              </w:rPr>
              <w:t>11.0</w:t>
            </w:r>
          </w:p>
        </w:tc>
      </w:tr>
      <w:tr w14:paraId="1C166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14:paraId="03A61994">
            <w:pPr>
              <w:pStyle w:val="16"/>
              <w:spacing w:before="31" w:after="31"/>
              <w:ind w:firstLine="0" w:firstLineChars="0"/>
              <w:rPr>
                <w:szCs w:val="24"/>
              </w:rPr>
            </w:pPr>
            <w:r>
              <w:rPr>
                <w:szCs w:val="24"/>
              </w:rPr>
              <w:t>Guiding Surface Profile</w:t>
            </w:r>
          </w:p>
        </w:tc>
        <w:tc>
          <w:tcPr>
            <w:tcW w:w="1277" w:type="dxa"/>
          </w:tcPr>
          <w:p w14:paraId="162FE649">
            <w:pPr>
              <w:pStyle w:val="16"/>
              <w:spacing w:before="31" w:after="31"/>
              <w:ind w:firstLine="0" w:firstLineChars="0"/>
              <w:rPr>
                <w:szCs w:val="24"/>
              </w:rPr>
            </w:pPr>
            <w:r>
              <w:rPr>
                <w:szCs w:val="24"/>
              </w:rPr>
              <w:t>40.5</w:t>
            </w:r>
          </w:p>
        </w:tc>
        <w:tc>
          <w:tcPr>
            <w:tcW w:w="572" w:type="dxa"/>
          </w:tcPr>
          <w:p w14:paraId="46A235BE">
            <w:pPr>
              <w:pStyle w:val="16"/>
              <w:spacing w:before="31" w:after="31"/>
              <w:ind w:firstLine="0" w:firstLineChars="0"/>
              <w:rPr>
                <w:szCs w:val="24"/>
              </w:rPr>
            </w:pPr>
            <w:r>
              <w:rPr>
                <w:szCs w:val="24"/>
              </w:rPr>
              <w:t>50.4</w:t>
            </w:r>
          </w:p>
        </w:tc>
        <w:tc>
          <w:tcPr>
            <w:tcW w:w="572" w:type="dxa"/>
          </w:tcPr>
          <w:p w14:paraId="57F48ED7">
            <w:pPr>
              <w:pStyle w:val="16"/>
              <w:spacing w:before="31" w:after="31"/>
              <w:ind w:firstLine="0" w:firstLineChars="0"/>
              <w:rPr>
                <w:szCs w:val="24"/>
              </w:rPr>
            </w:pPr>
            <w:r>
              <w:rPr>
                <w:szCs w:val="24"/>
              </w:rPr>
              <w:t>52.9</w:t>
            </w:r>
          </w:p>
        </w:tc>
        <w:tc>
          <w:tcPr>
            <w:tcW w:w="571" w:type="dxa"/>
          </w:tcPr>
          <w:p w14:paraId="5C18BF9F">
            <w:pPr>
              <w:pStyle w:val="16"/>
              <w:spacing w:before="31" w:after="31"/>
              <w:ind w:firstLine="0" w:firstLineChars="0"/>
              <w:rPr>
                <w:szCs w:val="24"/>
              </w:rPr>
            </w:pPr>
            <w:r>
              <w:rPr>
                <w:szCs w:val="24"/>
              </w:rPr>
              <w:t>53.4</w:t>
            </w:r>
          </w:p>
        </w:tc>
        <w:tc>
          <w:tcPr>
            <w:tcW w:w="571" w:type="dxa"/>
          </w:tcPr>
          <w:p w14:paraId="3C7C17B8">
            <w:pPr>
              <w:pStyle w:val="16"/>
              <w:spacing w:before="31" w:after="31"/>
              <w:ind w:firstLine="0" w:firstLineChars="0"/>
              <w:rPr>
                <w:szCs w:val="24"/>
              </w:rPr>
            </w:pPr>
            <w:r>
              <w:rPr>
                <w:szCs w:val="24"/>
              </w:rPr>
              <w:t>55.4</w:t>
            </w:r>
          </w:p>
        </w:tc>
        <w:tc>
          <w:tcPr>
            <w:tcW w:w="571" w:type="dxa"/>
          </w:tcPr>
          <w:p w14:paraId="7FA6C954">
            <w:pPr>
              <w:pStyle w:val="16"/>
              <w:spacing w:before="31" w:after="31"/>
              <w:ind w:firstLine="0" w:firstLineChars="0"/>
              <w:rPr>
                <w:szCs w:val="24"/>
              </w:rPr>
            </w:pPr>
            <w:r>
              <w:rPr>
                <w:szCs w:val="24"/>
              </w:rPr>
              <w:t>55.5</w:t>
            </w:r>
          </w:p>
        </w:tc>
        <w:tc>
          <w:tcPr>
            <w:tcW w:w="571" w:type="dxa"/>
          </w:tcPr>
          <w:p w14:paraId="3C869367">
            <w:pPr>
              <w:pStyle w:val="16"/>
              <w:spacing w:before="31" w:after="31"/>
              <w:ind w:firstLine="0" w:firstLineChars="0"/>
              <w:rPr>
                <w:szCs w:val="24"/>
              </w:rPr>
            </w:pPr>
            <w:r>
              <w:rPr>
                <w:szCs w:val="24"/>
              </w:rPr>
              <w:t>57.9</w:t>
            </w:r>
          </w:p>
        </w:tc>
        <w:tc>
          <w:tcPr>
            <w:tcW w:w="571" w:type="dxa"/>
          </w:tcPr>
          <w:p w14:paraId="11D1A1E0">
            <w:pPr>
              <w:pStyle w:val="16"/>
              <w:spacing w:before="31" w:after="31"/>
              <w:ind w:firstLine="0" w:firstLineChars="0"/>
              <w:rPr>
                <w:szCs w:val="24"/>
              </w:rPr>
            </w:pPr>
            <w:r>
              <w:rPr>
                <w:szCs w:val="24"/>
              </w:rPr>
              <w:t>58.4</w:t>
            </w:r>
          </w:p>
        </w:tc>
        <w:tc>
          <w:tcPr>
            <w:tcW w:w="571" w:type="dxa"/>
          </w:tcPr>
          <w:p w14:paraId="323BBE7B">
            <w:pPr>
              <w:pStyle w:val="16"/>
              <w:spacing w:before="31" w:after="31"/>
              <w:ind w:firstLine="0" w:firstLineChars="0"/>
              <w:rPr>
                <w:szCs w:val="24"/>
              </w:rPr>
            </w:pPr>
            <w:r>
              <w:rPr>
                <w:szCs w:val="24"/>
              </w:rPr>
              <w:t>59.8</w:t>
            </w:r>
          </w:p>
        </w:tc>
        <w:tc>
          <w:tcPr>
            <w:tcW w:w="571" w:type="dxa"/>
          </w:tcPr>
          <w:p w14:paraId="39073FB0">
            <w:pPr>
              <w:pStyle w:val="16"/>
              <w:spacing w:before="31" w:after="31"/>
              <w:ind w:firstLine="0" w:firstLineChars="0"/>
              <w:rPr>
                <w:szCs w:val="24"/>
              </w:rPr>
            </w:pPr>
            <w:r>
              <w:rPr>
                <w:szCs w:val="24"/>
              </w:rPr>
              <w:t>60.3</w:t>
            </w:r>
          </w:p>
        </w:tc>
        <w:tc>
          <w:tcPr>
            <w:tcW w:w="571" w:type="dxa"/>
          </w:tcPr>
          <w:p w14:paraId="662315F5">
            <w:pPr>
              <w:pStyle w:val="16"/>
              <w:spacing w:before="31" w:after="31"/>
              <w:ind w:firstLine="0" w:firstLineChars="0"/>
              <w:rPr>
                <w:szCs w:val="24"/>
              </w:rPr>
            </w:pPr>
            <w:r>
              <w:rPr>
                <w:szCs w:val="24"/>
              </w:rPr>
              <w:t>60.9</w:t>
            </w:r>
          </w:p>
        </w:tc>
        <w:tc>
          <w:tcPr>
            <w:tcW w:w="571" w:type="dxa"/>
          </w:tcPr>
          <w:p w14:paraId="6B0E3BBB">
            <w:pPr>
              <w:pStyle w:val="16"/>
              <w:spacing w:before="31" w:after="31"/>
              <w:ind w:firstLine="0" w:firstLineChars="0"/>
              <w:rPr>
                <w:szCs w:val="24"/>
              </w:rPr>
            </w:pPr>
            <w:r>
              <w:rPr>
                <w:szCs w:val="24"/>
              </w:rPr>
              <w:t>61.2</w:t>
            </w:r>
          </w:p>
        </w:tc>
      </w:tr>
      <w:tr w14:paraId="462EE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14:paraId="233CC130">
            <w:pPr>
              <w:pStyle w:val="16"/>
              <w:spacing w:before="31" w:after="31"/>
              <w:ind w:firstLine="0" w:firstLineChars="0"/>
              <w:rPr>
                <w:szCs w:val="24"/>
              </w:rPr>
            </w:pPr>
            <w:r>
              <w:rPr>
                <w:szCs w:val="24"/>
              </w:rPr>
              <w:t>Raceway Bottom Profile</w:t>
            </w:r>
          </w:p>
        </w:tc>
        <w:tc>
          <w:tcPr>
            <w:tcW w:w="1277" w:type="dxa"/>
          </w:tcPr>
          <w:p w14:paraId="6CCC0F53">
            <w:pPr>
              <w:pStyle w:val="16"/>
              <w:spacing w:before="31" w:after="31"/>
              <w:ind w:firstLine="0" w:firstLineChars="0"/>
              <w:rPr>
                <w:szCs w:val="24"/>
              </w:rPr>
            </w:pPr>
            <w:r>
              <w:rPr>
                <w:szCs w:val="24"/>
              </w:rPr>
              <w:t>38.8</w:t>
            </w:r>
          </w:p>
        </w:tc>
        <w:tc>
          <w:tcPr>
            <w:tcW w:w="572" w:type="dxa"/>
          </w:tcPr>
          <w:p w14:paraId="6B74C887">
            <w:pPr>
              <w:pStyle w:val="16"/>
              <w:spacing w:before="31" w:after="31"/>
              <w:ind w:firstLine="0" w:firstLineChars="0"/>
              <w:rPr>
                <w:szCs w:val="24"/>
              </w:rPr>
            </w:pPr>
            <w:r>
              <w:rPr>
                <w:szCs w:val="24"/>
              </w:rPr>
              <w:t>34.4</w:t>
            </w:r>
          </w:p>
        </w:tc>
        <w:tc>
          <w:tcPr>
            <w:tcW w:w="572" w:type="dxa"/>
          </w:tcPr>
          <w:p w14:paraId="7A3DDA1A">
            <w:pPr>
              <w:pStyle w:val="16"/>
              <w:spacing w:before="31" w:after="31"/>
              <w:ind w:firstLine="0" w:firstLineChars="0"/>
              <w:rPr>
                <w:szCs w:val="24"/>
              </w:rPr>
            </w:pPr>
            <w:r>
              <w:rPr>
                <w:szCs w:val="24"/>
              </w:rPr>
              <w:t>41.6</w:t>
            </w:r>
          </w:p>
        </w:tc>
        <w:tc>
          <w:tcPr>
            <w:tcW w:w="571" w:type="dxa"/>
          </w:tcPr>
          <w:p w14:paraId="31E5096A">
            <w:pPr>
              <w:pStyle w:val="16"/>
              <w:spacing w:before="31" w:after="31"/>
              <w:ind w:firstLine="0" w:firstLineChars="0"/>
              <w:rPr>
                <w:szCs w:val="24"/>
              </w:rPr>
            </w:pPr>
            <w:r>
              <w:rPr>
                <w:szCs w:val="24"/>
              </w:rPr>
              <w:t>47.9</w:t>
            </w:r>
          </w:p>
        </w:tc>
        <w:tc>
          <w:tcPr>
            <w:tcW w:w="571" w:type="dxa"/>
          </w:tcPr>
          <w:p w14:paraId="3AA6E5A0">
            <w:pPr>
              <w:pStyle w:val="16"/>
              <w:spacing w:before="31" w:after="31"/>
              <w:ind w:firstLine="0" w:firstLineChars="0"/>
              <w:rPr>
                <w:szCs w:val="24"/>
              </w:rPr>
            </w:pPr>
            <w:r>
              <w:rPr>
                <w:szCs w:val="24"/>
              </w:rPr>
              <w:t>51.5</w:t>
            </w:r>
          </w:p>
        </w:tc>
        <w:tc>
          <w:tcPr>
            <w:tcW w:w="571" w:type="dxa"/>
          </w:tcPr>
          <w:p w14:paraId="2FC3F4DB">
            <w:pPr>
              <w:pStyle w:val="16"/>
              <w:spacing w:before="31" w:after="31"/>
              <w:ind w:firstLine="0" w:firstLineChars="0"/>
              <w:rPr>
                <w:szCs w:val="24"/>
              </w:rPr>
            </w:pPr>
            <w:r>
              <w:rPr>
                <w:szCs w:val="24"/>
              </w:rPr>
              <w:t>53.2</w:t>
            </w:r>
          </w:p>
        </w:tc>
        <w:tc>
          <w:tcPr>
            <w:tcW w:w="571" w:type="dxa"/>
          </w:tcPr>
          <w:p w14:paraId="0B954536">
            <w:pPr>
              <w:pStyle w:val="16"/>
              <w:spacing w:before="31" w:after="31"/>
              <w:ind w:firstLine="0" w:firstLineChars="0"/>
              <w:rPr>
                <w:szCs w:val="24"/>
              </w:rPr>
            </w:pPr>
            <w:r>
              <w:rPr>
                <w:szCs w:val="24"/>
              </w:rPr>
              <w:t>56.3</w:t>
            </w:r>
          </w:p>
        </w:tc>
        <w:tc>
          <w:tcPr>
            <w:tcW w:w="571" w:type="dxa"/>
          </w:tcPr>
          <w:p w14:paraId="788CDF50">
            <w:pPr>
              <w:pStyle w:val="16"/>
              <w:spacing w:before="31" w:after="31"/>
              <w:ind w:firstLine="0" w:firstLineChars="0"/>
              <w:rPr>
                <w:szCs w:val="24"/>
              </w:rPr>
            </w:pPr>
            <w:r>
              <w:rPr>
                <w:szCs w:val="24"/>
              </w:rPr>
              <w:t>57.9</w:t>
            </w:r>
          </w:p>
        </w:tc>
        <w:tc>
          <w:tcPr>
            <w:tcW w:w="571" w:type="dxa"/>
          </w:tcPr>
          <w:p w14:paraId="4F5FF0D4">
            <w:pPr>
              <w:pStyle w:val="16"/>
              <w:spacing w:before="31" w:after="31"/>
              <w:ind w:firstLine="0" w:firstLineChars="0"/>
              <w:rPr>
                <w:szCs w:val="24"/>
              </w:rPr>
            </w:pPr>
            <w:r>
              <w:rPr>
                <w:szCs w:val="24"/>
              </w:rPr>
              <w:t>58.8</w:t>
            </w:r>
          </w:p>
        </w:tc>
        <w:tc>
          <w:tcPr>
            <w:tcW w:w="571" w:type="dxa"/>
          </w:tcPr>
          <w:p w14:paraId="2EA6DD18">
            <w:pPr>
              <w:pStyle w:val="16"/>
              <w:spacing w:before="31" w:after="31"/>
              <w:ind w:firstLine="0" w:firstLineChars="0"/>
              <w:rPr>
                <w:szCs w:val="24"/>
              </w:rPr>
            </w:pPr>
            <w:r>
              <w:rPr>
                <w:szCs w:val="24"/>
              </w:rPr>
              <w:t>59.4</w:t>
            </w:r>
          </w:p>
        </w:tc>
        <w:tc>
          <w:tcPr>
            <w:tcW w:w="571" w:type="dxa"/>
          </w:tcPr>
          <w:p w14:paraId="527CA0A8">
            <w:pPr>
              <w:pStyle w:val="16"/>
              <w:spacing w:before="31" w:after="31"/>
              <w:ind w:firstLine="0" w:firstLineChars="0"/>
              <w:rPr>
                <w:szCs w:val="24"/>
              </w:rPr>
            </w:pPr>
            <w:r>
              <w:rPr>
                <w:szCs w:val="24"/>
              </w:rPr>
              <w:t>--</w:t>
            </w:r>
          </w:p>
        </w:tc>
        <w:tc>
          <w:tcPr>
            <w:tcW w:w="571" w:type="dxa"/>
          </w:tcPr>
          <w:p w14:paraId="122C3D0D">
            <w:pPr>
              <w:pStyle w:val="16"/>
              <w:spacing w:before="31" w:after="31"/>
              <w:ind w:firstLine="0" w:firstLineChars="0"/>
              <w:rPr>
                <w:szCs w:val="24"/>
              </w:rPr>
            </w:pPr>
          </w:p>
        </w:tc>
      </w:tr>
    </w:tbl>
    <w:p w14:paraId="41EA9AF4">
      <w:pPr>
        <w:pStyle w:val="16"/>
        <w:spacing w:before="31" w:after="31"/>
        <w:ind w:firstLine="480"/>
        <w:rPr>
          <w:szCs w:val="24"/>
        </w:rPr>
      </w:pPr>
      <w:r>
        <w:rPr>
          <w:szCs w:val="24"/>
        </w:rPr>
        <w:t>--</w:t>
      </w:r>
      <w:r>
        <w:rPr>
          <w:szCs w:val="24"/>
        </w:rPr>
        <w:tab/>
      </w:r>
      <w:r>
        <w:rPr>
          <w:szCs w:val="24"/>
        </w:rPr>
        <w:t>-----</w:t>
      </w:r>
    </w:p>
    <w:p w14:paraId="604760C0">
      <w:pPr>
        <w:pStyle w:val="16"/>
        <w:spacing w:before="31" w:after="31"/>
        <w:ind w:firstLine="480"/>
        <w:rPr>
          <w:szCs w:val="24"/>
        </w:rPr>
      </w:pPr>
    </w:p>
    <w:p w14:paraId="2D5784FC">
      <w:pPr>
        <w:pStyle w:val="16"/>
        <w:spacing w:before="31" w:after="31"/>
        <w:ind w:firstLine="480"/>
        <w:rPr>
          <w:szCs w:val="24"/>
        </w:rPr>
      </w:pPr>
      <w:r>
        <w:rPr>
          <w:szCs w:val="24"/>
        </w:rPr>
        <w:t>(5) Component Failure Morphology</w:t>
      </w:r>
    </w:p>
    <w:p w14:paraId="11958C38">
      <w:pPr>
        <w:pStyle w:val="16"/>
        <w:spacing w:before="31" w:after="31"/>
        <w:ind w:firstLine="480"/>
        <w:rPr>
          <w:szCs w:val="24"/>
        </w:rPr>
      </w:pPr>
      <w:r>
        <w:rPr>
          <w:szCs w:val="24"/>
        </w:rPr>
        <w:t>(a) Macroscopic Morphology</w:t>
      </w:r>
    </w:p>
    <w:p w14:paraId="3130FD90">
      <w:pPr>
        <w:pStyle w:val="16"/>
        <w:spacing w:before="31" w:after="31"/>
        <w:ind w:firstLine="480"/>
        <w:rPr>
          <w:szCs w:val="24"/>
        </w:rPr>
      </w:pPr>
      <w:r>
        <w:rPr>
          <w:szCs w:val="24"/>
        </w:rPr>
        <w:t>The macroscopic morphology of the fractured outer ring of the bearing and the retaining cage is shown in Figures 8-7.1 and 8-7.2, respectively. The raceway surface and guiding surface of the outer ring showed a golden color, the bearing cage experienced severe deformation and fracture. The guiding surface of the outer ring exhibited dense transverse cracks and circumferential abrasion marks, and the shoulder of the raceway protruded due to the deformation caused by the compression of the steel balls (Figure 8-7.3). The side of the outer ring near the guiding surface had blue or purple burn marks (Figure 8-7.4). The outer guiding surface of the bearing cage suffered severe abrasion, and the cage holes were severely worn and deformed, with a significant elongation of the hole diameter (Figure 8-7.5). The ball surface was almost entirely golden.</w:t>
      </w:r>
    </w:p>
    <w:p w14:paraId="1CB5CC8C">
      <w:pPr>
        <w:pStyle w:val="16"/>
        <w:spacing w:before="31" w:after="31"/>
        <w:ind w:firstLine="482"/>
        <w:jc w:val="center"/>
        <w:rPr>
          <w:b/>
          <w:bCs/>
          <w:szCs w:val="24"/>
        </w:rPr>
      </w:pPr>
      <w:r>
        <w:rPr>
          <w:b/>
          <w:bCs/>
          <w:szCs w:val="24"/>
        </w:rPr>
        <w:t>Figure 8-7.1: Macroscopic Morphology of Fractured Outer Ring of Bearing</w:t>
      </w:r>
    </w:p>
    <w:p w14:paraId="6C52391C">
      <w:pPr>
        <w:pStyle w:val="16"/>
        <w:spacing w:before="31" w:after="31"/>
        <w:ind w:firstLine="482"/>
        <w:jc w:val="center"/>
        <w:rPr>
          <w:b/>
          <w:bCs/>
          <w:szCs w:val="24"/>
        </w:rPr>
      </w:pPr>
      <w:r>
        <w:rPr>
          <w:b/>
          <w:bCs/>
          <w:szCs w:val="24"/>
        </w:rPr>
        <w:t>Figure 8-7.2: Macroscopic Morphology of Fractured Bearing Cage</w:t>
      </w:r>
    </w:p>
    <w:p w14:paraId="44590BD5">
      <w:pPr>
        <w:pStyle w:val="16"/>
        <w:spacing w:before="31" w:after="31"/>
        <w:ind w:firstLine="482"/>
        <w:jc w:val="center"/>
        <w:rPr>
          <w:b/>
          <w:bCs/>
          <w:szCs w:val="24"/>
        </w:rPr>
      </w:pPr>
      <w:r>
        <w:rPr>
          <w:b/>
          <w:bCs/>
          <w:szCs w:val="24"/>
        </w:rPr>
        <w:t>Figure 8-7.3: Macroscopic Morphology of Transverse Cracks on Guiding Surface of Outer Ring</w:t>
      </w:r>
    </w:p>
    <w:p w14:paraId="3CBBFD36">
      <w:pPr>
        <w:pStyle w:val="16"/>
        <w:spacing w:before="31" w:after="31"/>
        <w:ind w:firstLine="482"/>
        <w:jc w:val="center"/>
        <w:rPr>
          <w:b/>
          <w:bCs/>
          <w:szCs w:val="24"/>
        </w:rPr>
      </w:pPr>
      <w:r>
        <w:rPr>
          <w:b/>
          <w:bCs/>
          <w:szCs w:val="24"/>
        </w:rPr>
        <w:t>Figure 8-7.4: Burn Marks on the End Face Near the Guiding Surface</w:t>
      </w:r>
    </w:p>
    <w:p w14:paraId="4BEAD4C4">
      <w:pPr>
        <w:pStyle w:val="16"/>
        <w:spacing w:before="31" w:after="31"/>
        <w:ind w:firstLine="482"/>
        <w:jc w:val="center"/>
        <w:rPr>
          <w:b/>
          <w:bCs/>
          <w:szCs w:val="24"/>
        </w:rPr>
      </w:pPr>
      <w:r>
        <w:rPr>
          <w:b/>
          <w:bCs/>
          <w:szCs w:val="24"/>
        </w:rPr>
        <w:t>Figure 8-7.5: Macroscopic Morphology of the Outer Guiding Surface of the Bearing Cage</w:t>
      </w:r>
    </w:p>
    <w:p w14:paraId="0AF151F3">
      <w:pPr>
        <w:pStyle w:val="16"/>
        <w:spacing w:before="31" w:after="31"/>
        <w:ind w:firstLine="480"/>
        <w:rPr>
          <w:szCs w:val="24"/>
        </w:rPr>
      </w:pPr>
    </w:p>
    <w:p w14:paraId="66E19C95">
      <w:pPr>
        <w:pStyle w:val="16"/>
        <w:spacing w:before="31" w:after="31"/>
        <w:ind w:firstLine="480"/>
        <w:rPr>
          <w:szCs w:val="24"/>
        </w:rPr>
      </w:pPr>
      <w:r>
        <w:rPr>
          <w:szCs w:val="24"/>
        </w:rPr>
        <w:t>Macroscopic observations indicated that the fracture surface of the outer ring of the bearing was essentially transverse to the circumferential direction, forming a transverse fracture. The macroscopic morphology of the fracture surface showed a smooth cut, with no apparent plastic deformation in the adjacent metal. Some fracture surfaces had turned blue due to overheating, as shown in Figure 8-7.6. The top of the photo shows two matching fracture surfaces, and several macroscopic fatigue streaks can be seen on the matched surfaces. Based on the direction of these macroscopic fatigue streaks, it can be inferred that the cracks originated on the guiding surface of the outer ring of the bearing.</w:t>
      </w:r>
    </w:p>
    <w:p w14:paraId="70D06D62">
      <w:pPr>
        <w:pStyle w:val="16"/>
        <w:spacing w:before="31" w:after="31"/>
        <w:ind w:firstLine="482"/>
        <w:jc w:val="center"/>
        <w:rPr>
          <w:b/>
          <w:bCs/>
          <w:szCs w:val="24"/>
        </w:rPr>
      </w:pPr>
      <w:r>
        <w:rPr>
          <w:b/>
          <w:bCs/>
          <w:szCs w:val="24"/>
        </w:rPr>
        <w:t>Figure 8-7.6: Macroscopic Morphology of the Fractured Outer Ring of the Bearing</w:t>
      </w:r>
    </w:p>
    <w:p w14:paraId="070149B5">
      <w:pPr>
        <w:pStyle w:val="16"/>
        <w:spacing w:before="31" w:after="31"/>
        <w:ind w:firstLine="480"/>
        <w:rPr>
          <w:szCs w:val="24"/>
        </w:rPr>
      </w:pPr>
    </w:p>
    <w:p w14:paraId="57755708">
      <w:pPr>
        <w:pStyle w:val="16"/>
        <w:spacing w:before="31" w:after="31"/>
        <w:ind w:firstLine="480"/>
        <w:rPr>
          <w:szCs w:val="24"/>
        </w:rPr>
      </w:pPr>
      <w:r>
        <w:rPr>
          <w:szCs w:val="24"/>
        </w:rPr>
        <w:t>(b) Microscopic Morphology</w:t>
      </w:r>
    </w:p>
    <w:p w14:paraId="4B98A32D">
      <w:pPr>
        <w:pStyle w:val="16"/>
        <w:spacing w:before="31" w:after="31"/>
        <w:ind w:firstLine="480"/>
        <w:rPr>
          <w:szCs w:val="24"/>
        </w:rPr>
      </w:pPr>
      <w:r>
        <w:rPr>
          <w:szCs w:val="24"/>
        </w:rPr>
        <w:t>In regions far from the raceway surface and guiding surface, the microstructure was martensitic matrix with a large distribution of carbides. The carbides in the outer ring of the bearing were small and uniform, with no uneven distribution of carbides observed (Figure 8-7.7). There were no significant non-metallic inclusions in the steel of the fractured outer ring of the bearing.</w:t>
      </w:r>
    </w:p>
    <w:p w14:paraId="00420983">
      <w:pPr>
        <w:pStyle w:val="16"/>
        <w:spacing w:before="31" w:after="31"/>
        <w:ind w:firstLine="482"/>
        <w:jc w:val="center"/>
        <w:rPr>
          <w:b/>
          <w:bCs/>
          <w:szCs w:val="24"/>
        </w:rPr>
      </w:pPr>
      <w:r>
        <w:rPr>
          <w:b/>
          <w:bCs/>
          <w:szCs w:val="24"/>
        </w:rPr>
        <w:t>Figure 8-7.7: Microstructure in Normal Area of the Outer Ring of the Bearing</w:t>
      </w:r>
    </w:p>
    <w:p w14:paraId="00739DF7">
      <w:pPr>
        <w:pStyle w:val="16"/>
        <w:spacing w:before="31" w:after="31"/>
        <w:ind w:firstLine="480"/>
        <w:rPr>
          <w:szCs w:val="24"/>
        </w:rPr>
      </w:pPr>
    </w:p>
    <w:p w14:paraId="6E7FC91F">
      <w:pPr>
        <w:pStyle w:val="16"/>
        <w:spacing w:before="31" w:after="31"/>
        <w:ind w:firstLine="480"/>
        <w:rPr>
          <w:szCs w:val="24"/>
        </w:rPr>
      </w:pPr>
      <w:r>
        <w:rPr>
          <w:szCs w:val="24"/>
        </w:rPr>
        <w:t>On the longitudinal section of the fractured guiding surface of the outer ring, there were numerous dense transverse cracks, and the cracks were perpendicular to the guiding surface, filled with brass (Figure 8-7.8). At the bottom of the raceway of the outer ring, there were many inclined cracks at an angle to the surface (Figure 8-7.9), and some cracks extended to the surface, leading to local peeling (Figure 8-7.10). The surface layer of the raceway bottom exhibited a white area with a depth of about 0.1mm (Figure 8-7.11). Additionally, the surface of the raceway bottom of the outer ring of the bearing had brass adhered to it (Figure 8-7.12). Microscopic observations indicated that the fracture surface of the bearing had a microstructure with quasi-cleavage and intergranular mixed fracture features, and at the crack propagation front, faint microscopic fatigue streaks could be observed.</w:t>
      </w:r>
    </w:p>
    <w:p w14:paraId="1E77393E">
      <w:pPr>
        <w:pStyle w:val="16"/>
        <w:spacing w:before="31" w:after="31"/>
        <w:ind w:firstLine="482"/>
        <w:jc w:val="center"/>
        <w:rPr>
          <w:b/>
          <w:bCs/>
          <w:szCs w:val="24"/>
        </w:rPr>
      </w:pPr>
      <w:r>
        <w:rPr>
          <w:b/>
          <w:bCs/>
          <w:szCs w:val="24"/>
        </w:rPr>
        <w:t>Figure 8-7.8: Transverse Section of Cracks on the Guiding Surface of the Outer Ring of the Bearing</w:t>
      </w:r>
    </w:p>
    <w:p w14:paraId="32120343">
      <w:pPr>
        <w:pStyle w:val="16"/>
        <w:spacing w:before="31" w:after="31"/>
        <w:ind w:firstLine="482"/>
        <w:jc w:val="center"/>
        <w:rPr>
          <w:b/>
          <w:bCs/>
          <w:szCs w:val="24"/>
        </w:rPr>
      </w:pPr>
      <w:r>
        <w:rPr>
          <w:b/>
          <w:bCs/>
          <w:szCs w:val="24"/>
        </w:rPr>
        <w:t>Figure 8-7.9: Vertical Section of Fatigue Crack on the Bottom of the Raceway of the Outer Ring</w:t>
      </w:r>
    </w:p>
    <w:p w14:paraId="2F6D1E58">
      <w:pPr>
        <w:pStyle w:val="16"/>
        <w:spacing w:before="31" w:after="31"/>
        <w:ind w:firstLine="482"/>
        <w:jc w:val="center"/>
        <w:rPr>
          <w:b/>
          <w:bCs/>
          <w:szCs w:val="24"/>
        </w:rPr>
      </w:pPr>
      <w:r>
        <w:rPr>
          <w:b/>
          <w:bCs/>
          <w:szCs w:val="24"/>
        </w:rPr>
        <w:t>Figure 8-7.10: Vertical Section of Fatigue Peel-off on the Bottom of the Raceway of the Outer Ring</w:t>
      </w:r>
    </w:p>
    <w:p w14:paraId="7D317C3B">
      <w:pPr>
        <w:pStyle w:val="16"/>
        <w:spacing w:before="31" w:after="31"/>
        <w:ind w:firstLine="482"/>
        <w:jc w:val="center"/>
        <w:rPr>
          <w:b/>
          <w:bCs/>
          <w:szCs w:val="24"/>
        </w:rPr>
      </w:pPr>
      <w:r>
        <w:rPr>
          <w:b/>
          <w:bCs/>
          <w:szCs w:val="24"/>
        </w:rPr>
        <w:t>Figure 8-7.11: Metal Microstructure on the Surface of the Bottom of the Raceway</w:t>
      </w:r>
    </w:p>
    <w:p w14:paraId="09C925EE">
      <w:pPr>
        <w:pStyle w:val="16"/>
        <w:spacing w:before="31" w:after="31"/>
        <w:ind w:firstLine="482"/>
        <w:jc w:val="center"/>
        <w:rPr>
          <w:b/>
          <w:bCs/>
          <w:szCs w:val="24"/>
        </w:rPr>
      </w:pPr>
      <w:r>
        <w:rPr>
          <w:b/>
          <w:bCs/>
          <w:szCs w:val="24"/>
        </w:rPr>
        <w:t>Figure 8-7.12: Vertical Section of Brass Adhered to the Bottom of the Raceway of the Outer Ring</w:t>
      </w:r>
    </w:p>
    <w:p w14:paraId="04C0C93F">
      <w:pPr>
        <w:pStyle w:val="16"/>
        <w:spacing w:before="31" w:after="31"/>
        <w:ind w:firstLine="480"/>
        <w:rPr>
          <w:szCs w:val="24"/>
        </w:rPr>
      </w:pPr>
    </w:p>
    <w:p w14:paraId="72F528AF">
      <w:pPr>
        <w:pStyle w:val="16"/>
        <w:spacing w:before="31" w:after="31"/>
        <w:ind w:firstLine="480"/>
        <w:rPr>
          <w:szCs w:val="24"/>
        </w:rPr>
      </w:pPr>
      <w:r>
        <w:rPr>
          <w:szCs w:val="24"/>
        </w:rPr>
        <w:t>(6) Analysis of Failure Causes</w:t>
      </w:r>
    </w:p>
    <w:p w14:paraId="4226C79F">
      <w:pPr>
        <w:pStyle w:val="16"/>
        <w:spacing w:before="31" w:after="31"/>
        <w:ind w:firstLine="480"/>
        <w:rPr>
          <w:szCs w:val="24"/>
        </w:rPr>
      </w:pPr>
      <w:r>
        <w:rPr>
          <w:szCs w:val="24"/>
        </w:rPr>
        <w:t>The fracture of the inspected bogie bearing is categorized as fatigue failure under alternating stress.</w:t>
      </w:r>
    </w:p>
    <w:p w14:paraId="64C4F6F3">
      <w:pPr>
        <w:pStyle w:val="16"/>
        <w:spacing w:before="31" w:after="31"/>
        <w:ind w:firstLine="480"/>
        <w:rPr>
          <w:szCs w:val="24"/>
        </w:rPr>
      </w:pPr>
    </w:p>
    <w:p w14:paraId="7342C076">
      <w:pPr>
        <w:pStyle w:val="16"/>
        <w:spacing w:before="31" w:after="31"/>
        <w:ind w:firstLine="480"/>
        <w:rPr>
          <w:szCs w:val="24"/>
        </w:rPr>
      </w:pPr>
      <w:r>
        <w:rPr>
          <w:szCs w:val="24"/>
        </w:rPr>
        <w:t>(7) Impact and Harm Caused</w:t>
      </w:r>
    </w:p>
    <w:p w14:paraId="62DE5631">
      <w:pPr>
        <w:pStyle w:val="16"/>
        <w:spacing w:before="31" w:after="31"/>
        <w:ind w:firstLine="480"/>
        <w:rPr>
          <w:szCs w:val="24"/>
        </w:rPr>
      </w:pPr>
      <w:r>
        <w:rPr>
          <w:szCs w:val="24"/>
        </w:rPr>
        <w:t>The accident resulted in the fracture of the outer ring of the bearing, leading to the locomotive being taken out of service.</w:t>
      </w:r>
    </w:p>
    <w:p w14:paraId="069D823A">
      <w:pPr>
        <w:pStyle w:val="16"/>
        <w:spacing w:before="31" w:after="31"/>
        <w:ind w:firstLine="480"/>
        <w:rPr>
          <w:szCs w:val="24"/>
        </w:rPr>
      </w:pPr>
    </w:p>
    <w:p w14:paraId="6399982D">
      <w:pPr>
        <w:pStyle w:val="16"/>
        <w:spacing w:before="31" w:after="31"/>
        <w:ind w:firstLine="480"/>
        <w:rPr>
          <w:szCs w:val="24"/>
        </w:rPr>
      </w:pPr>
      <w:r>
        <w:rPr>
          <w:szCs w:val="24"/>
        </w:rPr>
        <w:t>(8) Conclusion and Improvement Measures</w:t>
      </w:r>
    </w:p>
    <w:p w14:paraId="166FDD87">
      <w:pPr>
        <w:pStyle w:val="16"/>
        <w:spacing w:before="31" w:after="31"/>
        <w:ind w:firstLine="480"/>
        <w:rPr>
          <w:szCs w:val="24"/>
        </w:rPr>
      </w:pPr>
      <w:r>
        <w:rPr>
          <w:szCs w:val="24"/>
        </w:rPr>
        <w:t>The fracture of the bogie bearing is classified as a fatigue failure under alternating stress.</w:t>
      </w:r>
    </w:p>
    <w:p w14:paraId="71181319">
      <w:pPr>
        <w:pStyle w:val="16"/>
        <w:spacing w:before="31" w:after="31"/>
        <w:ind w:firstLine="0" w:firstLineChars="0"/>
        <w:rPr>
          <w:szCs w:val="24"/>
        </w:rPr>
      </w:pPr>
      <w:r>
        <w:rPr>
          <w:szCs w:val="24"/>
        </w:rPr>
        <w:t>8.2.8 Case 8-8: Major Derailment Accident of Train 10915 on the Beijing-Kowloon Railway</w:t>
      </w:r>
    </w:p>
    <w:p w14:paraId="43A190A1">
      <w:pPr>
        <w:pStyle w:val="16"/>
        <w:spacing w:before="31" w:after="31"/>
        <w:ind w:firstLine="480"/>
        <w:rPr>
          <w:szCs w:val="24"/>
        </w:rPr>
      </w:pPr>
      <w:r>
        <w:rPr>
          <w:szCs w:val="24"/>
        </w:rPr>
        <w:t>(1) Case Name</w:t>
      </w:r>
    </w:p>
    <w:p w14:paraId="283655B8">
      <w:pPr>
        <w:pStyle w:val="16"/>
        <w:spacing w:before="31" w:after="31"/>
        <w:ind w:firstLine="480"/>
        <w:rPr>
          <w:szCs w:val="24"/>
        </w:rPr>
      </w:pPr>
      <w:r>
        <w:rPr>
          <w:szCs w:val="24"/>
        </w:rPr>
        <w:t>Major Derailment Accident of Train 10915 on the Beijing-Kowloon Railway [15]</w:t>
      </w:r>
    </w:p>
    <w:p w14:paraId="47833688">
      <w:pPr>
        <w:pStyle w:val="16"/>
        <w:spacing w:before="31" w:after="31"/>
        <w:ind w:firstLine="480"/>
        <w:rPr>
          <w:szCs w:val="24"/>
        </w:rPr>
      </w:pPr>
      <w:r>
        <w:rPr>
          <w:szCs w:val="24"/>
        </w:rPr>
        <w:t>(2) Description of Failure Process</w:t>
      </w:r>
    </w:p>
    <w:p w14:paraId="0FCFCC36">
      <w:pPr>
        <w:pStyle w:val="16"/>
        <w:spacing w:before="31" w:after="31"/>
        <w:ind w:firstLine="480"/>
        <w:rPr>
          <w:szCs w:val="24"/>
        </w:rPr>
      </w:pPr>
      <w:r>
        <w:rPr>
          <w:szCs w:val="24"/>
        </w:rPr>
        <w:t xml:space="preserve">On July </w:t>
      </w:r>
    </w:p>
    <w:p w14:paraId="31D9EE10">
      <w:pPr>
        <w:pStyle w:val="16"/>
        <w:spacing w:before="31" w:after="31"/>
        <w:ind w:firstLine="480"/>
        <w:rPr>
          <w:szCs w:val="24"/>
        </w:rPr>
      </w:pPr>
    </w:p>
    <w:p w14:paraId="108EA95E">
      <w:pPr>
        <w:pStyle w:val="16"/>
        <w:spacing w:before="31" w:after="31"/>
        <w:ind w:firstLine="480"/>
        <w:rPr>
          <w:szCs w:val="24"/>
        </w:rPr>
      </w:pPr>
      <w:r>
        <w:rPr>
          <w:szCs w:val="24"/>
        </w:rPr>
        <w:t>26, 2004, at 18:46, Train 10915 (consisting of 49 cars with a total weight of 4000 t, drawn by locomotive DF4B9354 from the Fuxin Locomotive Depot) derailed at location K519+540 on the down line between Renxiangtun and Yiyuncun on the Beijing-Kowloon Railway. The derailment was caused by the cold cutting of one axle head on the 40th car (car number: C62A4528204, last repaired at the Erqi Factory in February 2000, overhauled by Shendagu Depot in February 2003, and auxiliary repaired on February 4, 2004).</w:t>
      </w:r>
    </w:p>
    <w:p w14:paraId="4C042E8D">
      <w:pPr>
        <w:pStyle w:val="16"/>
        <w:spacing w:before="31" w:after="31"/>
        <w:ind w:firstLine="480"/>
        <w:rPr>
          <w:szCs w:val="24"/>
        </w:rPr>
      </w:pPr>
    </w:p>
    <w:p w14:paraId="577AA1ED">
      <w:pPr>
        <w:pStyle w:val="16"/>
        <w:spacing w:before="31" w:after="31"/>
        <w:ind w:firstLine="480"/>
        <w:rPr>
          <w:szCs w:val="24"/>
        </w:rPr>
      </w:pPr>
      <w:r>
        <w:rPr>
          <w:szCs w:val="24"/>
        </w:rPr>
        <w:t>(3) Component Service Environment</w:t>
      </w:r>
    </w:p>
    <w:p w14:paraId="16A2DE9C">
      <w:pPr>
        <w:pStyle w:val="16"/>
        <w:spacing w:before="31" w:after="31"/>
        <w:ind w:firstLine="480"/>
        <w:rPr>
          <w:szCs w:val="24"/>
        </w:rPr>
      </w:pPr>
      <w:r>
        <w:rPr>
          <w:szCs w:val="24"/>
        </w:rPr>
        <w:t>Railway environment</w:t>
      </w:r>
    </w:p>
    <w:p w14:paraId="0142D487">
      <w:pPr>
        <w:pStyle w:val="16"/>
        <w:spacing w:before="31" w:after="31"/>
        <w:ind w:firstLine="480"/>
        <w:rPr>
          <w:szCs w:val="24"/>
        </w:rPr>
      </w:pPr>
    </w:p>
    <w:p w14:paraId="7BDFE7F3">
      <w:pPr>
        <w:pStyle w:val="16"/>
        <w:spacing w:before="31" w:after="31"/>
        <w:ind w:firstLine="480"/>
        <w:rPr>
          <w:szCs w:val="24"/>
        </w:rPr>
      </w:pPr>
      <w:r>
        <w:rPr>
          <w:szCs w:val="24"/>
        </w:rPr>
        <w:t>(4) Failed Component and Material</w:t>
      </w:r>
    </w:p>
    <w:p w14:paraId="57D25C39">
      <w:pPr>
        <w:pStyle w:val="16"/>
        <w:spacing w:before="31" w:after="31"/>
        <w:ind w:firstLine="480"/>
        <w:rPr>
          <w:szCs w:val="24"/>
        </w:rPr>
      </w:pPr>
      <w:r>
        <w:rPr>
          <w:szCs w:val="24"/>
        </w:rPr>
        <w:t>Train 10915, the 40th car had one axle head cold-cut.</w:t>
      </w:r>
    </w:p>
    <w:p w14:paraId="3C28E155">
      <w:pPr>
        <w:pStyle w:val="16"/>
        <w:spacing w:before="31" w:after="31"/>
        <w:ind w:firstLine="480"/>
        <w:rPr>
          <w:szCs w:val="24"/>
        </w:rPr>
      </w:pPr>
    </w:p>
    <w:p w14:paraId="07593F91">
      <w:pPr>
        <w:pStyle w:val="16"/>
        <w:spacing w:before="31" w:after="31"/>
        <w:ind w:firstLine="480"/>
        <w:rPr>
          <w:szCs w:val="24"/>
        </w:rPr>
      </w:pPr>
      <w:r>
        <w:rPr>
          <w:szCs w:val="24"/>
        </w:rPr>
        <w:t>(5) Component Failure Morphology</w:t>
      </w:r>
    </w:p>
    <w:p w14:paraId="05E84E4F">
      <w:pPr>
        <w:pStyle w:val="16"/>
        <w:spacing w:before="31" w:after="31"/>
        <w:ind w:firstLine="480"/>
        <w:rPr>
          <w:szCs w:val="24"/>
        </w:rPr>
      </w:pPr>
      <w:r>
        <w:rPr>
          <w:szCs w:val="24"/>
        </w:rPr>
        <w:t>Microscopic analysis of the fracture at the crack source area, crack propagation area, instantaneous fracture area, and secondary crack source area was performed. The sampling positions are shown in Figure 8-8.1.</w:t>
      </w:r>
    </w:p>
    <w:p w14:paraId="3C10DBC1">
      <w:pPr>
        <w:pStyle w:val="16"/>
        <w:spacing w:before="31" w:after="31"/>
        <w:ind w:firstLine="480"/>
        <w:rPr>
          <w:szCs w:val="24"/>
        </w:rPr>
      </w:pPr>
    </w:p>
    <w:p w14:paraId="6DCB57A6">
      <w:pPr>
        <w:pStyle w:val="16"/>
        <w:spacing w:before="31" w:after="31"/>
        <w:ind w:firstLine="480"/>
        <w:rPr>
          <w:szCs w:val="24"/>
        </w:rPr>
      </w:pPr>
      <w:r>
        <w:rPr>
          <w:szCs w:val="24"/>
        </w:rPr>
        <w:t>Scanning electron microscopy revealed the following:</w:t>
      </w:r>
    </w:p>
    <w:p w14:paraId="2CEE61A9">
      <w:pPr>
        <w:pStyle w:val="16"/>
        <w:spacing w:before="31" w:after="31"/>
        <w:ind w:firstLine="480"/>
        <w:rPr>
          <w:szCs w:val="24"/>
        </w:rPr>
      </w:pPr>
    </w:p>
    <w:p w14:paraId="502548AA">
      <w:pPr>
        <w:pStyle w:val="16"/>
        <w:spacing w:before="31" w:after="31"/>
        <w:ind w:firstLine="480"/>
        <w:rPr>
          <w:szCs w:val="24"/>
        </w:rPr>
      </w:pPr>
      <w:r>
        <w:rPr>
          <w:szCs w:val="24"/>
        </w:rPr>
        <w:t>- The crack source was multiple, forming several small steps with a corresponding relationship between the height difference of the small steps and the spacing of the cutting marks. Microcracks extending along the cutting marks were visible on the outer surface of the axle (Figure 8-8.2).</w:t>
      </w:r>
    </w:p>
    <w:p w14:paraId="41618B68">
      <w:pPr>
        <w:pStyle w:val="16"/>
        <w:spacing w:before="31" w:after="31"/>
        <w:ind w:firstLine="480"/>
        <w:rPr>
          <w:szCs w:val="24"/>
        </w:rPr>
      </w:pPr>
      <w:r>
        <w:rPr>
          <w:szCs w:val="24"/>
        </w:rPr>
        <w:t>- In the main crack source area, the fracture surface was bright and smooth, displaying a pearlite lamellar structure, and longitudinal microcracks were observed on the axle surface (Figure 8-8.3).</w:t>
      </w:r>
    </w:p>
    <w:p w14:paraId="562DF2F7">
      <w:pPr>
        <w:pStyle w:val="16"/>
        <w:spacing w:before="31" w:after="31"/>
        <w:ind w:firstLine="480"/>
        <w:rPr>
          <w:szCs w:val="24"/>
        </w:rPr>
      </w:pPr>
      <w:r>
        <w:rPr>
          <w:szCs w:val="24"/>
        </w:rPr>
        <w:t>- In the crack propagation area, numerous fatigue accumulation damage microcracks were present (Figure 8-8.5).</w:t>
      </w:r>
    </w:p>
    <w:p w14:paraId="3BCED3EF">
      <w:pPr>
        <w:pStyle w:val="16"/>
        <w:spacing w:before="31" w:after="31"/>
        <w:ind w:firstLine="480"/>
        <w:rPr>
          <w:szCs w:val="24"/>
        </w:rPr>
      </w:pPr>
      <w:r>
        <w:rPr>
          <w:szCs w:val="24"/>
        </w:rPr>
        <w:t>- The instantaneous fracture area exhibited ductile dimple features (Figure 8-8.4).</w:t>
      </w:r>
    </w:p>
    <w:p w14:paraId="08A54860">
      <w:pPr>
        <w:pStyle w:val="16"/>
        <w:spacing w:before="31" w:after="31"/>
        <w:ind w:firstLine="480"/>
        <w:rPr>
          <w:szCs w:val="24"/>
        </w:rPr>
      </w:pPr>
      <w:r>
        <w:rPr>
          <w:szCs w:val="24"/>
        </w:rPr>
        <w:t>- Microcracks were observed on the axle surface near the fracture (Figure 8-8.5).</w:t>
      </w:r>
    </w:p>
    <w:p w14:paraId="47D64877">
      <w:pPr>
        <w:pStyle w:val="16"/>
        <w:spacing w:before="31" w:after="31"/>
        <w:ind w:firstLine="480"/>
        <w:rPr>
          <w:szCs w:val="24"/>
        </w:rPr>
      </w:pPr>
      <w:r>
        <w:rPr>
          <w:szCs w:val="24"/>
        </w:rPr>
        <w:t>- The fracture surface displayed a transgranular fracture feature.</w:t>
      </w:r>
    </w:p>
    <w:p w14:paraId="02A6E2EA">
      <w:pPr>
        <w:pStyle w:val="16"/>
        <w:spacing w:before="31" w:after="31"/>
        <w:ind w:firstLine="480"/>
        <w:rPr>
          <w:szCs w:val="24"/>
        </w:rPr>
      </w:pPr>
    </w:p>
    <w:p w14:paraId="575BCAC7">
      <w:pPr>
        <w:pStyle w:val="16"/>
        <w:spacing w:before="31" w:after="31"/>
        <w:ind w:firstLine="480"/>
        <w:rPr>
          <w:szCs w:val="24"/>
        </w:rPr>
      </w:pPr>
      <w:r>
        <w:rPr>
          <w:szCs w:val="24"/>
        </w:rPr>
        <w:t>Metallographic analysis revealed severe ferrite segregation in the fracture source area, uneven distribution in both longitudinal and transverse metallography, and several transverse cracks near the fracture surface (Figure 8-8.7). Internal microcracks were observed in the axle (Figure 8-8.8), and longitudinal microcracks on the fracture surface turned into transverse cracks from the longitudinal metallographic observations (Figure 8-8.8).</w:t>
      </w:r>
    </w:p>
    <w:p w14:paraId="777F0EBB">
      <w:pPr>
        <w:pStyle w:val="16"/>
        <w:spacing w:before="31" w:after="31"/>
        <w:ind w:firstLine="480"/>
        <w:rPr>
          <w:szCs w:val="24"/>
        </w:rPr>
      </w:pPr>
    </w:p>
    <w:p w14:paraId="6670B057">
      <w:pPr>
        <w:pStyle w:val="16"/>
        <w:spacing w:before="31" w:after="31"/>
        <w:ind w:firstLine="482"/>
        <w:jc w:val="center"/>
        <w:rPr>
          <w:b/>
          <w:bCs/>
          <w:szCs w:val="24"/>
        </w:rPr>
      </w:pPr>
      <w:r>
        <w:rPr>
          <w:b/>
          <w:bCs/>
          <w:szCs w:val="24"/>
        </w:rPr>
        <w:t>Figure 8-8.5: Fatigue Accumulation Damage Microcracks in the Axle Surface Rust Area</w:t>
      </w:r>
    </w:p>
    <w:p w14:paraId="0C29EF52">
      <w:pPr>
        <w:pStyle w:val="16"/>
        <w:spacing w:before="31" w:after="31"/>
        <w:ind w:firstLine="482"/>
        <w:jc w:val="center"/>
        <w:rPr>
          <w:b/>
          <w:bCs/>
          <w:szCs w:val="24"/>
        </w:rPr>
      </w:pPr>
    </w:p>
    <w:p w14:paraId="3FCEDDFA">
      <w:pPr>
        <w:pStyle w:val="16"/>
        <w:spacing w:before="31" w:after="31"/>
        <w:ind w:firstLine="482"/>
        <w:jc w:val="center"/>
        <w:rPr>
          <w:b/>
          <w:bCs/>
          <w:szCs w:val="24"/>
        </w:rPr>
      </w:pPr>
      <w:r>
        <w:rPr>
          <w:b/>
          <w:bCs/>
          <w:szCs w:val="24"/>
        </w:rPr>
        <w:t>(a) Metallographic Structure of the Fracture Source Area (100×) (b) Longitudinal (Inside the Axle) (100×)</w:t>
      </w:r>
    </w:p>
    <w:p w14:paraId="7E269AB4">
      <w:pPr>
        <w:pStyle w:val="16"/>
        <w:spacing w:before="31" w:after="31"/>
        <w:ind w:firstLine="482"/>
        <w:jc w:val="center"/>
        <w:rPr>
          <w:b/>
          <w:bCs/>
          <w:szCs w:val="24"/>
        </w:rPr>
      </w:pPr>
      <w:r>
        <w:rPr>
          <w:b/>
          <w:bCs/>
          <w:szCs w:val="24"/>
        </w:rPr>
        <w:t>Figure 8-8.6: Uneven Ferrite Segregation (a, b)</w:t>
      </w:r>
    </w:p>
    <w:p w14:paraId="5B85C208">
      <w:pPr>
        <w:pStyle w:val="16"/>
        <w:spacing w:before="31" w:after="31"/>
        <w:ind w:firstLine="482"/>
        <w:jc w:val="center"/>
        <w:rPr>
          <w:b/>
          <w:bCs/>
          <w:szCs w:val="24"/>
        </w:rPr>
      </w:pPr>
      <w:r>
        <w:rPr>
          <w:b/>
          <w:bCs/>
          <w:szCs w:val="24"/>
        </w:rPr>
        <w:t>Figure 8-8.7: Transverse Cracks near the Axle Surface Fracture (100×)</w:t>
      </w:r>
    </w:p>
    <w:p w14:paraId="3571A6BE">
      <w:pPr>
        <w:pStyle w:val="16"/>
        <w:spacing w:before="31" w:after="31"/>
        <w:ind w:firstLine="482"/>
        <w:jc w:val="center"/>
        <w:rPr>
          <w:b/>
          <w:bCs/>
          <w:szCs w:val="24"/>
        </w:rPr>
      </w:pPr>
    </w:p>
    <w:p w14:paraId="641687D6">
      <w:pPr>
        <w:pStyle w:val="16"/>
        <w:spacing w:before="31" w:after="31"/>
        <w:ind w:firstLine="482"/>
        <w:jc w:val="center"/>
        <w:rPr>
          <w:b/>
          <w:bCs/>
          <w:szCs w:val="24"/>
        </w:rPr>
      </w:pPr>
      <w:r>
        <w:rPr>
          <w:b/>
          <w:bCs/>
          <w:szCs w:val="24"/>
        </w:rPr>
        <w:t>Figure 8-8.8: Microcracks Inside the Axle (100×)</w:t>
      </w:r>
    </w:p>
    <w:p w14:paraId="4F65FB27">
      <w:pPr>
        <w:pStyle w:val="16"/>
        <w:spacing w:before="31" w:after="31"/>
        <w:ind w:firstLine="480"/>
        <w:rPr>
          <w:szCs w:val="24"/>
        </w:rPr>
      </w:pPr>
    </w:p>
    <w:p w14:paraId="1660DBEA">
      <w:pPr>
        <w:pStyle w:val="16"/>
        <w:spacing w:before="31" w:after="31"/>
        <w:ind w:firstLine="480"/>
        <w:rPr>
          <w:szCs w:val="24"/>
        </w:rPr>
      </w:pPr>
      <w:r>
        <w:rPr>
          <w:szCs w:val="24"/>
        </w:rPr>
        <w:t>(6) Analysis of Failure Causes</w:t>
      </w:r>
    </w:p>
    <w:p w14:paraId="1CE16432">
      <w:pPr>
        <w:pStyle w:val="16"/>
        <w:spacing w:before="31" w:after="31"/>
        <w:ind w:firstLine="480"/>
        <w:rPr>
          <w:szCs w:val="24"/>
        </w:rPr>
      </w:pPr>
      <w:r>
        <w:rPr>
          <w:szCs w:val="24"/>
        </w:rPr>
        <w:t>Based on the above inspections and analyses, the fracture process of axle 1564 is as follows:</w:t>
      </w:r>
    </w:p>
    <w:p w14:paraId="0DCD90E2">
      <w:pPr>
        <w:pStyle w:val="16"/>
        <w:spacing w:before="31" w:after="31"/>
        <w:ind w:firstLine="480"/>
        <w:rPr>
          <w:szCs w:val="24"/>
        </w:rPr>
      </w:pPr>
    </w:p>
    <w:p w14:paraId="223BE2DA">
      <w:pPr>
        <w:pStyle w:val="16"/>
        <w:spacing w:before="31" w:after="31"/>
        <w:ind w:firstLine="480"/>
        <w:rPr>
          <w:szCs w:val="24"/>
        </w:rPr>
      </w:pPr>
      <w:r>
        <w:rPr>
          <w:szCs w:val="24"/>
        </w:rPr>
        <w:t>- Near the fracture of axle 1564, there were obvious rust spots with a certain depth on the surface, and there were also machining marks caused by improper processing. During the operation of the train, the rust, individual deep machining marks, and fatigue accumulation damage on the surface of the axle collectively initiated fatigue microcracks, forming multiple crack initiation points. These initiation cracks expanded along the circumferential direction and simultaneously deepened. When the initially and predominantly several crack initiation points connected on the axle surface, forming an arc-shaped line source, they advanced together toward the depth of the axle, forming a concave expansion front. At the same time, crack initiation points on different planes formed steps macroscopically. During this stage of development, the closed effect and extremely small torsional displacement under the rotating bending load made this area smooth and bright, while other areas of crack initiation points were inhibited.</w:t>
      </w:r>
    </w:p>
    <w:p w14:paraId="6E7A9A3D">
      <w:pPr>
        <w:pStyle w:val="16"/>
        <w:spacing w:before="31" w:after="31"/>
        <w:ind w:firstLine="480"/>
        <w:rPr>
          <w:szCs w:val="24"/>
        </w:rPr>
      </w:pPr>
      <w:r>
        <w:rPr>
          <w:szCs w:val="24"/>
        </w:rPr>
        <w:t>- After the formation of the fatigue crack source, due to the serious ferrite segregation in the material of the axle (see Figure 8-8.6), a large number of fatigue accumulation damage microcracks were already present under the action of fatigue loads. This led to a rapid transition to the middle-speed expansion stage when the crack depth was approximately 40 mm, the fatigue bands disappeared, and the crack entered the fast expansion stage (Figure 8-8.6). Finally, under relatively small loads, the axle fractured.</w:t>
      </w:r>
    </w:p>
    <w:p w14:paraId="707BF637">
      <w:pPr>
        <w:pStyle w:val="16"/>
        <w:spacing w:before="31" w:after="31"/>
        <w:ind w:firstLine="480"/>
        <w:rPr>
          <w:szCs w:val="24"/>
        </w:rPr>
      </w:pPr>
    </w:p>
    <w:p w14:paraId="5EA19716">
      <w:pPr>
        <w:pStyle w:val="16"/>
        <w:spacing w:before="31" w:after="31"/>
        <w:ind w:firstLine="480"/>
        <w:rPr>
          <w:szCs w:val="24"/>
        </w:rPr>
      </w:pPr>
      <w:r>
        <w:rPr>
          <w:szCs w:val="24"/>
        </w:rPr>
        <w:t>(7) Impact and Harm Caused</w:t>
      </w:r>
    </w:p>
    <w:p w14:paraId="782E119D">
      <w:pPr>
        <w:pStyle w:val="16"/>
        <w:spacing w:before="31" w:after="31"/>
        <w:ind w:firstLine="480"/>
        <w:rPr>
          <w:szCs w:val="24"/>
        </w:rPr>
      </w:pPr>
      <w:r>
        <w:rPr>
          <w:szCs w:val="24"/>
        </w:rPr>
        <w:t>The accident resulted in significant direct economic losses and interrupted the up mainline for 15 hours and 44 minutes (from 18:46 on the 26th to 10:30 on the 27th), and the down mainline for 22 hours and 56 minutes (from 18:46 on the 26th to 17:42 on the 27th), constituting a major derailment accident of a freight train.</w:t>
      </w:r>
    </w:p>
    <w:p w14:paraId="1A66A016">
      <w:pPr>
        <w:pStyle w:val="16"/>
        <w:spacing w:before="31" w:after="31"/>
        <w:ind w:firstLine="480"/>
        <w:rPr>
          <w:szCs w:val="24"/>
        </w:rPr>
      </w:pPr>
    </w:p>
    <w:p w14:paraId="6E181CC5">
      <w:pPr>
        <w:pStyle w:val="16"/>
        <w:spacing w:before="31" w:after="31"/>
        <w:ind w:firstLine="480"/>
        <w:rPr>
          <w:szCs w:val="24"/>
        </w:rPr>
      </w:pPr>
      <w:r>
        <w:rPr>
          <w:szCs w:val="24"/>
        </w:rPr>
        <w:t>(8) Conclusion and Improvement Measures</w:t>
      </w:r>
    </w:p>
    <w:p w14:paraId="2E1494EC">
      <w:pPr>
        <w:pStyle w:val="16"/>
        <w:spacing w:before="31" w:after="31"/>
        <w:ind w:firstLine="480"/>
        <w:rPr>
          <w:szCs w:val="24"/>
        </w:rPr>
      </w:pPr>
      <w:r>
        <w:rPr>
          <w:szCs w:val="24"/>
        </w:rPr>
        <w:t>It is recommended to include in factory and depot repair regulations that, after disassembling the axle bearings for any reason during factory or depot repairs (including various wheel factories), careful observation of the surface of the axle near the unloading groove is essential. Axles with rust that persists after cleaning should be taken out of service. For axles without rust, rust preventive grease should be applied.</w:t>
      </w:r>
    </w:p>
    <w:p w14:paraId="66A1F62D">
      <w:pPr>
        <w:pStyle w:val="16"/>
        <w:spacing w:before="31" w:after="31"/>
        <w:ind w:firstLine="480"/>
        <w:rPr>
          <w:szCs w:val="24"/>
        </w:rPr>
      </w:pPr>
    </w:p>
    <w:p w14:paraId="6E6E1162">
      <w:pPr>
        <w:pStyle w:val="16"/>
        <w:spacing w:before="31" w:after="31"/>
        <w:ind w:firstLine="480"/>
        <w:rPr>
          <w:szCs w:val="24"/>
        </w:rPr>
      </w:pPr>
      <w:r>
        <w:rPr>
          <w:szCs w:val="24"/>
        </w:rPr>
        <w:t>Roughness of the unloading groove area (especially individual deep machining marks) that does not meet the drawing requirements should result in the axle being taken out of service.</w:t>
      </w:r>
    </w:p>
    <w:p w14:paraId="0F9DD22B">
      <w:pPr>
        <w:pStyle w:val="16"/>
        <w:spacing w:before="31" w:after="31"/>
        <w:ind w:firstLine="480"/>
        <w:rPr>
          <w:szCs w:val="24"/>
        </w:rPr>
      </w:pPr>
    </w:p>
    <w:p w14:paraId="2060DD24">
      <w:pPr>
        <w:pStyle w:val="16"/>
        <w:spacing w:before="31" w:after="31"/>
        <w:ind w:firstLine="0" w:firstLineChars="0"/>
        <w:rPr>
          <w:szCs w:val="24"/>
        </w:rPr>
      </w:pPr>
      <w:r>
        <w:rPr>
          <w:szCs w:val="24"/>
        </w:rPr>
        <w:t>It is suggested to eliminate unloading grooves at the axle neck and use a forming grinding method to process the axle neck during the manufacture of new axles. Restrictions on the level of strip segregation in axle material should be included in technical specifications.</w:t>
      </w:r>
    </w:p>
    <w:p w14:paraId="62F6D90C">
      <w:pPr>
        <w:pStyle w:val="16"/>
        <w:spacing w:before="31" w:after="31"/>
        <w:ind w:firstLine="0" w:firstLineChars="0"/>
        <w:rPr>
          <w:b/>
          <w:bCs/>
          <w:szCs w:val="24"/>
        </w:rPr>
      </w:pPr>
      <w:r>
        <w:rPr>
          <w:b/>
          <w:bCs/>
          <w:szCs w:val="24"/>
        </w:rPr>
        <w:t>8.2.9 Case 8-9 Risky Derailment Accident of Train 13004 on the Beijing-Shanghai Line</w:t>
      </w:r>
    </w:p>
    <w:p w14:paraId="32F187DD">
      <w:pPr>
        <w:pStyle w:val="16"/>
        <w:spacing w:before="31" w:after="31"/>
        <w:ind w:firstLine="480"/>
        <w:rPr>
          <w:szCs w:val="24"/>
        </w:rPr>
      </w:pPr>
    </w:p>
    <w:p w14:paraId="76F5FDBA">
      <w:pPr>
        <w:pStyle w:val="16"/>
        <w:spacing w:before="31" w:after="31"/>
        <w:ind w:firstLine="480"/>
        <w:rPr>
          <w:szCs w:val="24"/>
        </w:rPr>
      </w:pPr>
      <w:r>
        <w:rPr>
          <w:szCs w:val="24"/>
        </w:rPr>
        <w:t>(1) Case Name</w:t>
      </w:r>
    </w:p>
    <w:p w14:paraId="5613BD9B">
      <w:pPr>
        <w:pStyle w:val="16"/>
        <w:spacing w:before="31" w:after="31"/>
        <w:ind w:firstLine="480"/>
        <w:rPr>
          <w:szCs w:val="24"/>
        </w:rPr>
      </w:pPr>
      <w:r>
        <w:rPr>
          <w:szCs w:val="24"/>
        </w:rPr>
        <w:t>Risky Derailment Accident of Train 13004 on the Beijing-Shanghai Line [16]</w:t>
      </w:r>
    </w:p>
    <w:p w14:paraId="4E5DD905">
      <w:pPr>
        <w:pStyle w:val="16"/>
        <w:spacing w:before="31" w:after="31"/>
        <w:ind w:firstLine="480"/>
        <w:rPr>
          <w:szCs w:val="24"/>
        </w:rPr>
      </w:pPr>
    </w:p>
    <w:p w14:paraId="015B7C5F">
      <w:pPr>
        <w:pStyle w:val="16"/>
        <w:spacing w:before="31" w:after="31"/>
        <w:ind w:firstLine="480"/>
        <w:rPr>
          <w:szCs w:val="24"/>
        </w:rPr>
      </w:pPr>
      <w:r>
        <w:rPr>
          <w:szCs w:val="24"/>
        </w:rPr>
        <w:t>(2) Description of Failure Process</w:t>
      </w:r>
    </w:p>
    <w:p w14:paraId="2DBEFD0A">
      <w:pPr>
        <w:pStyle w:val="16"/>
        <w:spacing w:before="31" w:after="31"/>
        <w:ind w:firstLine="480"/>
        <w:rPr>
          <w:szCs w:val="24"/>
        </w:rPr>
      </w:pPr>
      <w:r>
        <w:rPr>
          <w:szCs w:val="24"/>
        </w:rPr>
        <w:t>On July 25, 2004, at 22:18, locomotive DF8B 5185 from the Jinan West Locomotive Depot was pulling a 55-car train (total weight 4,205 t, train length 70.9) on the upline at Yucheng Station on the Beijing-Shanghai Line, at the location of turnout No. 14 (South End) with kilometer point K301 + 500. The rear 48 cars (C62A4537038) derailed, but it did not affect the movement of the downline. At 00:47, the damaged No. 2 turnout was repaired urgently, and the upline train could proceed through the station on tracks 2 and 4 after the repair.</w:t>
      </w:r>
    </w:p>
    <w:p w14:paraId="12FE28C7">
      <w:pPr>
        <w:pStyle w:val="16"/>
        <w:spacing w:before="31" w:after="31"/>
        <w:ind w:firstLine="480"/>
        <w:rPr>
          <w:szCs w:val="24"/>
        </w:rPr>
      </w:pPr>
    </w:p>
    <w:p w14:paraId="3B6F057D">
      <w:pPr>
        <w:pStyle w:val="16"/>
        <w:spacing w:before="31" w:after="31"/>
        <w:ind w:firstLine="480"/>
        <w:rPr>
          <w:szCs w:val="24"/>
        </w:rPr>
      </w:pPr>
      <w:r>
        <w:rPr>
          <w:szCs w:val="24"/>
        </w:rPr>
        <w:t>(3) Operating Environment of Components</w:t>
      </w:r>
    </w:p>
    <w:p w14:paraId="2D326E88">
      <w:pPr>
        <w:pStyle w:val="16"/>
        <w:spacing w:before="31" w:after="31"/>
        <w:ind w:firstLine="480"/>
        <w:rPr>
          <w:szCs w:val="24"/>
        </w:rPr>
      </w:pPr>
      <w:r>
        <w:rPr>
          <w:szCs w:val="24"/>
        </w:rPr>
        <w:t>Railway environment</w:t>
      </w:r>
    </w:p>
    <w:p w14:paraId="02C71899">
      <w:pPr>
        <w:pStyle w:val="16"/>
        <w:spacing w:before="31" w:after="31"/>
        <w:ind w:firstLine="480"/>
        <w:rPr>
          <w:szCs w:val="24"/>
        </w:rPr>
      </w:pPr>
    </w:p>
    <w:p w14:paraId="2B075A1C">
      <w:pPr>
        <w:pStyle w:val="16"/>
        <w:spacing w:before="31" w:after="31"/>
        <w:ind w:firstLine="480"/>
        <w:rPr>
          <w:szCs w:val="24"/>
        </w:rPr>
      </w:pPr>
      <w:r>
        <w:rPr>
          <w:szCs w:val="24"/>
        </w:rPr>
        <w:t>(4) Failed Components and Materials</w:t>
      </w:r>
    </w:p>
    <w:p w14:paraId="1C63C081">
      <w:pPr>
        <w:pStyle w:val="16"/>
        <w:spacing w:before="31" w:after="31"/>
        <w:ind w:firstLine="480"/>
        <w:rPr>
          <w:szCs w:val="24"/>
        </w:rPr>
      </w:pPr>
      <w:r>
        <w:rPr>
          <w:szCs w:val="24"/>
        </w:rPr>
        <w:t>Wheelset flange hole of train 13004 on the Beijing-Shanghai Line</w:t>
      </w:r>
    </w:p>
    <w:p w14:paraId="62EF4C34">
      <w:pPr>
        <w:pStyle w:val="16"/>
        <w:spacing w:before="31" w:after="31"/>
        <w:ind w:firstLine="480"/>
        <w:rPr>
          <w:szCs w:val="24"/>
        </w:rPr>
      </w:pPr>
      <w:r>
        <w:rPr>
          <w:szCs w:val="24"/>
        </w:rPr>
        <w:t>(5) Failed Component Morphology:</w:t>
      </w:r>
    </w:p>
    <w:p w14:paraId="114B41B5">
      <w:pPr>
        <w:pStyle w:val="16"/>
        <w:spacing w:before="31" w:after="31"/>
        <w:ind w:firstLine="420" w:firstLineChars="0"/>
        <w:rPr>
          <w:szCs w:val="24"/>
        </w:rPr>
      </w:pPr>
      <w:r>
        <w:rPr>
          <w:szCs w:val="24"/>
        </w:rPr>
        <w:t>Null</w:t>
      </w:r>
    </w:p>
    <w:p w14:paraId="50646E1F">
      <w:pPr>
        <w:pStyle w:val="16"/>
        <w:spacing w:before="31" w:after="31"/>
        <w:ind w:firstLine="480"/>
        <w:rPr>
          <w:szCs w:val="24"/>
        </w:rPr>
      </w:pPr>
    </w:p>
    <w:p w14:paraId="37E18C08">
      <w:pPr>
        <w:pStyle w:val="16"/>
        <w:spacing w:before="31" w:after="31"/>
        <w:ind w:firstLine="480"/>
        <w:rPr>
          <w:szCs w:val="24"/>
        </w:rPr>
      </w:pPr>
      <w:r>
        <w:rPr>
          <w:szCs w:val="24"/>
        </w:rPr>
        <w:t>(6) Analysis of Failure Causes</w:t>
      </w:r>
    </w:p>
    <w:p w14:paraId="62C5D08B">
      <w:pPr>
        <w:pStyle w:val="16"/>
        <w:spacing w:before="31" w:after="31"/>
        <w:ind w:firstLine="480"/>
        <w:rPr>
          <w:szCs w:val="24"/>
        </w:rPr>
      </w:pPr>
      <w:r>
        <w:rPr>
          <w:szCs w:val="24"/>
        </w:rPr>
        <w:t>The direct cause of the accident was the fracture and breakage of the wheelset, leading to the drooping of the downhaul rod and causing damage to the track equipment. The main reasons for the wheelset fracture and breakage were as follows:</w:t>
      </w:r>
    </w:p>
    <w:p w14:paraId="59DE42D4">
      <w:pPr>
        <w:pStyle w:val="16"/>
        <w:spacing w:before="31" w:after="31"/>
        <w:ind w:firstLine="480"/>
        <w:rPr>
          <w:szCs w:val="24"/>
        </w:rPr>
      </w:pPr>
    </w:p>
    <w:p w14:paraId="3EB6B328">
      <w:pPr>
        <w:pStyle w:val="16"/>
        <w:spacing w:before="31" w:after="31"/>
        <w:ind w:firstLine="480"/>
        <w:rPr>
          <w:szCs w:val="24"/>
        </w:rPr>
      </w:pPr>
      <w:r>
        <w:rPr>
          <w:szCs w:val="24"/>
        </w:rPr>
        <w:t>a. The Jinan North Locomotive Depot's intermediate repair work did not strictly adhere to regulations and standards. The wheelset flange hole was not double-sided ground and polished as required by Document [1999]396 for transport and loading operations.</w:t>
      </w:r>
    </w:p>
    <w:p w14:paraId="0203CDD7">
      <w:pPr>
        <w:pStyle w:val="16"/>
        <w:spacing w:before="31" w:after="31"/>
        <w:ind w:firstLine="480"/>
        <w:rPr>
          <w:szCs w:val="24"/>
        </w:rPr>
      </w:pPr>
    </w:p>
    <w:p w14:paraId="66FC6F72">
      <w:pPr>
        <w:pStyle w:val="16"/>
        <w:spacing w:before="31" w:after="31"/>
        <w:ind w:firstLine="480"/>
        <w:rPr>
          <w:szCs w:val="24"/>
        </w:rPr>
      </w:pPr>
      <w:r>
        <w:rPr>
          <w:szCs w:val="24"/>
        </w:rPr>
        <w:t>b. The wheelset had primary cracks in the flange hole, but these were not promptly eliminated during the depot repair. The personnel responsible for the train inspection at the Jixi West Locomotive Depot did not effectively carry out the wheelset inspection, and the abrasion of the wheel tread was not promptly detected. This, combined with the severe impact on the steel rail, was a significant factor in accelerating wheel damage that led to the accident.</w:t>
      </w:r>
    </w:p>
    <w:p w14:paraId="7D4C470C">
      <w:pPr>
        <w:pStyle w:val="16"/>
        <w:spacing w:before="31" w:after="31"/>
        <w:ind w:firstLine="480"/>
        <w:rPr>
          <w:szCs w:val="24"/>
        </w:rPr>
      </w:pPr>
    </w:p>
    <w:p w14:paraId="724E9802">
      <w:pPr>
        <w:pStyle w:val="16"/>
        <w:spacing w:before="31" w:after="31"/>
        <w:ind w:firstLine="480"/>
        <w:rPr>
          <w:szCs w:val="24"/>
        </w:rPr>
      </w:pPr>
      <w:r>
        <w:rPr>
          <w:szCs w:val="24"/>
        </w:rPr>
        <w:t>(7) Consequences and Harms Caused</w:t>
      </w:r>
    </w:p>
    <w:p w14:paraId="4C2A8048">
      <w:pPr>
        <w:pStyle w:val="16"/>
        <w:spacing w:before="31" w:after="31"/>
        <w:ind w:firstLine="480"/>
        <w:rPr>
          <w:szCs w:val="24"/>
        </w:rPr>
      </w:pPr>
      <w:r>
        <w:rPr>
          <w:szCs w:val="24"/>
        </w:rPr>
        <w:t>The accident resulted in direct economic losses and constituted a risky accident involving the derailment of a freight train.</w:t>
      </w:r>
    </w:p>
    <w:p w14:paraId="1588383B">
      <w:pPr>
        <w:pStyle w:val="16"/>
        <w:spacing w:before="31" w:after="31"/>
        <w:ind w:firstLine="480"/>
        <w:rPr>
          <w:szCs w:val="24"/>
        </w:rPr>
      </w:pPr>
    </w:p>
    <w:p w14:paraId="25E1DC64">
      <w:pPr>
        <w:pStyle w:val="16"/>
        <w:spacing w:before="31" w:after="31"/>
        <w:ind w:firstLine="480"/>
        <w:rPr>
          <w:szCs w:val="24"/>
        </w:rPr>
      </w:pPr>
      <w:r>
        <w:rPr>
          <w:szCs w:val="24"/>
        </w:rPr>
        <w:t>(8) Conclusions and Improvement Measures</w:t>
      </w:r>
    </w:p>
    <w:p w14:paraId="64D0C191">
      <w:pPr>
        <w:pStyle w:val="16"/>
        <w:spacing w:before="31" w:after="31"/>
        <w:ind w:firstLine="480"/>
        <w:rPr>
          <w:szCs w:val="24"/>
        </w:rPr>
      </w:pPr>
      <w:r>
        <w:rPr>
          <w:szCs w:val="24"/>
        </w:rPr>
        <w:t>It is recommended to strengthen the control of the repair process. From the entry of wheelsets to wheelset maintenance and then to the exit of wheelsets, further improve the standards and methods of wheelset maintenance operations, and strengthen the comprehensive inspection of various parts, especially the wheel flange, during wheelset maintenance. For wheelset failures observed in the accident, the inspection should be enhanced, and wheelsets with abnormalities such as wheel flange abrasion, peeling, wear, deformation, or damage beyond limits should be strictly repaired according to regulations.</w:t>
      </w:r>
    </w:p>
    <w:p w14:paraId="379EBE54">
      <w:pPr>
        <w:pStyle w:val="16"/>
        <w:spacing w:before="31" w:after="31"/>
        <w:ind w:firstLine="480"/>
        <w:rPr>
          <w:szCs w:val="24"/>
        </w:rPr>
      </w:pPr>
    </w:p>
    <w:p w14:paraId="5FF87082">
      <w:pPr>
        <w:pStyle w:val="16"/>
        <w:spacing w:before="31" w:after="31"/>
        <w:ind w:firstLine="480"/>
        <w:rPr>
          <w:szCs w:val="24"/>
        </w:rPr>
      </w:pPr>
      <w:r>
        <w:rPr>
          <w:szCs w:val="24"/>
        </w:rPr>
        <w:t>8.2.10 Case 8-10 Risky Accident of Zhegan Line Train 20036 with Vehicle Side Bearing Fracture</w:t>
      </w:r>
    </w:p>
    <w:p w14:paraId="59011CD1">
      <w:pPr>
        <w:pStyle w:val="16"/>
        <w:spacing w:before="31" w:after="31"/>
        <w:ind w:firstLine="480"/>
        <w:rPr>
          <w:szCs w:val="24"/>
        </w:rPr>
      </w:pPr>
    </w:p>
    <w:p w14:paraId="1ABB65DB">
      <w:pPr>
        <w:pStyle w:val="16"/>
        <w:spacing w:before="31" w:after="31"/>
        <w:ind w:firstLine="480"/>
        <w:rPr>
          <w:szCs w:val="24"/>
        </w:rPr>
      </w:pPr>
      <w:r>
        <w:rPr>
          <w:szCs w:val="24"/>
        </w:rPr>
        <w:t>(1) Case Name</w:t>
      </w:r>
    </w:p>
    <w:p w14:paraId="223F3390">
      <w:pPr>
        <w:pStyle w:val="16"/>
        <w:spacing w:before="31" w:after="31"/>
        <w:ind w:firstLine="480"/>
        <w:rPr>
          <w:szCs w:val="24"/>
        </w:rPr>
      </w:pPr>
      <w:r>
        <w:rPr>
          <w:szCs w:val="24"/>
        </w:rPr>
        <w:t>Risky Accident of Zhegan Line Train 20036 with Vehicle Side Bearing Fracture and Equipment Damage [16]</w:t>
      </w:r>
    </w:p>
    <w:p w14:paraId="6DA9ED35">
      <w:pPr>
        <w:pStyle w:val="16"/>
        <w:spacing w:before="31" w:after="31"/>
        <w:ind w:firstLine="480"/>
        <w:rPr>
          <w:szCs w:val="24"/>
        </w:rPr>
      </w:pPr>
    </w:p>
    <w:p w14:paraId="2AFDF88D">
      <w:pPr>
        <w:pStyle w:val="16"/>
        <w:spacing w:before="31" w:after="31"/>
        <w:ind w:firstLine="480"/>
        <w:rPr>
          <w:szCs w:val="24"/>
        </w:rPr>
      </w:pPr>
      <w:r>
        <w:rPr>
          <w:szCs w:val="24"/>
        </w:rPr>
        <w:t>(2) Description of Failure Process</w:t>
      </w:r>
    </w:p>
    <w:p w14:paraId="6C34FB15">
      <w:pPr>
        <w:pStyle w:val="16"/>
        <w:spacing w:before="31" w:after="31"/>
        <w:ind w:firstLine="480"/>
        <w:rPr>
          <w:szCs w:val="24"/>
        </w:rPr>
      </w:pPr>
      <w:r>
        <w:rPr>
          <w:szCs w:val="24"/>
        </w:rPr>
        <w:t>On December 23, 2004, at 13:35, train 20036, consisting of 49 cars with a total weight of 3,751 tons and a train length of 69.2, was traveling from Zhuzhou North to Xiangtang on the Zhegan Line, pulled by locomotive DF4 3348. When passing through Laoguan Station, upline 2, the assistant dispatcher noticed sparks from the bottom of a certain gondola car. The train was immediately stopped after notifying the dispatcher. The train came to a halt at kilometer point K884+451 on the upline of the Zhegan Line at 13:37. All cars remained on the tracks without derailment. Upon inspection, it was found that the connecting rods of turnouts No. 8, 10, 13, 3, and 5 were bent; 17 sets of mechanical components were damaged; 8 adjusting rods, 8 connecting rods, and 5 pointed rods for turnout close adjustment were damaged; and 2 switch machines were damaged.</w:t>
      </w:r>
    </w:p>
    <w:p w14:paraId="479147DE">
      <w:pPr>
        <w:pStyle w:val="16"/>
        <w:spacing w:before="31" w:after="31"/>
        <w:ind w:firstLine="480"/>
        <w:rPr>
          <w:szCs w:val="24"/>
        </w:rPr>
      </w:pPr>
    </w:p>
    <w:p w14:paraId="2B7EF793">
      <w:pPr>
        <w:pStyle w:val="16"/>
        <w:spacing w:before="31" w:after="31"/>
        <w:ind w:firstLine="480"/>
        <w:rPr>
          <w:szCs w:val="24"/>
        </w:rPr>
      </w:pPr>
      <w:r>
        <w:rPr>
          <w:szCs w:val="24"/>
        </w:rPr>
        <w:t>(3) Operating Environment of Components</w:t>
      </w:r>
    </w:p>
    <w:p w14:paraId="40EC99C5">
      <w:pPr>
        <w:pStyle w:val="16"/>
        <w:spacing w:before="31" w:after="31"/>
        <w:ind w:firstLine="480"/>
        <w:rPr>
          <w:szCs w:val="24"/>
        </w:rPr>
      </w:pPr>
      <w:r>
        <w:rPr>
          <w:szCs w:val="24"/>
        </w:rPr>
        <w:t>Railway environment</w:t>
      </w:r>
    </w:p>
    <w:p w14:paraId="4FD3EC76">
      <w:pPr>
        <w:pStyle w:val="16"/>
        <w:spacing w:before="31" w:after="31"/>
        <w:ind w:firstLine="480"/>
        <w:rPr>
          <w:szCs w:val="24"/>
        </w:rPr>
      </w:pPr>
    </w:p>
    <w:p w14:paraId="1023592A">
      <w:pPr>
        <w:pStyle w:val="16"/>
        <w:spacing w:before="31" w:after="31"/>
        <w:ind w:firstLine="480"/>
        <w:rPr>
          <w:szCs w:val="24"/>
        </w:rPr>
      </w:pPr>
      <w:r>
        <w:rPr>
          <w:szCs w:val="24"/>
        </w:rPr>
        <w:t>(4) Failed Components and Materials</w:t>
      </w:r>
    </w:p>
    <w:p w14:paraId="3720621F">
      <w:pPr>
        <w:pStyle w:val="16"/>
        <w:spacing w:before="31" w:after="31"/>
        <w:ind w:firstLine="480"/>
        <w:rPr>
          <w:szCs w:val="24"/>
        </w:rPr>
      </w:pPr>
      <w:r>
        <w:rPr>
          <w:szCs w:val="24"/>
        </w:rPr>
        <w:t>Vehicle side bearing of train 20036 on the Zhegan Line</w:t>
      </w:r>
    </w:p>
    <w:p w14:paraId="4DB2B219">
      <w:pPr>
        <w:pStyle w:val="16"/>
        <w:spacing w:before="31" w:after="31"/>
        <w:ind w:firstLine="480"/>
        <w:rPr>
          <w:szCs w:val="24"/>
        </w:rPr>
      </w:pPr>
      <w:r>
        <w:rPr>
          <w:szCs w:val="24"/>
        </w:rPr>
        <w:t>(5) Failed Component Morphology:</w:t>
      </w:r>
    </w:p>
    <w:p w14:paraId="5B6734D5">
      <w:pPr>
        <w:pStyle w:val="16"/>
        <w:spacing w:before="31" w:after="31"/>
        <w:ind w:firstLine="420" w:firstLineChars="0"/>
        <w:rPr>
          <w:szCs w:val="24"/>
        </w:rPr>
      </w:pPr>
      <w:r>
        <w:rPr>
          <w:szCs w:val="24"/>
        </w:rPr>
        <w:t>Null</w:t>
      </w:r>
    </w:p>
    <w:p w14:paraId="70610C23">
      <w:pPr>
        <w:pStyle w:val="16"/>
        <w:spacing w:before="31" w:after="31"/>
        <w:ind w:firstLine="480"/>
        <w:rPr>
          <w:szCs w:val="24"/>
        </w:rPr>
      </w:pPr>
    </w:p>
    <w:p w14:paraId="561B827D">
      <w:pPr>
        <w:pStyle w:val="16"/>
        <w:spacing w:before="31" w:after="31"/>
        <w:ind w:firstLine="480"/>
        <w:rPr>
          <w:szCs w:val="24"/>
        </w:rPr>
      </w:pPr>
      <w:r>
        <w:rPr>
          <w:szCs w:val="24"/>
        </w:rPr>
        <w:t>(6) Analysis of Failure Causes</w:t>
      </w:r>
    </w:p>
    <w:p w14:paraId="7869E546">
      <w:pPr>
        <w:pStyle w:val="16"/>
        <w:spacing w:before="31" w:after="31"/>
        <w:ind w:firstLine="480"/>
        <w:rPr>
          <w:szCs w:val="24"/>
        </w:rPr>
      </w:pPr>
      <w:r>
        <w:rPr>
          <w:szCs w:val="24"/>
        </w:rPr>
        <w:t>The direct cause of the accident was the fracture and breakage of the second side bearing (P62N3314928) on the 21st car of the locomotive's rear, leading to the sagging of the downhaul rod and causing damage to the track equipment. Train 20036 consisted entirely of loaded cars. The 21st car (P62N3314928) carried a load of 60 tons, originating from Jinchengjiang and destined for Wuxi South, with the cargo being copper ingots. The car underwent periodic inspections at the Zhuzhou North Depot on 2001-10-10, and a segmental inspection on 2004-10-28 in Beijing. It had an 8A bogie, 120 valves, ST buffer, and a No. 13 coupler.</w:t>
      </w:r>
    </w:p>
    <w:p w14:paraId="118DB5E7">
      <w:pPr>
        <w:pStyle w:val="16"/>
        <w:spacing w:before="31" w:after="31"/>
        <w:ind w:firstLine="480"/>
        <w:rPr>
          <w:szCs w:val="24"/>
        </w:rPr>
      </w:pPr>
    </w:p>
    <w:p w14:paraId="048821FC">
      <w:pPr>
        <w:pStyle w:val="16"/>
        <w:spacing w:before="31" w:after="31"/>
        <w:ind w:firstLine="480"/>
        <w:rPr>
          <w:szCs w:val="24"/>
        </w:rPr>
      </w:pPr>
      <w:r>
        <w:rPr>
          <w:szCs w:val="24"/>
        </w:rPr>
        <w:t>Analysis of the fracture section of the side bearing revealed a significant casting defect at the sprue of the lower part of the left and right side bearings, G466, and the manufacturing date was 95-02. Due to the casting defect at the sprue of the lower part of the side bearing, fatigue source cracks were evident and extended along both sides, leading to a decrease in the strength of the side bearing and eventual fracture.</w:t>
      </w:r>
    </w:p>
    <w:p w14:paraId="758C6376">
      <w:pPr>
        <w:pStyle w:val="16"/>
        <w:spacing w:before="31" w:after="31"/>
        <w:ind w:firstLine="480"/>
        <w:rPr>
          <w:szCs w:val="24"/>
        </w:rPr>
      </w:pPr>
    </w:p>
    <w:p w14:paraId="25D0986F">
      <w:pPr>
        <w:pStyle w:val="16"/>
        <w:spacing w:before="31" w:after="31"/>
        <w:ind w:firstLine="480"/>
        <w:rPr>
          <w:szCs w:val="24"/>
        </w:rPr>
      </w:pPr>
      <w:r>
        <w:rPr>
          <w:szCs w:val="24"/>
        </w:rPr>
        <w:t>(7) Consequences and Harms Caused</w:t>
      </w:r>
    </w:p>
    <w:p w14:paraId="4E74A9D3">
      <w:pPr>
        <w:pStyle w:val="16"/>
        <w:spacing w:before="31" w:after="31"/>
        <w:ind w:firstLine="480"/>
        <w:rPr>
          <w:szCs w:val="24"/>
        </w:rPr>
      </w:pPr>
      <w:r>
        <w:rPr>
          <w:szCs w:val="24"/>
        </w:rPr>
        <w:t>The accident resulted in direct economic losses, as the train could not continue its journey. Through organized rescue efforts, the section was reopened at 16:25, causing a delay in upline train movement for 2 hours and 48 minutes. This constituted a risky accident involving damage to track equipment by a freight train.</w:t>
      </w:r>
    </w:p>
    <w:p w14:paraId="6CA3D2C6">
      <w:pPr>
        <w:pStyle w:val="16"/>
        <w:spacing w:before="31" w:after="31"/>
        <w:ind w:firstLine="480"/>
        <w:rPr>
          <w:szCs w:val="24"/>
        </w:rPr>
      </w:pPr>
    </w:p>
    <w:p w14:paraId="63D9EEF0">
      <w:pPr>
        <w:pStyle w:val="16"/>
        <w:spacing w:before="31" w:after="31"/>
        <w:ind w:firstLine="480"/>
        <w:rPr>
          <w:szCs w:val="24"/>
        </w:rPr>
      </w:pPr>
      <w:r>
        <w:rPr>
          <w:szCs w:val="24"/>
        </w:rPr>
        <w:t>(8) Conclusions and Improvement Measures</w:t>
      </w:r>
    </w:p>
    <w:p w14:paraId="3AB05484">
      <w:pPr>
        <w:pStyle w:val="16"/>
        <w:spacing w:before="31" w:after="31"/>
        <w:ind w:firstLine="480"/>
        <w:rPr>
          <w:szCs w:val="24"/>
        </w:rPr>
      </w:pPr>
      <w:r>
        <w:rPr>
          <w:szCs w:val="24"/>
        </w:rPr>
        <w:t>To enhance the standardization of inspection operations, it is recommended to intensify on-site control of inspection operations from the receipt of wheelsets to the inspection of in-service trains, preventing oversights and omissions in inspections and repairs.</w:t>
      </w:r>
    </w:p>
    <w:p w14:paraId="19A711F0">
      <w:pPr>
        <w:pStyle w:val="16"/>
        <w:spacing w:before="31" w:after="31"/>
        <w:ind w:firstLine="480"/>
        <w:rPr>
          <w:szCs w:val="24"/>
        </w:rPr>
      </w:pPr>
    </w:p>
    <w:p w14:paraId="41E92682">
      <w:pPr>
        <w:pStyle w:val="16"/>
        <w:spacing w:before="31" w:after="31"/>
        <w:ind w:firstLine="0" w:firstLineChars="0"/>
        <w:rPr>
          <w:szCs w:val="24"/>
        </w:rPr>
      </w:pPr>
      <w:r>
        <w:rPr>
          <w:szCs w:val="24"/>
        </w:rPr>
        <w:t>Strengthening source control of product quality, strictly adhering to qualification standards, and earnestly implementing the system of random inspections and testing for product quality are suggested measures.</w:t>
      </w:r>
    </w:p>
    <w:p w14:paraId="68A34B39">
      <w:pPr>
        <w:pStyle w:val="16"/>
        <w:spacing w:before="31" w:after="31"/>
        <w:ind w:firstLine="0" w:firstLineChars="0"/>
        <w:rPr>
          <w:b/>
          <w:bCs/>
          <w:szCs w:val="24"/>
        </w:rPr>
      </w:pPr>
      <w:r>
        <w:rPr>
          <w:b/>
          <w:bCs/>
          <w:szCs w:val="24"/>
        </w:rPr>
        <w:t>8.2.11 Case 8-11 Major Derailment Accident of Train 25107 on the Western Line</w:t>
      </w:r>
    </w:p>
    <w:p w14:paraId="5B89B5C1">
      <w:pPr>
        <w:pStyle w:val="16"/>
        <w:spacing w:before="31" w:after="31"/>
        <w:ind w:firstLine="480"/>
        <w:rPr>
          <w:szCs w:val="24"/>
        </w:rPr>
      </w:pPr>
    </w:p>
    <w:p w14:paraId="4D0E841B">
      <w:pPr>
        <w:pStyle w:val="16"/>
        <w:spacing w:before="31" w:after="31"/>
        <w:ind w:firstLine="480"/>
        <w:rPr>
          <w:szCs w:val="24"/>
        </w:rPr>
      </w:pPr>
      <w:r>
        <w:rPr>
          <w:szCs w:val="24"/>
        </w:rPr>
        <w:t>(1) Case Name</w:t>
      </w:r>
    </w:p>
    <w:p w14:paraId="40EED53A">
      <w:pPr>
        <w:pStyle w:val="16"/>
        <w:spacing w:before="31" w:after="31"/>
        <w:ind w:firstLine="480"/>
        <w:rPr>
          <w:szCs w:val="24"/>
        </w:rPr>
      </w:pPr>
      <w:r>
        <w:rPr>
          <w:szCs w:val="24"/>
        </w:rPr>
        <w:t>Major Derailment Accident of Train 25107 on the Western Line [16]</w:t>
      </w:r>
    </w:p>
    <w:p w14:paraId="2576EE9C">
      <w:pPr>
        <w:pStyle w:val="16"/>
        <w:spacing w:before="31" w:after="31"/>
        <w:ind w:firstLine="480"/>
        <w:rPr>
          <w:szCs w:val="24"/>
        </w:rPr>
      </w:pPr>
    </w:p>
    <w:p w14:paraId="5EAC96A9">
      <w:pPr>
        <w:pStyle w:val="16"/>
        <w:spacing w:before="31" w:after="31"/>
        <w:ind w:firstLine="480"/>
        <w:rPr>
          <w:szCs w:val="24"/>
        </w:rPr>
      </w:pPr>
      <w:r>
        <w:rPr>
          <w:szCs w:val="24"/>
        </w:rPr>
        <w:t>(2) Description of Failure Process</w:t>
      </w:r>
    </w:p>
    <w:p w14:paraId="1E1CAFE2">
      <w:pPr>
        <w:pStyle w:val="16"/>
        <w:spacing w:before="31" w:after="31"/>
        <w:ind w:firstLine="480"/>
        <w:rPr>
          <w:szCs w:val="24"/>
        </w:rPr>
      </w:pPr>
      <w:r>
        <w:rPr>
          <w:szCs w:val="24"/>
        </w:rPr>
        <w:t>On October 5, 2004, at 03:43, Train 25107, consisting of 51 cars with a total weight of 3,060 tons and a train length of G5.7, was pulled by locomotive SS4823 (with supplementary engine SS4819). It was traveling from Xianning to the section between Shangnan and Shima on the Ninxilin-Zhengzhou Bureau. Suddenly, the retaining wall on the right side of the track collapsed, causing the leading locomotive of Train 25107 to derail. One locomotive was damaged, and one catenary support pillar was broken, damaging the track for 50 meters. After rescue efforts, the line was restored at 05:20 on October 6, and normal train movement was resumed at 08:31, with an interruption of 28 hours and 48 minutes on the Ninxilin Line.</w:t>
      </w:r>
    </w:p>
    <w:p w14:paraId="4D942673">
      <w:pPr>
        <w:pStyle w:val="16"/>
        <w:spacing w:before="31" w:after="31"/>
        <w:ind w:firstLine="480"/>
        <w:rPr>
          <w:szCs w:val="24"/>
        </w:rPr>
      </w:pPr>
    </w:p>
    <w:p w14:paraId="4793F034">
      <w:pPr>
        <w:pStyle w:val="16"/>
        <w:spacing w:before="31" w:after="31"/>
        <w:ind w:firstLine="480"/>
        <w:rPr>
          <w:szCs w:val="24"/>
        </w:rPr>
      </w:pPr>
      <w:r>
        <w:rPr>
          <w:szCs w:val="24"/>
        </w:rPr>
        <w:t>(3) Operating Environment of Components</w:t>
      </w:r>
    </w:p>
    <w:p w14:paraId="1172E059">
      <w:pPr>
        <w:pStyle w:val="16"/>
        <w:spacing w:before="31" w:after="31"/>
        <w:ind w:firstLine="480"/>
        <w:rPr>
          <w:szCs w:val="24"/>
        </w:rPr>
      </w:pPr>
      <w:r>
        <w:rPr>
          <w:szCs w:val="24"/>
        </w:rPr>
        <w:t>Railway environment</w:t>
      </w:r>
    </w:p>
    <w:p w14:paraId="7F15678E">
      <w:pPr>
        <w:pStyle w:val="16"/>
        <w:spacing w:before="31" w:after="31"/>
        <w:ind w:firstLine="480"/>
        <w:rPr>
          <w:szCs w:val="24"/>
        </w:rPr>
      </w:pPr>
    </w:p>
    <w:p w14:paraId="7332BFBF">
      <w:pPr>
        <w:pStyle w:val="16"/>
        <w:spacing w:before="31" w:after="31"/>
        <w:ind w:firstLine="480"/>
        <w:rPr>
          <w:szCs w:val="24"/>
        </w:rPr>
      </w:pPr>
      <w:r>
        <w:rPr>
          <w:szCs w:val="24"/>
        </w:rPr>
        <w:t>(4) Failed Components and Materials</w:t>
      </w:r>
    </w:p>
    <w:p w14:paraId="7CF30AAE">
      <w:pPr>
        <w:pStyle w:val="16"/>
        <w:spacing w:before="31" w:after="31"/>
        <w:ind w:firstLine="480"/>
        <w:rPr>
          <w:szCs w:val="24"/>
        </w:rPr>
      </w:pPr>
      <w:r>
        <w:rPr>
          <w:szCs w:val="24"/>
        </w:rPr>
        <w:t>The retaining wall on the right side of the track collapsed for Train 25107 on the Western Line.</w:t>
      </w:r>
    </w:p>
    <w:p w14:paraId="12ED9EA3">
      <w:pPr>
        <w:pStyle w:val="16"/>
        <w:spacing w:before="31" w:after="31"/>
        <w:ind w:firstLine="480"/>
        <w:rPr>
          <w:szCs w:val="24"/>
        </w:rPr>
      </w:pPr>
    </w:p>
    <w:p w14:paraId="40EB9C92">
      <w:pPr>
        <w:pStyle w:val="16"/>
        <w:spacing w:before="31" w:after="31"/>
        <w:ind w:firstLine="480"/>
        <w:rPr>
          <w:szCs w:val="24"/>
        </w:rPr>
      </w:pPr>
      <w:r>
        <w:rPr>
          <w:szCs w:val="24"/>
        </w:rPr>
        <w:t>(5) Analysis of Failure Causes</w:t>
      </w:r>
    </w:p>
    <w:p w14:paraId="29E26036">
      <w:pPr>
        <w:pStyle w:val="16"/>
        <w:spacing w:before="31" w:after="31"/>
        <w:ind w:firstLine="480"/>
        <w:rPr>
          <w:szCs w:val="24"/>
        </w:rPr>
      </w:pPr>
      <w:r>
        <w:rPr>
          <w:szCs w:val="24"/>
        </w:rPr>
        <w:t>After on-site investigation and evidence collection, the following reasons for the accident were identified:</w:t>
      </w:r>
    </w:p>
    <w:p w14:paraId="6C91C2EB">
      <w:pPr>
        <w:pStyle w:val="16"/>
        <w:spacing w:before="31" w:after="31"/>
        <w:ind w:firstLine="480"/>
        <w:rPr>
          <w:szCs w:val="24"/>
        </w:rPr>
      </w:pPr>
    </w:p>
    <w:p w14:paraId="2EEFA044">
      <w:pPr>
        <w:pStyle w:val="16"/>
        <w:spacing w:before="31" w:after="31"/>
        <w:ind w:firstLine="480"/>
        <w:rPr>
          <w:szCs w:val="24"/>
        </w:rPr>
      </w:pPr>
      <w:r>
        <w:rPr>
          <w:szCs w:val="24"/>
        </w:rPr>
        <w:t>(a) Low Construction Quality:</w:t>
      </w:r>
    </w:p>
    <w:p w14:paraId="39E423F3">
      <w:pPr>
        <w:pStyle w:val="16"/>
        <w:spacing w:before="31" w:after="31"/>
        <w:ind w:firstLine="480"/>
        <w:rPr>
          <w:szCs w:val="24"/>
        </w:rPr>
      </w:pPr>
      <w:r>
        <w:rPr>
          <w:szCs w:val="24"/>
        </w:rPr>
        <w:t>The retaining wall masonry at K237+-625---655 on the Ninxilin Line was not constructed using the jet grouting method as required by the design. The mortar was loose, with many voids, poor bonding between mortar and stone chips, and locally filled with crushed stones without mortar, resulting in reduced wall strength.</w:t>
      </w:r>
    </w:p>
    <w:p w14:paraId="0043F38E">
      <w:pPr>
        <w:pStyle w:val="16"/>
        <w:spacing w:before="31" w:after="31"/>
        <w:ind w:firstLine="480"/>
        <w:rPr>
          <w:szCs w:val="24"/>
        </w:rPr>
      </w:pPr>
    </w:p>
    <w:p w14:paraId="49E32CA2">
      <w:pPr>
        <w:pStyle w:val="16"/>
        <w:spacing w:before="31" w:after="31"/>
        <w:ind w:firstLine="480"/>
        <w:rPr>
          <w:szCs w:val="24"/>
        </w:rPr>
      </w:pPr>
      <w:r>
        <w:rPr>
          <w:szCs w:val="24"/>
        </w:rPr>
        <w:t>The designed thickness of the protective wall is 0.5 meters with a slope ratio of 1:1. However, the measured thickness on-site was only 0.17 - 0.4 meters, which is insufficient.</w:t>
      </w:r>
    </w:p>
    <w:p w14:paraId="2B341679">
      <w:pPr>
        <w:pStyle w:val="16"/>
        <w:spacing w:before="31" w:after="31"/>
        <w:ind w:firstLine="480"/>
        <w:rPr>
          <w:szCs w:val="24"/>
        </w:rPr>
      </w:pPr>
    </w:p>
    <w:p w14:paraId="084EFD19">
      <w:pPr>
        <w:pStyle w:val="16"/>
        <w:spacing w:before="31" w:after="31"/>
        <w:ind w:firstLine="480"/>
        <w:rPr>
          <w:szCs w:val="24"/>
        </w:rPr>
      </w:pPr>
      <w:r>
        <w:rPr>
          <w:szCs w:val="24"/>
        </w:rPr>
        <w:t>The backfill layer and drainage holes of the retaining wall were not set according to regulations. The measured length of drainage pipes on-site was only 0.08 meters (wall thickness 0.6-0.8 meters). Some drainage holes were severely blocked, and no backfill layer was set, preventing proper drainage of water infiltrating the wall.</w:t>
      </w:r>
    </w:p>
    <w:p w14:paraId="59505317">
      <w:pPr>
        <w:pStyle w:val="16"/>
        <w:spacing w:before="31" w:after="31"/>
        <w:ind w:firstLine="480"/>
        <w:rPr>
          <w:szCs w:val="24"/>
        </w:rPr>
      </w:pPr>
    </w:p>
    <w:p w14:paraId="79907D3B">
      <w:pPr>
        <w:pStyle w:val="16"/>
        <w:spacing w:before="31" w:after="31"/>
        <w:ind w:firstLine="480"/>
        <w:rPr>
          <w:szCs w:val="24"/>
        </w:rPr>
      </w:pPr>
      <w:r>
        <w:rPr>
          <w:szCs w:val="24"/>
        </w:rPr>
        <w:t>There were significant differences between the actual geological conditions in this section and the design assumptions. The construction unit did not inform the design unit of this situation and proceeded with construction according to the original design, resulting in insufficient overall strength of the protective reinforcement facilities.</w:t>
      </w:r>
    </w:p>
    <w:p w14:paraId="37214582">
      <w:pPr>
        <w:pStyle w:val="16"/>
        <w:spacing w:before="31" w:after="31"/>
        <w:ind w:firstLine="480"/>
        <w:rPr>
          <w:szCs w:val="24"/>
        </w:rPr>
      </w:pPr>
    </w:p>
    <w:p w14:paraId="1274567C">
      <w:pPr>
        <w:pStyle w:val="16"/>
        <w:spacing w:before="31" w:after="31"/>
        <w:ind w:firstLine="480"/>
        <w:rPr>
          <w:szCs w:val="24"/>
        </w:rPr>
      </w:pPr>
      <w:r>
        <w:rPr>
          <w:szCs w:val="24"/>
        </w:rPr>
        <w:t>(b) Defects in Construction Design:</w:t>
      </w:r>
    </w:p>
    <w:p w14:paraId="142686C0">
      <w:pPr>
        <w:pStyle w:val="16"/>
        <w:spacing w:before="31" w:after="31"/>
        <w:ind w:firstLine="480"/>
        <w:rPr>
          <w:szCs w:val="24"/>
        </w:rPr>
      </w:pPr>
      <w:r>
        <w:rPr>
          <w:szCs w:val="24"/>
        </w:rPr>
        <w:t>The design unit used the assumption that the rock type behind the wall was dolomite with slate in the original design for the protective project in this section, based on which the calculation of the soil pressure behind the wall was conducted. However, the actual soil type behind the wall was mainly sandy clay and expansive soil, with significant differences in the soil mechanics parameters from those used in the design.</w:t>
      </w:r>
    </w:p>
    <w:p w14:paraId="250C33F7">
      <w:pPr>
        <w:pStyle w:val="16"/>
        <w:spacing w:before="31" w:after="31"/>
        <w:ind w:firstLine="480"/>
        <w:rPr>
          <w:szCs w:val="24"/>
        </w:rPr>
      </w:pPr>
    </w:p>
    <w:p w14:paraId="603257C1">
      <w:pPr>
        <w:pStyle w:val="16"/>
        <w:spacing w:before="31" w:after="31"/>
        <w:ind w:firstLine="480"/>
        <w:rPr>
          <w:szCs w:val="24"/>
        </w:rPr>
      </w:pPr>
      <w:r>
        <w:rPr>
          <w:szCs w:val="24"/>
        </w:rPr>
        <w:t>During construction, on-site coordination was inadequate, and the design unit's on-site coordination work during construction was not practical and detailed. They did not promptly identify significant differences between the actual geological conditions in this section and the design assumptions, nor did they promptly modify the design to adapt to the site conditions.</w:t>
      </w:r>
    </w:p>
    <w:p w14:paraId="065D7CD4">
      <w:pPr>
        <w:pStyle w:val="16"/>
        <w:spacing w:before="31" w:after="31"/>
        <w:ind w:firstLine="480"/>
        <w:rPr>
          <w:szCs w:val="24"/>
        </w:rPr>
      </w:pPr>
    </w:p>
    <w:p w14:paraId="4B8A9234">
      <w:pPr>
        <w:pStyle w:val="16"/>
        <w:spacing w:before="31" w:after="31"/>
        <w:ind w:firstLine="480"/>
        <w:rPr>
          <w:szCs w:val="24"/>
        </w:rPr>
      </w:pPr>
      <w:r>
        <w:rPr>
          <w:szCs w:val="24"/>
        </w:rPr>
        <w:t>There were deficiencies in the site investigation work. The on-site survey could easily have revealed that the rock structure in this section belonged to an unconformable structure, indicating poor geological conditions. A special protective reinforcement design for poor geological conditions should have been adopted, but the actual design used a standardized drawing for the protective wall, which did not align with the reality.</w:t>
      </w:r>
    </w:p>
    <w:p w14:paraId="1E17AFC8">
      <w:pPr>
        <w:pStyle w:val="16"/>
        <w:spacing w:before="31" w:after="31"/>
        <w:ind w:firstLine="480"/>
        <w:rPr>
          <w:szCs w:val="24"/>
        </w:rPr>
      </w:pPr>
    </w:p>
    <w:p w14:paraId="0DBF4BCC">
      <w:pPr>
        <w:pStyle w:val="16"/>
        <w:spacing w:before="31" w:after="31"/>
        <w:ind w:firstLine="480"/>
        <w:rPr>
          <w:szCs w:val="24"/>
        </w:rPr>
      </w:pPr>
      <w:r>
        <w:rPr>
          <w:szCs w:val="24"/>
        </w:rPr>
        <w:t>In recent times, the cumulative rainfall in this section was 82.4 mm. Surface water infiltrated along the upper open slope of the protective wall, causing an increase in the density of the backfill soil behind the wall and a reduction in shear strength. Under the action of self-weight and the dynamic load of the train, shear failure occurred along the rock layer behind the wall, resulting in the sudden collapse of the protective wall.</w:t>
      </w:r>
    </w:p>
    <w:p w14:paraId="7ECB972A">
      <w:pPr>
        <w:pStyle w:val="16"/>
        <w:spacing w:before="31" w:after="31"/>
        <w:ind w:firstLine="480"/>
        <w:rPr>
          <w:szCs w:val="24"/>
        </w:rPr>
      </w:pPr>
    </w:p>
    <w:p w14:paraId="63732017">
      <w:pPr>
        <w:pStyle w:val="16"/>
        <w:spacing w:before="31" w:after="31"/>
        <w:ind w:firstLine="480"/>
        <w:rPr>
          <w:szCs w:val="24"/>
        </w:rPr>
      </w:pPr>
      <w:r>
        <w:rPr>
          <w:szCs w:val="24"/>
        </w:rPr>
        <w:t>(7) Consequences and Harms Caused</w:t>
      </w:r>
    </w:p>
    <w:p w14:paraId="52A2F9AE">
      <w:pPr>
        <w:pStyle w:val="16"/>
        <w:spacing w:before="31" w:after="31"/>
        <w:ind w:firstLine="480"/>
        <w:rPr>
          <w:szCs w:val="24"/>
        </w:rPr>
      </w:pPr>
      <w:r>
        <w:rPr>
          <w:szCs w:val="24"/>
        </w:rPr>
        <w:t>Direct economic losses amounted to 3.481 million yuan, constituting a major derailment accident involving a freight train.</w:t>
      </w:r>
    </w:p>
    <w:p w14:paraId="5151748E">
      <w:pPr>
        <w:pStyle w:val="16"/>
        <w:spacing w:before="31" w:after="31"/>
        <w:ind w:firstLine="480"/>
        <w:rPr>
          <w:szCs w:val="24"/>
        </w:rPr>
      </w:pPr>
    </w:p>
    <w:p w14:paraId="3CF15E74">
      <w:pPr>
        <w:pStyle w:val="16"/>
        <w:spacing w:before="31" w:after="31"/>
        <w:ind w:firstLine="480"/>
        <w:rPr>
          <w:szCs w:val="24"/>
        </w:rPr>
      </w:pPr>
      <w:r>
        <w:rPr>
          <w:szCs w:val="24"/>
        </w:rPr>
        <w:t>(8) Conclusions and Improvement Measures</w:t>
      </w:r>
    </w:p>
    <w:p w14:paraId="12C14D14">
      <w:pPr>
        <w:pStyle w:val="16"/>
        <w:spacing w:before="31" w:after="31"/>
        <w:ind w:firstLine="480"/>
        <w:rPr>
          <w:szCs w:val="24"/>
        </w:rPr>
      </w:pPr>
      <w:r>
        <w:rPr>
          <w:szCs w:val="24"/>
        </w:rPr>
        <w:t>Organize a comprehensive inspection of the main operating equipment on the Ninxilin Line. Pay particular attention to the inspection and rectification of the track foundation and protective engineering in the track maintenance, and take practical measures to prevent the occurrence of similar problems for hidden dangers that are difficult to solve in the short term.</w:t>
      </w:r>
    </w:p>
    <w:p w14:paraId="1CB6AFF1">
      <w:pPr>
        <w:pStyle w:val="16"/>
        <w:spacing w:before="31" w:after="31"/>
        <w:ind w:firstLine="480"/>
        <w:rPr>
          <w:szCs w:val="24"/>
        </w:rPr>
      </w:pPr>
    </w:p>
    <w:p w14:paraId="27886274">
      <w:pPr>
        <w:pStyle w:val="16"/>
        <w:spacing w:before="31" w:after="31"/>
        <w:ind w:firstLine="480"/>
        <w:rPr>
          <w:szCs w:val="24"/>
        </w:rPr>
      </w:pPr>
      <w:r>
        <w:rPr>
          <w:szCs w:val="24"/>
        </w:rPr>
        <w:t>Strengthen inspection and guard duties, enhance daily inspections of key sections, supplement and improve emergency response plans for key sections, replenish emergency rescue materials for emergency use. Also, ensure the implementation of the locomotive crew's lookout system, take measures promptly upon discovering abnormal situations, and ensure the safety of train operations.</w:t>
      </w:r>
    </w:p>
    <w:p w14:paraId="3635D4EE">
      <w:pPr>
        <w:pStyle w:val="16"/>
        <w:spacing w:before="31" w:after="31"/>
        <w:ind w:firstLine="480"/>
        <w:rPr>
          <w:szCs w:val="24"/>
        </w:rPr>
      </w:pPr>
    </w:p>
    <w:p w14:paraId="4A3691AA">
      <w:pPr>
        <w:pStyle w:val="16"/>
        <w:spacing w:before="31" w:after="31"/>
        <w:ind w:firstLine="0" w:firstLineChars="0"/>
        <w:rPr>
          <w:b/>
          <w:bCs/>
          <w:szCs w:val="24"/>
        </w:rPr>
      </w:pPr>
      <w:r>
        <w:rPr>
          <w:b/>
          <w:bCs/>
          <w:szCs w:val="24"/>
        </w:rPr>
        <w:t>8.2.12 Case 8-12 Risky Derailment Accident of Train 41091 on the Bao Bai Line</w:t>
      </w:r>
    </w:p>
    <w:p w14:paraId="2A7F137B">
      <w:pPr>
        <w:pStyle w:val="16"/>
        <w:spacing w:before="31" w:after="31"/>
        <w:ind w:firstLine="480"/>
        <w:rPr>
          <w:szCs w:val="24"/>
        </w:rPr>
      </w:pPr>
    </w:p>
    <w:p w14:paraId="681B1EA9">
      <w:pPr>
        <w:pStyle w:val="16"/>
        <w:spacing w:before="31" w:after="31"/>
        <w:ind w:firstLine="480"/>
        <w:rPr>
          <w:szCs w:val="24"/>
        </w:rPr>
      </w:pPr>
      <w:r>
        <w:rPr>
          <w:szCs w:val="24"/>
        </w:rPr>
        <w:t>(1) Case Name</w:t>
      </w:r>
    </w:p>
    <w:p w14:paraId="73743672">
      <w:pPr>
        <w:pStyle w:val="16"/>
        <w:spacing w:before="31" w:after="31"/>
        <w:ind w:firstLine="480"/>
        <w:rPr>
          <w:szCs w:val="24"/>
        </w:rPr>
      </w:pPr>
      <w:r>
        <w:rPr>
          <w:szCs w:val="24"/>
        </w:rPr>
        <w:t>Risky Derailment Accident of Train 41091 on the Bao Bai Line [16]</w:t>
      </w:r>
    </w:p>
    <w:p w14:paraId="4C59B9AF">
      <w:pPr>
        <w:pStyle w:val="16"/>
        <w:spacing w:before="31" w:after="31"/>
        <w:ind w:firstLine="480"/>
        <w:rPr>
          <w:szCs w:val="24"/>
        </w:rPr>
      </w:pPr>
    </w:p>
    <w:p w14:paraId="29355B99">
      <w:pPr>
        <w:pStyle w:val="16"/>
        <w:spacing w:before="31" w:after="31"/>
        <w:ind w:firstLine="480"/>
        <w:rPr>
          <w:szCs w:val="24"/>
        </w:rPr>
      </w:pPr>
      <w:r>
        <w:rPr>
          <w:szCs w:val="24"/>
        </w:rPr>
        <w:t>(2) Description of Failure Process</w:t>
      </w:r>
    </w:p>
    <w:p w14:paraId="7F07BB12">
      <w:pPr>
        <w:pStyle w:val="16"/>
        <w:spacing w:before="31" w:after="31"/>
        <w:ind w:firstLine="480"/>
        <w:rPr>
          <w:szCs w:val="24"/>
        </w:rPr>
      </w:pPr>
      <w:r>
        <w:rPr>
          <w:szCs w:val="24"/>
        </w:rPr>
        <w:t>On July 19, 2004, at 04:53, locomotive DF4C 4340 from the Baoxi Locomotive Depot pulled Train 41091 (consisting of 4 cars with a total weight of 266 tons and a train length of 4.6) to the section between Wayao Dam and Taoerwan on the Bao Bai Line at kilometer point K24+045. The 2nd to 4th positions of the locomotive derailed (the 2nd position was a heavy hydrochloric acid tank car, and both the 3rd and 4th positions derailed completely). The track was damaged for 78 meters, three cars were damaged, and normal train operation was restored at 10:36, with an interruption of 5 hours and 43 minutes. This constituted a risky derailment accident involving a freight train.</w:t>
      </w:r>
    </w:p>
    <w:p w14:paraId="66A08E1C">
      <w:pPr>
        <w:pStyle w:val="16"/>
        <w:spacing w:before="31" w:after="31"/>
        <w:ind w:firstLine="480"/>
        <w:rPr>
          <w:szCs w:val="24"/>
        </w:rPr>
      </w:pPr>
    </w:p>
    <w:p w14:paraId="3878A9A8">
      <w:pPr>
        <w:pStyle w:val="16"/>
        <w:spacing w:before="31" w:after="31"/>
        <w:ind w:firstLine="480"/>
        <w:rPr>
          <w:szCs w:val="24"/>
        </w:rPr>
      </w:pPr>
      <w:r>
        <w:rPr>
          <w:szCs w:val="24"/>
        </w:rPr>
        <w:t>(3) Operating Environment of Components</w:t>
      </w:r>
    </w:p>
    <w:p w14:paraId="08115193">
      <w:pPr>
        <w:pStyle w:val="16"/>
        <w:spacing w:before="31" w:after="31"/>
        <w:ind w:firstLine="480"/>
        <w:rPr>
          <w:szCs w:val="24"/>
        </w:rPr>
      </w:pPr>
      <w:r>
        <w:rPr>
          <w:szCs w:val="24"/>
        </w:rPr>
        <w:t>Railway environment</w:t>
      </w:r>
    </w:p>
    <w:p w14:paraId="1B732914">
      <w:pPr>
        <w:pStyle w:val="16"/>
        <w:spacing w:before="31" w:after="31"/>
        <w:ind w:firstLine="480"/>
        <w:rPr>
          <w:szCs w:val="24"/>
        </w:rPr>
      </w:pPr>
    </w:p>
    <w:p w14:paraId="2BFBB258">
      <w:pPr>
        <w:pStyle w:val="16"/>
        <w:spacing w:before="31" w:after="31"/>
        <w:ind w:firstLine="480"/>
        <w:rPr>
          <w:szCs w:val="24"/>
        </w:rPr>
      </w:pPr>
      <w:r>
        <w:rPr>
          <w:szCs w:val="24"/>
        </w:rPr>
        <w:t>(4) Failed Components and Materials</w:t>
      </w:r>
    </w:p>
    <w:p w14:paraId="71F597C8">
      <w:pPr>
        <w:pStyle w:val="16"/>
        <w:spacing w:before="31" w:after="31"/>
        <w:ind w:firstLine="480"/>
        <w:rPr>
          <w:szCs w:val="24"/>
        </w:rPr>
      </w:pPr>
      <w:r>
        <w:rPr>
          <w:szCs w:val="24"/>
        </w:rPr>
        <w:t>The 1st, 2nd, and 3rd wheelsets derailed.</w:t>
      </w:r>
    </w:p>
    <w:p w14:paraId="1C06A7C4">
      <w:pPr>
        <w:pStyle w:val="16"/>
        <w:spacing w:before="31" w:after="31"/>
        <w:ind w:firstLine="480"/>
        <w:rPr>
          <w:szCs w:val="24"/>
        </w:rPr>
      </w:pPr>
      <w:r>
        <w:rPr>
          <w:szCs w:val="24"/>
        </w:rPr>
        <w:t>(5) Failed Component Morphology:</w:t>
      </w:r>
    </w:p>
    <w:p w14:paraId="465ED355">
      <w:pPr>
        <w:pStyle w:val="16"/>
        <w:spacing w:before="31" w:after="31"/>
        <w:ind w:firstLine="420" w:firstLineChars="0"/>
        <w:rPr>
          <w:szCs w:val="24"/>
        </w:rPr>
      </w:pPr>
      <w:r>
        <w:rPr>
          <w:szCs w:val="24"/>
        </w:rPr>
        <w:t>Null</w:t>
      </w:r>
    </w:p>
    <w:p w14:paraId="0F45ACE4">
      <w:pPr>
        <w:pStyle w:val="16"/>
        <w:spacing w:before="31" w:after="31"/>
        <w:ind w:firstLine="480"/>
        <w:rPr>
          <w:szCs w:val="24"/>
        </w:rPr>
      </w:pPr>
    </w:p>
    <w:p w14:paraId="75CCCE3C">
      <w:pPr>
        <w:pStyle w:val="16"/>
        <w:spacing w:before="31" w:after="31"/>
        <w:ind w:firstLine="480"/>
        <w:rPr>
          <w:szCs w:val="24"/>
        </w:rPr>
      </w:pPr>
    </w:p>
    <w:p w14:paraId="4D10DA4B">
      <w:pPr>
        <w:pStyle w:val="16"/>
        <w:spacing w:before="31" w:after="31"/>
        <w:ind w:firstLine="480"/>
        <w:rPr>
          <w:szCs w:val="24"/>
        </w:rPr>
      </w:pPr>
      <w:r>
        <w:rPr>
          <w:szCs w:val="24"/>
        </w:rPr>
        <w:t>(6) Analysis of Failure Causes</w:t>
      </w:r>
    </w:p>
    <w:p w14:paraId="1A934AE3">
      <w:pPr>
        <w:pStyle w:val="16"/>
        <w:spacing w:before="31" w:after="31"/>
        <w:ind w:firstLine="480"/>
        <w:rPr>
          <w:szCs w:val="24"/>
        </w:rPr>
      </w:pPr>
      <w:r>
        <w:rPr>
          <w:szCs w:val="24"/>
        </w:rPr>
        <w:t>The Bao Bai Line (Baoji West to Baiyun Ebo) is primarily used for transporting ore by Bao Steel. The derailment section has 50 kg/m, 25 m steel rails, 69-type reinforced concrete sleepers, elastic clip fasteners, a curve radius of 301 m, a curve superelevation of 115 mm, and a 40‰ uphill gradient. During the inspection of the derailment point, it was found that 13 consecutive fasteners on the outer side of the rail were loose to varying degrees.</w:t>
      </w:r>
    </w:p>
    <w:p w14:paraId="1FAC9F90">
      <w:pPr>
        <w:pStyle w:val="16"/>
        <w:spacing w:before="31" w:after="31"/>
        <w:ind w:firstLine="480"/>
        <w:rPr>
          <w:szCs w:val="24"/>
        </w:rPr>
      </w:pPr>
    </w:p>
    <w:p w14:paraId="3C721A86">
      <w:pPr>
        <w:pStyle w:val="16"/>
        <w:spacing w:before="31" w:after="31"/>
        <w:ind w:firstLine="480"/>
        <w:rPr>
          <w:szCs w:val="24"/>
        </w:rPr>
      </w:pPr>
      <w:r>
        <w:rPr>
          <w:szCs w:val="24"/>
        </w:rPr>
        <w:t xml:space="preserve">The derailed cars belonged to the Wuhai City Lamseng Temple Chemical Co., Ltd. They were self-owned cars and were leased by the Baoji Baiyun Ebo Zhonghua Cangzhou Marketing Company. After weighing, it was found that the 3rd and 4th positions of the locomotive had a weight of 126.28 tons, exceeding the registered limit of 52 tons for self-owned dangerous goods tank cars, resulting in an average overload of </w:t>
      </w:r>
    </w:p>
    <w:p w14:paraId="00705DE7">
      <w:pPr>
        <w:pStyle w:val="16"/>
        <w:spacing w:before="31" w:after="31"/>
        <w:ind w:firstLine="480"/>
        <w:rPr>
          <w:szCs w:val="24"/>
        </w:rPr>
      </w:pPr>
    </w:p>
    <w:p w14:paraId="71CF0483">
      <w:pPr>
        <w:pStyle w:val="16"/>
        <w:spacing w:before="31" w:after="31"/>
        <w:ind w:firstLine="480"/>
        <w:rPr>
          <w:szCs w:val="24"/>
        </w:rPr>
      </w:pPr>
      <w:r>
        <w:rPr>
          <w:szCs w:val="24"/>
        </w:rPr>
        <w:t>11.14 tons per car. The 2nd position of the locomotive was overloaded by 12.8 tons during weighing.</w:t>
      </w:r>
    </w:p>
    <w:p w14:paraId="2DED0C21">
      <w:pPr>
        <w:pStyle w:val="16"/>
        <w:spacing w:before="31" w:after="31"/>
        <w:ind w:firstLine="480"/>
        <w:rPr>
          <w:szCs w:val="24"/>
        </w:rPr>
      </w:pPr>
    </w:p>
    <w:p w14:paraId="79F71AA3">
      <w:pPr>
        <w:pStyle w:val="16"/>
        <w:spacing w:before="31" w:after="31"/>
        <w:ind w:firstLine="480"/>
        <w:rPr>
          <w:szCs w:val="24"/>
        </w:rPr>
      </w:pPr>
      <w:r>
        <w:rPr>
          <w:szCs w:val="24"/>
        </w:rPr>
        <w:t>(7) Consequences and Harms Caused</w:t>
      </w:r>
    </w:p>
    <w:p w14:paraId="17C5D874">
      <w:pPr>
        <w:pStyle w:val="16"/>
        <w:spacing w:before="31" w:after="31"/>
        <w:ind w:firstLine="480"/>
        <w:rPr>
          <w:szCs w:val="24"/>
        </w:rPr>
      </w:pPr>
      <w:r>
        <w:rPr>
          <w:szCs w:val="24"/>
        </w:rPr>
        <w:t>The accident caused economic losses.</w:t>
      </w:r>
    </w:p>
    <w:p w14:paraId="1C0D89B9">
      <w:pPr>
        <w:pStyle w:val="16"/>
        <w:spacing w:before="31" w:after="31"/>
        <w:ind w:firstLine="480"/>
        <w:rPr>
          <w:szCs w:val="24"/>
        </w:rPr>
      </w:pPr>
    </w:p>
    <w:p w14:paraId="4E693ECB">
      <w:pPr>
        <w:pStyle w:val="16"/>
        <w:spacing w:before="31" w:after="31"/>
        <w:ind w:firstLine="480"/>
        <w:rPr>
          <w:szCs w:val="24"/>
        </w:rPr>
      </w:pPr>
      <w:r>
        <w:rPr>
          <w:szCs w:val="24"/>
        </w:rPr>
        <w:t>(8) Conclusions and Improvement Measures</w:t>
      </w:r>
    </w:p>
    <w:p w14:paraId="369AE19D">
      <w:pPr>
        <w:pStyle w:val="16"/>
        <w:spacing w:before="31" w:after="31"/>
        <w:ind w:firstLine="480"/>
        <w:rPr>
          <w:szCs w:val="24"/>
        </w:rPr>
      </w:pPr>
      <w:r>
        <w:rPr>
          <w:szCs w:val="24"/>
        </w:rPr>
        <w:t>After comprehensive analysis, it was concluded that, when passing through a 301 m small-radius curve (with a curve superelevation of 115 mm), the overloaded hydrochloric acid tank cars had their liquid center of gravity concentrated on the right side of the track, increasing lateral forces. Additionally, the rail fasteners on the outer side of the derailment point were loose to varying degrees, reducing the rigidity of the track. Under the action of centrifugal force, the overloaded liquid-heavy cars squeezed the rail on the curve, leading to track instability, increased gauge, and subsequent derailment of the 2nd position of the locomotive (car number G045231) towards the inside of the track. After derailing, under the compression of the wheelset, the left wheel traveled 6.9 meters along the rail surface before derailing towards the outside of the curve, causing the 3rd and 4th positions to derail. In summary, the main cause of this accident was the low quality of track maintenance, combined with overloading of the cargo, resulting in the derailment of the vehicles.</w:t>
      </w:r>
    </w:p>
    <w:p w14:paraId="6ECE2524">
      <w:pPr>
        <w:pStyle w:val="16"/>
        <w:spacing w:before="31" w:after="31"/>
        <w:ind w:firstLine="480"/>
        <w:rPr>
          <w:szCs w:val="24"/>
        </w:rPr>
      </w:pPr>
    </w:p>
    <w:p w14:paraId="7573BF80">
      <w:pPr>
        <w:pStyle w:val="16"/>
        <w:spacing w:before="31" w:after="31"/>
        <w:ind w:firstLine="0" w:firstLineChars="0"/>
        <w:rPr>
          <w:b/>
          <w:bCs/>
          <w:szCs w:val="24"/>
        </w:rPr>
      </w:pPr>
      <w:r>
        <w:rPr>
          <w:b/>
          <w:bCs/>
          <w:szCs w:val="24"/>
        </w:rPr>
        <w:t>8.2.13 Case 8-13 Risky Derailment Accident of Train 8653 on the Chengkun Line</w:t>
      </w:r>
    </w:p>
    <w:p w14:paraId="74868137">
      <w:pPr>
        <w:pStyle w:val="16"/>
        <w:spacing w:before="31" w:after="31"/>
        <w:ind w:firstLine="480"/>
        <w:rPr>
          <w:szCs w:val="24"/>
        </w:rPr>
      </w:pPr>
    </w:p>
    <w:p w14:paraId="67181496">
      <w:pPr>
        <w:pStyle w:val="16"/>
        <w:spacing w:before="31" w:after="31"/>
        <w:ind w:firstLine="480"/>
        <w:rPr>
          <w:szCs w:val="24"/>
        </w:rPr>
      </w:pPr>
      <w:r>
        <w:rPr>
          <w:szCs w:val="24"/>
        </w:rPr>
        <w:t>(1) Case Name</w:t>
      </w:r>
    </w:p>
    <w:p w14:paraId="21DAB734">
      <w:pPr>
        <w:pStyle w:val="16"/>
        <w:spacing w:before="31" w:after="31"/>
        <w:ind w:firstLine="480"/>
        <w:rPr>
          <w:szCs w:val="24"/>
        </w:rPr>
      </w:pPr>
      <w:r>
        <w:rPr>
          <w:szCs w:val="24"/>
        </w:rPr>
        <w:t>Risky Derailment Accident of Train 8653 on the Chengkun Line [17]</w:t>
      </w:r>
    </w:p>
    <w:p w14:paraId="5EB31144">
      <w:pPr>
        <w:pStyle w:val="16"/>
        <w:spacing w:before="31" w:after="31"/>
        <w:ind w:firstLine="480"/>
        <w:rPr>
          <w:szCs w:val="24"/>
        </w:rPr>
      </w:pPr>
    </w:p>
    <w:p w14:paraId="16AA5391">
      <w:pPr>
        <w:pStyle w:val="16"/>
        <w:spacing w:before="31" w:after="31"/>
        <w:ind w:firstLine="480"/>
        <w:rPr>
          <w:szCs w:val="24"/>
        </w:rPr>
      </w:pPr>
      <w:r>
        <w:rPr>
          <w:szCs w:val="24"/>
        </w:rPr>
        <w:t>(2) Description of Failure Process</w:t>
      </w:r>
    </w:p>
    <w:p w14:paraId="1F54B0CD">
      <w:pPr>
        <w:pStyle w:val="16"/>
        <w:spacing w:before="31" w:after="31"/>
        <w:ind w:firstLine="480"/>
        <w:rPr>
          <w:szCs w:val="24"/>
        </w:rPr>
      </w:pPr>
      <w:r>
        <w:rPr>
          <w:szCs w:val="24"/>
        </w:rPr>
        <w:t>In 2000, between Chengdu Division's Chengkun Line YueXi and Tiexi, at kilometer point K369+945, Train 8653 (with primary locomotive SS3B5143 and supplementary locomotive SS3B5145, consisting of 47 cars with a total weight of 1,081 tons and a length of 64.8) had its 47th car (P62N3312823, empty) derailed. The vehicle was righted at 12:30, and the section was reopened at 12:50. The accident caused one car to be damaged, 267 sleepers to be damaged, and a 2 hours and 55 minutes interruption of normal train operation.</w:t>
      </w:r>
    </w:p>
    <w:p w14:paraId="0F0F7B1F">
      <w:pPr>
        <w:pStyle w:val="16"/>
        <w:spacing w:before="31" w:after="31"/>
        <w:ind w:firstLine="480"/>
        <w:rPr>
          <w:szCs w:val="24"/>
        </w:rPr>
      </w:pPr>
    </w:p>
    <w:p w14:paraId="5FF31526">
      <w:pPr>
        <w:pStyle w:val="16"/>
        <w:spacing w:before="31" w:after="31"/>
        <w:ind w:firstLine="480"/>
        <w:rPr>
          <w:szCs w:val="24"/>
        </w:rPr>
      </w:pPr>
      <w:r>
        <w:rPr>
          <w:szCs w:val="24"/>
        </w:rPr>
        <w:t>(3) Operating Environment of Components</w:t>
      </w:r>
    </w:p>
    <w:p w14:paraId="0B7F3830">
      <w:pPr>
        <w:pStyle w:val="16"/>
        <w:spacing w:before="31" w:after="31"/>
        <w:ind w:firstLine="480"/>
        <w:rPr>
          <w:szCs w:val="24"/>
        </w:rPr>
      </w:pPr>
      <w:r>
        <w:rPr>
          <w:szCs w:val="24"/>
        </w:rPr>
        <w:t>Environment with large temperature differences, rainy season railway environment</w:t>
      </w:r>
    </w:p>
    <w:p w14:paraId="2A9B33B3">
      <w:pPr>
        <w:pStyle w:val="16"/>
        <w:spacing w:before="31" w:after="31"/>
        <w:ind w:firstLine="480"/>
        <w:rPr>
          <w:szCs w:val="24"/>
        </w:rPr>
      </w:pPr>
    </w:p>
    <w:p w14:paraId="1F1B1E97">
      <w:pPr>
        <w:pStyle w:val="16"/>
        <w:spacing w:before="31" w:after="31"/>
        <w:ind w:firstLine="480"/>
        <w:rPr>
          <w:szCs w:val="24"/>
        </w:rPr>
      </w:pPr>
      <w:r>
        <w:rPr>
          <w:szCs w:val="24"/>
        </w:rPr>
        <w:t>(4) Failed Components and Materials</w:t>
      </w:r>
    </w:p>
    <w:p w14:paraId="6E71420C">
      <w:pPr>
        <w:pStyle w:val="16"/>
        <w:spacing w:before="31" w:after="31"/>
        <w:ind w:firstLine="480"/>
        <w:rPr>
          <w:szCs w:val="24"/>
        </w:rPr>
      </w:pPr>
      <w:r>
        <w:rPr>
          <w:szCs w:val="24"/>
        </w:rPr>
        <w:t>Derailed wheelsets of the 47th car</w:t>
      </w:r>
    </w:p>
    <w:p w14:paraId="0C01F6C5">
      <w:pPr>
        <w:pStyle w:val="16"/>
        <w:spacing w:before="31" w:after="31"/>
        <w:ind w:firstLine="480"/>
        <w:rPr>
          <w:szCs w:val="24"/>
        </w:rPr>
      </w:pPr>
      <w:r>
        <w:rPr>
          <w:szCs w:val="24"/>
        </w:rPr>
        <w:t>(5) Failed Component Morphology:</w:t>
      </w:r>
    </w:p>
    <w:p w14:paraId="4264904C">
      <w:pPr>
        <w:pStyle w:val="16"/>
        <w:spacing w:before="31" w:after="31"/>
        <w:ind w:firstLine="420" w:firstLineChars="0"/>
        <w:rPr>
          <w:szCs w:val="24"/>
        </w:rPr>
      </w:pPr>
      <w:r>
        <w:rPr>
          <w:szCs w:val="24"/>
        </w:rPr>
        <w:t>Null</w:t>
      </w:r>
    </w:p>
    <w:p w14:paraId="09FFB33C">
      <w:pPr>
        <w:pStyle w:val="16"/>
        <w:spacing w:before="31" w:after="31"/>
        <w:ind w:firstLine="480"/>
        <w:rPr>
          <w:szCs w:val="24"/>
        </w:rPr>
      </w:pPr>
    </w:p>
    <w:p w14:paraId="318BB56D">
      <w:pPr>
        <w:pStyle w:val="16"/>
        <w:spacing w:before="31" w:after="31"/>
        <w:ind w:firstLine="480"/>
        <w:rPr>
          <w:szCs w:val="24"/>
        </w:rPr>
      </w:pPr>
      <w:r>
        <w:rPr>
          <w:szCs w:val="24"/>
        </w:rPr>
        <w:t>(6) Analysis of Failure Causes</w:t>
      </w:r>
    </w:p>
    <w:p w14:paraId="57BBEC04">
      <w:pPr>
        <w:pStyle w:val="16"/>
        <w:spacing w:before="31" w:after="31"/>
        <w:ind w:firstLine="480"/>
        <w:rPr>
          <w:szCs w:val="24"/>
        </w:rPr>
      </w:pPr>
      <w:r>
        <w:rPr>
          <w:szCs w:val="24"/>
        </w:rPr>
        <w:t>In the empty car state, the lateral dynamic performance of the bogie is poor; the dimensions of the bogie and wheelsets wear over time, affecting the performance of the bogie. The derailed vehicle used the 8A-type bogie with low static deflection, resulting in poor lateral dynamic performance in the empty car state. The dimensions of the bogie and wheelsets wore over time, affecting the performance of the bogie. The section of the track had undergone a major maintenance period, and in situations with large temperature differences and during the rainy season, the bed elasticity was reduced, dynamic vibrations increased, and stability decreased. Therefore, the derailment of this vehicle was a composite derailment caused by the joint action of multiple factors.</w:t>
      </w:r>
    </w:p>
    <w:p w14:paraId="5F5A31FD">
      <w:pPr>
        <w:pStyle w:val="16"/>
        <w:spacing w:before="31" w:after="31"/>
        <w:ind w:firstLine="480"/>
        <w:rPr>
          <w:szCs w:val="24"/>
        </w:rPr>
      </w:pPr>
    </w:p>
    <w:p w14:paraId="30A004A3">
      <w:pPr>
        <w:pStyle w:val="16"/>
        <w:spacing w:before="31" w:after="31"/>
        <w:ind w:firstLine="480"/>
        <w:rPr>
          <w:szCs w:val="24"/>
        </w:rPr>
      </w:pPr>
      <w:r>
        <w:rPr>
          <w:szCs w:val="24"/>
        </w:rPr>
        <w:t>(7) Impact and Harm Caused</w:t>
      </w:r>
    </w:p>
    <w:p w14:paraId="0A69F1D4">
      <w:pPr>
        <w:pStyle w:val="16"/>
        <w:spacing w:before="31" w:after="31"/>
        <w:ind w:firstLine="480"/>
        <w:rPr>
          <w:szCs w:val="24"/>
        </w:rPr>
      </w:pPr>
      <w:r>
        <w:rPr>
          <w:szCs w:val="24"/>
        </w:rPr>
        <w:t>The accident resulted in a direct economic loss of 125,000 yuan and an interruption of train operation for 2 hours and 55 minutes, constituting a risky derailment accident involving a freight train.</w:t>
      </w:r>
    </w:p>
    <w:p w14:paraId="55E94089">
      <w:pPr>
        <w:pStyle w:val="16"/>
        <w:spacing w:before="31" w:after="31"/>
        <w:ind w:firstLine="480"/>
        <w:rPr>
          <w:szCs w:val="24"/>
        </w:rPr>
      </w:pPr>
      <w:r>
        <w:rPr>
          <w:szCs w:val="24"/>
        </w:rPr>
        <w:t>(8) Conclusion and Improvement Measures</w:t>
      </w:r>
    </w:p>
    <w:p w14:paraId="1D6F075E">
      <w:pPr>
        <w:pStyle w:val="16"/>
        <w:spacing w:before="31" w:after="31"/>
        <w:ind w:firstLine="480"/>
        <w:rPr>
          <w:szCs w:val="24"/>
        </w:rPr>
      </w:pPr>
      <w:r>
        <w:rPr>
          <w:rFonts w:hint="eastAsia"/>
          <w:szCs w:val="24"/>
        </w:rPr>
        <w:t>N</w:t>
      </w:r>
      <w:r>
        <w:rPr>
          <w:szCs w:val="24"/>
        </w:rPr>
        <w:t>ull</w:t>
      </w:r>
    </w:p>
    <w:p w14:paraId="477A6136">
      <w:pPr>
        <w:pStyle w:val="16"/>
        <w:spacing w:before="31" w:after="31"/>
        <w:ind w:firstLine="0" w:firstLineChars="0"/>
        <w:rPr>
          <w:b/>
          <w:bCs/>
          <w:szCs w:val="24"/>
        </w:rPr>
      </w:pPr>
      <w:r>
        <w:rPr>
          <w:b/>
          <w:bCs/>
          <w:szCs w:val="24"/>
        </w:rPr>
        <w:t>8.2.14 Case 8-14 Major Derailment Accident of K883 Passenger Train on the Nanjiang Line</w:t>
      </w:r>
    </w:p>
    <w:p w14:paraId="3CF03A12">
      <w:pPr>
        <w:pStyle w:val="16"/>
        <w:spacing w:before="31" w:after="31"/>
        <w:ind w:firstLine="480"/>
        <w:rPr>
          <w:szCs w:val="24"/>
        </w:rPr>
      </w:pPr>
    </w:p>
    <w:p w14:paraId="66F09C21">
      <w:pPr>
        <w:pStyle w:val="16"/>
        <w:spacing w:before="31" w:after="31"/>
        <w:ind w:firstLine="480"/>
        <w:rPr>
          <w:szCs w:val="24"/>
        </w:rPr>
      </w:pPr>
      <w:r>
        <w:rPr>
          <w:szCs w:val="24"/>
        </w:rPr>
        <w:t>(1) Case Name</w:t>
      </w:r>
    </w:p>
    <w:p w14:paraId="37A284CA">
      <w:pPr>
        <w:pStyle w:val="16"/>
        <w:spacing w:before="31" w:after="31"/>
        <w:ind w:firstLine="480"/>
        <w:rPr>
          <w:szCs w:val="24"/>
        </w:rPr>
      </w:pPr>
      <w:r>
        <w:rPr>
          <w:szCs w:val="24"/>
        </w:rPr>
        <w:t>Major Derailment Accident of K883 Passenger Train on the Nanjiang Line [18-20]</w:t>
      </w:r>
    </w:p>
    <w:p w14:paraId="70CD1B50">
      <w:pPr>
        <w:pStyle w:val="16"/>
        <w:spacing w:before="31" w:after="31"/>
        <w:ind w:firstLine="480"/>
        <w:rPr>
          <w:szCs w:val="24"/>
        </w:rPr>
      </w:pPr>
    </w:p>
    <w:p w14:paraId="079DB56A">
      <w:pPr>
        <w:pStyle w:val="16"/>
        <w:spacing w:before="31" w:after="31"/>
        <w:ind w:firstLine="480"/>
        <w:rPr>
          <w:szCs w:val="24"/>
        </w:rPr>
      </w:pPr>
      <w:r>
        <w:rPr>
          <w:szCs w:val="24"/>
        </w:rPr>
        <w:t>(2) Description of Failure Process</w:t>
      </w:r>
    </w:p>
    <w:p w14:paraId="484565F8">
      <w:pPr>
        <w:pStyle w:val="16"/>
        <w:spacing w:before="31" w:after="31"/>
        <w:ind w:firstLine="480"/>
        <w:rPr>
          <w:szCs w:val="24"/>
        </w:rPr>
      </w:pPr>
      <w:r>
        <w:rPr>
          <w:szCs w:val="24"/>
        </w:rPr>
        <w:t>In 2001, Train K883, traveling from Urumqi to Kashgar (consisting of 13 cars with a total weight of 689 tons and a length of 28.6), derailed at kilometer point K275+674 between Shinkuangyi and Xiagxin on the Nanjiang Line at a speed of 54 km/h. The 1st to 11th cars of the locomotive and the 12th car derailed one bogie, traveling 306 meters after derailment.</w:t>
      </w:r>
    </w:p>
    <w:p w14:paraId="2965B95B">
      <w:pPr>
        <w:pStyle w:val="16"/>
        <w:spacing w:before="31" w:after="31"/>
        <w:ind w:firstLine="480"/>
        <w:rPr>
          <w:szCs w:val="24"/>
        </w:rPr>
      </w:pPr>
    </w:p>
    <w:p w14:paraId="3E849EDE">
      <w:pPr>
        <w:pStyle w:val="16"/>
        <w:spacing w:before="31" w:after="31"/>
        <w:ind w:firstLine="480"/>
        <w:rPr>
          <w:szCs w:val="24"/>
        </w:rPr>
      </w:pPr>
      <w:r>
        <w:rPr>
          <w:szCs w:val="24"/>
        </w:rPr>
        <w:t>(3) Operating Environment of Components</w:t>
      </w:r>
    </w:p>
    <w:p w14:paraId="00CF7714">
      <w:pPr>
        <w:pStyle w:val="16"/>
        <w:spacing w:before="31" w:after="31"/>
        <w:ind w:firstLine="480"/>
        <w:rPr>
          <w:szCs w:val="24"/>
        </w:rPr>
      </w:pPr>
      <w:r>
        <w:rPr>
          <w:szCs w:val="24"/>
        </w:rPr>
        <w:t>Railway environment</w:t>
      </w:r>
    </w:p>
    <w:p w14:paraId="3217F83C">
      <w:pPr>
        <w:pStyle w:val="16"/>
        <w:spacing w:before="31" w:after="31"/>
        <w:ind w:firstLine="480"/>
        <w:rPr>
          <w:szCs w:val="24"/>
        </w:rPr>
      </w:pPr>
    </w:p>
    <w:p w14:paraId="5C9AD197">
      <w:pPr>
        <w:pStyle w:val="16"/>
        <w:spacing w:before="31" w:after="31"/>
        <w:ind w:firstLine="480"/>
        <w:rPr>
          <w:szCs w:val="24"/>
        </w:rPr>
      </w:pPr>
      <w:r>
        <w:rPr>
          <w:szCs w:val="24"/>
        </w:rPr>
        <w:t>(4) Failed Components and Materials</w:t>
      </w:r>
    </w:p>
    <w:p w14:paraId="3A677140">
      <w:pPr>
        <w:pStyle w:val="16"/>
        <w:spacing w:before="31" w:after="31"/>
        <w:ind w:firstLine="480"/>
        <w:rPr>
          <w:szCs w:val="24"/>
        </w:rPr>
      </w:pPr>
      <w:r>
        <w:rPr>
          <w:szCs w:val="24"/>
        </w:rPr>
        <w:t>The entire track bed supporting block shoulder in the tunnel had a design deficiency, lacking a row of steel bars. The sudden fracture of the block shoulder occurred after long-term use (this location was on a 400 m curve), leading to a reduction in the structural strength of the track, a significant decrease in lateral bearing capacity, and, under the action of the lateral impact force of the wheelset, the track became unstable, the gauge widened, and the wheelset derailed.</w:t>
      </w:r>
    </w:p>
    <w:p w14:paraId="2DB345B7">
      <w:pPr>
        <w:pStyle w:val="16"/>
        <w:spacing w:before="31" w:after="31"/>
        <w:ind w:firstLine="480"/>
        <w:rPr>
          <w:szCs w:val="24"/>
        </w:rPr>
      </w:pPr>
      <w:r>
        <w:rPr>
          <w:szCs w:val="24"/>
        </w:rPr>
        <w:t>(5) Failed Component Morphology:</w:t>
      </w:r>
    </w:p>
    <w:p w14:paraId="2D7068E3">
      <w:pPr>
        <w:pStyle w:val="16"/>
        <w:spacing w:before="31" w:after="31"/>
        <w:ind w:firstLine="420" w:firstLineChars="0"/>
        <w:rPr>
          <w:rFonts w:hint="eastAsia"/>
          <w:szCs w:val="24"/>
        </w:rPr>
      </w:pPr>
      <w:r>
        <w:rPr>
          <w:szCs w:val="24"/>
        </w:rPr>
        <w:t>Null</w:t>
      </w:r>
    </w:p>
    <w:p w14:paraId="4C748EA0">
      <w:pPr>
        <w:pStyle w:val="16"/>
        <w:spacing w:before="31" w:after="31"/>
        <w:ind w:firstLine="480"/>
        <w:rPr>
          <w:szCs w:val="24"/>
        </w:rPr>
      </w:pPr>
      <w:r>
        <w:rPr>
          <w:szCs w:val="24"/>
        </w:rPr>
        <w:t>(6) Analysis of Failure Causes</w:t>
      </w:r>
    </w:p>
    <w:p w14:paraId="2E9078E0">
      <w:pPr>
        <w:pStyle w:val="16"/>
        <w:spacing w:before="31" w:after="31"/>
        <w:ind w:firstLine="480"/>
        <w:rPr>
          <w:szCs w:val="24"/>
        </w:rPr>
      </w:pPr>
      <w:r>
        <w:rPr>
          <w:szCs w:val="24"/>
        </w:rPr>
        <w:t>The tunnel's integral track bed supporting block was designed with a lack of a row of steel bars in the shoulder, and after long-term use, a sudden fracture occurred (located on a 400 m curve). This resulted in the reduction of the track's structural strength, a significant decrease in lateral bearing capacity, and, under the impact force of the wheelset, the track became unstable, the gauge widened, and the wheelset derailed.</w:t>
      </w:r>
    </w:p>
    <w:p w14:paraId="777A00AA">
      <w:pPr>
        <w:pStyle w:val="16"/>
        <w:spacing w:before="31" w:after="31"/>
        <w:ind w:firstLine="480"/>
        <w:rPr>
          <w:szCs w:val="24"/>
        </w:rPr>
      </w:pPr>
    </w:p>
    <w:p w14:paraId="1E786B0D">
      <w:pPr>
        <w:pStyle w:val="16"/>
        <w:spacing w:before="31" w:after="31"/>
        <w:ind w:firstLine="480"/>
        <w:rPr>
          <w:szCs w:val="24"/>
        </w:rPr>
      </w:pPr>
      <w:r>
        <w:rPr>
          <w:szCs w:val="24"/>
        </w:rPr>
        <w:t>(7) Consequences and Harms Caused</w:t>
      </w:r>
    </w:p>
    <w:p w14:paraId="53DF7142">
      <w:pPr>
        <w:pStyle w:val="16"/>
        <w:spacing w:before="31" w:after="31"/>
        <w:ind w:firstLine="0" w:firstLineChars="0"/>
        <w:rPr>
          <w:szCs w:val="24"/>
        </w:rPr>
      </w:pPr>
      <w:r>
        <w:rPr>
          <w:szCs w:val="24"/>
        </w:rPr>
        <w:t>The accident caused a direct economic loss of 647,086.60 yuan and an interruption of train operation for 55 hours and 50 minutes.</w:t>
      </w:r>
    </w:p>
    <w:p w14:paraId="38B469B8">
      <w:pPr>
        <w:pStyle w:val="16"/>
        <w:spacing w:before="31" w:after="31"/>
        <w:ind w:firstLine="480"/>
        <w:rPr>
          <w:szCs w:val="24"/>
        </w:rPr>
      </w:pPr>
      <w:r>
        <w:rPr>
          <w:szCs w:val="24"/>
        </w:rPr>
        <w:t>(8) Conclusion and Improvement Measures</w:t>
      </w:r>
    </w:p>
    <w:p w14:paraId="2F216F1B">
      <w:pPr>
        <w:pStyle w:val="16"/>
        <w:spacing w:before="31" w:after="31"/>
        <w:ind w:firstLine="0" w:firstLineChars="0"/>
        <w:rPr>
          <w:szCs w:val="24"/>
        </w:rPr>
      </w:pPr>
      <w:r>
        <w:rPr>
          <w:szCs w:val="24"/>
        </w:rPr>
        <w:t>Null</w:t>
      </w:r>
    </w:p>
    <w:p w14:paraId="43C8883B">
      <w:pPr>
        <w:pStyle w:val="16"/>
        <w:spacing w:before="31" w:after="31"/>
        <w:ind w:firstLine="0" w:firstLineChars="0"/>
        <w:rPr>
          <w:b/>
          <w:bCs/>
          <w:szCs w:val="24"/>
        </w:rPr>
      </w:pPr>
      <w:r>
        <w:rPr>
          <w:b/>
          <w:bCs/>
          <w:szCs w:val="24"/>
        </w:rPr>
        <w:t>8.2.15 Case 8-15 Deterioration of Concrete Pavement on Hening Road</w:t>
      </w:r>
    </w:p>
    <w:p w14:paraId="7F1F1200">
      <w:pPr>
        <w:pStyle w:val="16"/>
        <w:spacing w:before="31" w:after="31"/>
        <w:ind w:firstLine="480"/>
        <w:rPr>
          <w:szCs w:val="24"/>
        </w:rPr>
      </w:pPr>
    </w:p>
    <w:p w14:paraId="660290A5">
      <w:pPr>
        <w:pStyle w:val="16"/>
        <w:spacing w:before="31" w:after="31"/>
        <w:ind w:firstLine="480"/>
        <w:rPr>
          <w:szCs w:val="24"/>
        </w:rPr>
      </w:pPr>
      <w:r>
        <w:rPr>
          <w:szCs w:val="24"/>
        </w:rPr>
        <w:t>(1) Case Name</w:t>
      </w:r>
    </w:p>
    <w:p w14:paraId="0B73F385">
      <w:pPr>
        <w:pStyle w:val="16"/>
        <w:spacing w:before="31" w:after="31"/>
        <w:ind w:firstLine="480"/>
        <w:rPr>
          <w:szCs w:val="24"/>
        </w:rPr>
      </w:pPr>
      <w:r>
        <w:rPr>
          <w:szCs w:val="24"/>
        </w:rPr>
        <w:t>Deterioration of Concrete Pavement on Hening Road [21]</w:t>
      </w:r>
    </w:p>
    <w:p w14:paraId="7A51E62B">
      <w:pPr>
        <w:pStyle w:val="16"/>
        <w:spacing w:before="31" w:after="31"/>
        <w:ind w:firstLine="480"/>
        <w:rPr>
          <w:szCs w:val="24"/>
        </w:rPr>
      </w:pPr>
    </w:p>
    <w:p w14:paraId="32F7E9F2">
      <w:pPr>
        <w:pStyle w:val="16"/>
        <w:spacing w:before="31" w:after="31"/>
        <w:ind w:firstLine="480"/>
        <w:rPr>
          <w:szCs w:val="24"/>
        </w:rPr>
      </w:pPr>
      <w:r>
        <w:rPr>
          <w:szCs w:val="24"/>
        </w:rPr>
        <w:t>(2) Description of Failure Process</w:t>
      </w:r>
    </w:p>
    <w:p w14:paraId="6BD6B929">
      <w:pPr>
        <w:pStyle w:val="16"/>
        <w:spacing w:before="31" w:after="31"/>
        <w:ind w:firstLine="480"/>
        <w:rPr>
          <w:szCs w:val="24"/>
        </w:rPr>
      </w:pPr>
      <w:r>
        <w:rPr>
          <w:szCs w:val="24"/>
        </w:rPr>
        <w:t>The Hening Road, connecting Hefei to Nanjing, is a crucial transportation route from Anhui to Jiangsu, Shanghai, and other provinces and cities. Operating for over a decade until 2003, the road experienced extensive damage due to the exponential growth in traffic volume and the abnormal movement of heavy and overloaded vehicles.</w:t>
      </w:r>
    </w:p>
    <w:p w14:paraId="278A4857">
      <w:pPr>
        <w:pStyle w:val="16"/>
        <w:spacing w:before="31" w:after="31"/>
        <w:ind w:firstLine="480"/>
        <w:rPr>
          <w:szCs w:val="24"/>
        </w:rPr>
      </w:pPr>
    </w:p>
    <w:p w14:paraId="7F06018D">
      <w:pPr>
        <w:pStyle w:val="16"/>
        <w:spacing w:before="31" w:after="31"/>
        <w:ind w:firstLine="480"/>
        <w:rPr>
          <w:szCs w:val="24"/>
        </w:rPr>
      </w:pPr>
      <w:r>
        <w:rPr>
          <w:szCs w:val="24"/>
        </w:rPr>
        <w:t>(3) Operating Environment of Components</w:t>
      </w:r>
    </w:p>
    <w:p w14:paraId="24767729">
      <w:pPr>
        <w:pStyle w:val="16"/>
        <w:spacing w:before="31" w:after="31"/>
        <w:ind w:firstLine="480"/>
        <w:rPr>
          <w:szCs w:val="24"/>
        </w:rPr>
      </w:pPr>
      <w:r>
        <w:rPr>
          <w:szCs w:val="24"/>
        </w:rPr>
        <w:t>Interaction of traffic loads and water infiltration</w:t>
      </w:r>
    </w:p>
    <w:p w14:paraId="6FC619F6">
      <w:pPr>
        <w:pStyle w:val="16"/>
        <w:spacing w:before="31" w:after="31"/>
        <w:ind w:firstLine="480"/>
        <w:rPr>
          <w:szCs w:val="24"/>
        </w:rPr>
      </w:pPr>
    </w:p>
    <w:p w14:paraId="1DDEE9CE">
      <w:pPr>
        <w:pStyle w:val="16"/>
        <w:spacing w:before="31" w:after="31"/>
        <w:ind w:firstLine="480"/>
        <w:rPr>
          <w:szCs w:val="24"/>
        </w:rPr>
      </w:pPr>
      <w:r>
        <w:rPr>
          <w:szCs w:val="24"/>
        </w:rPr>
        <w:t>(4) Failed Components and Materials</w:t>
      </w:r>
    </w:p>
    <w:p w14:paraId="0BBC4BFF">
      <w:pPr>
        <w:pStyle w:val="16"/>
        <w:spacing w:before="31" w:after="31"/>
        <w:ind w:firstLine="480"/>
        <w:rPr>
          <w:szCs w:val="24"/>
        </w:rPr>
      </w:pPr>
      <w:r>
        <w:rPr>
          <w:szCs w:val="24"/>
        </w:rPr>
        <w:t>Asphalt pavement on the highway</w:t>
      </w:r>
    </w:p>
    <w:p w14:paraId="51BC260A">
      <w:pPr>
        <w:pStyle w:val="16"/>
        <w:spacing w:before="31" w:after="31"/>
        <w:ind w:firstLine="480"/>
        <w:rPr>
          <w:szCs w:val="24"/>
        </w:rPr>
      </w:pPr>
    </w:p>
    <w:p w14:paraId="3A0C3483">
      <w:pPr>
        <w:pStyle w:val="16"/>
        <w:spacing w:before="31" w:after="31"/>
        <w:ind w:firstLine="480"/>
        <w:rPr>
          <w:szCs w:val="24"/>
        </w:rPr>
      </w:pPr>
      <w:r>
        <w:rPr>
          <w:szCs w:val="24"/>
        </w:rPr>
        <w:t>(5) Basic Information of Failed Components</w:t>
      </w:r>
    </w:p>
    <w:p w14:paraId="01474821">
      <w:pPr>
        <w:pStyle w:val="16"/>
        <w:spacing w:before="31" w:after="31"/>
        <w:ind w:firstLine="480"/>
        <w:rPr>
          <w:szCs w:val="24"/>
        </w:rPr>
      </w:pPr>
      <w:r>
        <w:rPr>
          <w:szCs w:val="24"/>
        </w:rPr>
        <w:t>The statistical results of the pavement condition investigation in this section are presented in Table 8-5.</w:t>
      </w:r>
    </w:p>
    <w:p w14:paraId="26A6D8DB">
      <w:pPr>
        <w:pStyle w:val="16"/>
        <w:spacing w:before="31" w:after="31"/>
        <w:ind w:firstLine="480"/>
        <w:rPr>
          <w:szCs w:val="24"/>
        </w:rPr>
      </w:pPr>
    </w:p>
    <w:p w14:paraId="69DA0C3E">
      <w:pPr>
        <w:pStyle w:val="16"/>
        <w:spacing w:before="31" w:after="31"/>
        <w:ind w:firstLine="482"/>
        <w:jc w:val="center"/>
        <w:rPr>
          <w:b/>
          <w:bCs/>
          <w:szCs w:val="24"/>
        </w:rPr>
      </w:pPr>
      <w:r>
        <w:rPr>
          <w:b/>
          <w:bCs/>
          <w:szCs w:val="24"/>
        </w:rPr>
        <w:t>Table 8-5: Results of Pavement Condition Investigation</w:t>
      </w:r>
    </w:p>
    <w:tbl>
      <w:tblPr>
        <w:tblStyle w:val="9"/>
        <w:tblW w:w="0" w:type="auto"/>
        <w:tblInd w:w="0" w:type="dxa"/>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2038"/>
        <w:gridCol w:w="2038"/>
        <w:gridCol w:w="2038"/>
        <w:gridCol w:w="2039"/>
      </w:tblGrid>
      <w:tr w14:paraId="24711152">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2038" w:type="dxa"/>
            <w:tcBorders>
              <w:top w:val="single" w:color="auto" w:sz="12" w:space="0"/>
              <w:left w:val="nil"/>
              <w:bottom w:val="single" w:color="auto" w:sz="12" w:space="0"/>
              <w:right w:val="nil"/>
            </w:tcBorders>
          </w:tcPr>
          <w:p w14:paraId="648425DC">
            <w:pPr>
              <w:spacing w:line="312" w:lineRule="auto"/>
              <w:jc w:val="center"/>
              <w:rPr>
                <w:kern w:val="0"/>
              </w:rPr>
            </w:pPr>
            <w:r>
              <w:t>Slabs</w:t>
            </w:r>
          </w:p>
        </w:tc>
        <w:tc>
          <w:tcPr>
            <w:tcW w:w="2038" w:type="dxa"/>
            <w:tcBorders>
              <w:top w:val="single" w:color="auto" w:sz="12" w:space="0"/>
              <w:left w:val="nil"/>
              <w:bottom w:val="single" w:color="auto" w:sz="12" w:space="0"/>
              <w:right w:val="nil"/>
            </w:tcBorders>
          </w:tcPr>
          <w:p w14:paraId="3CAD6634">
            <w:pPr>
              <w:spacing w:line="312" w:lineRule="auto"/>
              <w:jc w:val="center"/>
              <w:rPr>
                <w:kern w:val="0"/>
              </w:rPr>
            </w:pPr>
            <w:r>
              <w:t>Broken Slabs</w:t>
            </w:r>
          </w:p>
        </w:tc>
        <w:tc>
          <w:tcPr>
            <w:tcW w:w="2038" w:type="dxa"/>
            <w:tcBorders>
              <w:top w:val="single" w:color="auto" w:sz="12" w:space="0"/>
              <w:left w:val="nil"/>
              <w:bottom w:val="single" w:color="auto" w:sz="12" w:space="0"/>
              <w:right w:val="nil"/>
            </w:tcBorders>
          </w:tcPr>
          <w:p w14:paraId="6336A757">
            <w:pPr>
              <w:spacing w:line="312" w:lineRule="auto"/>
              <w:jc w:val="center"/>
              <w:rPr>
                <w:kern w:val="0"/>
              </w:rPr>
            </w:pPr>
            <w:r>
              <w:t>Fractured Block Corners</w:t>
            </w:r>
          </w:p>
        </w:tc>
        <w:tc>
          <w:tcPr>
            <w:tcW w:w="2039" w:type="dxa"/>
            <w:tcBorders>
              <w:top w:val="single" w:color="auto" w:sz="12" w:space="0"/>
              <w:left w:val="nil"/>
              <w:bottom w:val="single" w:color="auto" w:sz="12" w:space="0"/>
              <w:right w:val="nil"/>
            </w:tcBorders>
          </w:tcPr>
          <w:p w14:paraId="42BE9543">
            <w:pPr>
              <w:spacing w:line="312" w:lineRule="auto"/>
              <w:jc w:val="center"/>
              <w:rPr>
                <w:kern w:val="0"/>
              </w:rPr>
            </w:pPr>
            <w:r>
              <w:t>Mud Squeeze, Misalignment (locations)</w:t>
            </w:r>
          </w:p>
        </w:tc>
      </w:tr>
      <w:tr w14:paraId="1DCB9F2D">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2038" w:type="dxa"/>
            <w:tcBorders>
              <w:top w:val="single" w:color="auto" w:sz="12" w:space="0"/>
              <w:left w:val="nil"/>
              <w:bottom w:val="single" w:color="auto" w:sz="12" w:space="0"/>
              <w:right w:val="nil"/>
            </w:tcBorders>
          </w:tcPr>
          <w:p w14:paraId="20B2326F">
            <w:pPr>
              <w:spacing w:line="312" w:lineRule="auto"/>
              <w:jc w:val="center"/>
              <w:rPr>
                <w:kern w:val="0"/>
              </w:rPr>
            </w:pPr>
            <w:r>
              <w:rPr>
                <w:kern w:val="0"/>
              </w:rPr>
              <w:t>3451</w:t>
            </w:r>
          </w:p>
        </w:tc>
        <w:tc>
          <w:tcPr>
            <w:tcW w:w="2038" w:type="dxa"/>
            <w:tcBorders>
              <w:top w:val="single" w:color="auto" w:sz="12" w:space="0"/>
              <w:left w:val="nil"/>
              <w:bottom w:val="single" w:color="auto" w:sz="12" w:space="0"/>
              <w:right w:val="nil"/>
            </w:tcBorders>
          </w:tcPr>
          <w:p w14:paraId="6F459647">
            <w:pPr>
              <w:spacing w:line="312" w:lineRule="auto"/>
              <w:jc w:val="center"/>
              <w:rPr>
                <w:kern w:val="0"/>
              </w:rPr>
            </w:pPr>
            <w:r>
              <w:rPr>
                <w:kern w:val="0"/>
              </w:rPr>
              <w:t>1750</w:t>
            </w:r>
          </w:p>
        </w:tc>
        <w:tc>
          <w:tcPr>
            <w:tcW w:w="2038" w:type="dxa"/>
            <w:tcBorders>
              <w:top w:val="single" w:color="auto" w:sz="12" w:space="0"/>
              <w:left w:val="nil"/>
              <w:bottom w:val="single" w:color="auto" w:sz="12" w:space="0"/>
              <w:right w:val="nil"/>
            </w:tcBorders>
          </w:tcPr>
          <w:p w14:paraId="5BA30658">
            <w:pPr>
              <w:spacing w:line="312" w:lineRule="auto"/>
              <w:jc w:val="center"/>
              <w:rPr>
                <w:kern w:val="0"/>
              </w:rPr>
            </w:pPr>
            <w:r>
              <w:rPr>
                <w:kern w:val="0"/>
              </w:rPr>
              <w:t>2286</w:t>
            </w:r>
          </w:p>
        </w:tc>
        <w:tc>
          <w:tcPr>
            <w:tcW w:w="2039" w:type="dxa"/>
            <w:tcBorders>
              <w:top w:val="single" w:color="auto" w:sz="12" w:space="0"/>
              <w:left w:val="nil"/>
              <w:bottom w:val="single" w:color="auto" w:sz="12" w:space="0"/>
              <w:right w:val="nil"/>
            </w:tcBorders>
          </w:tcPr>
          <w:p w14:paraId="1837552F">
            <w:pPr>
              <w:spacing w:line="312" w:lineRule="auto"/>
              <w:jc w:val="center"/>
              <w:rPr>
                <w:kern w:val="0"/>
              </w:rPr>
            </w:pPr>
            <w:r>
              <w:rPr>
                <w:kern w:val="0"/>
              </w:rPr>
              <w:t>2423</w:t>
            </w:r>
          </w:p>
        </w:tc>
      </w:tr>
    </w:tbl>
    <w:p w14:paraId="5B4A2BBC">
      <w:pPr>
        <w:pStyle w:val="16"/>
        <w:spacing w:before="31" w:after="31"/>
        <w:ind w:firstLine="0" w:firstLineChars="0"/>
        <w:rPr>
          <w:szCs w:val="24"/>
        </w:rPr>
      </w:pPr>
    </w:p>
    <w:p w14:paraId="477CB71E">
      <w:pPr>
        <w:pStyle w:val="16"/>
        <w:spacing w:before="31" w:after="31"/>
        <w:ind w:firstLine="480"/>
        <w:rPr>
          <w:szCs w:val="24"/>
        </w:rPr>
      </w:pPr>
      <w:r>
        <w:rPr>
          <w:szCs w:val="24"/>
        </w:rPr>
        <w:t>Note: Breakage of the panel into two pieces is termed as a broken slab; if cross cracks divide the panel into three or more parts, it is referred to as a fractured slab. Fractured block corners denote vertical cracks intersecting at the block corner with distances between the crack ends and the block length not exceeding half the length. Mud squeeze refers to the gradual extrusion of base materials along the panel joint due to vehicle traffic, causing the foundation to lose support, leading to voids beneath the pavement slabs. Misalignment refers to the vertical height difference at the joint between adjacent slabs.</w:t>
      </w:r>
    </w:p>
    <w:p w14:paraId="1689E25A">
      <w:pPr>
        <w:pStyle w:val="16"/>
        <w:spacing w:before="31" w:after="31"/>
        <w:ind w:firstLine="480"/>
        <w:rPr>
          <w:szCs w:val="24"/>
        </w:rPr>
      </w:pPr>
    </w:p>
    <w:p w14:paraId="42BD521D">
      <w:pPr>
        <w:pStyle w:val="16"/>
        <w:spacing w:before="31" w:after="31"/>
        <w:ind w:firstLine="480"/>
        <w:rPr>
          <w:szCs w:val="24"/>
        </w:rPr>
      </w:pPr>
      <w:r>
        <w:rPr>
          <w:szCs w:val="24"/>
        </w:rPr>
        <w:t>Referring to the classification of damage types in the "Highway Cement Concrete Pavement Maintenance Code," the actual damage types are categorized into these four main forms. These forms typically appear in one or several slabs of a panel, but for statistical purposes, only the most representative type is considered.</w:t>
      </w:r>
    </w:p>
    <w:p w14:paraId="7403FDF2">
      <w:pPr>
        <w:pStyle w:val="16"/>
        <w:spacing w:before="31" w:after="31"/>
        <w:ind w:firstLine="480"/>
        <w:rPr>
          <w:szCs w:val="24"/>
        </w:rPr>
      </w:pPr>
    </w:p>
    <w:p w14:paraId="58321DD4">
      <w:pPr>
        <w:pStyle w:val="16"/>
        <w:spacing w:before="31" w:after="31"/>
        <w:ind w:firstLine="480"/>
        <w:rPr>
          <w:szCs w:val="24"/>
        </w:rPr>
      </w:pPr>
      <w:r>
        <w:rPr>
          <w:szCs w:val="24"/>
        </w:rPr>
        <w:t>According to the "Highway Cement Concrete Pavement Maintenance Code," the pavement condition is assessed using the Pavement Condition Index (PCI) and the Distress Bottom Length (DBL). The evaluation criteria are divided into five grades: Excellent, Good, Fair, Poor, and Very Poor, as shown in Table 8-6.</w:t>
      </w:r>
    </w:p>
    <w:p w14:paraId="15AF4408">
      <w:pPr>
        <w:pStyle w:val="16"/>
        <w:spacing w:before="31" w:after="31"/>
        <w:ind w:firstLine="480"/>
        <w:rPr>
          <w:szCs w:val="24"/>
        </w:rPr>
      </w:pPr>
    </w:p>
    <w:p w14:paraId="7FD19D9A">
      <w:pPr>
        <w:pStyle w:val="16"/>
        <w:spacing w:before="31" w:after="31"/>
        <w:ind w:firstLine="480"/>
        <w:rPr>
          <w:szCs w:val="24"/>
        </w:rPr>
      </w:pPr>
      <w:r>
        <w:rPr>
          <w:szCs w:val="24"/>
        </w:rPr>
        <w:t>Table 8-6: Pavement Damage Condition Rating Criteria</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01"/>
        <w:gridCol w:w="1018"/>
        <w:gridCol w:w="993"/>
        <w:gridCol w:w="992"/>
        <w:gridCol w:w="992"/>
        <w:gridCol w:w="851"/>
      </w:tblGrid>
      <w:tr w14:paraId="26FA7D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01" w:type="dxa"/>
            <w:tcBorders>
              <w:top w:val="single" w:color="auto" w:sz="12" w:space="0"/>
              <w:left w:val="nil"/>
              <w:bottom w:val="single" w:color="auto" w:sz="12" w:space="0"/>
              <w:right w:val="nil"/>
            </w:tcBorders>
          </w:tcPr>
          <w:p w14:paraId="37DAB9B8">
            <w:pPr>
              <w:autoSpaceDE w:val="0"/>
              <w:autoSpaceDN w:val="0"/>
              <w:adjustRightInd w:val="0"/>
              <w:spacing w:line="312" w:lineRule="auto"/>
              <w:jc w:val="center"/>
              <w:rPr>
                <w:rFonts w:hAnsi="宋体"/>
                <w:sz w:val="24"/>
              </w:rPr>
            </w:pPr>
            <w:r>
              <w:t>Rating Level</w:t>
            </w:r>
          </w:p>
        </w:tc>
        <w:tc>
          <w:tcPr>
            <w:tcW w:w="1018" w:type="dxa"/>
            <w:tcBorders>
              <w:top w:val="single" w:color="auto" w:sz="12" w:space="0"/>
              <w:left w:val="nil"/>
              <w:bottom w:val="single" w:color="auto" w:sz="12" w:space="0"/>
              <w:right w:val="nil"/>
            </w:tcBorders>
          </w:tcPr>
          <w:p w14:paraId="5D138B21">
            <w:pPr>
              <w:autoSpaceDE w:val="0"/>
              <w:autoSpaceDN w:val="0"/>
              <w:adjustRightInd w:val="0"/>
              <w:spacing w:line="312" w:lineRule="auto"/>
              <w:jc w:val="center"/>
              <w:rPr>
                <w:rFonts w:hAnsi="宋体"/>
                <w:sz w:val="24"/>
              </w:rPr>
            </w:pPr>
            <w:r>
              <w:t>Excellent</w:t>
            </w:r>
          </w:p>
        </w:tc>
        <w:tc>
          <w:tcPr>
            <w:tcW w:w="993" w:type="dxa"/>
            <w:tcBorders>
              <w:top w:val="single" w:color="auto" w:sz="12" w:space="0"/>
              <w:left w:val="nil"/>
              <w:bottom w:val="single" w:color="auto" w:sz="12" w:space="0"/>
              <w:right w:val="nil"/>
            </w:tcBorders>
          </w:tcPr>
          <w:p w14:paraId="51CD4F2C">
            <w:pPr>
              <w:autoSpaceDE w:val="0"/>
              <w:autoSpaceDN w:val="0"/>
              <w:adjustRightInd w:val="0"/>
              <w:spacing w:line="312" w:lineRule="auto"/>
              <w:jc w:val="center"/>
              <w:rPr>
                <w:rFonts w:hAnsi="宋体"/>
                <w:sz w:val="24"/>
              </w:rPr>
            </w:pPr>
            <w:r>
              <w:t xml:space="preserve">Good  </w:t>
            </w:r>
          </w:p>
        </w:tc>
        <w:tc>
          <w:tcPr>
            <w:tcW w:w="992" w:type="dxa"/>
            <w:tcBorders>
              <w:top w:val="single" w:color="auto" w:sz="12" w:space="0"/>
              <w:left w:val="nil"/>
              <w:bottom w:val="single" w:color="auto" w:sz="12" w:space="0"/>
              <w:right w:val="nil"/>
            </w:tcBorders>
          </w:tcPr>
          <w:p w14:paraId="4C633130">
            <w:pPr>
              <w:autoSpaceDE w:val="0"/>
              <w:autoSpaceDN w:val="0"/>
              <w:adjustRightInd w:val="0"/>
              <w:spacing w:line="312" w:lineRule="auto"/>
              <w:jc w:val="center"/>
              <w:rPr>
                <w:rFonts w:hAnsi="宋体"/>
                <w:sz w:val="24"/>
              </w:rPr>
            </w:pPr>
            <w:r>
              <w:t>Fair</w:t>
            </w:r>
          </w:p>
        </w:tc>
        <w:tc>
          <w:tcPr>
            <w:tcW w:w="992" w:type="dxa"/>
            <w:tcBorders>
              <w:top w:val="single" w:color="auto" w:sz="12" w:space="0"/>
              <w:left w:val="nil"/>
              <w:bottom w:val="single" w:color="auto" w:sz="12" w:space="0"/>
              <w:right w:val="nil"/>
            </w:tcBorders>
          </w:tcPr>
          <w:p w14:paraId="1462CEFD">
            <w:pPr>
              <w:autoSpaceDE w:val="0"/>
              <w:autoSpaceDN w:val="0"/>
              <w:adjustRightInd w:val="0"/>
              <w:spacing w:line="312" w:lineRule="auto"/>
              <w:jc w:val="center"/>
              <w:rPr>
                <w:rFonts w:hAnsi="宋体"/>
                <w:sz w:val="24"/>
              </w:rPr>
            </w:pPr>
            <w:r>
              <w:t>Poor</w:t>
            </w:r>
          </w:p>
        </w:tc>
        <w:tc>
          <w:tcPr>
            <w:tcW w:w="851" w:type="dxa"/>
            <w:tcBorders>
              <w:top w:val="single" w:color="auto" w:sz="12" w:space="0"/>
              <w:left w:val="nil"/>
              <w:bottom w:val="single" w:color="auto" w:sz="12" w:space="0"/>
              <w:right w:val="nil"/>
            </w:tcBorders>
          </w:tcPr>
          <w:p w14:paraId="2DAB7D81">
            <w:pPr>
              <w:autoSpaceDE w:val="0"/>
              <w:autoSpaceDN w:val="0"/>
              <w:adjustRightInd w:val="0"/>
              <w:spacing w:line="312" w:lineRule="auto"/>
              <w:jc w:val="center"/>
              <w:rPr>
                <w:rFonts w:hAnsi="宋体"/>
                <w:sz w:val="24"/>
              </w:rPr>
            </w:pPr>
            <w:r>
              <w:t>Very Poor</w:t>
            </w:r>
          </w:p>
        </w:tc>
      </w:tr>
      <w:tr w14:paraId="4A42E3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01" w:type="dxa"/>
            <w:tcBorders>
              <w:top w:val="single" w:color="auto" w:sz="12" w:space="0"/>
              <w:left w:val="nil"/>
              <w:bottom w:val="nil"/>
              <w:right w:val="nil"/>
            </w:tcBorders>
          </w:tcPr>
          <w:p w14:paraId="72A113D7">
            <w:pPr>
              <w:autoSpaceDE w:val="0"/>
              <w:autoSpaceDN w:val="0"/>
              <w:adjustRightInd w:val="0"/>
              <w:spacing w:line="312" w:lineRule="auto"/>
              <w:jc w:val="center"/>
              <w:rPr>
                <w:rFonts w:hAnsi="宋体"/>
                <w:sz w:val="24"/>
              </w:rPr>
            </w:pPr>
            <w:r>
              <w:rPr>
                <w:rFonts w:hint="eastAsia"/>
              </w:rPr>
              <w:t>PCI</w:t>
            </w:r>
          </w:p>
        </w:tc>
        <w:tc>
          <w:tcPr>
            <w:tcW w:w="1018" w:type="dxa"/>
            <w:tcBorders>
              <w:top w:val="single" w:color="auto" w:sz="12" w:space="0"/>
              <w:left w:val="nil"/>
              <w:bottom w:val="nil"/>
              <w:right w:val="nil"/>
            </w:tcBorders>
          </w:tcPr>
          <w:p w14:paraId="28831FE9">
            <w:pPr>
              <w:autoSpaceDE w:val="0"/>
              <w:autoSpaceDN w:val="0"/>
              <w:adjustRightInd w:val="0"/>
              <w:spacing w:line="312" w:lineRule="auto"/>
              <w:jc w:val="center"/>
              <w:rPr>
                <w:rFonts w:hAnsi="宋体"/>
                <w:sz w:val="24"/>
              </w:rPr>
            </w:pPr>
            <w:r>
              <w:rPr>
                <w:rFonts w:hint="eastAsia" w:hAnsi="宋体"/>
                <w:sz w:val="24"/>
              </w:rPr>
              <w:t>≥</w:t>
            </w:r>
            <w:r>
              <w:rPr>
                <w:rFonts w:hAnsi="宋体"/>
                <w:sz w:val="24"/>
              </w:rPr>
              <w:t>85</w:t>
            </w:r>
          </w:p>
        </w:tc>
        <w:tc>
          <w:tcPr>
            <w:tcW w:w="993" w:type="dxa"/>
            <w:tcBorders>
              <w:top w:val="single" w:color="auto" w:sz="12" w:space="0"/>
              <w:left w:val="nil"/>
              <w:bottom w:val="nil"/>
              <w:right w:val="nil"/>
            </w:tcBorders>
          </w:tcPr>
          <w:p w14:paraId="496BEA69">
            <w:pPr>
              <w:autoSpaceDE w:val="0"/>
              <w:autoSpaceDN w:val="0"/>
              <w:adjustRightInd w:val="0"/>
              <w:spacing w:line="312" w:lineRule="auto"/>
              <w:jc w:val="center"/>
              <w:rPr>
                <w:rFonts w:hAnsi="宋体"/>
                <w:sz w:val="24"/>
              </w:rPr>
            </w:pPr>
            <w:r>
              <w:rPr>
                <w:rFonts w:hAnsi="宋体"/>
                <w:sz w:val="24"/>
              </w:rPr>
              <w:t>84~70</w:t>
            </w:r>
          </w:p>
        </w:tc>
        <w:tc>
          <w:tcPr>
            <w:tcW w:w="992" w:type="dxa"/>
            <w:tcBorders>
              <w:top w:val="single" w:color="auto" w:sz="12" w:space="0"/>
              <w:left w:val="nil"/>
              <w:bottom w:val="nil"/>
              <w:right w:val="nil"/>
            </w:tcBorders>
          </w:tcPr>
          <w:p w14:paraId="4C0CA3E6">
            <w:pPr>
              <w:autoSpaceDE w:val="0"/>
              <w:autoSpaceDN w:val="0"/>
              <w:adjustRightInd w:val="0"/>
              <w:spacing w:line="312" w:lineRule="auto"/>
              <w:jc w:val="center"/>
              <w:rPr>
                <w:rFonts w:hAnsi="宋体"/>
                <w:sz w:val="24"/>
              </w:rPr>
            </w:pPr>
            <w:r>
              <w:rPr>
                <w:rFonts w:hAnsi="宋体"/>
                <w:sz w:val="24"/>
              </w:rPr>
              <w:t>69~55</w:t>
            </w:r>
          </w:p>
        </w:tc>
        <w:tc>
          <w:tcPr>
            <w:tcW w:w="992" w:type="dxa"/>
            <w:tcBorders>
              <w:top w:val="single" w:color="auto" w:sz="12" w:space="0"/>
              <w:left w:val="nil"/>
              <w:bottom w:val="nil"/>
              <w:right w:val="nil"/>
            </w:tcBorders>
          </w:tcPr>
          <w:p w14:paraId="1BF87BA9">
            <w:pPr>
              <w:autoSpaceDE w:val="0"/>
              <w:autoSpaceDN w:val="0"/>
              <w:adjustRightInd w:val="0"/>
              <w:spacing w:line="312" w:lineRule="auto"/>
              <w:jc w:val="center"/>
              <w:rPr>
                <w:rFonts w:hAnsi="宋体"/>
                <w:sz w:val="24"/>
              </w:rPr>
            </w:pPr>
            <w:r>
              <w:rPr>
                <w:rFonts w:hAnsi="宋体"/>
                <w:sz w:val="24"/>
              </w:rPr>
              <w:t>54~40</w:t>
            </w:r>
          </w:p>
        </w:tc>
        <w:tc>
          <w:tcPr>
            <w:tcW w:w="851" w:type="dxa"/>
            <w:tcBorders>
              <w:top w:val="single" w:color="auto" w:sz="12" w:space="0"/>
              <w:left w:val="nil"/>
              <w:bottom w:val="nil"/>
              <w:right w:val="nil"/>
            </w:tcBorders>
          </w:tcPr>
          <w:p w14:paraId="26ACB25A">
            <w:pPr>
              <w:autoSpaceDE w:val="0"/>
              <w:autoSpaceDN w:val="0"/>
              <w:adjustRightInd w:val="0"/>
              <w:spacing w:line="312" w:lineRule="auto"/>
              <w:jc w:val="center"/>
              <w:rPr>
                <w:rFonts w:hAnsi="宋体"/>
                <w:sz w:val="24"/>
              </w:rPr>
            </w:pPr>
            <w:r>
              <w:rPr>
                <w:rFonts w:hint="eastAsia" w:hAnsi="宋体"/>
                <w:sz w:val="24"/>
              </w:rPr>
              <w:t>＜</w:t>
            </w:r>
            <w:r>
              <w:rPr>
                <w:rFonts w:hAnsi="宋体"/>
                <w:sz w:val="24"/>
              </w:rPr>
              <w:t>40</w:t>
            </w:r>
          </w:p>
        </w:tc>
      </w:tr>
      <w:tr w14:paraId="311D2B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01" w:type="dxa"/>
            <w:tcBorders>
              <w:top w:val="nil"/>
              <w:left w:val="nil"/>
              <w:bottom w:val="single" w:color="auto" w:sz="12" w:space="0"/>
              <w:right w:val="nil"/>
            </w:tcBorders>
          </w:tcPr>
          <w:p w14:paraId="03288B1B">
            <w:pPr>
              <w:autoSpaceDE w:val="0"/>
              <w:autoSpaceDN w:val="0"/>
              <w:adjustRightInd w:val="0"/>
              <w:spacing w:line="312" w:lineRule="auto"/>
              <w:jc w:val="center"/>
              <w:rPr>
                <w:rFonts w:hAnsi="宋体"/>
                <w:sz w:val="24"/>
              </w:rPr>
            </w:pPr>
            <w:r>
              <w:rPr>
                <w:rFonts w:hint="eastAsia"/>
              </w:rPr>
              <w:t>DBL (%)</w:t>
            </w:r>
          </w:p>
        </w:tc>
        <w:tc>
          <w:tcPr>
            <w:tcW w:w="1018" w:type="dxa"/>
            <w:tcBorders>
              <w:top w:val="nil"/>
              <w:left w:val="nil"/>
              <w:bottom w:val="single" w:color="auto" w:sz="12" w:space="0"/>
              <w:right w:val="nil"/>
            </w:tcBorders>
          </w:tcPr>
          <w:p w14:paraId="456D476D">
            <w:pPr>
              <w:autoSpaceDE w:val="0"/>
              <w:autoSpaceDN w:val="0"/>
              <w:adjustRightInd w:val="0"/>
              <w:spacing w:line="312" w:lineRule="auto"/>
              <w:jc w:val="center"/>
              <w:rPr>
                <w:rFonts w:hAnsi="宋体"/>
                <w:sz w:val="24"/>
              </w:rPr>
            </w:pPr>
            <w:r>
              <w:rPr>
                <w:rFonts w:hint="eastAsia" w:hAnsi="宋体"/>
                <w:sz w:val="24"/>
              </w:rPr>
              <w:t>≤</w:t>
            </w:r>
            <w:r>
              <w:rPr>
                <w:rFonts w:hAnsi="宋体"/>
                <w:sz w:val="24"/>
              </w:rPr>
              <w:t>1</w:t>
            </w:r>
          </w:p>
        </w:tc>
        <w:tc>
          <w:tcPr>
            <w:tcW w:w="993" w:type="dxa"/>
            <w:tcBorders>
              <w:top w:val="nil"/>
              <w:left w:val="nil"/>
              <w:bottom w:val="single" w:color="auto" w:sz="12" w:space="0"/>
              <w:right w:val="nil"/>
            </w:tcBorders>
          </w:tcPr>
          <w:p w14:paraId="0C59F86B">
            <w:pPr>
              <w:autoSpaceDE w:val="0"/>
              <w:autoSpaceDN w:val="0"/>
              <w:adjustRightInd w:val="0"/>
              <w:spacing w:line="312" w:lineRule="auto"/>
              <w:jc w:val="center"/>
              <w:rPr>
                <w:rFonts w:hAnsi="宋体"/>
                <w:sz w:val="24"/>
              </w:rPr>
            </w:pPr>
            <w:r>
              <w:rPr>
                <w:rFonts w:hAnsi="宋体"/>
                <w:sz w:val="24"/>
              </w:rPr>
              <w:t>2~5</w:t>
            </w:r>
          </w:p>
        </w:tc>
        <w:tc>
          <w:tcPr>
            <w:tcW w:w="992" w:type="dxa"/>
            <w:tcBorders>
              <w:top w:val="nil"/>
              <w:left w:val="nil"/>
              <w:bottom w:val="single" w:color="auto" w:sz="12" w:space="0"/>
              <w:right w:val="nil"/>
            </w:tcBorders>
          </w:tcPr>
          <w:p w14:paraId="729BE6DA">
            <w:pPr>
              <w:autoSpaceDE w:val="0"/>
              <w:autoSpaceDN w:val="0"/>
              <w:adjustRightInd w:val="0"/>
              <w:spacing w:line="312" w:lineRule="auto"/>
              <w:jc w:val="center"/>
              <w:rPr>
                <w:rFonts w:hAnsi="宋体"/>
                <w:sz w:val="24"/>
              </w:rPr>
            </w:pPr>
            <w:r>
              <w:rPr>
                <w:rFonts w:hAnsi="宋体"/>
                <w:sz w:val="24"/>
              </w:rPr>
              <w:t>6~10</w:t>
            </w:r>
          </w:p>
        </w:tc>
        <w:tc>
          <w:tcPr>
            <w:tcW w:w="992" w:type="dxa"/>
            <w:tcBorders>
              <w:top w:val="nil"/>
              <w:left w:val="nil"/>
              <w:bottom w:val="single" w:color="auto" w:sz="12" w:space="0"/>
              <w:right w:val="nil"/>
            </w:tcBorders>
          </w:tcPr>
          <w:p w14:paraId="61F42C0F">
            <w:pPr>
              <w:autoSpaceDE w:val="0"/>
              <w:autoSpaceDN w:val="0"/>
              <w:adjustRightInd w:val="0"/>
              <w:spacing w:line="312" w:lineRule="auto"/>
              <w:jc w:val="center"/>
              <w:rPr>
                <w:rFonts w:hAnsi="宋体"/>
                <w:sz w:val="24"/>
              </w:rPr>
            </w:pPr>
            <w:r>
              <w:rPr>
                <w:rFonts w:hAnsi="宋体"/>
                <w:sz w:val="24"/>
              </w:rPr>
              <w:t>11~20</w:t>
            </w:r>
          </w:p>
        </w:tc>
        <w:tc>
          <w:tcPr>
            <w:tcW w:w="851" w:type="dxa"/>
            <w:tcBorders>
              <w:top w:val="nil"/>
              <w:left w:val="nil"/>
              <w:bottom w:val="single" w:color="auto" w:sz="12" w:space="0"/>
              <w:right w:val="nil"/>
            </w:tcBorders>
          </w:tcPr>
          <w:p w14:paraId="6F4B26D2">
            <w:pPr>
              <w:autoSpaceDE w:val="0"/>
              <w:autoSpaceDN w:val="0"/>
              <w:adjustRightInd w:val="0"/>
              <w:spacing w:line="312" w:lineRule="auto"/>
              <w:jc w:val="center"/>
              <w:rPr>
                <w:rFonts w:hAnsi="宋体"/>
                <w:sz w:val="24"/>
              </w:rPr>
            </w:pPr>
            <w:r>
              <w:rPr>
                <w:rFonts w:hint="eastAsia" w:hAnsi="宋体"/>
                <w:sz w:val="24"/>
              </w:rPr>
              <w:t>＞</w:t>
            </w:r>
            <w:r>
              <w:rPr>
                <w:rFonts w:hAnsi="宋体"/>
                <w:sz w:val="24"/>
              </w:rPr>
              <w:t>20</w:t>
            </w:r>
          </w:p>
        </w:tc>
      </w:tr>
    </w:tbl>
    <w:p w14:paraId="74C4B9B2">
      <w:pPr>
        <w:pStyle w:val="16"/>
        <w:spacing w:before="31" w:after="31"/>
        <w:ind w:firstLine="480"/>
        <w:rPr>
          <w:szCs w:val="24"/>
        </w:rPr>
      </w:pPr>
    </w:p>
    <w:p w14:paraId="3A14CDF0">
      <w:pPr>
        <w:pStyle w:val="16"/>
        <w:spacing w:before="31" w:after="31"/>
        <w:ind w:firstLine="480"/>
        <w:rPr>
          <w:szCs w:val="24"/>
        </w:rPr>
      </w:pPr>
      <w:r>
        <w:rPr>
          <w:szCs w:val="24"/>
        </w:rPr>
        <w:t>The statistical calculations for various evaluation indicators in this section are as follows: PCI = 68,188, rated as "Fair"; Average DBL = 21,190%, rated as "Very Poor." According to the "Highway Cement Concrete Pavement Maintenance Code," when the pavement damage condition is rated as "Fair" or lower, comprehensive repair or improvement measures should be implemented for the entire section, including asphalt mix patching, block crushing and compaction stabilization, laying asphalt concrete or cement concrete overlay, and constructing longitudinal edge drainage measures.</w:t>
      </w:r>
    </w:p>
    <w:p w14:paraId="4B2D35CC">
      <w:pPr>
        <w:pStyle w:val="16"/>
        <w:spacing w:before="31" w:after="31"/>
        <w:ind w:firstLine="480"/>
        <w:rPr>
          <w:szCs w:val="24"/>
        </w:rPr>
      </w:pPr>
    </w:p>
    <w:p w14:paraId="2075A323">
      <w:pPr>
        <w:pStyle w:val="16"/>
        <w:spacing w:before="31" w:after="31"/>
        <w:ind w:firstLine="480"/>
        <w:rPr>
          <w:szCs w:val="24"/>
        </w:rPr>
      </w:pPr>
      <w:r>
        <w:rPr>
          <w:szCs w:val="24"/>
        </w:rPr>
        <w:t>(6) Failure Cause Analysis</w:t>
      </w:r>
    </w:p>
    <w:p w14:paraId="5C0028E4">
      <w:pPr>
        <w:pStyle w:val="16"/>
        <w:spacing w:before="31" w:after="31"/>
        <w:ind w:firstLine="480"/>
        <w:rPr>
          <w:szCs w:val="24"/>
        </w:rPr>
      </w:pPr>
      <w:r>
        <w:rPr>
          <w:szCs w:val="24"/>
        </w:rPr>
        <w:t>Concrete has high mechanical strength and modulus of elasticity. Therefore, the surface layer of the concrete pavement is the primary load-bearing structural layer, directly bearing the effects of both loads and environmental factors. It possesses significant stiffness, durability, good surface characteristics, and effectively distributes vehicle loads over a large area of the foundation beneath the slab. However, due to various reasons, the pavement slabs are damaged, shortening the road's lifespan. The authors conducted an analysis of various major failure causes.</w:t>
      </w:r>
    </w:p>
    <w:p w14:paraId="0D2D8EFE">
      <w:pPr>
        <w:pStyle w:val="16"/>
        <w:spacing w:before="31" w:after="31"/>
        <w:ind w:firstLine="480"/>
        <w:rPr>
          <w:szCs w:val="24"/>
        </w:rPr>
      </w:pPr>
    </w:p>
    <w:p w14:paraId="27D369C9">
      <w:pPr>
        <w:pStyle w:val="16"/>
        <w:spacing w:before="31" w:after="31"/>
        <w:ind w:firstLine="480"/>
        <w:rPr>
          <w:szCs w:val="24"/>
        </w:rPr>
      </w:pPr>
      <w:r>
        <w:rPr>
          <w:szCs w:val="24"/>
        </w:rPr>
        <w:t>(a) Failure of Roadbed and Surface Drainage Facilities</w:t>
      </w:r>
    </w:p>
    <w:p w14:paraId="748E10BE">
      <w:pPr>
        <w:pStyle w:val="16"/>
        <w:spacing w:before="31" w:after="31"/>
        <w:ind w:firstLine="480"/>
        <w:rPr>
          <w:szCs w:val="24"/>
        </w:rPr>
      </w:pPr>
      <w:r>
        <w:rPr>
          <w:szCs w:val="24"/>
        </w:rPr>
        <w:t>The authors conducted drilling and coring on the roadbed soil and performed physical property tests on the collected soil samples. The test results indicated that the moisture content (W) of the current roadbed soil ranged from 20.15% to 31.11%. In the same borehole, the moisture content of the soil within the range of 0–0.18 m below the bottom of the road surface layer was relatively high, generally between 25.10% and 31.11%, while the soil's moisture content within the range of 0.18 m to 1.15 m was significantly lower, usually not exceeding 25.10%. The saturation degree (Sr) ranged from 83.18% to 100.10%.</w:t>
      </w:r>
    </w:p>
    <w:p w14:paraId="0925493B">
      <w:pPr>
        <w:pStyle w:val="16"/>
        <w:spacing w:before="31" w:after="31"/>
        <w:ind w:firstLine="480"/>
        <w:rPr>
          <w:szCs w:val="24"/>
        </w:rPr>
      </w:pPr>
    </w:p>
    <w:p w14:paraId="767707D0">
      <w:pPr>
        <w:pStyle w:val="16"/>
        <w:spacing w:before="31" w:after="31"/>
        <w:ind w:firstLine="480"/>
        <w:rPr>
          <w:szCs w:val="24"/>
        </w:rPr>
      </w:pPr>
      <w:r>
        <w:rPr>
          <w:szCs w:val="24"/>
        </w:rPr>
        <w:t>Based on the classification of roadbed soil, it was categorized as high liquid limit clay (CH) or low liquid limit clay (CL), with an average consistency index ranging between 0.181 and 1.104, indicating a roadbed moisture type of "moist to moderately moist."</w:t>
      </w:r>
    </w:p>
    <w:p w14:paraId="4F73BD48">
      <w:pPr>
        <w:pStyle w:val="16"/>
        <w:spacing w:before="31" w:after="31"/>
        <w:ind w:firstLine="480"/>
        <w:rPr>
          <w:szCs w:val="24"/>
        </w:rPr>
      </w:pPr>
    </w:p>
    <w:p w14:paraId="263163C6">
      <w:pPr>
        <w:pStyle w:val="16"/>
        <w:spacing w:before="31" w:after="31"/>
        <w:ind w:firstLine="480"/>
        <w:rPr>
          <w:szCs w:val="24"/>
        </w:rPr>
      </w:pPr>
      <w:r>
        <w:rPr>
          <w:szCs w:val="24"/>
        </w:rPr>
        <w:t>The free swelling ratio (Fs) ranged from 14% to 46%, with most values being less than 40%. Some roadbed fill soils exhibited weak expansive characteristics, where the compaction density would significantly decrease after encountering water, leading to a reduction in roadbed strength.</w:t>
      </w:r>
    </w:p>
    <w:p w14:paraId="4FCD7CFE">
      <w:pPr>
        <w:pStyle w:val="16"/>
        <w:spacing w:before="31" w:after="31"/>
        <w:ind w:firstLine="480"/>
        <w:rPr>
          <w:szCs w:val="24"/>
        </w:rPr>
      </w:pPr>
    </w:p>
    <w:p w14:paraId="194102DA">
      <w:pPr>
        <w:pStyle w:val="16"/>
        <w:spacing w:before="31" w:after="31"/>
        <w:ind w:firstLine="480"/>
        <w:rPr>
          <w:szCs w:val="24"/>
        </w:rPr>
      </w:pPr>
      <w:r>
        <w:rPr>
          <w:szCs w:val="24"/>
        </w:rPr>
        <w:t>From the test results of the collected roadbed soil, it was observed that the moisture content in the roadbed fill increased due to capillary water rise and surface water infiltration, causing an increase in moisture content and saturation, reducing the cohesion of the soil. Additionally, the inability of water to drain from the roadbed fill led to damage to the structural integrity of the roadbed, resulting in decreased strength.</w:t>
      </w:r>
    </w:p>
    <w:p w14:paraId="6E173238">
      <w:pPr>
        <w:pStyle w:val="16"/>
        <w:spacing w:before="31" w:after="31"/>
        <w:ind w:firstLine="480"/>
        <w:rPr>
          <w:szCs w:val="24"/>
        </w:rPr>
      </w:pPr>
    </w:p>
    <w:p w14:paraId="0AEE840F">
      <w:pPr>
        <w:pStyle w:val="16"/>
        <w:spacing w:before="31" w:after="31"/>
        <w:ind w:firstLine="480"/>
        <w:rPr>
          <w:szCs w:val="24"/>
        </w:rPr>
      </w:pPr>
      <w:r>
        <w:rPr>
          <w:szCs w:val="24"/>
        </w:rPr>
        <w:t>Surface water was unable to drain promptly, leading to prolonged ponding, causing surface water to infiltrate through the cracks in the surface layer. This resulted in erosion of the roadbed base layer and upper layers of the roadbed soil, structural damage, severe soil erosion, and clogging of side ditches, coupled with traffic loads, leading to voids beneath the slabs and various pavement damages. The pavement damages, in turn, intensified the infiltration of surface water, causing further damage to the structural integrity and strength of the roadbed.</w:t>
      </w:r>
    </w:p>
    <w:p w14:paraId="7B4CF4B5">
      <w:pPr>
        <w:pStyle w:val="16"/>
        <w:spacing w:before="31" w:after="31"/>
        <w:ind w:firstLine="480"/>
        <w:rPr>
          <w:szCs w:val="24"/>
        </w:rPr>
      </w:pPr>
    </w:p>
    <w:p w14:paraId="5254CBF9">
      <w:pPr>
        <w:pStyle w:val="16"/>
        <w:spacing w:before="31" w:after="31"/>
        <w:ind w:firstLine="480"/>
        <w:rPr>
          <w:szCs w:val="24"/>
        </w:rPr>
      </w:pPr>
      <w:r>
        <w:rPr>
          <w:szCs w:val="24"/>
        </w:rPr>
        <w:t>(b) Loss of Load Transfer Capacity and Joint Failure</w:t>
      </w:r>
    </w:p>
    <w:p w14:paraId="1A21F1FE">
      <w:pPr>
        <w:pStyle w:val="16"/>
        <w:spacing w:before="31" w:after="31"/>
        <w:ind w:firstLine="480"/>
        <w:rPr>
          <w:szCs w:val="24"/>
        </w:rPr>
      </w:pPr>
      <w:r>
        <w:rPr>
          <w:szCs w:val="24"/>
        </w:rPr>
        <w:t>I. Loss of load transfer capacity of the transmission rod resulted in excessive load stress, warping stress, or shrinkage stress at the periphery of the slab, leading to cracks. Short longitudinal cracks developing at transverse joints might result in shear cracks due to the presence of compressive stress at the cross-sectional area.</w:t>
      </w:r>
    </w:p>
    <w:p w14:paraId="234D4B48">
      <w:pPr>
        <w:pStyle w:val="16"/>
        <w:spacing w:before="31" w:after="31"/>
        <w:ind w:firstLine="480"/>
        <w:rPr>
          <w:szCs w:val="24"/>
        </w:rPr>
      </w:pPr>
      <w:r>
        <w:rPr>
          <w:szCs w:val="24"/>
        </w:rPr>
        <w:t>II. Local loss of load transfer capacity resulted in significant stress on the corners of the slab, easily causing fractures at the corners.</w:t>
      </w:r>
    </w:p>
    <w:p w14:paraId="674DD0DC">
      <w:pPr>
        <w:pStyle w:val="16"/>
        <w:spacing w:before="31" w:after="31"/>
        <w:ind w:firstLine="480"/>
        <w:rPr>
          <w:szCs w:val="24"/>
        </w:rPr>
      </w:pPr>
      <w:r>
        <w:rPr>
          <w:szCs w:val="24"/>
        </w:rPr>
        <w:t>III. Loss of load transfer capacity led to weak or damaged load transfer at the joints. The presence of gaps and weak layers beneath the slab, coupled with the action of the load, induced vibration in the slab, resulting in mud squeezing at the joints and eventually causing misalignment. Severe overloading and the increase in overloaded axle loads correlated with increasing overloads. The operation of vehicles on the pavement with overloads and excessive axle loads aggravated pavement damage.</w:t>
      </w:r>
    </w:p>
    <w:p w14:paraId="2F52819B">
      <w:pPr>
        <w:pStyle w:val="16"/>
        <w:spacing w:before="31" w:after="31"/>
        <w:ind w:firstLine="480"/>
        <w:rPr>
          <w:szCs w:val="24"/>
        </w:rPr>
      </w:pPr>
    </w:p>
    <w:p w14:paraId="0B42F08D">
      <w:pPr>
        <w:pStyle w:val="16"/>
        <w:spacing w:before="31" w:after="31"/>
        <w:ind w:firstLine="480"/>
        <w:rPr>
          <w:szCs w:val="24"/>
        </w:rPr>
      </w:pPr>
      <w:r>
        <w:rPr>
          <w:szCs w:val="24"/>
        </w:rPr>
        <w:t>(c) Construction Control</w:t>
      </w:r>
    </w:p>
    <w:p w14:paraId="22131183">
      <w:pPr>
        <w:pStyle w:val="16"/>
        <w:spacing w:before="31" w:after="31"/>
        <w:ind w:firstLine="480"/>
        <w:rPr>
          <w:szCs w:val="24"/>
        </w:rPr>
      </w:pPr>
      <w:r>
        <w:rPr>
          <w:szCs w:val="24"/>
        </w:rPr>
        <w:t>I. Poor treatment of the roadbed in areas of filling, zero-filling, and excavation; uneven strength in roadbed construction; these areas exhibited more slab cracks.</w:t>
      </w:r>
    </w:p>
    <w:p w14:paraId="5093A295">
      <w:pPr>
        <w:pStyle w:val="16"/>
        <w:spacing w:before="31" w:after="31"/>
        <w:ind w:firstLine="480"/>
        <w:rPr>
          <w:szCs w:val="24"/>
        </w:rPr>
      </w:pPr>
      <w:r>
        <w:rPr>
          <w:szCs w:val="24"/>
        </w:rPr>
        <w:t>II. Individual concrete surface layer samples had lower compressive strength than the design requirements.</w:t>
      </w:r>
    </w:p>
    <w:p w14:paraId="4AD11FB8">
      <w:pPr>
        <w:pStyle w:val="16"/>
        <w:spacing w:before="31" w:after="31"/>
        <w:ind w:firstLine="480"/>
        <w:rPr>
          <w:szCs w:val="24"/>
        </w:rPr>
      </w:pPr>
    </w:p>
    <w:p w14:paraId="53BABDC5">
      <w:pPr>
        <w:pStyle w:val="16"/>
        <w:spacing w:before="31" w:after="31"/>
        <w:ind w:firstLine="480"/>
        <w:rPr>
          <w:szCs w:val="24"/>
        </w:rPr>
      </w:pPr>
    </w:p>
    <w:p w14:paraId="3E0F05EF">
      <w:pPr>
        <w:pStyle w:val="16"/>
        <w:spacing w:before="31" w:after="31"/>
        <w:ind w:firstLine="480"/>
        <w:rPr>
          <w:szCs w:val="24"/>
        </w:rPr>
      </w:pPr>
      <w:r>
        <w:rPr>
          <w:szCs w:val="24"/>
        </w:rPr>
        <w:t>III. Inadequate compaction during concrete pouring.</w:t>
      </w:r>
    </w:p>
    <w:p w14:paraId="616373B8">
      <w:pPr>
        <w:pStyle w:val="16"/>
        <w:spacing w:before="31" w:after="31"/>
        <w:ind w:firstLine="480"/>
        <w:rPr>
          <w:szCs w:val="24"/>
        </w:rPr>
      </w:pPr>
    </w:p>
    <w:p w14:paraId="3F5B4823">
      <w:pPr>
        <w:pStyle w:val="16"/>
        <w:spacing w:before="31" w:after="31"/>
        <w:ind w:firstLine="480"/>
        <w:rPr>
          <w:szCs w:val="24"/>
        </w:rPr>
      </w:pPr>
      <w:r>
        <w:rPr>
          <w:szCs w:val="24"/>
        </w:rPr>
        <w:t>(7) Impact and Harm Caused</w:t>
      </w:r>
    </w:p>
    <w:p w14:paraId="2BEB4EF1">
      <w:pPr>
        <w:pStyle w:val="16"/>
        <w:spacing w:before="31" w:after="31"/>
        <w:ind w:firstLine="480"/>
        <w:rPr>
          <w:szCs w:val="24"/>
        </w:rPr>
      </w:pPr>
      <w:r>
        <w:rPr>
          <w:szCs w:val="24"/>
        </w:rPr>
        <w:t>Severely affected road safety and reduced the service level of the highway.</w:t>
      </w:r>
    </w:p>
    <w:p w14:paraId="7D40406C">
      <w:pPr>
        <w:pStyle w:val="16"/>
        <w:spacing w:before="31" w:after="31"/>
        <w:ind w:firstLine="480"/>
        <w:rPr>
          <w:szCs w:val="24"/>
        </w:rPr>
      </w:pPr>
    </w:p>
    <w:p w14:paraId="24F47D60">
      <w:pPr>
        <w:pStyle w:val="16"/>
        <w:spacing w:before="31" w:after="31"/>
        <w:ind w:firstLine="480"/>
        <w:rPr>
          <w:szCs w:val="24"/>
        </w:rPr>
      </w:pPr>
      <w:r>
        <w:rPr>
          <w:szCs w:val="24"/>
        </w:rPr>
        <w:t>(8) Conclusion and Improvement Measures</w:t>
      </w:r>
    </w:p>
    <w:p w14:paraId="527A9561">
      <w:pPr>
        <w:pStyle w:val="16"/>
        <w:spacing w:before="31" w:after="31"/>
        <w:ind w:firstLine="480"/>
        <w:rPr>
          <w:szCs w:val="24"/>
        </w:rPr>
      </w:pPr>
      <w:r>
        <w:rPr>
          <w:szCs w:val="24"/>
        </w:rPr>
        <w:t>In recent years, with the development of highway construction, many reconstruction or expansion projects have involved laying a flexible asphalt concrete surface layer on existing cement concrete road surfaces. This approach effectively improves road performance, has minimal impact on traffic and the environment, and provides good driving comfort. It is the preferred solution for repairing old cement concrete road surfaces. The treatment of existing cement slabs is a primary concern in reconstruction, and currently, two approaches are considered: one involves breaking all damaged slabs, inducing cracks in the remaining intact slabs, and using a heavy roller to compact the broken slabs into the roadbed as the new road surface base or sub-base. Another approach involves conducting a current pavement quality survey, identifying and analyzing defects, treating different defects, and then laying the surface layer.</w:t>
      </w:r>
    </w:p>
    <w:p w14:paraId="43C18B58">
      <w:pPr>
        <w:pStyle w:val="16"/>
        <w:spacing w:before="31" w:after="31"/>
        <w:ind w:firstLine="480"/>
        <w:rPr>
          <w:szCs w:val="24"/>
        </w:rPr>
      </w:pPr>
    </w:p>
    <w:p w14:paraId="730B9864">
      <w:pPr>
        <w:pStyle w:val="16"/>
        <w:spacing w:before="31" w:after="31"/>
        <w:ind w:firstLine="480"/>
        <w:rPr>
          <w:szCs w:val="24"/>
        </w:rPr>
      </w:pPr>
      <w:r>
        <w:rPr>
          <w:szCs w:val="24"/>
        </w:rPr>
        <w:t>(a) Repair and improve existing drainage facilities according to design requirements. In sections with a high water table, blind ditches can be installed below side ditches.</w:t>
      </w:r>
    </w:p>
    <w:p w14:paraId="1EE223F9">
      <w:pPr>
        <w:pStyle w:val="16"/>
        <w:spacing w:before="31" w:after="31"/>
        <w:ind w:firstLine="480"/>
        <w:rPr>
          <w:szCs w:val="24"/>
        </w:rPr>
      </w:pPr>
    </w:p>
    <w:p w14:paraId="648AD3CF">
      <w:pPr>
        <w:pStyle w:val="16"/>
        <w:spacing w:before="31" w:after="31"/>
        <w:ind w:firstLine="480"/>
        <w:rPr>
          <w:szCs w:val="24"/>
        </w:rPr>
      </w:pPr>
      <w:r>
        <w:rPr>
          <w:szCs w:val="24"/>
        </w:rPr>
        <w:t>(b) Clean all construction joints thoroughly and reseal them with asphalt. When joint widths exceed 3 mm, it is recommended to use fine hemp strips soaked in penetrating asphalt for sealing to prevent surface water from infiltrating the base layer.</w:t>
      </w:r>
    </w:p>
    <w:p w14:paraId="3CEC898F">
      <w:pPr>
        <w:pStyle w:val="16"/>
        <w:spacing w:before="31" w:after="31"/>
        <w:ind w:firstLine="480"/>
        <w:rPr>
          <w:szCs w:val="24"/>
        </w:rPr>
      </w:pPr>
    </w:p>
    <w:p w14:paraId="5966193A">
      <w:pPr>
        <w:pStyle w:val="16"/>
        <w:spacing w:before="31" w:after="31"/>
        <w:ind w:firstLine="480"/>
        <w:rPr>
          <w:szCs w:val="24"/>
        </w:rPr>
      </w:pPr>
      <w:r>
        <w:rPr>
          <w:szCs w:val="24"/>
        </w:rPr>
        <w:t>(c) If the moisture content in the roadbed soil exceeds the design value, appropriate measures should be taken to improve the roadbed soil, enhancing its structural integrity and strength.</w:t>
      </w:r>
    </w:p>
    <w:p w14:paraId="3CE29D96">
      <w:pPr>
        <w:pStyle w:val="16"/>
        <w:spacing w:before="31" w:after="31"/>
        <w:ind w:firstLine="480"/>
        <w:rPr>
          <w:szCs w:val="24"/>
        </w:rPr>
      </w:pPr>
    </w:p>
    <w:p w14:paraId="5CC46353">
      <w:pPr>
        <w:pStyle w:val="16"/>
        <w:spacing w:before="31" w:after="31"/>
        <w:ind w:firstLine="480"/>
        <w:rPr>
          <w:szCs w:val="24"/>
        </w:rPr>
      </w:pPr>
      <w:r>
        <w:rPr>
          <w:szCs w:val="24"/>
        </w:rPr>
        <w:t>(d) For non-expansive small cracks, cut two deep (4 cm) parallel grooves along both sides of the crack at intervals of 2 cm to 3 cm, manually chisel small grooves, insert foam plastic strips below, and fill the upper part with PE road sealing glue. For slabs that are fractured or exhibit obvious medium to severe cracks, grouting can be used to fill the cracks in the slabs, simultaneously filling the voids generated in the base layer.</w:t>
      </w:r>
    </w:p>
    <w:p w14:paraId="75234D34">
      <w:pPr>
        <w:pStyle w:val="16"/>
        <w:spacing w:before="31" w:after="31"/>
        <w:ind w:firstLine="480"/>
        <w:rPr>
          <w:szCs w:val="24"/>
        </w:rPr>
      </w:pPr>
    </w:p>
    <w:p w14:paraId="6655ACDD">
      <w:pPr>
        <w:pStyle w:val="16"/>
        <w:spacing w:before="31" w:after="31"/>
        <w:ind w:firstLine="480"/>
        <w:rPr>
          <w:szCs w:val="24"/>
        </w:rPr>
      </w:pPr>
      <w:r>
        <w:rPr>
          <w:szCs w:val="24"/>
        </w:rPr>
        <w:t>(e) When slabs are broken into three or more pieces and have a significant impact on traffic safety, the entire slab must be removed. After treating the base layer, a new concrete slab can be cast. Before pouring, the base layer should be inspected, and all crushed and loose material should be removed. Some soil bases may also need excavation. Compaction of semi-rigid base is difficult; therefore, after compacting the roadbed, a 15 cm thick C15 concrete layer is laid as the base layer, followed by the placement of the concrete surface layer. To ensure the coordination between old and new concrete slabs and increase load transfer capacity between slabs, concrete can be excavated below adjacent old slabs and filled, or holes can be drilled along the edges of old concrete slabs to set new rods longitudinally and add load transfer rods transversely.</w:t>
      </w:r>
    </w:p>
    <w:p w14:paraId="7FD5868E">
      <w:pPr>
        <w:pStyle w:val="16"/>
        <w:spacing w:before="31" w:after="31"/>
        <w:ind w:firstLine="480"/>
        <w:rPr>
          <w:szCs w:val="24"/>
        </w:rPr>
      </w:pPr>
    </w:p>
    <w:p w14:paraId="3D97E17C">
      <w:pPr>
        <w:pStyle w:val="16"/>
        <w:spacing w:before="31" w:after="31"/>
        <w:ind w:firstLine="480"/>
        <w:rPr>
          <w:szCs w:val="24"/>
        </w:rPr>
      </w:pPr>
      <w:r>
        <w:rPr>
          <w:szCs w:val="24"/>
        </w:rPr>
        <w:t>(f) Trim the edges of fractured panels and chisel the joint faces. Inject epoxy cement slurry into drilled holes and insert reinforcing bars as load transfer rods. Newly poured concrete should include early-strength additives.</w:t>
      </w:r>
    </w:p>
    <w:p w14:paraId="06B21B1B">
      <w:pPr>
        <w:pStyle w:val="16"/>
        <w:spacing w:before="31" w:after="31"/>
        <w:ind w:firstLine="480"/>
        <w:rPr>
          <w:szCs w:val="24"/>
        </w:rPr>
      </w:pPr>
    </w:p>
    <w:p w14:paraId="79C6921A">
      <w:pPr>
        <w:pStyle w:val="16"/>
        <w:spacing w:before="31" w:after="31"/>
        <w:ind w:firstLine="480"/>
        <w:rPr>
          <w:szCs w:val="24"/>
        </w:rPr>
      </w:pPr>
      <w:r>
        <w:rPr>
          <w:szCs w:val="24"/>
        </w:rPr>
        <w:t>(g) For a large number of misaligned slabs, two scenarios can be considered based on the misalignment height:</w:t>
      </w:r>
    </w:p>
    <w:p w14:paraId="51DFF198">
      <w:pPr>
        <w:pStyle w:val="16"/>
        <w:spacing w:before="31" w:after="31"/>
        <w:ind w:firstLine="480"/>
        <w:rPr>
          <w:szCs w:val="24"/>
        </w:rPr>
      </w:pPr>
      <w:r>
        <w:rPr>
          <w:szCs w:val="24"/>
        </w:rPr>
        <w:t>I. For misalignment heights less than 115 cm, use a pickaxe and chisel to remove the raised parts and make them level with the adjacent slabs.</w:t>
      </w:r>
    </w:p>
    <w:p w14:paraId="174441B1">
      <w:pPr>
        <w:pStyle w:val="16"/>
        <w:spacing w:before="31" w:after="31"/>
        <w:ind w:firstLine="480"/>
        <w:rPr>
          <w:szCs w:val="24"/>
        </w:rPr>
      </w:pPr>
      <w:r>
        <w:rPr>
          <w:szCs w:val="24"/>
        </w:rPr>
        <w:t>II. For misalignment heights greater than 115 cm, use the method of chiseling low and leveling. Chisel the lower side of the slab, fill it with rapid-repair mortar, smooth it, and repair it within a width of 50 cm to 100 cm.</w:t>
      </w:r>
    </w:p>
    <w:p w14:paraId="3098E53D">
      <w:pPr>
        <w:pStyle w:val="16"/>
        <w:spacing w:before="31" w:after="31"/>
        <w:ind w:firstLine="480"/>
        <w:rPr>
          <w:szCs w:val="24"/>
        </w:rPr>
      </w:pPr>
    </w:p>
    <w:p w14:paraId="749F2901">
      <w:pPr>
        <w:pStyle w:val="16"/>
        <w:spacing w:before="31" w:after="31"/>
        <w:ind w:firstLine="480"/>
        <w:rPr>
          <w:szCs w:val="24"/>
        </w:rPr>
      </w:pPr>
      <w:r>
        <w:rPr>
          <w:szCs w:val="24"/>
        </w:rPr>
        <w:t>III. Use grouting for repairs. The misaligned location can be leveled by lifting one side of the concrete slab and filling the gap between the slabs.</w:t>
      </w:r>
    </w:p>
    <w:p w14:paraId="07825CC6">
      <w:pPr>
        <w:pStyle w:val="16"/>
        <w:spacing w:before="31" w:after="31"/>
        <w:ind w:firstLine="0" w:firstLineChars="0"/>
        <w:rPr>
          <w:b/>
          <w:bCs/>
          <w:szCs w:val="24"/>
        </w:rPr>
      </w:pPr>
      <w:r>
        <w:rPr>
          <w:b/>
          <w:bCs/>
          <w:szCs w:val="24"/>
        </w:rPr>
        <w:t>8.2.16 Case 8-16 Cracking, Depression, and Mud Squeeze in Asphalt Pavement on Highways</w:t>
      </w:r>
    </w:p>
    <w:p w14:paraId="2F2DD61F">
      <w:pPr>
        <w:pStyle w:val="16"/>
        <w:spacing w:before="31" w:after="31"/>
        <w:ind w:firstLine="480"/>
        <w:rPr>
          <w:szCs w:val="24"/>
        </w:rPr>
      </w:pPr>
    </w:p>
    <w:p w14:paraId="0C7C33F7">
      <w:pPr>
        <w:pStyle w:val="16"/>
        <w:spacing w:before="31" w:after="31"/>
        <w:ind w:firstLine="480"/>
        <w:rPr>
          <w:szCs w:val="24"/>
        </w:rPr>
      </w:pPr>
      <w:r>
        <w:rPr>
          <w:szCs w:val="24"/>
        </w:rPr>
        <w:t>(1) Case Name</w:t>
      </w:r>
    </w:p>
    <w:p w14:paraId="13E22FE6">
      <w:pPr>
        <w:pStyle w:val="16"/>
        <w:spacing w:before="31" w:after="31"/>
        <w:ind w:firstLine="480"/>
        <w:rPr>
          <w:szCs w:val="24"/>
        </w:rPr>
      </w:pPr>
      <w:r>
        <w:rPr>
          <w:szCs w:val="24"/>
        </w:rPr>
        <w:t>Cracking, Depression, and Mud Squeeze in Asphalt Pavement on Highways [22, 23]</w:t>
      </w:r>
    </w:p>
    <w:p w14:paraId="675441A0">
      <w:pPr>
        <w:pStyle w:val="16"/>
        <w:spacing w:before="31" w:after="31"/>
        <w:ind w:firstLine="480"/>
        <w:rPr>
          <w:szCs w:val="24"/>
        </w:rPr>
      </w:pPr>
    </w:p>
    <w:p w14:paraId="2666845F">
      <w:pPr>
        <w:pStyle w:val="16"/>
        <w:spacing w:before="31" w:after="31"/>
        <w:ind w:firstLine="480"/>
        <w:rPr>
          <w:szCs w:val="24"/>
        </w:rPr>
      </w:pPr>
      <w:r>
        <w:rPr>
          <w:szCs w:val="24"/>
        </w:rPr>
        <w:t>(2) Description of Failure Process</w:t>
      </w:r>
    </w:p>
    <w:p w14:paraId="45F103E8">
      <w:pPr>
        <w:pStyle w:val="16"/>
        <w:spacing w:before="31" w:after="31"/>
        <w:ind w:firstLine="480"/>
        <w:rPr>
          <w:szCs w:val="24"/>
        </w:rPr>
      </w:pPr>
      <w:r>
        <w:rPr>
          <w:szCs w:val="24"/>
        </w:rPr>
        <w:t>The section from Xiamen to Zhangzhou (referred to as the downward line) has maintained good road conditions for a year and a half, with few cracks. However, in some sections from Zhangzhou to Xiamen (referred to as the upward line), there are transverse cracks, grid cracks, localized ruts, depressions, and mud squeeze. The main features of the distress are: transverse cracks concentrate in the driving lane and generally do not extend into the passing lane; longitudinal cracks mainly concentrate in the driving lane and near the right side of the passing lane; grid cracks mainly concentrate in the driving lane and near the right stripe of the passing lane, displaying a fine and widespread distribution; significant ruts and depressions occur in some sections of the main lane. These ruts are permanent deformations caused by repeated loading, surface cracking, water infiltration, and vehicle impacts rather than the common ruts caused by high temperatures. Depressions and mud squeezing occur in the locations of the ruts due to the repeated action of the load, rainwater infiltration, and mud and water carried away during mud squeezing.</w:t>
      </w:r>
    </w:p>
    <w:p w14:paraId="4A2FBB7D">
      <w:pPr>
        <w:pStyle w:val="16"/>
        <w:spacing w:before="31" w:after="31"/>
        <w:ind w:firstLine="480"/>
        <w:rPr>
          <w:szCs w:val="24"/>
        </w:rPr>
      </w:pPr>
    </w:p>
    <w:p w14:paraId="24388CF1">
      <w:pPr>
        <w:pStyle w:val="16"/>
        <w:spacing w:before="31" w:after="31"/>
        <w:ind w:firstLine="480"/>
        <w:rPr>
          <w:szCs w:val="24"/>
        </w:rPr>
      </w:pPr>
      <w:r>
        <w:rPr>
          <w:szCs w:val="24"/>
        </w:rPr>
        <w:t>(3) Operating Environment of Components</w:t>
      </w:r>
    </w:p>
    <w:p w14:paraId="2883CDEC">
      <w:pPr>
        <w:pStyle w:val="16"/>
        <w:spacing w:before="31" w:after="31"/>
        <w:ind w:firstLine="480"/>
        <w:rPr>
          <w:szCs w:val="24"/>
        </w:rPr>
      </w:pPr>
      <w:r>
        <w:rPr>
          <w:szCs w:val="24"/>
        </w:rPr>
        <w:t>Operating environment: Interaction of traffic loads and water infiltration</w:t>
      </w:r>
    </w:p>
    <w:p w14:paraId="637F9E70">
      <w:pPr>
        <w:pStyle w:val="16"/>
        <w:spacing w:before="31" w:after="31"/>
        <w:ind w:firstLine="480"/>
        <w:rPr>
          <w:szCs w:val="24"/>
        </w:rPr>
      </w:pPr>
    </w:p>
    <w:p w14:paraId="31EE285F">
      <w:pPr>
        <w:pStyle w:val="16"/>
        <w:spacing w:before="31" w:after="31"/>
        <w:ind w:firstLine="480"/>
        <w:rPr>
          <w:szCs w:val="24"/>
        </w:rPr>
      </w:pPr>
      <w:r>
        <w:rPr>
          <w:szCs w:val="24"/>
        </w:rPr>
        <w:t>(4) Failed Components and Materials</w:t>
      </w:r>
    </w:p>
    <w:p w14:paraId="188F9DC1">
      <w:pPr>
        <w:pStyle w:val="16"/>
        <w:spacing w:before="31" w:after="31"/>
        <w:ind w:firstLine="480"/>
        <w:rPr>
          <w:szCs w:val="24"/>
        </w:rPr>
      </w:pPr>
      <w:r>
        <w:rPr>
          <w:szCs w:val="24"/>
        </w:rPr>
        <w:t>Asphalt pavement on the highway</w:t>
      </w:r>
    </w:p>
    <w:p w14:paraId="63AADBE5">
      <w:pPr>
        <w:pStyle w:val="16"/>
        <w:spacing w:before="31" w:after="31"/>
        <w:ind w:firstLine="480"/>
        <w:rPr>
          <w:szCs w:val="24"/>
        </w:rPr>
      </w:pPr>
      <w:r>
        <w:rPr>
          <w:szCs w:val="24"/>
        </w:rPr>
        <w:t>(5) Failed Component Morphology:</w:t>
      </w:r>
    </w:p>
    <w:p w14:paraId="58A3B567">
      <w:pPr>
        <w:pStyle w:val="16"/>
        <w:spacing w:before="31" w:after="31"/>
        <w:ind w:firstLine="420" w:firstLineChars="0"/>
        <w:rPr>
          <w:rFonts w:hint="eastAsia"/>
          <w:szCs w:val="24"/>
        </w:rPr>
      </w:pPr>
      <w:r>
        <w:rPr>
          <w:szCs w:val="24"/>
        </w:rPr>
        <w:t>Null</w:t>
      </w:r>
    </w:p>
    <w:p w14:paraId="1B73046A">
      <w:pPr>
        <w:pStyle w:val="16"/>
        <w:spacing w:before="31" w:after="31"/>
        <w:ind w:firstLine="480"/>
        <w:rPr>
          <w:szCs w:val="24"/>
        </w:rPr>
      </w:pPr>
      <w:r>
        <w:rPr>
          <w:szCs w:val="24"/>
        </w:rPr>
        <w:t>(6) Failure Cause Analysis</w:t>
      </w:r>
    </w:p>
    <w:p w14:paraId="267D21BD">
      <w:pPr>
        <w:pStyle w:val="16"/>
        <w:spacing w:before="31" w:after="31"/>
        <w:ind w:firstLine="480"/>
        <w:rPr>
          <w:szCs w:val="24"/>
        </w:rPr>
      </w:pPr>
      <w:r>
        <w:rPr>
          <w:szCs w:val="24"/>
        </w:rPr>
        <w:t>Through sampling and analysis of core samples from areas with grid cracks and depressions in the upward line and core samples from emergency parking areas and intact road areas, the following results were obtained:</w:t>
      </w:r>
    </w:p>
    <w:p w14:paraId="29841139">
      <w:pPr>
        <w:pStyle w:val="16"/>
        <w:spacing w:before="31" w:after="31"/>
        <w:ind w:firstLine="480"/>
        <w:rPr>
          <w:szCs w:val="24"/>
        </w:rPr>
      </w:pPr>
    </w:p>
    <w:p w14:paraId="4A958F13">
      <w:pPr>
        <w:pStyle w:val="16"/>
        <w:spacing w:before="31" w:after="31"/>
        <w:ind w:firstLine="480"/>
        <w:rPr>
          <w:szCs w:val="24"/>
        </w:rPr>
      </w:pPr>
      <w:r>
        <w:rPr>
          <w:szCs w:val="24"/>
        </w:rPr>
        <w:t>(a) Core Sample and Borehole Observations</w:t>
      </w:r>
    </w:p>
    <w:p w14:paraId="669E9DCC">
      <w:pPr>
        <w:pStyle w:val="16"/>
        <w:spacing w:before="31" w:after="31"/>
        <w:ind w:firstLine="480"/>
        <w:rPr>
          <w:szCs w:val="24"/>
        </w:rPr>
      </w:pPr>
      <w:r>
        <w:rPr>
          <w:rFonts w:hint="eastAsia"/>
          <w:szCs w:val="24"/>
        </w:rPr>
        <w:t>① The surface layer and middle layer bonding at the sites of grid cracks and depressions are good, but the middle layer and bottom layer are easily separated. The AC-25-II asphalt mixture in the bottom layer suffers serious water damage, and there is almos</w:t>
      </w:r>
      <w:r>
        <w:rPr>
          <w:szCs w:val="24"/>
        </w:rPr>
        <w:t>t no asphalt between the middle and bottom layers. The top 1 cm to 2 cm of the semi-rigid base layer exhibits softening.</w:t>
      </w:r>
    </w:p>
    <w:p w14:paraId="6E188967">
      <w:pPr>
        <w:pStyle w:val="16"/>
        <w:spacing w:before="31" w:after="31"/>
        <w:ind w:firstLine="480"/>
        <w:rPr>
          <w:szCs w:val="24"/>
        </w:rPr>
      </w:pPr>
      <w:r>
        <w:rPr>
          <w:rFonts w:hint="eastAsia"/>
          <w:szCs w:val="24"/>
        </w:rPr>
        <w:t>② Observation of excavated areas with severe depressions shows that the 33 cm semi-rigid base layer paved in two passes has completely loosened in the upper 16 cm, while the lower 17 cm remains intact. This is caused by surface layer cracking, surface wate</w:t>
      </w:r>
      <w:r>
        <w:rPr>
          <w:szCs w:val="24"/>
        </w:rPr>
        <w:t>r seeping into the semi-rigid base layer, and the impact of driving.</w:t>
      </w:r>
    </w:p>
    <w:p w14:paraId="3E5C1CA5">
      <w:pPr>
        <w:pStyle w:val="16"/>
        <w:spacing w:before="31" w:after="31"/>
        <w:ind w:firstLine="480"/>
        <w:rPr>
          <w:szCs w:val="24"/>
        </w:rPr>
      </w:pPr>
    </w:p>
    <w:p w14:paraId="6EC3B2E4">
      <w:pPr>
        <w:pStyle w:val="16"/>
        <w:spacing w:before="31" w:after="31"/>
        <w:ind w:firstLine="480"/>
        <w:rPr>
          <w:szCs w:val="24"/>
        </w:rPr>
      </w:pPr>
      <w:r>
        <w:rPr>
          <w:szCs w:val="24"/>
        </w:rPr>
        <w:t>(b) Actual Measurement of Porosity and Extracted Sieve Analysis of Core Samples</w:t>
      </w:r>
    </w:p>
    <w:p w14:paraId="64B2C392">
      <w:pPr>
        <w:pStyle w:val="16"/>
        <w:spacing w:before="31" w:after="31"/>
        <w:ind w:firstLine="480"/>
        <w:rPr>
          <w:rFonts w:hint="eastAsia"/>
          <w:szCs w:val="24"/>
        </w:rPr>
      </w:pPr>
      <w:r>
        <w:rPr>
          <w:rFonts w:hint="eastAsia"/>
          <w:szCs w:val="24"/>
        </w:rPr>
        <w:t>① The porosity of the asphalt mixture in the surface layer on the emergency parking lane is significantly higher than that on the driving lane.</w:t>
      </w:r>
    </w:p>
    <w:p w14:paraId="3905A3DD">
      <w:pPr>
        <w:pStyle w:val="16"/>
        <w:spacing w:before="31" w:after="31"/>
        <w:ind w:firstLine="480"/>
        <w:rPr>
          <w:rFonts w:hint="eastAsia"/>
          <w:szCs w:val="24"/>
        </w:rPr>
      </w:pPr>
      <w:r>
        <w:rPr>
          <w:rFonts w:hint="eastAsia"/>
          <w:szCs w:val="24"/>
        </w:rPr>
        <w:t>② A comparison of the porosity of the asphalt mixtures on the emergency parking lane and the driving lane shows that there is a significant but not too pronounced difference, indicating a clear trend towards densification.</w:t>
      </w:r>
    </w:p>
    <w:p w14:paraId="57E9B4B3">
      <w:pPr>
        <w:pStyle w:val="16"/>
        <w:spacing w:before="31" w:after="31"/>
        <w:ind w:firstLine="0" w:firstLineChars="0"/>
        <w:rPr>
          <w:szCs w:val="24"/>
        </w:rPr>
      </w:pPr>
      <w:r>
        <w:rPr>
          <w:rFonts w:hint="eastAsia"/>
          <w:szCs w:val="24"/>
        </w:rPr>
        <w:t>③ Test results from the extraction and screening experiment indicate that no abnormalities were found in the gradation of the asphalt mixture. However, in one group, the oil-stone ratio was relatively low due to cracking of the surface layer, surface wat</w:t>
      </w:r>
      <w:r>
        <w:rPr>
          <w:szCs w:val="24"/>
        </w:rPr>
        <w:t>er infiltration, erosion, and impact from vehicle splashing. This caused some asphalt on the surface of the aggregate to be peeled off by water and carried away during mud splashing, resulting in a lower oil-stone ratio in the underlying AC-25-II mixture. Core samples from parking lots and intact road surfaces confirmed a normal oil-stone ratio without any apparent anomalies.</w:t>
      </w:r>
    </w:p>
    <w:p w14:paraId="22D0DE57">
      <w:pPr>
        <w:pStyle w:val="16"/>
        <w:spacing w:before="31" w:after="31"/>
        <w:ind w:firstLine="480"/>
        <w:rPr>
          <w:szCs w:val="24"/>
        </w:rPr>
      </w:pPr>
      <w:r>
        <w:rPr>
          <w:szCs w:val="24"/>
        </w:rPr>
        <w:t>(7) Impact and Harm Caused</w:t>
      </w:r>
    </w:p>
    <w:p w14:paraId="38036C03">
      <w:pPr>
        <w:pStyle w:val="16"/>
        <w:spacing w:before="31" w:after="31"/>
        <w:ind w:firstLine="480"/>
        <w:rPr>
          <w:rFonts w:hint="eastAsia"/>
          <w:szCs w:val="24"/>
        </w:rPr>
      </w:pPr>
      <w:r>
        <w:rPr>
          <w:rFonts w:hint="eastAsia"/>
          <w:szCs w:val="24"/>
        </w:rPr>
        <w:t>The impacts and hazards caused economic losses.</w:t>
      </w:r>
    </w:p>
    <w:p w14:paraId="730F979A">
      <w:pPr>
        <w:pStyle w:val="16"/>
        <w:spacing w:before="31" w:after="31"/>
        <w:ind w:firstLine="480"/>
        <w:rPr>
          <w:szCs w:val="24"/>
        </w:rPr>
      </w:pPr>
      <w:r>
        <w:rPr>
          <w:szCs w:val="24"/>
        </w:rPr>
        <w:t>(8) Conclusion and Improvement Measures</w:t>
      </w:r>
    </w:p>
    <w:p w14:paraId="69B6328A">
      <w:pPr>
        <w:pStyle w:val="16"/>
        <w:spacing w:before="31" w:after="31"/>
        <w:ind w:firstLine="480"/>
        <w:rPr>
          <w:szCs w:val="24"/>
        </w:rPr>
      </w:pPr>
      <w:r>
        <w:rPr>
          <w:rFonts w:hint="eastAsia"/>
          <w:szCs w:val="24"/>
        </w:rPr>
        <w:t>based on the investigation and analysis above, the mix design, construction mix ratio control, and on-site compaction conditions for each surface layer are generally normal. Doubts about road damage caused by</w:t>
      </w:r>
      <w:r>
        <w:rPr>
          <w:szCs w:val="24"/>
        </w:rPr>
        <w:t xml:space="preserve"> construction quality can be ruled out. The main reason for the damage is excessive overloading of vehicles transporting coal and cement (loading 13t to 18t on a 5t-rated vehicle), resulting in excessive shear stress on the asphalt surface.</w:t>
      </w:r>
    </w:p>
    <w:p w14:paraId="7D9F8747">
      <w:pPr>
        <w:pStyle w:val="16"/>
        <w:spacing w:before="31" w:after="31"/>
        <w:ind w:firstLine="0" w:firstLineChars="0"/>
        <w:rPr>
          <w:b/>
          <w:bCs/>
          <w:szCs w:val="24"/>
        </w:rPr>
      </w:pPr>
      <w:r>
        <w:rPr>
          <w:b/>
          <w:bCs/>
          <w:szCs w:val="24"/>
        </w:rPr>
        <w:t>8.2.17 Case 8-17: Surface Damage on Section of National Highway 110 from Changping to Yanqing</w:t>
      </w:r>
    </w:p>
    <w:p w14:paraId="6C15AB8C">
      <w:pPr>
        <w:pStyle w:val="16"/>
        <w:spacing w:before="31" w:after="31"/>
        <w:ind w:firstLine="480"/>
        <w:rPr>
          <w:szCs w:val="24"/>
        </w:rPr>
      </w:pPr>
      <w:r>
        <w:rPr>
          <w:szCs w:val="24"/>
        </w:rPr>
        <w:t>(1) Case Name</w:t>
      </w:r>
    </w:p>
    <w:p w14:paraId="16630456">
      <w:pPr>
        <w:pStyle w:val="16"/>
        <w:spacing w:before="31" w:after="31"/>
        <w:ind w:firstLine="480"/>
        <w:rPr>
          <w:szCs w:val="24"/>
        </w:rPr>
      </w:pPr>
      <w:r>
        <w:rPr>
          <w:szCs w:val="24"/>
        </w:rPr>
        <w:t>Surface Damage on Section of National Highway 110 from Changping to Yanqing [24]</w:t>
      </w:r>
    </w:p>
    <w:p w14:paraId="6FAA0F10">
      <w:pPr>
        <w:pStyle w:val="16"/>
        <w:spacing w:before="31" w:after="31"/>
        <w:ind w:firstLine="480"/>
        <w:rPr>
          <w:szCs w:val="24"/>
        </w:rPr>
      </w:pPr>
      <w:r>
        <w:rPr>
          <w:szCs w:val="24"/>
        </w:rPr>
        <w:t>(2) Description of Failure Process</w:t>
      </w:r>
    </w:p>
    <w:p w14:paraId="6A10BF03">
      <w:pPr>
        <w:pStyle w:val="16"/>
        <w:spacing w:before="31" w:after="31"/>
        <w:ind w:firstLine="480"/>
        <w:rPr>
          <w:szCs w:val="24"/>
        </w:rPr>
      </w:pPr>
      <w:r>
        <w:rPr>
          <w:szCs w:val="24"/>
        </w:rPr>
        <w:t>Operational since 1992, asphalt surface. Cracks and deformations were observed on November 15, 2003; aging of the road surface. Widespread cracks; 50% of the surface with a mosaic pattern; grooves up to 15cm deep; exposed base layer; ruts with a depth of up to 13cm; edge damage.</w:t>
      </w:r>
    </w:p>
    <w:p w14:paraId="1F7CCD01">
      <w:pPr>
        <w:pStyle w:val="16"/>
        <w:spacing w:before="31" w:after="31"/>
        <w:ind w:firstLine="480"/>
        <w:rPr>
          <w:szCs w:val="24"/>
        </w:rPr>
      </w:pPr>
      <w:r>
        <w:rPr>
          <w:szCs w:val="24"/>
        </w:rPr>
        <w:t>(3) Service Environment of Components</w:t>
      </w:r>
    </w:p>
    <w:p w14:paraId="11D15CF5">
      <w:pPr>
        <w:pStyle w:val="16"/>
        <w:spacing w:before="31" w:after="31"/>
        <w:ind w:firstLine="480"/>
        <w:rPr>
          <w:szCs w:val="24"/>
        </w:rPr>
      </w:pPr>
      <w:r>
        <w:rPr>
          <w:szCs w:val="24"/>
        </w:rPr>
        <w:t>Natural environment</w:t>
      </w:r>
    </w:p>
    <w:p w14:paraId="27E7E252">
      <w:pPr>
        <w:pStyle w:val="16"/>
        <w:spacing w:before="31" w:after="31"/>
        <w:ind w:firstLine="480"/>
        <w:rPr>
          <w:szCs w:val="24"/>
        </w:rPr>
      </w:pPr>
      <w:r>
        <w:rPr>
          <w:szCs w:val="24"/>
        </w:rPr>
        <w:t xml:space="preserve">(4) Failed Component </w:t>
      </w:r>
      <w:r>
        <w:rPr>
          <w:kern w:val="0"/>
          <w:szCs w:val="24"/>
        </w:rPr>
        <w:t>and Material</w:t>
      </w:r>
    </w:p>
    <w:p w14:paraId="05E229ED">
      <w:pPr>
        <w:pStyle w:val="16"/>
        <w:spacing w:before="31" w:after="31"/>
        <w:ind w:firstLine="480"/>
        <w:rPr>
          <w:szCs w:val="24"/>
        </w:rPr>
      </w:pPr>
      <w:r>
        <w:rPr>
          <w:szCs w:val="24"/>
        </w:rPr>
        <w:t>Road surface</w:t>
      </w:r>
    </w:p>
    <w:p w14:paraId="4AAEC180">
      <w:pPr>
        <w:pStyle w:val="16"/>
        <w:spacing w:before="31" w:after="31"/>
        <w:ind w:firstLine="480"/>
        <w:rPr>
          <w:szCs w:val="24"/>
        </w:rPr>
      </w:pPr>
      <w:r>
        <w:rPr>
          <w:szCs w:val="24"/>
        </w:rPr>
        <w:t>(5) Failed Component Morphology:</w:t>
      </w:r>
    </w:p>
    <w:p w14:paraId="563985C9">
      <w:pPr>
        <w:pStyle w:val="16"/>
        <w:spacing w:before="31" w:after="31"/>
        <w:ind w:firstLine="480"/>
        <w:rPr>
          <w:rFonts w:hint="eastAsia"/>
          <w:szCs w:val="24"/>
        </w:rPr>
      </w:pPr>
      <w:r>
        <w:rPr>
          <w:szCs w:val="24"/>
        </w:rPr>
        <w:t>Null</w:t>
      </w:r>
    </w:p>
    <w:p w14:paraId="506F1D2C">
      <w:pPr>
        <w:pStyle w:val="16"/>
        <w:spacing w:before="31" w:after="31"/>
        <w:ind w:firstLine="480"/>
        <w:rPr>
          <w:szCs w:val="24"/>
        </w:rPr>
      </w:pPr>
      <w:r>
        <w:rPr>
          <w:szCs w:val="24"/>
        </w:rPr>
        <w:t>(6) Analysis of Failure Causes</w:t>
      </w:r>
    </w:p>
    <w:p w14:paraId="51BF040A">
      <w:pPr>
        <w:pStyle w:val="16"/>
        <w:spacing w:before="31" w:after="31"/>
        <w:ind w:firstLine="480"/>
        <w:rPr>
          <w:szCs w:val="24"/>
        </w:rPr>
      </w:pPr>
      <w:r>
        <w:rPr>
          <w:szCs w:val="24"/>
        </w:rPr>
        <w:t>Low winter temperatures causing contraction cracks and deformations; road surface aging; poor quality of lime soil structural layer, inadequate half-width construction joints; significant increase in load due to economic development, exceeding design values; inadequate drainage system.</w:t>
      </w:r>
    </w:p>
    <w:p w14:paraId="280AD26B">
      <w:pPr>
        <w:pStyle w:val="16"/>
        <w:spacing w:before="31" w:after="31"/>
        <w:ind w:firstLine="480"/>
        <w:rPr>
          <w:szCs w:val="24"/>
        </w:rPr>
      </w:pPr>
      <w:r>
        <w:rPr>
          <w:szCs w:val="24"/>
        </w:rPr>
        <w:t>(7) Impact and Harm Caused</w:t>
      </w:r>
    </w:p>
    <w:p w14:paraId="42372418">
      <w:pPr>
        <w:pStyle w:val="16"/>
        <w:spacing w:before="31" w:after="31"/>
        <w:ind w:firstLine="480"/>
        <w:rPr>
          <w:szCs w:val="24"/>
        </w:rPr>
      </w:pPr>
      <w:r>
        <w:rPr>
          <w:szCs w:val="24"/>
        </w:rPr>
        <w:t>The accident resulted in economic losses.</w:t>
      </w:r>
    </w:p>
    <w:p w14:paraId="53ABC869">
      <w:pPr>
        <w:pStyle w:val="16"/>
        <w:spacing w:before="31" w:after="31"/>
        <w:ind w:firstLine="480"/>
        <w:rPr>
          <w:szCs w:val="24"/>
        </w:rPr>
      </w:pPr>
      <w:r>
        <w:rPr>
          <w:szCs w:val="24"/>
        </w:rPr>
        <w:t>(8) Conclusion and Improvement Measures</w:t>
      </w:r>
    </w:p>
    <w:p w14:paraId="587082A9">
      <w:pPr>
        <w:pStyle w:val="16"/>
        <w:spacing w:before="31" w:after="31"/>
        <w:ind w:firstLine="480"/>
        <w:rPr>
          <w:szCs w:val="24"/>
        </w:rPr>
      </w:pPr>
      <w:r>
        <w:rPr>
          <w:rFonts w:hint="eastAsia"/>
          <w:szCs w:val="24"/>
        </w:rPr>
        <w:t>N</w:t>
      </w:r>
      <w:r>
        <w:rPr>
          <w:szCs w:val="24"/>
        </w:rPr>
        <w:t>ull</w:t>
      </w:r>
    </w:p>
    <w:p w14:paraId="3272BFC8">
      <w:pPr>
        <w:pStyle w:val="16"/>
        <w:spacing w:before="31" w:after="31"/>
        <w:ind w:firstLine="0" w:firstLineChars="0"/>
        <w:rPr>
          <w:b/>
          <w:bCs/>
          <w:szCs w:val="24"/>
        </w:rPr>
      </w:pPr>
      <w:r>
        <w:rPr>
          <w:b/>
          <w:bCs/>
          <w:szCs w:val="24"/>
        </w:rPr>
        <w:t>8.3 Summary</w:t>
      </w:r>
    </w:p>
    <w:p w14:paraId="22E943D7">
      <w:pPr>
        <w:pStyle w:val="16"/>
        <w:spacing w:before="31" w:after="31"/>
        <w:ind w:firstLine="0" w:firstLineChars="0"/>
        <w:rPr>
          <w:b/>
          <w:bCs/>
          <w:szCs w:val="24"/>
        </w:rPr>
      </w:pPr>
      <w:r>
        <w:rPr>
          <w:b/>
          <w:bCs/>
          <w:szCs w:val="24"/>
        </w:rPr>
        <w:t>8.3.1 Main Failure Modes and Issues</w:t>
      </w:r>
    </w:p>
    <w:p w14:paraId="69DC49EC">
      <w:pPr>
        <w:pStyle w:val="16"/>
        <w:spacing w:before="31" w:after="31"/>
        <w:ind w:firstLine="480"/>
        <w:rPr>
          <w:szCs w:val="24"/>
        </w:rPr>
      </w:pPr>
      <w:r>
        <w:rPr>
          <w:szCs w:val="24"/>
        </w:rPr>
        <w:t>8.3.1.1 Main Failure Modes</w:t>
      </w:r>
    </w:p>
    <w:p w14:paraId="430CD320">
      <w:pPr>
        <w:pStyle w:val="16"/>
        <w:spacing w:before="31" w:after="31"/>
        <w:ind w:firstLine="480"/>
        <w:rPr>
          <w:szCs w:val="24"/>
        </w:rPr>
      </w:pPr>
      <w:r>
        <w:rPr>
          <w:szCs w:val="24"/>
        </w:rPr>
        <w:t>Based on the results of failure investigations, the main failure modes of transportation structures include fatigue, wear, corrosion, heat, and aging. Additionally, failure modes often involve corrosion, fracture, and coupled thermal processes. The investigated cases cover various fields such as automobiles, bridges, railways, and highways. Specific investigation cases analyze the causes of accidents from material factors, production construction, design factors, and environmental factors, as summarized in Table 8-7.</w:t>
      </w:r>
    </w:p>
    <w:p w14:paraId="5E0C5E25">
      <w:pPr>
        <w:pStyle w:val="16"/>
        <w:spacing w:before="31" w:after="31"/>
        <w:ind w:firstLine="480"/>
        <w:rPr>
          <w:szCs w:val="24"/>
        </w:rPr>
      </w:pPr>
      <w:r>
        <w:rPr>
          <w:szCs w:val="24"/>
        </w:rPr>
        <w:t>8.3.1.2 Existing Issues</w:t>
      </w:r>
    </w:p>
    <w:p w14:paraId="1B84A462">
      <w:pPr>
        <w:pStyle w:val="16"/>
        <w:spacing w:before="31" w:after="31"/>
        <w:ind w:firstLine="480"/>
        <w:rPr>
          <w:szCs w:val="24"/>
        </w:rPr>
      </w:pPr>
      <w:r>
        <w:rPr>
          <w:szCs w:val="24"/>
        </w:rPr>
        <w:t>Due to the broad scope of the transportation industry, this investigation focused on automobiles, bridges, highways, railways, etc. For specific structures, given the complexity of service loads and the diversity of service environments, structural material failures often result from the combined effects of various environmental factors.</w:t>
      </w:r>
    </w:p>
    <w:p w14:paraId="271AA7B2">
      <w:pPr>
        <w:pStyle w:val="16"/>
        <w:spacing w:before="31" w:after="31"/>
        <w:ind w:firstLine="480"/>
        <w:rPr>
          <w:szCs w:val="24"/>
        </w:rPr>
      </w:pPr>
      <w:r>
        <w:rPr>
          <w:szCs w:val="24"/>
        </w:rPr>
        <w:t>The safety hazards in the transportation industry are complex and involve technical aspects, management systems, relevant standards, and human factors. Therefore, it is recommended that China's transportation industry strengthen management using standards and guidelines and conduct regular inspections and implementations. It is also advised to comprehensively preserve accident data and, ideally, establish requirements and standards for accident analysis.</w:t>
      </w:r>
    </w:p>
    <w:p w14:paraId="2B1F5432">
      <w:pPr>
        <w:pStyle w:val="16"/>
        <w:spacing w:before="31" w:after="31"/>
        <w:ind w:firstLine="482"/>
        <w:jc w:val="center"/>
        <w:rPr>
          <w:b/>
          <w:bCs/>
          <w:szCs w:val="24"/>
        </w:rPr>
      </w:pPr>
      <w:r>
        <w:rPr>
          <w:b/>
          <w:bCs/>
          <w:szCs w:val="24"/>
        </w:rPr>
        <w:t>Table 8-7 Summary of Failure Causes in Transportation Industry Research Cases</w:t>
      </w:r>
    </w:p>
    <w:p w14:paraId="1F06E512">
      <w:pPr>
        <w:pStyle w:val="16"/>
        <w:spacing w:before="31" w:after="31"/>
        <w:ind w:firstLine="480"/>
        <w:rPr>
          <w:szCs w:val="24"/>
        </w:rPr>
      </w:pPr>
      <w:r>
        <w:rPr>
          <w:szCs w:val="24"/>
        </w:rPr>
        <w:t>| Case Number | Case Name                              | Material | Production | Design | Environmental |</w:t>
      </w:r>
    </w:p>
    <w:p w14:paraId="668EB7AE">
      <w:pPr>
        <w:pStyle w:val="16"/>
        <w:spacing w:before="31" w:after="31"/>
        <w:ind w:firstLine="480"/>
        <w:rPr>
          <w:szCs w:val="24"/>
        </w:rPr>
      </w:pPr>
      <w:r>
        <w:rPr>
          <w:szCs w:val="24"/>
        </w:rPr>
        <w:t>|-------------|----------------------------------------|----------|------------|--------|----------------|</w:t>
      </w:r>
    </w:p>
    <w:p w14:paraId="0C298DBE">
      <w:pPr>
        <w:pStyle w:val="16"/>
        <w:spacing w:before="31" w:after="31"/>
        <w:ind w:firstLine="480"/>
        <w:rPr>
          <w:rFonts w:hint="eastAsia"/>
          <w:szCs w:val="24"/>
        </w:rPr>
      </w:pPr>
      <w:r>
        <w:rPr>
          <w:rFonts w:hint="eastAsia"/>
          <w:szCs w:val="24"/>
        </w:rPr>
        <w:t>| 8-1         | Monteo Sedan Fire Accident             | √        |            |        |                |</w:t>
      </w:r>
    </w:p>
    <w:p w14:paraId="312F6B58">
      <w:pPr>
        <w:pStyle w:val="16"/>
        <w:spacing w:before="31" w:after="31"/>
        <w:ind w:firstLine="480"/>
        <w:rPr>
          <w:rFonts w:hint="eastAsia"/>
          <w:szCs w:val="24"/>
        </w:rPr>
      </w:pPr>
      <w:r>
        <w:rPr>
          <w:rFonts w:hint="eastAsia"/>
          <w:szCs w:val="24"/>
        </w:rPr>
        <w:t>| 8-2         | 5815 Car Steering Arm Shaft Fracture   | √        |            | √      |                |</w:t>
      </w:r>
    </w:p>
    <w:p w14:paraId="0335E717">
      <w:pPr>
        <w:pStyle w:val="16"/>
        <w:spacing w:before="31" w:after="31"/>
        <w:ind w:firstLine="480"/>
        <w:rPr>
          <w:rFonts w:hint="eastAsia"/>
          <w:szCs w:val="24"/>
        </w:rPr>
      </w:pPr>
      <w:r>
        <w:rPr>
          <w:rFonts w:hint="eastAsia"/>
          <w:szCs w:val="24"/>
        </w:rPr>
        <w:t>| 8-3         | Jiefang Medium-sized Truck Accident    | √        |            |        |                |</w:t>
      </w:r>
    </w:p>
    <w:p w14:paraId="45EF01D8">
      <w:pPr>
        <w:pStyle w:val="16"/>
        <w:spacing w:before="31" w:after="31"/>
        <w:ind w:firstLine="480"/>
        <w:rPr>
          <w:szCs w:val="24"/>
        </w:rPr>
      </w:pPr>
      <w:r>
        <w:rPr>
          <w:szCs w:val="24"/>
        </w:rPr>
        <w:t>| 8-4         | Lateral Fracture of Steel Rail on a Bridge |        |            |        |                |</w:t>
      </w:r>
    </w:p>
    <w:p w14:paraId="7D26A6EA">
      <w:pPr>
        <w:pStyle w:val="16"/>
        <w:spacing w:before="31" w:after="31"/>
        <w:ind w:firstLine="480"/>
        <w:rPr>
          <w:rFonts w:hint="eastAsia"/>
          <w:szCs w:val="24"/>
        </w:rPr>
      </w:pPr>
      <w:r>
        <w:rPr>
          <w:rFonts w:hint="eastAsia"/>
          <w:szCs w:val="24"/>
        </w:rPr>
        <w:t>| 8-5         | Guangdong Jiujiang Bridge Ship Collision Accident |            |            |        | √              |</w:t>
      </w:r>
    </w:p>
    <w:p w14:paraId="4EDE61FB">
      <w:pPr>
        <w:pStyle w:val="16"/>
        <w:spacing w:before="31" w:after="31"/>
        <w:ind w:firstLine="480"/>
        <w:rPr>
          <w:rFonts w:hint="eastAsia"/>
          <w:szCs w:val="24"/>
        </w:rPr>
      </w:pPr>
      <w:r>
        <w:rPr>
          <w:rFonts w:hint="eastAsia"/>
          <w:szCs w:val="24"/>
        </w:rPr>
        <w:t>| 8-6         | Zhaobao Mountain Bridge Collapse       | √        |            |        |                |</w:t>
      </w:r>
    </w:p>
    <w:p w14:paraId="4461C781">
      <w:pPr>
        <w:pStyle w:val="16"/>
        <w:spacing w:before="31" w:after="31"/>
        <w:ind w:firstLine="480"/>
        <w:rPr>
          <w:rFonts w:hint="eastAsia"/>
          <w:szCs w:val="24"/>
        </w:rPr>
      </w:pPr>
      <w:r>
        <w:rPr>
          <w:rFonts w:hint="eastAsia"/>
          <w:szCs w:val="24"/>
        </w:rPr>
        <w:t>| 8-7         | Locomotive Bearing Outer Ring Fracture | √        |            | √      |                |</w:t>
      </w:r>
    </w:p>
    <w:p w14:paraId="762F7A39">
      <w:pPr>
        <w:pStyle w:val="16"/>
        <w:spacing w:before="31" w:after="31"/>
        <w:ind w:firstLine="480"/>
        <w:rPr>
          <w:rFonts w:hint="eastAsia"/>
          <w:szCs w:val="24"/>
        </w:rPr>
      </w:pPr>
      <w:r>
        <w:rPr>
          <w:rFonts w:hint="eastAsia"/>
          <w:szCs w:val="24"/>
        </w:rPr>
        <w:t>| 8-8         | Major Derailment Accident of Jingu Line Train 10915 |      | √          |        |                |</w:t>
      </w:r>
    </w:p>
    <w:p w14:paraId="1670DF29">
      <w:pPr>
        <w:pStyle w:val="16"/>
        <w:spacing w:before="31" w:after="31"/>
        <w:ind w:firstLine="480"/>
        <w:rPr>
          <w:rFonts w:hint="eastAsia"/>
          <w:szCs w:val="24"/>
        </w:rPr>
      </w:pPr>
      <w:r>
        <w:rPr>
          <w:rFonts w:hint="eastAsia"/>
          <w:szCs w:val="24"/>
        </w:rPr>
        <w:t>| 8-9         | Potential Derailment Accident of Jingshu Line Train 13004 | √ | √          |        |                |</w:t>
      </w:r>
    </w:p>
    <w:p w14:paraId="032DE484">
      <w:pPr>
        <w:pStyle w:val="16"/>
        <w:spacing w:before="31" w:after="31"/>
        <w:ind w:firstLine="480"/>
        <w:rPr>
          <w:rFonts w:hint="eastAsia"/>
          <w:szCs w:val="24"/>
        </w:rPr>
      </w:pPr>
      <w:r>
        <w:rPr>
          <w:rFonts w:hint="eastAsia"/>
          <w:szCs w:val="24"/>
        </w:rPr>
        <w:t>| 8-10        | Zhegan Line Train 20036 Carriage Rocker Arm Fracture | √   |            |        |                |</w:t>
      </w:r>
    </w:p>
    <w:p w14:paraId="12A44D69">
      <w:pPr>
        <w:pStyle w:val="16"/>
        <w:spacing w:before="31" w:after="31"/>
        <w:ind w:firstLine="480"/>
        <w:rPr>
          <w:rFonts w:hint="eastAsia"/>
          <w:szCs w:val="24"/>
        </w:rPr>
      </w:pPr>
      <w:r>
        <w:rPr>
          <w:rFonts w:hint="eastAsia"/>
          <w:szCs w:val="24"/>
        </w:rPr>
        <w:t>| 8-11        | Major Derailment Accident of Xixian Line Train 25107 |      | √          | √      |                |</w:t>
      </w:r>
    </w:p>
    <w:p w14:paraId="443A6421">
      <w:pPr>
        <w:pStyle w:val="16"/>
        <w:spacing w:before="31" w:after="31"/>
        <w:ind w:firstLine="480"/>
        <w:rPr>
          <w:rFonts w:hint="eastAsia"/>
          <w:szCs w:val="24"/>
        </w:rPr>
      </w:pPr>
      <w:r>
        <w:rPr>
          <w:rFonts w:hint="eastAsia"/>
          <w:szCs w:val="24"/>
        </w:rPr>
        <w:t>| 8-12        | Potential Derailment Accident of Baobai Line Train 41091 | √ |            |        |                |</w:t>
      </w:r>
    </w:p>
    <w:p w14:paraId="0F200C33">
      <w:pPr>
        <w:pStyle w:val="16"/>
        <w:spacing w:before="31" w:after="31"/>
        <w:ind w:firstLine="480"/>
        <w:rPr>
          <w:rFonts w:hint="eastAsia"/>
          <w:szCs w:val="24"/>
        </w:rPr>
      </w:pPr>
      <w:r>
        <w:rPr>
          <w:rFonts w:hint="eastAsia"/>
          <w:szCs w:val="24"/>
        </w:rPr>
        <w:t>| 8-13        | Potential Derailment Accident of Chengkun Line Train 8653 |    |            |        | √              |</w:t>
      </w:r>
    </w:p>
    <w:p w14:paraId="5B80BB92">
      <w:pPr>
        <w:pStyle w:val="16"/>
        <w:spacing w:before="31" w:after="31"/>
        <w:ind w:firstLine="480"/>
        <w:rPr>
          <w:rFonts w:hint="eastAsia"/>
          <w:szCs w:val="24"/>
        </w:rPr>
      </w:pPr>
      <w:r>
        <w:rPr>
          <w:rFonts w:hint="eastAsia"/>
          <w:szCs w:val="24"/>
        </w:rPr>
        <w:t>| 8-14        | Major Derailment Accident of Nanjiang Line Train K883 |      |            | √      |                |</w:t>
      </w:r>
    </w:p>
    <w:p w14:paraId="74A8AEF8">
      <w:pPr>
        <w:pStyle w:val="16"/>
        <w:spacing w:before="31" w:after="31"/>
        <w:ind w:firstLine="480"/>
        <w:rPr>
          <w:rFonts w:hint="eastAsia"/>
          <w:szCs w:val="24"/>
        </w:rPr>
      </w:pPr>
      <w:r>
        <w:rPr>
          <w:rFonts w:hint="eastAsia"/>
          <w:szCs w:val="24"/>
        </w:rPr>
        <w:t>| 8-15        | Deterioration of Henin Road Concrete Surface | √ | √          |        |                |</w:t>
      </w:r>
    </w:p>
    <w:p w14:paraId="064D659F">
      <w:pPr>
        <w:pStyle w:val="16"/>
        <w:spacing w:before="31" w:after="31"/>
        <w:ind w:firstLine="480"/>
        <w:rPr>
          <w:rFonts w:hint="eastAsia"/>
          <w:szCs w:val="24"/>
        </w:rPr>
      </w:pPr>
      <w:r>
        <w:rPr>
          <w:rFonts w:hint="eastAsia"/>
          <w:szCs w:val="24"/>
        </w:rPr>
        <w:t>| 8-16        | Cracks, Sinkholes, and Mud Splattering on Asphalt Road of Expressway |      |            |        | √              |</w:t>
      </w:r>
    </w:p>
    <w:p w14:paraId="26A4F574">
      <w:pPr>
        <w:pStyle w:val="16"/>
        <w:spacing w:before="31" w:after="31"/>
        <w:ind w:firstLine="480"/>
        <w:rPr>
          <w:szCs w:val="24"/>
        </w:rPr>
      </w:pPr>
      <w:r>
        <w:rPr>
          <w:rFonts w:hint="eastAsia"/>
          <w:szCs w:val="24"/>
        </w:rPr>
        <w:t>| 8-17        | Surface Damage on Section of National Highway 110 from Changping to Yanqing | √ | √          | √      | √              |</w:t>
      </w:r>
    </w:p>
    <w:p w14:paraId="4E3ACA41">
      <w:pPr>
        <w:pStyle w:val="16"/>
        <w:spacing w:before="31" w:after="31"/>
        <w:ind w:firstLine="0" w:firstLineChars="0"/>
        <w:rPr>
          <w:b/>
          <w:bCs/>
          <w:szCs w:val="24"/>
        </w:rPr>
      </w:pPr>
      <w:r>
        <w:rPr>
          <w:b/>
          <w:bCs/>
          <w:szCs w:val="24"/>
        </w:rPr>
        <w:t>8.3.2 Current Status of Failure Accident Investigation Work</w:t>
      </w:r>
    </w:p>
    <w:p w14:paraId="406DFD59">
      <w:pPr>
        <w:pStyle w:val="16"/>
        <w:spacing w:before="31" w:after="31"/>
        <w:ind w:firstLine="480"/>
        <w:rPr>
          <w:szCs w:val="24"/>
        </w:rPr>
      </w:pPr>
    </w:p>
    <w:p w14:paraId="569D2216">
      <w:pPr>
        <w:pStyle w:val="16"/>
        <w:spacing w:before="31" w:after="31"/>
        <w:ind w:firstLine="480"/>
        <w:rPr>
          <w:szCs w:val="24"/>
        </w:rPr>
      </w:pPr>
      <w:r>
        <w:rPr>
          <w:szCs w:val="24"/>
        </w:rPr>
        <w:t>In the research on failure cases in the transportation industry, the project not only investigated and summarized publicly available failure cases published in various publications but also conducted practical research visits to relevant research institutes and inspection management organizations in the industry, such as Chang'an University and Xi'an Automobile Product Quality Supervision and Inspection Station. Overall, the failure analysis of most cases was able to effectively summarize and analyze the causes of component failure, and propose effective preventive and improvement measures. The main methods of failure analysis in cases include analyzing the structure, types of materials, and the service environment of components. Emphasis is placed on analyzing the macroscopic and microscopic morphology of the failed components, combining the component material composition analysis, mechanical properties, corrosion products, etc., to determine whether the failure is due to design reasons, material reasons, corrosion, etc. Furthermore, through an overall evaluation of the component's service environment, the correlation between component failure and the component's service environment and load is determined. In some cases, the overall reasons for component failure are also analyzed from the perspectives of component design, operational use, and management.</w:t>
      </w:r>
    </w:p>
    <w:p w14:paraId="65318F44">
      <w:pPr>
        <w:pStyle w:val="16"/>
        <w:spacing w:before="31" w:after="31"/>
        <w:ind w:firstLine="480"/>
        <w:rPr>
          <w:szCs w:val="24"/>
        </w:rPr>
      </w:pPr>
    </w:p>
    <w:p w14:paraId="39520569">
      <w:pPr>
        <w:pStyle w:val="16"/>
        <w:spacing w:before="31" w:after="31"/>
        <w:ind w:firstLine="480"/>
        <w:rPr>
          <w:szCs w:val="24"/>
        </w:rPr>
      </w:pPr>
      <w:r>
        <w:rPr>
          <w:szCs w:val="24"/>
        </w:rPr>
        <w:t>However, in the summary of failure cases, the project found that many cases only collected the main relevant parameters of component failure, lacking secondary parameters that affect component materials and service environments, and even lacking many necessary basic data for failure analysis. For complex structures such as bridges, highways, and railways, which involve numerous parameters, it is challenging to conduct a comprehensive and integrated analysis.</w:t>
      </w:r>
    </w:p>
    <w:p w14:paraId="1AA66197">
      <w:pPr>
        <w:pStyle w:val="16"/>
        <w:spacing w:before="31" w:after="31"/>
        <w:ind w:firstLine="480"/>
        <w:rPr>
          <w:szCs w:val="24"/>
        </w:rPr>
      </w:pPr>
    </w:p>
    <w:p w14:paraId="7BFAAC87">
      <w:pPr>
        <w:pStyle w:val="16"/>
        <w:spacing w:before="31" w:after="31"/>
        <w:ind w:firstLine="480"/>
        <w:rPr>
          <w:szCs w:val="24"/>
        </w:rPr>
      </w:pPr>
      <w:r>
        <w:rPr>
          <w:szCs w:val="24"/>
        </w:rPr>
        <w:t>In summary, there are several main problems in the analysis of failure accidents in China's transportation industry:</w:t>
      </w:r>
    </w:p>
    <w:p w14:paraId="5AB9AC9B">
      <w:pPr>
        <w:pStyle w:val="16"/>
        <w:spacing w:before="31" w:after="31"/>
        <w:ind w:firstLine="480"/>
        <w:rPr>
          <w:szCs w:val="24"/>
        </w:rPr>
      </w:pPr>
      <w:r>
        <w:rPr>
          <w:szCs w:val="24"/>
        </w:rPr>
        <w:t>(1) Some failure case data are incomplete, with incomplete descriptions. For example, only qualitative descriptions of the environment are provided, lacking quantitative characterization of the service environment and quantitative analysis, making it difficult to comprehensively and accurately understand the service conditions of equipment.</w:t>
      </w:r>
    </w:p>
    <w:p w14:paraId="344389CA">
      <w:pPr>
        <w:pStyle w:val="16"/>
        <w:spacing w:before="31" w:after="31"/>
        <w:ind w:firstLine="480"/>
        <w:rPr>
          <w:szCs w:val="24"/>
        </w:rPr>
      </w:pPr>
      <w:r>
        <w:rPr>
          <w:szCs w:val="24"/>
        </w:rPr>
        <w:t>(2) Some cases lack analysis of the load conditions on components, with a lack of data for load analysis, making it difficult to summarize and propose improvement suggestions and measures.</w:t>
      </w:r>
    </w:p>
    <w:p w14:paraId="30F622D5">
      <w:pPr>
        <w:pStyle w:val="16"/>
        <w:spacing w:before="31" w:after="31"/>
        <w:ind w:firstLine="0" w:firstLineChars="0"/>
        <w:rPr>
          <w:b/>
          <w:bCs/>
          <w:sz w:val="30"/>
          <w:szCs w:val="30"/>
        </w:rPr>
      </w:pPr>
      <w:r>
        <w:rPr>
          <w:b/>
          <w:bCs/>
          <w:sz w:val="30"/>
          <w:szCs w:val="30"/>
        </w:rPr>
        <w:t>9 Summary of Equipment Manufacturing Failure Cases</w:t>
      </w:r>
    </w:p>
    <w:p w14:paraId="6DA30F68">
      <w:pPr>
        <w:pStyle w:val="16"/>
        <w:spacing w:before="31" w:after="31"/>
        <w:ind w:firstLine="480"/>
        <w:rPr>
          <w:szCs w:val="24"/>
        </w:rPr>
      </w:pPr>
    </w:p>
    <w:p w14:paraId="2392F44E">
      <w:pPr>
        <w:pStyle w:val="16"/>
        <w:spacing w:before="31" w:after="31"/>
        <w:ind w:firstLine="480"/>
        <w:rPr>
          <w:szCs w:val="24"/>
        </w:rPr>
      </w:pPr>
      <w:r>
        <w:rPr>
          <w:szCs w:val="24"/>
        </w:rPr>
        <w:t>The equipment manufacturing industry, also known as the equipment industry, includes investment-type finished products in the machinery, electronics, and weapons industries. Currently, the concept of "equipment manufacturing industry" is unique to China, and there is no clear definition for the classification of the equipment manufacturing industry. Some sources suggest that the equipment manufacturing industry mainly includes three aspects: major advanced basic machinery, essential mechanical and electronic components, and major complete sets of technical equipment required for various sectors of the national economy.</w:t>
      </w:r>
    </w:p>
    <w:p w14:paraId="57B320FD">
      <w:pPr>
        <w:pStyle w:val="16"/>
        <w:spacing w:before="31" w:after="31"/>
        <w:ind w:firstLine="480"/>
        <w:rPr>
          <w:szCs w:val="24"/>
        </w:rPr>
      </w:pPr>
    </w:p>
    <w:p w14:paraId="0E055CC9">
      <w:pPr>
        <w:pStyle w:val="16"/>
        <w:spacing w:before="31" w:after="31"/>
        <w:ind w:firstLine="480"/>
        <w:rPr>
          <w:szCs w:val="24"/>
        </w:rPr>
      </w:pPr>
      <w:r>
        <w:rPr>
          <w:szCs w:val="24"/>
        </w:rPr>
        <w:t>Based on the above concept and the basic division of the equipment manufacturing industry, the research on failure accidents mainly focuses on general equipment and basic equipment. Data collection and analysis of failure cases and technical standards for safe service are conducted, covering industries such as ship equipment, nuclear power equipment, marine petroleum equipment, petrochemical equipment, chemical processing equipment, railway machinery, machine processing equipment, hydropower engineering structures and equipment, foundry machinery equipment, packaging machinery equipment, and more.</w:t>
      </w:r>
    </w:p>
    <w:p w14:paraId="7EC53A72">
      <w:pPr>
        <w:pStyle w:val="16"/>
        <w:spacing w:before="31" w:after="31"/>
        <w:ind w:firstLine="480"/>
        <w:rPr>
          <w:szCs w:val="24"/>
        </w:rPr>
      </w:pPr>
    </w:p>
    <w:p w14:paraId="6F6026CA">
      <w:pPr>
        <w:pStyle w:val="16"/>
        <w:spacing w:before="31" w:after="31"/>
        <w:ind w:firstLine="480"/>
        <w:rPr>
          <w:szCs w:val="24"/>
        </w:rPr>
      </w:pPr>
      <w:r>
        <w:rPr>
          <w:szCs w:val="24"/>
        </w:rPr>
        <w:t>The basic content of failure analysis includes "clarifying the analysis object, determining failure modes, studying failure mechanisms, determining failure causes, and proposing improvement measures." The purpose of failure analysis in equipment manufacturing is to identify the causes of failure and formulate technical solutions or relevant technical standards to prevent similar failures throughout the entire lifecycle, including design, material selection, manufacturing, use, and maintenance.</w:t>
      </w:r>
    </w:p>
    <w:p w14:paraId="56BD0B7E">
      <w:pPr>
        <w:pStyle w:val="16"/>
        <w:spacing w:before="31" w:after="31"/>
        <w:ind w:firstLine="480"/>
        <w:rPr>
          <w:szCs w:val="24"/>
        </w:rPr>
      </w:pPr>
    </w:p>
    <w:p w14:paraId="2D6EC135">
      <w:pPr>
        <w:pStyle w:val="16"/>
        <w:spacing w:before="31" w:after="31"/>
        <w:ind w:firstLine="480"/>
        <w:rPr>
          <w:szCs w:val="24"/>
        </w:rPr>
      </w:pPr>
      <w:r>
        <w:rPr>
          <w:szCs w:val="24"/>
        </w:rPr>
        <w:t>Utilizing literature, internet information, on-site visits, and other research methods, investigations were conducted on failure incidents of traditional mechanical manufacturing products, special equipment, machine tools, tools, molds, measuring instruments, basic components, and components. The failure case analysis includes case descriptions, case analysis (macro and micro fracture analysis, metallographic structure, hardness testing, chemical composition), conclusions, and recommendations.</w:t>
      </w:r>
    </w:p>
    <w:p w14:paraId="0CF6DF54">
      <w:pPr>
        <w:pStyle w:val="16"/>
        <w:spacing w:before="31" w:after="31"/>
        <w:ind w:firstLine="480"/>
        <w:rPr>
          <w:szCs w:val="24"/>
        </w:rPr>
      </w:pPr>
    </w:p>
    <w:p w14:paraId="75E26185">
      <w:pPr>
        <w:pStyle w:val="16"/>
        <w:spacing w:before="31" w:after="31"/>
        <w:ind w:firstLine="482"/>
        <w:jc w:val="center"/>
        <w:rPr>
          <w:b/>
          <w:bCs/>
          <w:szCs w:val="24"/>
        </w:rPr>
      </w:pPr>
      <w:r>
        <w:rPr>
          <w:b/>
          <w:bCs/>
          <w:szCs w:val="24"/>
        </w:rPr>
        <w:t>Table 9-1: Summary of Equipment Manufacturing Industry Failure Cases</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3456"/>
        <w:gridCol w:w="1134"/>
      </w:tblGrid>
      <w:tr w14:paraId="691FF8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single" w:color="auto" w:sz="12" w:space="0"/>
              <w:left w:val="nil"/>
              <w:bottom w:val="single" w:color="auto" w:sz="12" w:space="0"/>
              <w:right w:val="nil"/>
            </w:tcBorders>
            <w:vAlign w:val="center"/>
          </w:tcPr>
          <w:p w14:paraId="4FE70CA0">
            <w:pPr>
              <w:pStyle w:val="16"/>
              <w:spacing w:before="31" w:after="31"/>
              <w:ind w:firstLine="0" w:firstLineChars="0"/>
              <w:jc w:val="center"/>
              <w:rPr>
                <w:rFonts w:cs="Times New Roman"/>
                <w:color w:val="000000"/>
                <w:sz w:val="21"/>
                <w:szCs w:val="21"/>
              </w:rPr>
            </w:pPr>
            <w:r>
              <w:rPr>
                <w:szCs w:val="24"/>
              </w:rPr>
              <w:t>Outcome</w:t>
            </w:r>
          </w:p>
        </w:tc>
        <w:tc>
          <w:tcPr>
            <w:tcW w:w="3456" w:type="dxa"/>
            <w:tcBorders>
              <w:top w:val="single" w:color="auto" w:sz="12" w:space="0"/>
              <w:left w:val="nil"/>
              <w:bottom w:val="single" w:color="auto" w:sz="12" w:space="0"/>
              <w:right w:val="nil"/>
            </w:tcBorders>
            <w:vAlign w:val="center"/>
          </w:tcPr>
          <w:p w14:paraId="6DDC23E6">
            <w:pPr>
              <w:pStyle w:val="16"/>
              <w:spacing w:before="31" w:after="31" w:line="240" w:lineRule="auto"/>
              <w:ind w:firstLine="0" w:firstLineChars="0"/>
              <w:jc w:val="center"/>
              <w:rPr>
                <w:rFonts w:cs="Times New Roman"/>
                <w:color w:val="000000"/>
                <w:sz w:val="21"/>
                <w:szCs w:val="21"/>
              </w:rPr>
            </w:pPr>
            <w:r>
              <w:rPr>
                <w:szCs w:val="24"/>
              </w:rPr>
              <w:t>Equipment Manufacturing Industry</w:t>
            </w:r>
          </w:p>
        </w:tc>
        <w:tc>
          <w:tcPr>
            <w:tcW w:w="1134" w:type="dxa"/>
            <w:tcBorders>
              <w:top w:val="single" w:color="auto" w:sz="12" w:space="0"/>
              <w:left w:val="nil"/>
              <w:bottom w:val="single" w:color="auto" w:sz="12" w:space="0"/>
              <w:right w:val="nil"/>
            </w:tcBorders>
            <w:vAlign w:val="center"/>
          </w:tcPr>
          <w:p w14:paraId="315A1D3A">
            <w:pPr>
              <w:pStyle w:val="16"/>
              <w:spacing w:before="31" w:after="31"/>
              <w:ind w:firstLine="0" w:firstLineChars="0"/>
              <w:jc w:val="center"/>
              <w:rPr>
                <w:rFonts w:cs="Times New Roman"/>
                <w:color w:val="000000"/>
                <w:sz w:val="21"/>
                <w:szCs w:val="21"/>
              </w:rPr>
            </w:pPr>
            <w:r>
              <w:rPr>
                <w:szCs w:val="24"/>
              </w:rPr>
              <w:t>| Total</w:t>
            </w:r>
          </w:p>
        </w:tc>
      </w:tr>
      <w:tr w14:paraId="2B3365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single" w:color="auto" w:sz="12" w:space="0"/>
              <w:left w:val="nil"/>
              <w:bottom w:val="nil"/>
              <w:right w:val="nil"/>
            </w:tcBorders>
            <w:vAlign w:val="center"/>
          </w:tcPr>
          <w:p w14:paraId="0A8C92A7">
            <w:pPr>
              <w:pStyle w:val="16"/>
              <w:spacing w:before="31" w:after="31" w:line="240" w:lineRule="auto"/>
              <w:ind w:firstLine="0" w:firstLineChars="0"/>
              <w:jc w:val="center"/>
              <w:rPr>
                <w:rFonts w:cs="Times New Roman"/>
                <w:color w:val="000000"/>
                <w:sz w:val="21"/>
                <w:szCs w:val="21"/>
              </w:rPr>
            </w:pPr>
            <w:r>
              <w:rPr>
                <w:szCs w:val="24"/>
              </w:rPr>
              <w:t>Number of Cases</w:t>
            </w:r>
          </w:p>
        </w:tc>
        <w:tc>
          <w:tcPr>
            <w:tcW w:w="3456" w:type="dxa"/>
            <w:tcBorders>
              <w:top w:val="single" w:color="auto" w:sz="12" w:space="0"/>
              <w:left w:val="nil"/>
              <w:bottom w:val="nil"/>
              <w:right w:val="nil"/>
            </w:tcBorders>
            <w:vAlign w:val="center"/>
          </w:tcPr>
          <w:p w14:paraId="4DE2CFD5">
            <w:pPr>
              <w:pStyle w:val="16"/>
              <w:spacing w:before="31" w:after="31"/>
              <w:ind w:firstLine="0" w:firstLineChars="0"/>
              <w:jc w:val="center"/>
              <w:rPr>
                <w:rFonts w:cs="Times New Roman"/>
                <w:color w:val="000000"/>
                <w:sz w:val="21"/>
                <w:szCs w:val="21"/>
              </w:rPr>
            </w:pPr>
            <w:r>
              <w:rPr>
                <w:rFonts w:cs="Times New Roman"/>
                <w:color w:val="000000"/>
                <w:sz w:val="21"/>
                <w:szCs w:val="21"/>
              </w:rPr>
              <w:t>9</w:t>
            </w:r>
          </w:p>
        </w:tc>
        <w:tc>
          <w:tcPr>
            <w:tcW w:w="1134" w:type="dxa"/>
            <w:tcBorders>
              <w:top w:val="single" w:color="auto" w:sz="12" w:space="0"/>
              <w:left w:val="nil"/>
              <w:bottom w:val="nil"/>
              <w:right w:val="nil"/>
            </w:tcBorders>
            <w:vAlign w:val="center"/>
          </w:tcPr>
          <w:p w14:paraId="114BFCF1">
            <w:pPr>
              <w:pStyle w:val="16"/>
              <w:spacing w:before="31" w:after="31"/>
              <w:ind w:firstLine="0" w:firstLineChars="0"/>
              <w:jc w:val="center"/>
              <w:rPr>
                <w:rFonts w:cs="Times New Roman"/>
                <w:color w:val="000000"/>
                <w:sz w:val="21"/>
                <w:szCs w:val="21"/>
              </w:rPr>
            </w:pPr>
            <w:r>
              <w:rPr>
                <w:rFonts w:cs="Times New Roman"/>
                <w:color w:val="000000"/>
                <w:sz w:val="21"/>
                <w:szCs w:val="21"/>
              </w:rPr>
              <w:t>9</w:t>
            </w:r>
          </w:p>
        </w:tc>
      </w:tr>
      <w:tr w14:paraId="6A3737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6DD7D7F4">
            <w:pPr>
              <w:pStyle w:val="16"/>
              <w:spacing w:before="31" w:after="31" w:line="240" w:lineRule="auto"/>
              <w:ind w:firstLine="0" w:firstLineChars="0"/>
              <w:jc w:val="center"/>
              <w:rPr>
                <w:rFonts w:cs="Times New Roman"/>
                <w:color w:val="000000"/>
                <w:sz w:val="21"/>
                <w:szCs w:val="21"/>
              </w:rPr>
            </w:pPr>
            <w:r>
              <w:rPr>
                <w:szCs w:val="24"/>
              </w:rPr>
              <w:t>Image Data</w:t>
            </w:r>
          </w:p>
        </w:tc>
        <w:tc>
          <w:tcPr>
            <w:tcW w:w="3456" w:type="dxa"/>
            <w:tcBorders>
              <w:top w:val="nil"/>
              <w:left w:val="nil"/>
              <w:bottom w:val="nil"/>
              <w:right w:val="nil"/>
            </w:tcBorders>
            <w:vAlign w:val="center"/>
          </w:tcPr>
          <w:p w14:paraId="0C849179">
            <w:pPr>
              <w:pStyle w:val="16"/>
              <w:spacing w:before="31" w:after="31"/>
              <w:ind w:firstLine="0" w:firstLineChars="0"/>
              <w:jc w:val="center"/>
              <w:rPr>
                <w:rFonts w:cs="Times New Roman"/>
                <w:color w:val="000000"/>
                <w:sz w:val="21"/>
                <w:szCs w:val="21"/>
              </w:rPr>
            </w:pPr>
            <w:r>
              <w:rPr>
                <w:rFonts w:cs="Times New Roman"/>
                <w:color w:val="000000"/>
                <w:sz w:val="21"/>
                <w:szCs w:val="21"/>
              </w:rPr>
              <w:t>54</w:t>
            </w:r>
          </w:p>
        </w:tc>
        <w:tc>
          <w:tcPr>
            <w:tcW w:w="1134" w:type="dxa"/>
            <w:tcBorders>
              <w:top w:val="nil"/>
              <w:left w:val="nil"/>
              <w:bottom w:val="nil"/>
              <w:right w:val="nil"/>
            </w:tcBorders>
            <w:vAlign w:val="center"/>
          </w:tcPr>
          <w:p w14:paraId="54CD7CBD">
            <w:pPr>
              <w:pStyle w:val="16"/>
              <w:spacing w:before="31" w:after="31"/>
              <w:ind w:firstLine="0" w:firstLineChars="0"/>
              <w:jc w:val="center"/>
              <w:rPr>
                <w:rFonts w:cs="Times New Roman"/>
                <w:color w:val="000000"/>
                <w:sz w:val="21"/>
                <w:szCs w:val="21"/>
              </w:rPr>
            </w:pPr>
            <w:r>
              <w:rPr>
                <w:rFonts w:cs="Times New Roman"/>
                <w:color w:val="000000"/>
                <w:sz w:val="21"/>
                <w:szCs w:val="21"/>
              </w:rPr>
              <w:t>54</w:t>
            </w:r>
          </w:p>
        </w:tc>
      </w:tr>
      <w:tr w14:paraId="237D5C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single" w:color="auto" w:sz="12" w:space="0"/>
              <w:right w:val="nil"/>
            </w:tcBorders>
            <w:vAlign w:val="center"/>
          </w:tcPr>
          <w:p w14:paraId="63657955">
            <w:pPr>
              <w:pStyle w:val="16"/>
              <w:spacing w:before="31" w:after="31" w:line="240" w:lineRule="auto"/>
              <w:ind w:firstLine="0" w:firstLineChars="0"/>
              <w:jc w:val="center"/>
              <w:rPr>
                <w:rFonts w:cs="Times New Roman"/>
                <w:color w:val="000000"/>
                <w:sz w:val="21"/>
                <w:szCs w:val="21"/>
              </w:rPr>
            </w:pPr>
            <w:r>
              <w:rPr>
                <w:szCs w:val="24"/>
              </w:rPr>
              <w:t xml:space="preserve">Reference Count  </w:t>
            </w:r>
          </w:p>
        </w:tc>
        <w:tc>
          <w:tcPr>
            <w:tcW w:w="3456" w:type="dxa"/>
            <w:tcBorders>
              <w:top w:val="nil"/>
              <w:left w:val="nil"/>
              <w:bottom w:val="single" w:color="auto" w:sz="12" w:space="0"/>
              <w:right w:val="nil"/>
            </w:tcBorders>
            <w:vAlign w:val="center"/>
          </w:tcPr>
          <w:p w14:paraId="46ECB05C">
            <w:pPr>
              <w:pStyle w:val="16"/>
              <w:spacing w:before="31" w:after="31"/>
              <w:ind w:firstLine="0" w:firstLineChars="0"/>
              <w:jc w:val="center"/>
              <w:rPr>
                <w:rFonts w:cs="Times New Roman"/>
                <w:color w:val="000000"/>
                <w:sz w:val="21"/>
                <w:szCs w:val="21"/>
              </w:rPr>
            </w:pPr>
            <w:r>
              <w:rPr>
                <w:rFonts w:cs="Times New Roman"/>
                <w:color w:val="000000"/>
                <w:sz w:val="21"/>
                <w:szCs w:val="21"/>
              </w:rPr>
              <w:t>10</w:t>
            </w:r>
          </w:p>
        </w:tc>
        <w:tc>
          <w:tcPr>
            <w:tcW w:w="1134" w:type="dxa"/>
            <w:tcBorders>
              <w:top w:val="nil"/>
              <w:left w:val="nil"/>
              <w:bottom w:val="single" w:color="auto" w:sz="12" w:space="0"/>
              <w:right w:val="nil"/>
            </w:tcBorders>
            <w:vAlign w:val="center"/>
          </w:tcPr>
          <w:p w14:paraId="01368448">
            <w:pPr>
              <w:pStyle w:val="16"/>
              <w:spacing w:before="31" w:after="31"/>
              <w:ind w:firstLine="0" w:firstLineChars="0"/>
              <w:jc w:val="center"/>
              <w:rPr>
                <w:rFonts w:cs="Times New Roman"/>
                <w:color w:val="000000"/>
                <w:sz w:val="21"/>
                <w:szCs w:val="21"/>
              </w:rPr>
            </w:pPr>
            <w:r>
              <w:rPr>
                <w:rFonts w:cs="Times New Roman"/>
                <w:color w:val="000000"/>
                <w:sz w:val="21"/>
                <w:szCs w:val="21"/>
              </w:rPr>
              <w:t>10</w:t>
            </w:r>
          </w:p>
        </w:tc>
      </w:tr>
    </w:tbl>
    <w:p w14:paraId="08C41A84">
      <w:pPr>
        <w:pStyle w:val="16"/>
        <w:spacing w:before="31" w:after="31"/>
        <w:ind w:firstLine="480"/>
        <w:rPr>
          <w:szCs w:val="24"/>
        </w:rPr>
      </w:pPr>
    </w:p>
    <w:p w14:paraId="1C0F8047">
      <w:pPr>
        <w:pStyle w:val="16"/>
        <w:spacing w:before="31" w:after="31"/>
        <w:ind w:firstLine="0" w:firstLineChars="0"/>
        <w:rPr>
          <w:b/>
          <w:bCs/>
          <w:szCs w:val="24"/>
        </w:rPr>
      </w:pPr>
      <w:r>
        <w:rPr>
          <w:b/>
          <w:bCs/>
          <w:szCs w:val="24"/>
        </w:rPr>
        <w:t>9.1 Common Failure Locations</w:t>
      </w:r>
    </w:p>
    <w:p w14:paraId="19B8D326">
      <w:pPr>
        <w:pStyle w:val="16"/>
        <w:spacing w:before="31" w:after="31"/>
        <w:ind w:firstLine="480"/>
        <w:rPr>
          <w:szCs w:val="24"/>
        </w:rPr>
      </w:pPr>
    </w:p>
    <w:p w14:paraId="62892AD9">
      <w:pPr>
        <w:pStyle w:val="16"/>
        <w:spacing w:before="31" w:after="31"/>
        <w:ind w:firstLine="0" w:firstLineChars="0"/>
        <w:rPr>
          <w:szCs w:val="24"/>
        </w:rPr>
      </w:pPr>
      <w:r>
        <w:rPr>
          <w:szCs w:val="24"/>
        </w:rPr>
        <w:t>(1) General Equipment</w:t>
      </w:r>
    </w:p>
    <w:p w14:paraId="433DC310">
      <w:pPr>
        <w:pStyle w:val="16"/>
        <w:spacing w:before="31" w:after="31"/>
        <w:ind w:firstLine="480"/>
        <w:rPr>
          <w:szCs w:val="24"/>
        </w:rPr>
      </w:pPr>
    </w:p>
    <w:p w14:paraId="33711CCC">
      <w:pPr>
        <w:pStyle w:val="16"/>
        <w:spacing w:before="31" w:after="31"/>
        <w:ind w:firstLine="480"/>
        <w:rPr>
          <w:szCs w:val="24"/>
        </w:rPr>
      </w:pPr>
      <w:r>
        <w:rPr>
          <w:szCs w:val="24"/>
        </w:rPr>
        <w:t>General equipment includes traditional mechanical manufacturing products such as machinery, pumps, valves, engineering machinery, agricultural machinery, construction machinery, and transportation machinery. Failures in this category often result from design and material selection issues, improper processing, and inadequate inspection methods. The use of substandard materials and processes is a major cause of equipment failure. For example, a construction site in the southern part of China used a hoist with cast iron clutches that did not meet the performance requirements, leading to early fracture failure. In another case, the main spindle of a coal mining machine had serious defects, including point segregation and looseness, leading to reduced fatigue performance and eventual fracture failure.</w:t>
      </w:r>
    </w:p>
    <w:p w14:paraId="156A8BBD">
      <w:pPr>
        <w:pStyle w:val="16"/>
        <w:spacing w:before="31" w:after="31"/>
        <w:ind w:firstLine="480"/>
        <w:rPr>
          <w:szCs w:val="24"/>
        </w:rPr>
      </w:pPr>
    </w:p>
    <w:p w14:paraId="337F8C08">
      <w:pPr>
        <w:pStyle w:val="16"/>
        <w:spacing w:before="31" w:after="31"/>
        <w:ind w:firstLine="480"/>
        <w:rPr>
          <w:szCs w:val="24"/>
        </w:rPr>
      </w:pPr>
      <w:r>
        <w:rPr>
          <w:szCs w:val="24"/>
        </w:rPr>
        <w:t>Improper testing methods or tools, as well as delayed inspections after detecting abnormalities, are significant contributors to accidents. A hydraulic pump drive shaft in a hydraulic excavator, for instance, experienced brittle fracture due to inadequate heat treatment. In the case of a nuclear power plant gearbox, poor plasticity and high brittleness of the gear shaft, combined with numerous impurities, led to failure during operation.</w:t>
      </w:r>
    </w:p>
    <w:p w14:paraId="3F2BD57D">
      <w:pPr>
        <w:pStyle w:val="16"/>
        <w:spacing w:before="31" w:after="31"/>
        <w:ind w:firstLine="480"/>
        <w:rPr>
          <w:szCs w:val="24"/>
        </w:rPr>
      </w:pPr>
    </w:p>
    <w:p w14:paraId="746BB22B">
      <w:pPr>
        <w:pStyle w:val="16"/>
        <w:spacing w:before="31" w:after="31"/>
        <w:ind w:firstLine="480"/>
        <w:rPr>
          <w:szCs w:val="24"/>
        </w:rPr>
      </w:pPr>
      <w:r>
        <w:rPr>
          <w:szCs w:val="24"/>
        </w:rPr>
        <w:t>Additionally, the diversity of environmental media becomes a major cause of corrosion failure in petrochemical equipment. For instance, a high-pressure water pump used in a petrochemical company suffered corrosion failure due to electrochemical corrosion from H2S in the circulating water.</w:t>
      </w:r>
    </w:p>
    <w:p w14:paraId="59AE7B38">
      <w:pPr>
        <w:pStyle w:val="16"/>
        <w:spacing w:before="31" w:after="31"/>
        <w:ind w:firstLine="0" w:firstLineChars="0"/>
        <w:rPr>
          <w:szCs w:val="24"/>
        </w:rPr>
      </w:pPr>
      <w:r>
        <w:rPr>
          <w:szCs w:val="24"/>
        </w:rPr>
        <w:t>(2) Basic Equipment</w:t>
      </w:r>
    </w:p>
    <w:p w14:paraId="15B9F5CD">
      <w:pPr>
        <w:pStyle w:val="16"/>
        <w:spacing w:before="31" w:after="31"/>
        <w:ind w:firstLine="480"/>
        <w:rPr>
          <w:szCs w:val="24"/>
        </w:rPr>
      </w:pPr>
    </w:p>
    <w:p w14:paraId="1A1786E0">
      <w:pPr>
        <w:pStyle w:val="16"/>
        <w:spacing w:before="31" w:after="31"/>
        <w:ind w:firstLine="480"/>
        <w:rPr>
          <w:szCs w:val="24"/>
        </w:rPr>
      </w:pPr>
      <w:r>
        <w:rPr>
          <w:szCs w:val="24"/>
        </w:rPr>
        <w:t>Basic equipment includes machine tools, tools, molds, measuring instruments, basic components, and components. Failures in this category are mainly due to the use of production and manufacturing processes that do not meet requirements. For example, a bolt made of 0Cr18Ni9 material had chemical composition issues, resulting in reduced corrosion resistance and eventual fracture after 19 months of use.</w:t>
      </w:r>
    </w:p>
    <w:p w14:paraId="139E0B35">
      <w:pPr>
        <w:pStyle w:val="16"/>
        <w:spacing w:before="31" w:after="31"/>
        <w:ind w:firstLine="480"/>
        <w:rPr>
          <w:szCs w:val="24"/>
        </w:rPr>
      </w:pPr>
    </w:p>
    <w:p w14:paraId="31209CD6">
      <w:pPr>
        <w:pStyle w:val="16"/>
        <w:spacing w:before="31" w:after="31"/>
        <w:ind w:firstLine="480"/>
        <w:rPr>
          <w:szCs w:val="24"/>
        </w:rPr>
      </w:pPr>
      <w:r>
        <w:rPr>
          <w:szCs w:val="24"/>
        </w:rPr>
        <w:t>In another case, a gear shaft in a reducer had insufficient forging pressure during forging, leading to porous defects that decreased its mechanical performance. Improper heat treatment further reduced the overall strength, plasticity, and toughness of the gear shaft, resulting in fracture during operation.</w:t>
      </w:r>
    </w:p>
    <w:p w14:paraId="2F8D1BC2">
      <w:pPr>
        <w:pStyle w:val="16"/>
        <w:spacing w:before="31" w:after="31"/>
        <w:ind w:firstLine="0" w:firstLineChars="0"/>
        <w:rPr>
          <w:szCs w:val="24"/>
        </w:rPr>
      </w:pPr>
      <w:r>
        <w:rPr>
          <w:szCs w:val="24"/>
        </w:rPr>
        <w:t>(3) Pressure-bearing Special Equipment</w:t>
      </w:r>
    </w:p>
    <w:p w14:paraId="536EB399">
      <w:pPr>
        <w:pStyle w:val="16"/>
        <w:spacing w:before="31" w:after="31"/>
        <w:ind w:firstLine="480"/>
        <w:rPr>
          <w:szCs w:val="24"/>
        </w:rPr>
      </w:pPr>
    </w:p>
    <w:p w14:paraId="58ECD16B">
      <w:pPr>
        <w:pStyle w:val="16"/>
        <w:spacing w:before="31" w:after="31"/>
        <w:ind w:firstLine="480"/>
        <w:rPr>
          <w:szCs w:val="24"/>
        </w:rPr>
      </w:pPr>
      <w:r>
        <w:rPr>
          <w:szCs w:val="24"/>
        </w:rPr>
        <w:t>Pressure-bearing special equipment refers to boilers, pressure vessels (including gas cylinders), and pressure pipelines. Failures in this category often result from improper operating procedures, leading to major accidents such as casualties.</w:t>
      </w:r>
    </w:p>
    <w:p w14:paraId="102AD1BD">
      <w:pPr>
        <w:pStyle w:val="16"/>
        <w:spacing w:before="31" w:after="31"/>
        <w:ind w:firstLine="480"/>
        <w:rPr>
          <w:szCs w:val="24"/>
        </w:rPr>
      </w:pPr>
    </w:p>
    <w:p w14:paraId="55BCE74C">
      <w:pPr>
        <w:pStyle w:val="16"/>
        <w:spacing w:before="31" w:after="31"/>
        <w:ind w:firstLine="480"/>
        <w:rPr>
          <w:szCs w:val="24"/>
        </w:rPr>
      </w:pPr>
      <w:r>
        <w:rPr>
          <w:szCs w:val="24"/>
        </w:rPr>
        <w:t>For example, a urea synthesis tower in a chemical fertilizer plant introduced inappropriate media between the steel plates, causing stress corrosion and corrosion fatigue cracks. This eventually led to an explosion, resulting in four deaths and one severe injury.</w:t>
      </w:r>
    </w:p>
    <w:p w14:paraId="4B022BD2">
      <w:pPr>
        <w:pStyle w:val="16"/>
        <w:spacing w:before="31" w:after="31"/>
        <w:ind w:firstLine="480"/>
        <w:rPr>
          <w:szCs w:val="24"/>
        </w:rPr>
      </w:pPr>
    </w:p>
    <w:p w14:paraId="2D57EFA2">
      <w:pPr>
        <w:pStyle w:val="16"/>
        <w:spacing w:before="31" w:after="31"/>
        <w:ind w:firstLine="480"/>
        <w:rPr>
          <w:szCs w:val="24"/>
        </w:rPr>
      </w:pPr>
      <w:r>
        <w:rPr>
          <w:szCs w:val="24"/>
        </w:rPr>
        <w:t>In a uranium processing plant in Oklahoma, USA, a uranium hexafluoride tank ruptured due to violating factory operating rules, leading to casualties and hospitalizations.</w:t>
      </w:r>
    </w:p>
    <w:p w14:paraId="2190D340">
      <w:pPr>
        <w:pStyle w:val="16"/>
        <w:spacing w:before="31" w:after="31"/>
        <w:ind w:firstLine="480"/>
        <w:rPr>
          <w:szCs w:val="24"/>
        </w:rPr>
      </w:pPr>
    </w:p>
    <w:p w14:paraId="4C04F6F8">
      <w:pPr>
        <w:pStyle w:val="16"/>
        <w:spacing w:before="31" w:after="31"/>
        <w:ind w:firstLine="480"/>
        <w:rPr>
          <w:szCs w:val="24"/>
        </w:rPr>
      </w:pPr>
      <w:r>
        <w:rPr>
          <w:szCs w:val="24"/>
        </w:rPr>
        <w:t>Other incidents include failures in mechanical seals of compressors due to high temperatures and the presence of particulate matter in the medium, as well as temperature-related failures in pump mechanical seals.</w:t>
      </w:r>
    </w:p>
    <w:p w14:paraId="75837530">
      <w:pPr>
        <w:pStyle w:val="16"/>
        <w:spacing w:before="31" w:after="31"/>
        <w:ind w:firstLine="480"/>
        <w:rPr>
          <w:szCs w:val="24"/>
        </w:rPr>
      </w:pPr>
    </w:p>
    <w:p w14:paraId="49D5F4EE">
      <w:pPr>
        <w:pStyle w:val="16"/>
        <w:spacing w:before="31" w:after="31"/>
        <w:ind w:firstLine="0" w:firstLineChars="0"/>
        <w:rPr>
          <w:b/>
          <w:bCs/>
          <w:szCs w:val="24"/>
        </w:rPr>
      </w:pPr>
      <w:r>
        <w:rPr>
          <w:b/>
          <w:bCs/>
          <w:szCs w:val="24"/>
        </w:rPr>
        <w:t>9.2 Equipment Manufacturing Failure Cases</w:t>
      </w:r>
    </w:p>
    <w:p w14:paraId="30BB1A46">
      <w:pPr>
        <w:pStyle w:val="16"/>
        <w:spacing w:before="31" w:after="31"/>
        <w:ind w:firstLine="0" w:firstLineChars="0"/>
        <w:rPr>
          <w:b/>
          <w:bCs/>
          <w:szCs w:val="24"/>
        </w:rPr>
      </w:pPr>
      <w:r>
        <w:rPr>
          <w:b/>
          <w:bCs/>
          <w:szCs w:val="24"/>
        </w:rPr>
        <w:t>9.2.1 Case 9-1: Breakage of the Drilling Machine Main Shaft</w:t>
      </w:r>
    </w:p>
    <w:p w14:paraId="30006281">
      <w:pPr>
        <w:pStyle w:val="16"/>
        <w:spacing w:before="31" w:after="31"/>
        <w:ind w:firstLine="480"/>
        <w:rPr>
          <w:szCs w:val="24"/>
        </w:rPr>
      </w:pPr>
      <w:r>
        <w:rPr>
          <w:szCs w:val="24"/>
        </w:rPr>
        <w:t>(1) Case Name</w:t>
      </w:r>
    </w:p>
    <w:p w14:paraId="19CFC1A9">
      <w:pPr>
        <w:pStyle w:val="16"/>
        <w:spacing w:before="31" w:after="31"/>
        <w:ind w:firstLine="480"/>
        <w:rPr>
          <w:szCs w:val="24"/>
        </w:rPr>
      </w:pPr>
      <w:r>
        <w:rPr>
          <w:szCs w:val="24"/>
        </w:rPr>
        <w:t>Failure Analysis of Drilling Machine Main Shaft Breakage [1]</w:t>
      </w:r>
    </w:p>
    <w:p w14:paraId="52453F38">
      <w:pPr>
        <w:pStyle w:val="16"/>
        <w:spacing w:before="31" w:after="31"/>
        <w:ind w:firstLine="480"/>
        <w:rPr>
          <w:szCs w:val="24"/>
        </w:rPr>
      </w:pPr>
    </w:p>
    <w:p w14:paraId="4597247B">
      <w:pPr>
        <w:pStyle w:val="16"/>
        <w:spacing w:before="31" w:after="31"/>
        <w:ind w:firstLine="480"/>
        <w:rPr>
          <w:szCs w:val="24"/>
        </w:rPr>
      </w:pPr>
      <w:r>
        <w:rPr>
          <w:szCs w:val="24"/>
        </w:rPr>
        <w:t>(2) Failure Process Description</w:t>
      </w:r>
    </w:p>
    <w:p w14:paraId="525F540E">
      <w:pPr>
        <w:pStyle w:val="16"/>
        <w:spacing w:before="31" w:after="31"/>
        <w:ind w:firstLine="480"/>
        <w:rPr>
          <w:szCs w:val="24"/>
        </w:rPr>
      </w:pPr>
      <w:r>
        <w:rPr>
          <w:szCs w:val="24"/>
        </w:rPr>
        <w:t>The main shaft of the coal mining drilling machine fractured early in service.</w:t>
      </w:r>
    </w:p>
    <w:p w14:paraId="2E2880F7">
      <w:pPr>
        <w:pStyle w:val="16"/>
        <w:spacing w:before="31" w:after="31"/>
        <w:ind w:firstLine="480"/>
        <w:rPr>
          <w:szCs w:val="24"/>
        </w:rPr>
      </w:pPr>
    </w:p>
    <w:p w14:paraId="62E86270">
      <w:pPr>
        <w:pStyle w:val="16"/>
        <w:spacing w:before="31" w:after="31"/>
        <w:ind w:firstLine="480"/>
        <w:rPr>
          <w:szCs w:val="24"/>
        </w:rPr>
      </w:pPr>
      <w:r>
        <w:rPr>
          <w:szCs w:val="24"/>
        </w:rPr>
        <w:t>(3) Service Environment</w:t>
      </w:r>
    </w:p>
    <w:p w14:paraId="0815534F">
      <w:pPr>
        <w:pStyle w:val="16"/>
        <w:spacing w:before="31" w:after="31"/>
        <w:ind w:firstLine="480"/>
        <w:rPr>
          <w:szCs w:val="24"/>
        </w:rPr>
      </w:pPr>
      <w:r>
        <w:rPr>
          <w:szCs w:val="24"/>
        </w:rPr>
        <w:t>Coal mine with cyclically repeated bending loads as the working stress.</w:t>
      </w:r>
    </w:p>
    <w:p w14:paraId="3529B167">
      <w:pPr>
        <w:pStyle w:val="16"/>
        <w:spacing w:before="31" w:after="31"/>
        <w:ind w:firstLine="480"/>
        <w:rPr>
          <w:szCs w:val="24"/>
        </w:rPr>
      </w:pPr>
    </w:p>
    <w:p w14:paraId="1B877CA2">
      <w:pPr>
        <w:pStyle w:val="16"/>
        <w:spacing w:before="31" w:after="31"/>
        <w:ind w:firstLine="480"/>
        <w:rPr>
          <w:szCs w:val="24"/>
        </w:rPr>
      </w:pPr>
      <w:r>
        <w:rPr>
          <w:szCs w:val="24"/>
        </w:rPr>
        <w:t>(4) Failed Component and Material</w:t>
      </w:r>
    </w:p>
    <w:p w14:paraId="37C51FE1">
      <w:pPr>
        <w:pStyle w:val="16"/>
        <w:spacing w:before="31" w:after="31"/>
        <w:ind w:firstLine="480"/>
        <w:rPr>
          <w:szCs w:val="24"/>
        </w:rPr>
      </w:pPr>
      <w:r>
        <w:rPr>
          <w:szCs w:val="24"/>
        </w:rPr>
        <w:t>(a) Material and Dimensions</w:t>
      </w:r>
    </w:p>
    <w:p w14:paraId="2064CA17">
      <w:pPr>
        <w:pStyle w:val="16"/>
        <w:spacing w:before="31" w:after="31"/>
        <w:ind w:firstLine="480"/>
        <w:rPr>
          <w:szCs w:val="24"/>
        </w:rPr>
      </w:pPr>
      <w:r>
        <w:rPr>
          <w:szCs w:val="24"/>
        </w:rPr>
        <w:t>The fracture of the drilling machine main shaft occurred at the variable cross-section near the flange end. The maximum cross-section at the flange end is Ф695mm. Key distance to the flange is 570mm, and there are two sets of bearings on the shaft, 40mm away from the flange. The main shaft rotates clockwise at a speed of 55r/min, transmitting a torque of 20836N·M, a bending moment of 30.5KN·M, with a design safety factor of 1.</w:t>
      </w:r>
    </w:p>
    <w:p w14:paraId="55A9958B">
      <w:pPr>
        <w:pStyle w:val="16"/>
        <w:spacing w:before="31" w:after="31"/>
        <w:ind w:firstLine="480"/>
        <w:rPr>
          <w:szCs w:val="24"/>
        </w:rPr>
      </w:pPr>
      <w:r>
        <w:rPr>
          <w:szCs w:val="24"/>
        </w:rPr>
        <w:t>(b) Manufacturing Process</w:t>
      </w:r>
    </w:p>
    <w:p w14:paraId="65DAD062">
      <w:pPr>
        <w:pStyle w:val="16"/>
        <w:spacing w:before="31" w:after="31"/>
        <w:ind w:firstLine="480"/>
        <w:rPr>
          <w:szCs w:val="24"/>
        </w:rPr>
      </w:pPr>
      <w:r>
        <w:rPr>
          <w:szCs w:val="24"/>
        </w:rPr>
        <w:t>The main shaft's primary production processes include forging, heat treatment (normalizing), rough machining, heat treatment (quenching and tempering HB260-300), machining, nitriding (overall surface gas nitriding, hardness HV550-700, nitriding depth 0.35-0.40mm), and chrome plating to the finished product.</w:t>
      </w:r>
    </w:p>
    <w:p w14:paraId="1679261B">
      <w:pPr>
        <w:pStyle w:val="16"/>
        <w:spacing w:before="31" w:after="31"/>
        <w:ind w:firstLine="480"/>
        <w:rPr>
          <w:szCs w:val="24"/>
        </w:rPr>
      </w:pPr>
      <w:r>
        <w:rPr>
          <w:szCs w:val="24"/>
        </w:rPr>
        <w:t>(c) Microstructure</w:t>
      </w:r>
    </w:p>
    <w:p w14:paraId="40B79FDE">
      <w:pPr>
        <w:pStyle w:val="16"/>
        <w:spacing w:before="31" w:after="31"/>
        <w:ind w:firstLine="480"/>
        <w:rPr>
          <w:szCs w:val="24"/>
        </w:rPr>
      </w:pPr>
      <w:r>
        <w:rPr>
          <w:szCs w:val="24"/>
        </w:rPr>
        <w:t>The matrix structure consists of blocky ferrite and pearlite, unevenly distributed in some areas, as shown in Figure 9-1.1. This structure is a normalized state, completely different from the required quenching and tempering structure. There is no obvious nitriding layer on the flange surface, indicating poor nitriding effect and insufficient depth, not meeting the requirements.</w:t>
      </w:r>
    </w:p>
    <w:p w14:paraId="53EEF513">
      <w:pPr>
        <w:pStyle w:val="16"/>
        <w:spacing w:before="31" w:after="31"/>
        <w:ind w:firstLine="482"/>
        <w:jc w:val="center"/>
        <w:rPr>
          <w:b/>
          <w:bCs/>
          <w:szCs w:val="24"/>
        </w:rPr>
      </w:pPr>
      <w:r>
        <w:rPr>
          <w:b/>
          <w:bCs/>
          <w:szCs w:val="24"/>
        </w:rPr>
        <w:t>Figure 9-1.1 Matrix Structure X100</w:t>
      </w:r>
    </w:p>
    <w:p w14:paraId="113CB851">
      <w:pPr>
        <w:pStyle w:val="16"/>
        <w:spacing w:before="31" w:after="31"/>
        <w:ind w:firstLine="480"/>
        <w:rPr>
          <w:szCs w:val="24"/>
        </w:rPr>
      </w:pPr>
    </w:p>
    <w:p w14:paraId="6177A9CE">
      <w:pPr>
        <w:pStyle w:val="16"/>
        <w:spacing w:before="31" w:after="31"/>
        <w:ind w:firstLine="480"/>
        <w:rPr>
          <w:szCs w:val="24"/>
        </w:rPr>
      </w:pPr>
      <w:r>
        <w:rPr>
          <w:szCs w:val="24"/>
        </w:rPr>
        <w:t>(d) Mechanical Properties</w:t>
      </w:r>
    </w:p>
    <w:p w14:paraId="46BA2E62">
      <w:pPr>
        <w:pStyle w:val="16"/>
        <w:spacing w:before="31" w:after="31"/>
        <w:ind w:firstLine="480"/>
        <w:rPr>
          <w:szCs w:val="24"/>
        </w:rPr>
      </w:pPr>
      <w:r>
        <w:rPr>
          <w:szCs w:val="24"/>
        </w:rPr>
        <w:t>Main shaft mechanical performance parameters, such as tensile strength, yield strength, elongation, and reduction of area, are lower than the design requirements, indicating that the material's tensile and plasticity, toughness indicators do not meet the requirements.</w:t>
      </w:r>
    </w:p>
    <w:p w14:paraId="6F924AAD">
      <w:pPr>
        <w:pStyle w:val="16"/>
        <w:spacing w:before="31" w:after="31"/>
        <w:ind w:firstLine="480"/>
        <w:rPr>
          <w:szCs w:val="24"/>
        </w:rPr>
      </w:pPr>
    </w:p>
    <w:p w14:paraId="5A47D053">
      <w:pPr>
        <w:pStyle w:val="16"/>
        <w:spacing w:before="31" w:after="31"/>
        <w:ind w:firstLine="480"/>
        <w:rPr>
          <w:szCs w:val="24"/>
        </w:rPr>
      </w:pPr>
      <w:r>
        <w:rPr>
          <w:szCs w:val="24"/>
        </w:rPr>
        <w:t>(5) Component Failure Morphology</w:t>
      </w:r>
    </w:p>
    <w:p w14:paraId="100FD533">
      <w:pPr>
        <w:pStyle w:val="16"/>
        <w:spacing w:before="31" w:after="31"/>
        <w:ind w:firstLine="480"/>
        <w:rPr>
          <w:szCs w:val="24"/>
        </w:rPr>
      </w:pPr>
      <w:r>
        <w:rPr>
          <w:szCs w:val="24"/>
        </w:rPr>
        <w:t>(a) Macroscopic Appearance of the Fracture Surface</w:t>
      </w:r>
    </w:p>
    <w:p w14:paraId="4A72BF39">
      <w:pPr>
        <w:pStyle w:val="16"/>
        <w:spacing w:before="31" w:after="31"/>
        <w:ind w:firstLine="480"/>
        <w:rPr>
          <w:szCs w:val="24"/>
        </w:rPr>
      </w:pPr>
      <w:r>
        <w:rPr>
          <w:szCs w:val="24"/>
        </w:rPr>
        <w:t>The fracture originated at the variable cross-section near the flange end, and the fracture surface with the axis forms an angle of about 45 degrees. The fracture surface has three obvious zones, with serrations in the crack initiation zone, as shown in Figures 9-1.2 and 9-1.3. In the fatigue expansion zone, two parts are relatively bright, and the second zone is rough, indicating rapid fatigue propagation. Both zones have obvious fatigue striations, and the final fracture zone in the center is rough and rusted, indicating rapid tearing. The analysis results indicate that the fracture type is rotational bending fatigue fracture, with cyclically repeated rotating bending loads.</w:t>
      </w:r>
    </w:p>
    <w:p w14:paraId="4A10E095">
      <w:pPr>
        <w:pStyle w:val="16"/>
        <w:spacing w:before="31" w:after="31"/>
        <w:ind w:firstLine="482"/>
        <w:jc w:val="center"/>
        <w:rPr>
          <w:b/>
          <w:bCs/>
          <w:szCs w:val="24"/>
        </w:rPr>
      </w:pPr>
      <w:r>
        <w:rPr>
          <w:b/>
          <w:bCs/>
          <w:szCs w:val="24"/>
        </w:rPr>
        <w:t>Figure 9-1.2 Macroscopic Fracture Surface Figure 9-1.3 Crack Initiation Zone</w:t>
      </w:r>
    </w:p>
    <w:p w14:paraId="0484A174">
      <w:pPr>
        <w:pStyle w:val="16"/>
        <w:spacing w:before="31" w:after="31"/>
        <w:ind w:firstLine="480"/>
        <w:rPr>
          <w:szCs w:val="24"/>
        </w:rPr>
      </w:pPr>
    </w:p>
    <w:p w14:paraId="6F329323">
      <w:pPr>
        <w:pStyle w:val="16"/>
        <w:spacing w:before="31" w:after="31"/>
        <w:ind w:firstLine="480"/>
        <w:rPr>
          <w:szCs w:val="24"/>
        </w:rPr>
      </w:pPr>
      <w:r>
        <w:rPr>
          <w:szCs w:val="24"/>
        </w:rPr>
        <w:t>There are point-like segregation defects on the entire cross-section of the main shaft fracture, with tiny cracks at some segregated points. The forging section has serious sulfur segregation, as shown in Figure 9-1.4. The newly opened slot break shows a gray crystalline appearance, with three uneven cracks within the radius of 1/2, and the adjacent crystals have a noticeable difference from the matrix, as shown in Figure 9-1.5.</w:t>
      </w:r>
    </w:p>
    <w:p w14:paraId="2A8430DB">
      <w:pPr>
        <w:pStyle w:val="16"/>
        <w:spacing w:before="31" w:after="31"/>
        <w:ind w:firstLine="482"/>
        <w:jc w:val="center"/>
        <w:rPr>
          <w:b/>
          <w:bCs/>
          <w:szCs w:val="24"/>
        </w:rPr>
      </w:pPr>
      <w:r>
        <w:rPr>
          <w:b/>
          <w:bCs/>
          <w:szCs w:val="24"/>
        </w:rPr>
        <w:t>Figure 9-1.4 Low-Magnification Morphology of the Main Shaft Cross-Section</w:t>
      </w:r>
    </w:p>
    <w:p w14:paraId="7897363C">
      <w:pPr>
        <w:pStyle w:val="16"/>
        <w:spacing w:before="31" w:after="31"/>
        <w:ind w:firstLine="482"/>
        <w:jc w:val="center"/>
        <w:rPr>
          <w:b/>
          <w:bCs/>
          <w:szCs w:val="24"/>
        </w:rPr>
      </w:pPr>
      <w:r>
        <w:rPr>
          <w:b/>
          <w:bCs/>
          <w:szCs w:val="24"/>
        </w:rPr>
        <w:t>Figure 9-1.5 Macroscopic Morphology of the Newly Opened Break</w:t>
      </w:r>
    </w:p>
    <w:p w14:paraId="5C0899FA">
      <w:pPr>
        <w:pStyle w:val="16"/>
        <w:spacing w:before="31" w:after="31"/>
        <w:ind w:firstLine="480"/>
        <w:rPr>
          <w:szCs w:val="24"/>
        </w:rPr>
      </w:pPr>
    </w:p>
    <w:p w14:paraId="5107F83E">
      <w:pPr>
        <w:pStyle w:val="16"/>
        <w:spacing w:before="31" w:after="31"/>
        <w:ind w:firstLine="480"/>
        <w:rPr>
          <w:szCs w:val="24"/>
        </w:rPr>
      </w:pPr>
      <w:r>
        <w:rPr>
          <w:szCs w:val="24"/>
        </w:rPr>
        <w:t>(b) Crack Morphology</w:t>
      </w:r>
    </w:p>
    <w:p w14:paraId="39CB35FF">
      <w:pPr>
        <w:pStyle w:val="16"/>
        <w:spacing w:before="31" w:after="31"/>
        <w:ind w:firstLine="480"/>
        <w:rPr>
          <w:szCs w:val="24"/>
        </w:rPr>
      </w:pPr>
      <w:r>
        <w:rPr>
          <w:szCs w:val="24"/>
        </w:rPr>
        <w:t>Fatigue cracks originated at stress concentration points on the surface of the small-diameter variable cross-section. Each vertical edge represents a fatigue source. Fatigue striations are clearly visible, but the spacing between them is large, indicating rapid fatigue propagation, as shown in Figures 9-1.6 and 9-1.7.</w:t>
      </w:r>
    </w:p>
    <w:p w14:paraId="5C6D28F3">
      <w:pPr>
        <w:pStyle w:val="16"/>
        <w:spacing w:before="31" w:after="31"/>
        <w:ind w:firstLine="482"/>
        <w:jc w:val="center"/>
        <w:rPr>
          <w:b/>
          <w:bCs/>
          <w:szCs w:val="24"/>
        </w:rPr>
      </w:pPr>
      <w:r>
        <w:rPr>
          <w:b/>
          <w:bCs/>
          <w:szCs w:val="24"/>
        </w:rPr>
        <w:t>Figure 9-1.6 SEM Morphology of the Crack Initiation Zone X43</w:t>
      </w:r>
    </w:p>
    <w:p w14:paraId="7EF9722F">
      <w:pPr>
        <w:pStyle w:val="16"/>
        <w:spacing w:before="31" w:after="31"/>
        <w:ind w:firstLine="482"/>
        <w:jc w:val="center"/>
        <w:rPr>
          <w:b/>
          <w:bCs/>
          <w:szCs w:val="24"/>
        </w:rPr>
      </w:pPr>
      <w:r>
        <w:rPr>
          <w:b/>
          <w:bCs/>
          <w:szCs w:val="24"/>
        </w:rPr>
        <w:t>Figure 9-1.7 Fatigue Striations X1500</w:t>
      </w:r>
    </w:p>
    <w:p w14:paraId="429E702E">
      <w:pPr>
        <w:pStyle w:val="16"/>
        <w:spacing w:before="31" w:after="31"/>
        <w:ind w:firstLine="480"/>
        <w:rPr>
          <w:szCs w:val="24"/>
        </w:rPr>
      </w:pPr>
    </w:p>
    <w:p w14:paraId="53427F55">
      <w:pPr>
        <w:pStyle w:val="16"/>
        <w:spacing w:before="31" w:after="31"/>
        <w:ind w:firstLine="480"/>
        <w:rPr>
          <w:szCs w:val="24"/>
        </w:rPr>
      </w:pPr>
      <w:r>
        <w:rPr>
          <w:szCs w:val="24"/>
        </w:rPr>
        <w:t>The rough area fracture surface shows quasi-cleavage and cleavage patterns, as shown in Figure 9-1.8, indicating brittle fracture. In the fatigue crack extension zone micro-region, the fracture surface shows quasi-cleavage ripple and quasi-cleavage broken stripes, as shown in Figure 9-1.9, exhibiting ripple morphology and quasi-cleavage feather-like shapes. The rough final fracture zone shows quasi-cleavage and cleavage patterns.</w:t>
      </w:r>
    </w:p>
    <w:p w14:paraId="0712FB85">
      <w:pPr>
        <w:pStyle w:val="16"/>
        <w:spacing w:before="31" w:after="31"/>
        <w:ind w:firstLine="482"/>
        <w:jc w:val="center"/>
        <w:rPr>
          <w:b/>
          <w:bCs/>
          <w:szCs w:val="24"/>
        </w:rPr>
      </w:pPr>
      <w:r>
        <w:rPr>
          <w:b/>
          <w:bCs/>
          <w:szCs w:val="24"/>
        </w:rPr>
        <w:t>Figure 9-1.8 Quasi-Cleavage X200</w:t>
      </w:r>
    </w:p>
    <w:p w14:paraId="7A6B1A16">
      <w:pPr>
        <w:pStyle w:val="16"/>
        <w:spacing w:before="31" w:after="31"/>
        <w:ind w:firstLine="482"/>
        <w:jc w:val="center"/>
        <w:rPr>
          <w:b/>
          <w:bCs/>
          <w:szCs w:val="24"/>
        </w:rPr>
      </w:pPr>
      <w:r>
        <w:rPr>
          <w:b/>
          <w:bCs/>
          <w:szCs w:val="24"/>
        </w:rPr>
        <w:t>Figure 9-1.9 Quasi-Cleavage Feather-Like X2000</w:t>
      </w:r>
    </w:p>
    <w:p w14:paraId="79D4B9C5">
      <w:pPr>
        <w:pStyle w:val="16"/>
        <w:spacing w:before="31" w:after="31"/>
        <w:ind w:firstLine="480"/>
        <w:rPr>
          <w:szCs w:val="24"/>
        </w:rPr>
      </w:pPr>
    </w:p>
    <w:p w14:paraId="70E7BD77">
      <w:pPr>
        <w:pStyle w:val="16"/>
        <w:spacing w:before="31" w:after="31"/>
        <w:ind w:firstLine="480"/>
        <w:rPr>
          <w:szCs w:val="24"/>
        </w:rPr>
      </w:pPr>
      <w:r>
        <w:rPr>
          <w:szCs w:val="24"/>
        </w:rPr>
        <w:t>At the newly opened break, the cracks are obliquely distributed and deep. The micro-region inside the crack has a smooth free surface with ripple-like distribution, as shown in Figure 9-1.10. The surrounding area has uneven shallow dimples, and some areas contain elliptical quasi-cleavage feather-like patterns, as shown in Figure 9-1.11.</w:t>
      </w:r>
    </w:p>
    <w:p w14:paraId="33363481">
      <w:pPr>
        <w:pStyle w:val="16"/>
        <w:spacing w:before="31" w:after="31"/>
        <w:ind w:firstLine="482"/>
        <w:jc w:val="center"/>
        <w:rPr>
          <w:b/>
          <w:bCs/>
          <w:szCs w:val="24"/>
        </w:rPr>
      </w:pPr>
      <w:r>
        <w:rPr>
          <w:b/>
          <w:bCs/>
          <w:szCs w:val="24"/>
        </w:rPr>
        <w:t>Figure 9-1.10 Smooth Free Surface X10000</w:t>
      </w:r>
    </w:p>
    <w:p w14:paraId="448E668F">
      <w:pPr>
        <w:pStyle w:val="16"/>
        <w:spacing w:before="31" w:after="31"/>
        <w:ind w:firstLine="482"/>
        <w:jc w:val="center"/>
        <w:rPr>
          <w:b/>
          <w:bCs/>
          <w:szCs w:val="24"/>
        </w:rPr>
      </w:pPr>
      <w:r>
        <w:rPr>
          <w:b/>
          <w:bCs/>
          <w:szCs w:val="24"/>
        </w:rPr>
        <w:t>Figure 9-1.11 Elliptical Quasi-Cleavage Feather-Like Zone X3000</w:t>
      </w:r>
    </w:p>
    <w:p w14:paraId="26015A83">
      <w:pPr>
        <w:pStyle w:val="16"/>
        <w:spacing w:before="31" w:after="31"/>
        <w:ind w:firstLine="480"/>
        <w:rPr>
          <w:szCs w:val="24"/>
        </w:rPr>
      </w:pPr>
    </w:p>
    <w:p w14:paraId="1CFA0FE9">
      <w:pPr>
        <w:pStyle w:val="16"/>
        <w:spacing w:before="31" w:after="31"/>
        <w:ind w:firstLine="480"/>
        <w:rPr>
          <w:szCs w:val="24"/>
        </w:rPr>
      </w:pPr>
      <w:r>
        <w:rPr>
          <w:szCs w:val="24"/>
        </w:rPr>
        <w:t>(c) Microstructure Morphology</w:t>
      </w:r>
    </w:p>
    <w:p w14:paraId="40411996">
      <w:pPr>
        <w:pStyle w:val="16"/>
        <w:spacing w:before="31" w:after="31"/>
        <w:ind w:firstLine="480"/>
        <w:rPr>
          <w:szCs w:val="24"/>
        </w:rPr>
      </w:pPr>
      <w:r>
        <w:rPr>
          <w:szCs w:val="24"/>
        </w:rPr>
        <w:t>Loose defects and very fine tortuous cracks and intermittently distributed micro-cracks are found on the matrix of the flange and the axis-end specimen. The cracks are very fine but distributed discontinuously over a long distance. The loose adjacent structure shows deformation, and the fine crack adjacent structure shows no change, appearing transgranular, as shown in Figures 9-1.12 and 9-1.13. The analysis of the flange end and the axis end's various areas shows that there are many non-metallic inclusions, sulfides, with a grade of 2 to 3.</w:t>
      </w:r>
    </w:p>
    <w:p w14:paraId="77865E1F">
      <w:pPr>
        <w:pStyle w:val="16"/>
        <w:spacing w:before="31" w:after="31"/>
        <w:ind w:firstLine="482"/>
        <w:jc w:val="center"/>
        <w:rPr>
          <w:b/>
          <w:bCs/>
          <w:szCs w:val="24"/>
        </w:rPr>
      </w:pPr>
      <w:r>
        <w:rPr>
          <w:b/>
          <w:bCs/>
          <w:szCs w:val="24"/>
        </w:rPr>
        <w:t>Figure 9-1.12 Angular Loose + Fine Crack X100</w:t>
      </w:r>
    </w:p>
    <w:p w14:paraId="60C49EDB">
      <w:pPr>
        <w:pStyle w:val="16"/>
        <w:spacing w:before="31" w:after="31"/>
        <w:ind w:firstLine="482"/>
        <w:jc w:val="center"/>
        <w:rPr>
          <w:b/>
          <w:bCs/>
          <w:szCs w:val="24"/>
        </w:rPr>
      </w:pPr>
      <w:r>
        <w:rPr>
          <w:b/>
          <w:bCs/>
          <w:szCs w:val="24"/>
        </w:rPr>
        <w:t>Figure 9-1.13 Loose Crack and Structure X100</w:t>
      </w:r>
    </w:p>
    <w:p w14:paraId="720F301E">
      <w:pPr>
        <w:pStyle w:val="16"/>
        <w:spacing w:before="31" w:after="31"/>
        <w:ind w:firstLine="480"/>
        <w:rPr>
          <w:szCs w:val="24"/>
        </w:rPr>
      </w:pPr>
    </w:p>
    <w:p w14:paraId="4BB5D2B4">
      <w:pPr>
        <w:pStyle w:val="16"/>
        <w:spacing w:before="31" w:after="31"/>
        <w:ind w:firstLine="480"/>
        <w:rPr>
          <w:szCs w:val="24"/>
        </w:rPr>
      </w:pPr>
      <w:r>
        <w:rPr>
          <w:szCs w:val="24"/>
        </w:rPr>
        <w:t>(6) Analysis of Failure Causes</w:t>
      </w:r>
    </w:p>
    <w:p w14:paraId="19611B22">
      <w:pPr>
        <w:pStyle w:val="16"/>
        <w:spacing w:before="31" w:after="31"/>
        <w:ind w:firstLine="480"/>
        <w:rPr>
          <w:szCs w:val="24"/>
        </w:rPr>
      </w:pPr>
      <w:r>
        <w:rPr>
          <w:szCs w:val="24"/>
        </w:rPr>
        <w:t>(a) Point-like segregation defects inside the main shaft material significantly reduce the material's plasticity and fatigue strength, leading to cracking during the forging deformation process.</w:t>
      </w:r>
    </w:p>
    <w:p w14:paraId="3D5AB5BA">
      <w:pPr>
        <w:pStyle w:val="16"/>
        <w:spacing w:before="31" w:after="31"/>
        <w:ind w:firstLine="480"/>
        <w:rPr>
          <w:szCs w:val="24"/>
        </w:rPr>
      </w:pPr>
      <w:r>
        <w:rPr>
          <w:szCs w:val="24"/>
        </w:rPr>
        <w:t>(b) The main shaft was supposed to undergo quenching and tempering treatment with 42CrMo material according to design requirements, including surface nitriding treatment. However, the actual matrix structure is blocky ferrite and pearlite, indicating a normalized structure, no quenching and tempering treatment performed, and affecting the surface nitriding effect. The nitrided layer is thin, directly impacting the surface stress state and fatigue resistance.</w:t>
      </w:r>
    </w:p>
    <w:p w14:paraId="5BFA7A42">
      <w:pPr>
        <w:pStyle w:val="16"/>
        <w:spacing w:before="31" w:after="31"/>
        <w:ind w:firstLine="480"/>
        <w:rPr>
          <w:szCs w:val="24"/>
        </w:rPr>
      </w:pPr>
      <w:r>
        <w:rPr>
          <w:szCs w:val="24"/>
        </w:rPr>
        <w:t>(c) The main shaft's working stress involves cyclically repeated bending loads. Due to the insufficient mechanical and fatigue properties of the main shaft material, small cracks initiate at stress concentration points where the shaft diameter changes, and fatigue cracks propagate along the direction of maximum tensile stress. Especially at internal defects, rapid brittle tearing and rapid fatigue propagation occur. When the fatigue crack reaches a certain size, the remaining cross-section cannot withstand the applied stress, resulting in rapid brittle fracture and failure.</w:t>
      </w:r>
    </w:p>
    <w:p w14:paraId="33312013">
      <w:pPr>
        <w:pStyle w:val="16"/>
        <w:spacing w:before="31" w:after="31"/>
        <w:ind w:firstLine="480"/>
        <w:rPr>
          <w:szCs w:val="24"/>
        </w:rPr>
      </w:pPr>
    </w:p>
    <w:p w14:paraId="7EA85A88">
      <w:pPr>
        <w:pStyle w:val="16"/>
        <w:spacing w:before="31" w:after="31"/>
        <w:ind w:firstLine="480"/>
        <w:rPr>
          <w:szCs w:val="24"/>
        </w:rPr>
      </w:pPr>
      <w:r>
        <w:rPr>
          <w:szCs w:val="24"/>
        </w:rPr>
        <w:t>(7) Impact and Harm Caused</w:t>
      </w:r>
    </w:p>
    <w:p w14:paraId="1BA6073F">
      <w:pPr>
        <w:pStyle w:val="16"/>
        <w:spacing w:before="31" w:after="31"/>
        <w:ind w:firstLine="480"/>
        <w:rPr>
          <w:szCs w:val="24"/>
        </w:rPr>
      </w:pPr>
      <w:r>
        <w:rPr>
          <w:szCs w:val="24"/>
        </w:rPr>
        <w:t>Failure of the main shaft.</w:t>
      </w:r>
    </w:p>
    <w:p w14:paraId="4B70CED5">
      <w:pPr>
        <w:pStyle w:val="16"/>
        <w:spacing w:before="31" w:after="31"/>
        <w:ind w:firstLine="480"/>
        <w:rPr>
          <w:szCs w:val="24"/>
        </w:rPr>
      </w:pPr>
    </w:p>
    <w:p w14:paraId="41BB9E24">
      <w:pPr>
        <w:pStyle w:val="16"/>
        <w:spacing w:before="31" w:after="31"/>
        <w:ind w:firstLine="480"/>
        <w:rPr>
          <w:szCs w:val="24"/>
        </w:rPr>
      </w:pPr>
      <w:r>
        <w:rPr>
          <w:szCs w:val="24"/>
        </w:rPr>
        <w:t>(8) Conclusion and Improvement Measures</w:t>
      </w:r>
    </w:p>
    <w:p w14:paraId="55AE9FF9">
      <w:pPr>
        <w:pStyle w:val="16"/>
        <w:spacing w:before="31" w:after="31"/>
        <w:ind w:firstLine="480"/>
        <w:rPr>
          <w:szCs w:val="24"/>
        </w:rPr>
      </w:pPr>
      <w:r>
        <w:rPr>
          <w:szCs w:val="24"/>
        </w:rPr>
        <w:t>The fracture at the variable cross-section near the flange of the main shaft is a rotational bending fatigue fracture, with three main causes:</w:t>
      </w:r>
    </w:p>
    <w:p w14:paraId="273BE595">
      <w:pPr>
        <w:pStyle w:val="16"/>
        <w:spacing w:before="31" w:after="31"/>
        <w:ind w:firstLine="480"/>
        <w:rPr>
          <w:szCs w:val="24"/>
        </w:rPr>
      </w:pPr>
      <w:r>
        <w:rPr>
          <w:szCs w:val="24"/>
        </w:rPr>
        <w:t>(a) The main shaft was not subjected to tempering treatment,</w:t>
      </w:r>
    </w:p>
    <w:p w14:paraId="3FE33B9A">
      <w:pPr>
        <w:pStyle w:val="16"/>
        <w:spacing w:before="31" w:after="31"/>
        <w:ind w:firstLine="480"/>
        <w:rPr>
          <w:szCs w:val="24"/>
        </w:rPr>
      </w:pPr>
    </w:p>
    <w:p w14:paraId="0B725ED0">
      <w:pPr>
        <w:pStyle w:val="16"/>
        <w:spacing w:before="31" w:after="31"/>
        <w:ind w:firstLine="480"/>
        <w:rPr>
          <w:szCs w:val="24"/>
        </w:rPr>
      </w:pPr>
      <w:r>
        <w:rPr>
          <w:szCs w:val="24"/>
        </w:rPr>
        <w:t xml:space="preserve"> and the normalized structure has poor overall performance and low fatigue strength. It is also unfavorable for the implementation of surface nitriding technology. Therefore, tempering treatment should be performed as required.</w:t>
      </w:r>
    </w:p>
    <w:p w14:paraId="3DABF933">
      <w:pPr>
        <w:pStyle w:val="16"/>
        <w:spacing w:before="31" w:after="31"/>
        <w:ind w:firstLine="480"/>
        <w:rPr>
          <w:szCs w:val="24"/>
        </w:rPr>
      </w:pPr>
      <w:r>
        <w:rPr>
          <w:szCs w:val="24"/>
        </w:rPr>
        <w:t>(b) The nitrided layer on the surface is thin, and the nitriding effect is poor, which fails to improve surface hardness, enhance fatigue strength, and reduce notch sensitivity. Correct surface carburizing treatment should be applied.</w:t>
      </w:r>
    </w:p>
    <w:p w14:paraId="5B440337">
      <w:pPr>
        <w:pStyle w:val="16"/>
        <w:spacing w:before="31" w:after="31"/>
        <w:ind w:firstLine="0" w:firstLineChars="0"/>
        <w:rPr>
          <w:szCs w:val="24"/>
        </w:rPr>
      </w:pPr>
      <w:r>
        <w:rPr>
          <w:szCs w:val="24"/>
        </w:rPr>
        <w:t>(c) There are serious point-like segregation, looseness, and cracking defects in the steel, significantly reducing the material's fatigue performance and directly affecting the product's service life. Therefore, improvements should be made to the heat treatment process of the steel.</w:t>
      </w:r>
    </w:p>
    <w:p w14:paraId="4EBE3949">
      <w:pPr>
        <w:pStyle w:val="16"/>
        <w:spacing w:before="31" w:after="31"/>
        <w:ind w:firstLine="0" w:firstLineChars="0"/>
        <w:rPr>
          <w:b/>
          <w:bCs/>
          <w:szCs w:val="24"/>
        </w:rPr>
      </w:pPr>
      <w:r>
        <w:rPr>
          <w:b/>
          <w:bCs/>
          <w:szCs w:val="24"/>
        </w:rPr>
        <w:t>9.2.2 Case 9-2: Failure of Brake Wheel in Construction Hoist</w:t>
      </w:r>
    </w:p>
    <w:p w14:paraId="72A873BE">
      <w:pPr>
        <w:pStyle w:val="16"/>
        <w:spacing w:before="31" w:after="31"/>
        <w:ind w:firstLine="480"/>
        <w:rPr>
          <w:szCs w:val="24"/>
        </w:rPr>
      </w:pPr>
    </w:p>
    <w:p w14:paraId="436D3224">
      <w:pPr>
        <w:pStyle w:val="16"/>
        <w:spacing w:before="31" w:after="31"/>
        <w:ind w:firstLine="480"/>
        <w:rPr>
          <w:szCs w:val="24"/>
        </w:rPr>
      </w:pPr>
      <w:r>
        <w:rPr>
          <w:szCs w:val="24"/>
        </w:rPr>
        <w:t>(1) Case Name</w:t>
      </w:r>
    </w:p>
    <w:p w14:paraId="4F295B21">
      <w:pPr>
        <w:pStyle w:val="16"/>
        <w:spacing w:before="31" w:after="31"/>
        <w:ind w:firstLine="480"/>
        <w:rPr>
          <w:szCs w:val="24"/>
        </w:rPr>
      </w:pPr>
      <w:r>
        <w:rPr>
          <w:szCs w:val="24"/>
        </w:rPr>
        <w:t>Failure Analysis of Brake Wheel in Construction Hoist [2]</w:t>
      </w:r>
    </w:p>
    <w:p w14:paraId="0099E8D8">
      <w:pPr>
        <w:pStyle w:val="16"/>
        <w:spacing w:before="31" w:after="31"/>
        <w:ind w:firstLine="480"/>
        <w:rPr>
          <w:szCs w:val="24"/>
        </w:rPr>
      </w:pPr>
    </w:p>
    <w:p w14:paraId="2B865081">
      <w:pPr>
        <w:pStyle w:val="16"/>
        <w:spacing w:before="31" w:after="31"/>
        <w:ind w:firstLine="480"/>
        <w:rPr>
          <w:szCs w:val="24"/>
        </w:rPr>
      </w:pPr>
      <w:r>
        <w:rPr>
          <w:szCs w:val="24"/>
        </w:rPr>
        <w:t>(2) Failure Process Description</w:t>
      </w:r>
    </w:p>
    <w:p w14:paraId="5ACB3AE1">
      <w:pPr>
        <w:pStyle w:val="16"/>
        <w:spacing w:before="31" w:after="31"/>
        <w:ind w:firstLine="480"/>
        <w:rPr>
          <w:szCs w:val="24"/>
        </w:rPr>
      </w:pPr>
      <w:r>
        <w:rPr>
          <w:szCs w:val="24"/>
        </w:rPr>
        <w:t>In a construction site in a southern city, a hoist experienced a sudden failure of the brake wheel during operation. One of the brake claws in the brake wheel broke, dislodging from the clutch and causing a serious accident. After on-site accident inspection, it was found that the main clutch of the hoist's brake wheel had fractured, and one of the three brake claws on the auxiliary clutch had detached, resulting in component detachment and injuries.</w:t>
      </w:r>
    </w:p>
    <w:p w14:paraId="419EC329">
      <w:pPr>
        <w:pStyle w:val="16"/>
        <w:spacing w:before="31" w:after="31"/>
        <w:ind w:firstLine="480"/>
        <w:rPr>
          <w:szCs w:val="24"/>
        </w:rPr>
      </w:pPr>
    </w:p>
    <w:p w14:paraId="02B1CFF8">
      <w:pPr>
        <w:pStyle w:val="16"/>
        <w:spacing w:before="31" w:after="31"/>
        <w:ind w:firstLine="480"/>
        <w:rPr>
          <w:szCs w:val="24"/>
        </w:rPr>
      </w:pPr>
      <w:r>
        <w:rPr>
          <w:szCs w:val="24"/>
        </w:rPr>
        <w:t>(3) Service Environment</w:t>
      </w:r>
    </w:p>
    <w:p w14:paraId="7A8408EC">
      <w:pPr>
        <w:pStyle w:val="16"/>
        <w:spacing w:before="31" w:after="31"/>
        <w:ind w:firstLine="480"/>
        <w:rPr>
          <w:szCs w:val="24"/>
        </w:rPr>
      </w:pPr>
      <w:r>
        <w:rPr>
          <w:szCs w:val="24"/>
        </w:rPr>
        <w:t>Service Environment: Construction site in a southern city.</w:t>
      </w:r>
    </w:p>
    <w:p w14:paraId="36574FE8">
      <w:pPr>
        <w:pStyle w:val="16"/>
        <w:spacing w:before="31" w:after="31"/>
        <w:ind w:firstLine="480"/>
        <w:rPr>
          <w:szCs w:val="24"/>
        </w:rPr>
      </w:pPr>
    </w:p>
    <w:p w14:paraId="4EA13FBD">
      <w:pPr>
        <w:pStyle w:val="16"/>
        <w:spacing w:before="31" w:after="31"/>
        <w:ind w:firstLine="480"/>
        <w:rPr>
          <w:szCs w:val="24"/>
        </w:rPr>
      </w:pPr>
      <w:r>
        <w:rPr>
          <w:szCs w:val="24"/>
        </w:rPr>
        <w:t>(4) Failed Component and Material</w:t>
      </w:r>
    </w:p>
    <w:p w14:paraId="1B1701F1">
      <w:pPr>
        <w:pStyle w:val="16"/>
        <w:spacing w:before="31" w:after="31"/>
        <w:ind w:firstLine="480"/>
        <w:rPr>
          <w:szCs w:val="24"/>
        </w:rPr>
      </w:pPr>
      <w:r>
        <w:rPr>
          <w:szCs w:val="24"/>
        </w:rPr>
        <w:t>(a) Chemical Composition</w:t>
      </w:r>
    </w:p>
    <w:p w14:paraId="5CB22A94">
      <w:pPr>
        <w:pStyle w:val="16"/>
        <w:spacing w:before="31" w:after="31"/>
        <w:ind w:firstLine="480"/>
        <w:rPr>
          <w:szCs w:val="24"/>
        </w:rPr>
      </w:pPr>
      <w:r>
        <w:rPr>
          <w:szCs w:val="24"/>
        </w:rPr>
        <w:t>The chemical composition of the remnants of the auxiliary clutch is shown in Table 9-2.</w:t>
      </w:r>
    </w:p>
    <w:p w14:paraId="3A185A2A">
      <w:pPr>
        <w:pStyle w:val="16"/>
        <w:spacing w:before="31" w:after="31"/>
        <w:ind w:firstLine="480"/>
        <w:rPr>
          <w:szCs w:val="24"/>
        </w:rPr>
      </w:pPr>
    </w:p>
    <w:p w14:paraId="5347D466">
      <w:pPr>
        <w:pStyle w:val="16"/>
        <w:spacing w:before="31" w:after="31"/>
        <w:ind w:firstLine="482"/>
        <w:jc w:val="center"/>
        <w:rPr>
          <w:b/>
          <w:bCs/>
          <w:szCs w:val="24"/>
        </w:rPr>
      </w:pPr>
      <w:r>
        <w:rPr>
          <w:b/>
          <w:bCs/>
          <w:szCs w:val="24"/>
        </w:rPr>
        <w:t>Table 9-2 Chemical Composition of Clutch Remnants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019E7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7312CA3F">
            <w:pPr>
              <w:pStyle w:val="16"/>
              <w:spacing w:before="31" w:after="31"/>
              <w:ind w:firstLine="0" w:firstLineChars="0"/>
              <w:rPr>
                <w:szCs w:val="24"/>
              </w:rPr>
            </w:pPr>
            <w:r>
              <w:rPr>
                <w:szCs w:val="24"/>
              </w:rPr>
              <w:t>Material</w:t>
            </w:r>
          </w:p>
        </w:tc>
        <w:tc>
          <w:tcPr>
            <w:tcW w:w="1217" w:type="dxa"/>
          </w:tcPr>
          <w:p w14:paraId="32E5D171">
            <w:pPr>
              <w:pStyle w:val="16"/>
              <w:spacing w:before="31" w:after="31"/>
              <w:ind w:firstLine="0" w:firstLineChars="0"/>
              <w:rPr>
                <w:szCs w:val="24"/>
              </w:rPr>
            </w:pPr>
            <w:r>
              <w:rPr>
                <w:szCs w:val="24"/>
              </w:rPr>
              <w:t>C</w:t>
            </w:r>
          </w:p>
        </w:tc>
        <w:tc>
          <w:tcPr>
            <w:tcW w:w="1217" w:type="dxa"/>
          </w:tcPr>
          <w:p w14:paraId="35A0ADF3">
            <w:pPr>
              <w:pStyle w:val="16"/>
              <w:spacing w:before="31" w:after="31"/>
              <w:ind w:firstLine="0" w:firstLineChars="0"/>
              <w:rPr>
                <w:szCs w:val="24"/>
              </w:rPr>
            </w:pPr>
            <w:r>
              <w:rPr>
                <w:szCs w:val="24"/>
              </w:rPr>
              <w:t>Si</w:t>
            </w:r>
          </w:p>
        </w:tc>
        <w:tc>
          <w:tcPr>
            <w:tcW w:w="1217" w:type="dxa"/>
          </w:tcPr>
          <w:p w14:paraId="703E0B35">
            <w:pPr>
              <w:pStyle w:val="16"/>
              <w:spacing w:before="31" w:after="31"/>
              <w:ind w:firstLine="0" w:firstLineChars="0"/>
              <w:rPr>
                <w:szCs w:val="24"/>
              </w:rPr>
            </w:pPr>
            <w:r>
              <w:rPr>
                <w:szCs w:val="24"/>
              </w:rPr>
              <w:t>Mn</w:t>
            </w:r>
          </w:p>
        </w:tc>
        <w:tc>
          <w:tcPr>
            <w:tcW w:w="1218" w:type="dxa"/>
          </w:tcPr>
          <w:p w14:paraId="1740D87B">
            <w:pPr>
              <w:pStyle w:val="16"/>
              <w:spacing w:before="31" w:after="31"/>
              <w:ind w:firstLine="0" w:firstLineChars="0"/>
              <w:rPr>
                <w:szCs w:val="24"/>
              </w:rPr>
            </w:pPr>
            <w:r>
              <w:rPr>
                <w:szCs w:val="24"/>
              </w:rPr>
              <w:t>P</w:t>
            </w:r>
          </w:p>
        </w:tc>
        <w:tc>
          <w:tcPr>
            <w:tcW w:w="1218" w:type="dxa"/>
          </w:tcPr>
          <w:p w14:paraId="2DBDB3A3">
            <w:pPr>
              <w:pStyle w:val="16"/>
              <w:spacing w:before="31" w:after="31"/>
              <w:ind w:firstLine="0" w:firstLineChars="0"/>
              <w:rPr>
                <w:szCs w:val="24"/>
              </w:rPr>
            </w:pPr>
            <w:r>
              <w:rPr>
                <w:szCs w:val="24"/>
              </w:rPr>
              <w:t>S</w:t>
            </w:r>
          </w:p>
        </w:tc>
        <w:tc>
          <w:tcPr>
            <w:tcW w:w="1218" w:type="dxa"/>
          </w:tcPr>
          <w:p w14:paraId="61A13C98">
            <w:pPr>
              <w:pStyle w:val="16"/>
              <w:spacing w:before="31" w:after="31"/>
              <w:ind w:firstLine="0" w:firstLineChars="0"/>
              <w:rPr>
                <w:szCs w:val="24"/>
              </w:rPr>
            </w:pPr>
          </w:p>
        </w:tc>
      </w:tr>
      <w:tr w14:paraId="33AB0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3876CB58">
            <w:pPr>
              <w:pStyle w:val="16"/>
              <w:spacing w:before="31" w:after="31"/>
              <w:ind w:firstLine="0" w:firstLineChars="0"/>
              <w:rPr>
                <w:szCs w:val="24"/>
              </w:rPr>
            </w:pPr>
            <w:r>
              <w:rPr>
                <w:szCs w:val="24"/>
              </w:rPr>
              <w:t>Clutch</w:t>
            </w:r>
          </w:p>
        </w:tc>
        <w:tc>
          <w:tcPr>
            <w:tcW w:w="1217" w:type="dxa"/>
          </w:tcPr>
          <w:p w14:paraId="4063B2A1">
            <w:pPr>
              <w:pStyle w:val="16"/>
              <w:spacing w:before="31" w:after="31"/>
              <w:ind w:firstLine="0" w:firstLineChars="0"/>
              <w:rPr>
                <w:szCs w:val="24"/>
              </w:rPr>
            </w:pPr>
            <w:r>
              <w:rPr>
                <w:szCs w:val="24"/>
              </w:rPr>
              <w:t>Sample</w:t>
            </w:r>
          </w:p>
        </w:tc>
        <w:tc>
          <w:tcPr>
            <w:tcW w:w="1217" w:type="dxa"/>
          </w:tcPr>
          <w:p w14:paraId="4BC8B09D">
            <w:pPr>
              <w:pStyle w:val="16"/>
              <w:spacing w:before="31" w:after="31"/>
              <w:ind w:firstLine="0" w:firstLineChars="0"/>
              <w:rPr>
                <w:szCs w:val="24"/>
              </w:rPr>
            </w:pPr>
            <w:r>
              <w:rPr>
                <w:szCs w:val="24"/>
              </w:rPr>
              <w:t>3.78</w:t>
            </w:r>
          </w:p>
        </w:tc>
        <w:tc>
          <w:tcPr>
            <w:tcW w:w="1217" w:type="dxa"/>
          </w:tcPr>
          <w:p w14:paraId="6D2C66FA">
            <w:pPr>
              <w:pStyle w:val="16"/>
              <w:spacing w:before="31" w:after="31"/>
              <w:ind w:firstLine="0" w:firstLineChars="0"/>
              <w:rPr>
                <w:szCs w:val="24"/>
              </w:rPr>
            </w:pPr>
            <w:r>
              <w:rPr>
                <w:szCs w:val="24"/>
              </w:rPr>
              <w:t>1.25</w:t>
            </w:r>
          </w:p>
        </w:tc>
        <w:tc>
          <w:tcPr>
            <w:tcW w:w="1218" w:type="dxa"/>
          </w:tcPr>
          <w:p w14:paraId="5B776CE5">
            <w:pPr>
              <w:pStyle w:val="16"/>
              <w:spacing w:before="31" w:after="31"/>
              <w:ind w:firstLine="0" w:firstLineChars="0"/>
              <w:rPr>
                <w:szCs w:val="24"/>
              </w:rPr>
            </w:pPr>
            <w:r>
              <w:rPr>
                <w:szCs w:val="24"/>
              </w:rPr>
              <w:t>0.34</w:t>
            </w:r>
          </w:p>
        </w:tc>
        <w:tc>
          <w:tcPr>
            <w:tcW w:w="1218" w:type="dxa"/>
          </w:tcPr>
          <w:p w14:paraId="0F997293">
            <w:pPr>
              <w:pStyle w:val="16"/>
              <w:spacing w:before="31" w:after="31"/>
              <w:ind w:firstLine="0" w:firstLineChars="0"/>
              <w:rPr>
                <w:szCs w:val="24"/>
              </w:rPr>
            </w:pPr>
            <w:r>
              <w:rPr>
                <w:szCs w:val="24"/>
              </w:rPr>
              <w:t>0.11</w:t>
            </w:r>
          </w:p>
        </w:tc>
        <w:tc>
          <w:tcPr>
            <w:tcW w:w="1218" w:type="dxa"/>
          </w:tcPr>
          <w:p w14:paraId="0CCD1BAA">
            <w:pPr>
              <w:pStyle w:val="16"/>
              <w:spacing w:before="31" w:after="31"/>
              <w:ind w:firstLine="0" w:firstLineChars="0"/>
              <w:rPr>
                <w:szCs w:val="24"/>
              </w:rPr>
            </w:pPr>
            <w:r>
              <w:rPr>
                <w:szCs w:val="24"/>
              </w:rPr>
              <w:t>0.049</w:t>
            </w:r>
          </w:p>
        </w:tc>
      </w:tr>
    </w:tbl>
    <w:p w14:paraId="157FAFCB">
      <w:pPr>
        <w:pStyle w:val="16"/>
        <w:spacing w:before="31" w:after="31"/>
        <w:ind w:firstLine="480"/>
        <w:rPr>
          <w:szCs w:val="24"/>
        </w:rPr>
      </w:pPr>
    </w:p>
    <w:p w14:paraId="5E87AFD3">
      <w:pPr>
        <w:pStyle w:val="16"/>
        <w:spacing w:before="31" w:after="31"/>
        <w:ind w:firstLine="480"/>
        <w:rPr>
          <w:szCs w:val="24"/>
        </w:rPr>
      </w:pPr>
      <w:r>
        <w:rPr>
          <w:szCs w:val="24"/>
        </w:rPr>
        <w:t>(b) Mechanical Properties</w:t>
      </w:r>
    </w:p>
    <w:p w14:paraId="16710A85">
      <w:pPr>
        <w:pStyle w:val="16"/>
        <w:spacing w:before="31" w:after="31"/>
        <w:ind w:firstLine="480"/>
        <w:rPr>
          <w:szCs w:val="24"/>
        </w:rPr>
      </w:pPr>
      <w:r>
        <w:rPr>
          <w:szCs w:val="24"/>
        </w:rPr>
        <w:t>The hardness of both main and auxiliary clutch materials is 126-131HBS. Other mechanical property parameters are shown in Table 9-3.</w:t>
      </w:r>
    </w:p>
    <w:p w14:paraId="09AD5421">
      <w:pPr>
        <w:pStyle w:val="16"/>
        <w:spacing w:before="31" w:after="31"/>
        <w:ind w:firstLine="480"/>
        <w:rPr>
          <w:szCs w:val="24"/>
        </w:rPr>
      </w:pPr>
    </w:p>
    <w:p w14:paraId="59813839">
      <w:pPr>
        <w:pStyle w:val="16"/>
        <w:spacing w:before="31" w:after="31"/>
        <w:ind w:firstLine="482"/>
        <w:jc w:val="center"/>
        <w:rPr>
          <w:b/>
          <w:bCs/>
          <w:szCs w:val="24"/>
        </w:rPr>
      </w:pPr>
      <w:r>
        <w:rPr>
          <w:b/>
          <w:bCs/>
          <w:szCs w:val="24"/>
        </w:rPr>
        <w:t>Table 9-3 Material Mechanical Property Parameters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
        <w:gridCol w:w="857"/>
        <w:gridCol w:w="778"/>
        <w:gridCol w:w="1303"/>
        <w:gridCol w:w="1031"/>
        <w:gridCol w:w="955"/>
        <w:gridCol w:w="1075"/>
        <w:gridCol w:w="574"/>
        <w:gridCol w:w="1085"/>
      </w:tblGrid>
      <w:tr w14:paraId="02120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6BBF1F38">
            <w:pPr>
              <w:pStyle w:val="16"/>
              <w:spacing w:before="31" w:after="31"/>
              <w:ind w:firstLine="0" w:firstLineChars="0"/>
              <w:rPr>
                <w:szCs w:val="24"/>
              </w:rPr>
            </w:pPr>
            <w:r>
              <w:rPr>
                <w:szCs w:val="24"/>
              </w:rPr>
              <w:t>Sample</w:t>
            </w:r>
          </w:p>
        </w:tc>
        <w:tc>
          <w:tcPr>
            <w:tcW w:w="947" w:type="dxa"/>
          </w:tcPr>
          <w:p w14:paraId="1E1D8D53">
            <w:pPr>
              <w:pStyle w:val="16"/>
              <w:spacing w:before="31" w:after="31"/>
              <w:ind w:firstLine="0" w:firstLineChars="0"/>
              <w:rPr>
                <w:szCs w:val="24"/>
              </w:rPr>
            </w:pPr>
            <w:r>
              <w:rPr>
                <w:szCs w:val="24"/>
              </w:rPr>
              <w:t>Number</w:t>
            </w:r>
          </w:p>
        </w:tc>
        <w:tc>
          <w:tcPr>
            <w:tcW w:w="947" w:type="dxa"/>
          </w:tcPr>
          <w:p w14:paraId="6EC364DE">
            <w:pPr>
              <w:pStyle w:val="16"/>
              <w:spacing w:before="31" w:after="31"/>
              <w:ind w:firstLine="0" w:firstLineChars="0"/>
              <w:rPr>
                <w:szCs w:val="24"/>
              </w:rPr>
            </w:pPr>
            <w:r>
              <w:rPr>
                <w:szCs w:val="24"/>
              </w:rPr>
              <w:t>Tensile</w:t>
            </w:r>
          </w:p>
        </w:tc>
        <w:tc>
          <w:tcPr>
            <w:tcW w:w="947" w:type="dxa"/>
          </w:tcPr>
          <w:p w14:paraId="59018FEF">
            <w:pPr>
              <w:pStyle w:val="16"/>
              <w:spacing w:before="31" w:after="31"/>
              <w:ind w:firstLine="0" w:firstLineChars="0"/>
              <w:rPr>
                <w:szCs w:val="24"/>
              </w:rPr>
            </w:pPr>
            <w:r>
              <w:rPr>
                <w:szCs w:val="24"/>
              </w:rPr>
              <w:t>Strength/MPa</w:t>
            </w:r>
          </w:p>
        </w:tc>
        <w:tc>
          <w:tcPr>
            <w:tcW w:w="947" w:type="dxa"/>
          </w:tcPr>
          <w:p w14:paraId="2BFBA442">
            <w:pPr>
              <w:pStyle w:val="16"/>
              <w:spacing w:before="31" w:after="31"/>
              <w:ind w:firstLine="0" w:firstLineChars="0"/>
              <w:rPr>
                <w:szCs w:val="24"/>
              </w:rPr>
            </w:pPr>
            <w:r>
              <w:rPr>
                <w:szCs w:val="24"/>
              </w:rPr>
              <w:t>Maximum</w:t>
            </w:r>
          </w:p>
        </w:tc>
        <w:tc>
          <w:tcPr>
            <w:tcW w:w="947" w:type="dxa"/>
          </w:tcPr>
          <w:p w14:paraId="6FD9490C">
            <w:pPr>
              <w:pStyle w:val="16"/>
              <w:spacing w:before="31" w:after="31"/>
              <w:ind w:firstLine="0" w:firstLineChars="0"/>
              <w:rPr>
                <w:szCs w:val="24"/>
              </w:rPr>
            </w:pPr>
            <w:r>
              <w:rPr>
                <w:szCs w:val="24"/>
              </w:rPr>
              <w:t>Force/kN</w:t>
            </w:r>
          </w:p>
        </w:tc>
        <w:tc>
          <w:tcPr>
            <w:tcW w:w="947" w:type="dxa"/>
          </w:tcPr>
          <w:p w14:paraId="7DD43FBA">
            <w:pPr>
              <w:pStyle w:val="16"/>
              <w:spacing w:before="31" w:after="31"/>
              <w:ind w:firstLine="0" w:firstLineChars="0"/>
              <w:rPr>
                <w:szCs w:val="24"/>
              </w:rPr>
            </w:pPr>
            <w:r>
              <w:rPr>
                <w:szCs w:val="24"/>
              </w:rPr>
              <w:t>Elongation</w:t>
            </w:r>
          </w:p>
        </w:tc>
        <w:tc>
          <w:tcPr>
            <w:tcW w:w="947" w:type="dxa"/>
          </w:tcPr>
          <w:p w14:paraId="529DB1D7">
            <w:pPr>
              <w:pStyle w:val="16"/>
              <w:spacing w:before="31" w:after="31"/>
              <w:ind w:firstLine="0" w:firstLineChars="0"/>
              <w:rPr>
                <w:szCs w:val="24"/>
              </w:rPr>
            </w:pPr>
            <w:r>
              <w:rPr>
                <w:szCs w:val="24"/>
              </w:rPr>
              <w:t>after</w:t>
            </w:r>
          </w:p>
        </w:tc>
        <w:tc>
          <w:tcPr>
            <w:tcW w:w="947" w:type="dxa"/>
          </w:tcPr>
          <w:p w14:paraId="06BC54E8">
            <w:pPr>
              <w:pStyle w:val="16"/>
              <w:spacing w:before="31" w:after="31"/>
              <w:ind w:firstLine="0" w:firstLineChars="0"/>
              <w:rPr>
                <w:szCs w:val="24"/>
              </w:rPr>
            </w:pPr>
            <w:r>
              <w:rPr>
                <w:szCs w:val="24"/>
              </w:rPr>
              <w:t>Fracture/%</w:t>
            </w:r>
          </w:p>
        </w:tc>
      </w:tr>
      <w:tr w14:paraId="4316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09865589">
            <w:pPr>
              <w:pStyle w:val="16"/>
              <w:spacing w:before="31" w:after="31"/>
              <w:ind w:firstLine="0" w:firstLineChars="0"/>
              <w:rPr>
                <w:szCs w:val="24"/>
              </w:rPr>
            </w:pPr>
            <w:r>
              <w:rPr>
                <w:szCs w:val="24"/>
              </w:rPr>
              <w:t>Sample</w:t>
            </w:r>
          </w:p>
        </w:tc>
        <w:tc>
          <w:tcPr>
            <w:tcW w:w="947" w:type="dxa"/>
          </w:tcPr>
          <w:p w14:paraId="018C2B2A">
            <w:pPr>
              <w:pStyle w:val="16"/>
              <w:spacing w:before="31" w:after="31"/>
              <w:ind w:firstLine="0" w:firstLineChars="0"/>
              <w:rPr>
                <w:szCs w:val="24"/>
              </w:rPr>
            </w:pPr>
            <w:r>
              <w:rPr>
                <w:szCs w:val="24"/>
              </w:rPr>
              <w:t>1</w:t>
            </w:r>
          </w:p>
        </w:tc>
        <w:tc>
          <w:tcPr>
            <w:tcW w:w="947" w:type="dxa"/>
          </w:tcPr>
          <w:p w14:paraId="79608BD0">
            <w:pPr>
              <w:pStyle w:val="16"/>
              <w:spacing w:before="31" w:after="31"/>
              <w:ind w:firstLine="0" w:firstLineChars="0"/>
              <w:rPr>
                <w:szCs w:val="24"/>
              </w:rPr>
            </w:pPr>
            <w:r>
              <w:rPr>
                <w:szCs w:val="24"/>
              </w:rPr>
              <w:t>115.9</w:t>
            </w:r>
          </w:p>
        </w:tc>
        <w:tc>
          <w:tcPr>
            <w:tcW w:w="947" w:type="dxa"/>
          </w:tcPr>
          <w:p w14:paraId="07E0A9E6">
            <w:pPr>
              <w:pStyle w:val="16"/>
              <w:spacing w:before="31" w:after="31"/>
              <w:ind w:firstLine="0" w:firstLineChars="0"/>
              <w:rPr>
                <w:szCs w:val="24"/>
              </w:rPr>
            </w:pPr>
            <w:r>
              <w:rPr>
                <w:szCs w:val="24"/>
              </w:rPr>
              <w:t>9.11</w:t>
            </w:r>
          </w:p>
        </w:tc>
        <w:tc>
          <w:tcPr>
            <w:tcW w:w="947" w:type="dxa"/>
          </w:tcPr>
          <w:p w14:paraId="50E293ED">
            <w:pPr>
              <w:pStyle w:val="16"/>
              <w:spacing w:before="31" w:after="31"/>
              <w:ind w:firstLine="0" w:firstLineChars="0"/>
              <w:rPr>
                <w:szCs w:val="24"/>
              </w:rPr>
            </w:pPr>
            <w:r>
              <w:rPr>
                <w:szCs w:val="24"/>
              </w:rPr>
              <w:t>3.46</w:t>
            </w:r>
          </w:p>
        </w:tc>
        <w:tc>
          <w:tcPr>
            <w:tcW w:w="947" w:type="dxa"/>
          </w:tcPr>
          <w:p w14:paraId="1F51CDDB">
            <w:pPr>
              <w:pStyle w:val="16"/>
              <w:spacing w:before="31" w:after="31"/>
              <w:ind w:firstLine="0" w:firstLineChars="0"/>
              <w:rPr>
                <w:szCs w:val="24"/>
              </w:rPr>
            </w:pPr>
          </w:p>
        </w:tc>
        <w:tc>
          <w:tcPr>
            <w:tcW w:w="947" w:type="dxa"/>
          </w:tcPr>
          <w:p w14:paraId="20530D79">
            <w:pPr>
              <w:pStyle w:val="16"/>
              <w:spacing w:before="31" w:after="31"/>
              <w:ind w:firstLine="0" w:firstLineChars="0"/>
              <w:rPr>
                <w:szCs w:val="24"/>
              </w:rPr>
            </w:pPr>
          </w:p>
        </w:tc>
        <w:tc>
          <w:tcPr>
            <w:tcW w:w="947" w:type="dxa"/>
          </w:tcPr>
          <w:p w14:paraId="2D38964D">
            <w:pPr>
              <w:pStyle w:val="16"/>
              <w:spacing w:before="31" w:after="31"/>
              <w:ind w:firstLine="0" w:firstLineChars="0"/>
              <w:rPr>
                <w:szCs w:val="24"/>
              </w:rPr>
            </w:pPr>
          </w:p>
        </w:tc>
        <w:tc>
          <w:tcPr>
            <w:tcW w:w="947" w:type="dxa"/>
          </w:tcPr>
          <w:p w14:paraId="6EEADC6A">
            <w:pPr>
              <w:pStyle w:val="16"/>
              <w:spacing w:before="31" w:after="31"/>
              <w:ind w:firstLine="0" w:firstLineChars="0"/>
              <w:rPr>
                <w:szCs w:val="24"/>
              </w:rPr>
            </w:pPr>
          </w:p>
        </w:tc>
      </w:tr>
      <w:tr w14:paraId="4F2E6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5B58A135">
            <w:pPr>
              <w:pStyle w:val="16"/>
              <w:spacing w:before="31" w:after="31"/>
              <w:ind w:firstLine="0" w:firstLineChars="0"/>
              <w:rPr>
                <w:szCs w:val="24"/>
              </w:rPr>
            </w:pPr>
            <w:r>
              <w:rPr>
                <w:szCs w:val="24"/>
              </w:rPr>
              <w:t>Sample</w:t>
            </w:r>
          </w:p>
        </w:tc>
        <w:tc>
          <w:tcPr>
            <w:tcW w:w="947" w:type="dxa"/>
          </w:tcPr>
          <w:p w14:paraId="722D55CD">
            <w:pPr>
              <w:pStyle w:val="16"/>
              <w:spacing w:before="31" w:after="31"/>
              <w:ind w:firstLine="0" w:firstLineChars="0"/>
              <w:rPr>
                <w:szCs w:val="24"/>
              </w:rPr>
            </w:pPr>
            <w:r>
              <w:rPr>
                <w:szCs w:val="24"/>
              </w:rPr>
              <w:t>2</w:t>
            </w:r>
          </w:p>
        </w:tc>
        <w:tc>
          <w:tcPr>
            <w:tcW w:w="947" w:type="dxa"/>
          </w:tcPr>
          <w:p w14:paraId="50419AB9">
            <w:pPr>
              <w:pStyle w:val="16"/>
              <w:spacing w:before="31" w:after="31"/>
              <w:ind w:firstLine="0" w:firstLineChars="0"/>
              <w:rPr>
                <w:szCs w:val="24"/>
              </w:rPr>
            </w:pPr>
            <w:r>
              <w:rPr>
                <w:szCs w:val="24"/>
              </w:rPr>
              <w:t>120.6</w:t>
            </w:r>
          </w:p>
        </w:tc>
        <w:tc>
          <w:tcPr>
            <w:tcW w:w="947" w:type="dxa"/>
          </w:tcPr>
          <w:p w14:paraId="7FD991C8">
            <w:pPr>
              <w:pStyle w:val="16"/>
              <w:spacing w:before="31" w:after="31"/>
              <w:ind w:firstLine="0" w:firstLineChars="0"/>
              <w:rPr>
                <w:szCs w:val="24"/>
              </w:rPr>
            </w:pPr>
            <w:r>
              <w:rPr>
                <w:szCs w:val="24"/>
              </w:rPr>
              <w:t>9.47</w:t>
            </w:r>
          </w:p>
        </w:tc>
        <w:tc>
          <w:tcPr>
            <w:tcW w:w="947" w:type="dxa"/>
          </w:tcPr>
          <w:p w14:paraId="58BA990B">
            <w:pPr>
              <w:pStyle w:val="16"/>
              <w:spacing w:before="31" w:after="31"/>
              <w:ind w:firstLine="0" w:firstLineChars="0"/>
              <w:rPr>
                <w:szCs w:val="24"/>
              </w:rPr>
            </w:pPr>
            <w:r>
              <w:rPr>
                <w:szCs w:val="24"/>
              </w:rPr>
              <w:t>4.33</w:t>
            </w:r>
          </w:p>
        </w:tc>
        <w:tc>
          <w:tcPr>
            <w:tcW w:w="947" w:type="dxa"/>
          </w:tcPr>
          <w:p w14:paraId="098E30B6">
            <w:pPr>
              <w:pStyle w:val="16"/>
              <w:spacing w:before="31" w:after="31"/>
              <w:ind w:firstLine="0" w:firstLineChars="0"/>
              <w:rPr>
                <w:szCs w:val="24"/>
              </w:rPr>
            </w:pPr>
          </w:p>
        </w:tc>
        <w:tc>
          <w:tcPr>
            <w:tcW w:w="947" w:type="dxa"/>
          </w:tcPr>
          <w:p w14:paraId="2EEF774E">
            <w:pPr>
              <w:pStyle w:val="16"/>
              <w:spacing w:before="31" w:after="31"/>
              <w:ind w:firstLine="0" w:firstLineChars="0"/>
              <w:rPr>
                <w:szCs w:val="24"/>
              </w:rPr>
            </w:pPr>
          </w:p>
        </w:tc>
        <w:tc>
          <w:tcPr>
            <w:tcW w:w="947" w:type="dxa"/>
          </w:tcPr>
          <w:p w14:paraId="33C0C63A">
            <w:pPr>
              <w:pStyle w:val="16"/>
              <w:spacing w:before="31" w:after="31"/>
              <w:ind w:firstLine="0" w:firstLineChars="0"/>
              <w:rPr>
                <w:szCs w:val="24"/>
              </w:rPr>
            </w:pPr>
          </w:p>
        </w:tc>
        <w:tc>
          <w:tcPr>
            <w:tcW w:w="947" w:type="dxa"/>
          </w:tcPr>
          <w:p w14:paraId="05815F36">
            <w:pPr>
              <w:pStyle w:val="16"/>
              <w:spacing w:before="31" w:after="31"/>
              <w:ind w:firstLine="0" w:firstLineChars="0"/>
              <w:rPr>
                <w:szCs w:val="24"/>
              </w:rPr>
            </w:pPr>
          </w:p>
        </w:tc>
      </w:tr>
      <w:tr w14:paraId="3C530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413FA051">
            <w:pPr>
              <w:pStyle w:val="16"/>
              <w:spacing w:before="31" w:after="31"/>
              <w:ind w:firstLine="0" w:firstLineChars="0"/>
              <w:rPr>
                <w:szCs w:val="24"/>
              </w:rPr>
            </w:pPr>
            <w:r>
              <w:rPr>
                <w:szCs w:val="24"/>
              </w:rPr>
              <w:t>Sample</w:t>
            </w:r>
          </w:p>
        </w:tc>
        <w:tc>
          <w:tcPr>
            <w:tcW w:w="947" w:type="dxa"/>
          </w:tcPr>
          <w:p w14:paraId="40F62A9A">
            <w:pPr>
              <w:pStyle w:val="16"/>
              <w:spacing w:before="31" w:after="31"/>
              <w:ind w:firstLine="0" w:firstLineChars="0"/>
              <w:rPr>
                <w:szCs w:val="24"/>
              </w:rPr>
            </w:pPr>
            <w:r>
              <w:rPr>
                <w:szCs w:val="24"/>
              </w:rPr>
              <w:t>3</w:t>
            </w:r>
          </w:p>
        </w:tc>
        <w:tc>
          <w:tcPr>
            <w:tcW w:w="947" w:type="dxa"/>
          </w:tcPr>
          <w:p w14:paraId="3ECD345B">
            <w:pPr>
              <w:pStyle w:val="16"/>
              <w:spacing w:before="31" w:after="31"/>
              <w:ind w:firstLine="0" w:firstLineChars="0"/>
              <w:rPr>
                <w:szCs w:val="24"/>
              </w:rPr>
            </w:pPr>
            <w:r>
              <w:rPr>
                <w:szCs w:val="24"/>
              </w:rPr>
              <w:t>115.5</w:t>
            </w:r>
          </w:p>
        </w:tc>
        <w:tc>
          <w:tcPr>
            <w:tcW w:w="947" w:type="dxa"/>
          </w:tcPr>
          <w:p w14:paraId="615E5BCD">
            <w:pPr>
              <w:pStyle w:val="16"/>
              <w:spacing w:before="31" w:after="31"/>
              <w:ind w:firstLine="0" w:firstLineChars="0"/>
              <w:rPr>
                <w:szCs w:val="24"/>
              </w:rPr>
            </w:pPr>
            <w:r>
              <w:rPr>
                <w:szCs w:val="24"/>
              </w:rPr>
              <w:t>9.07</w:t>
            </w:r>
          </w:p>
        </w:tc>
        <w:tc>
          <w:tcPr>
            <w:tcW w:w="947" w:type="dxa"/>
          </w:tcPr>
          <w:p w14:paraId="7BF4B204">
            <w:pPr>
              <w:pStyle w:val="16"/>
              <w:spacing w:before="31" w:after="31"/>
              <w:ind w:firstLine="0" w:firstLineChars="0"/>
              <w:rPr>
                <w:szCs w:val="24"/>
              </w:rPr>
            </w:pPr>
            <w:r>
              <w:rPr>
                <w:szCs w:val="24"/>
              </w:rPr>
              <w:t>1.68</w:t>
            </w:r>
          </w:p>
        </w:tc>
        <w:tc>
          <w:tcPr>
            <w:tcW w:w="947" w:type="dxa"/>
          </w:tcPr>
          <w:p w14:paraId="755E4EE4">
            <w:pPr>
              <w:pStyle w:val="16"/>
              <w:spacing w:before="31" w:after="31"/>
              <w:ind w:firstLine="0" w:firstLineChars="0"/>
              <w:rPr>
                <w:szCs w:val="24"/>
              </w:rPr>
            </w:pPr>
          </w:p>
        </w:tc>
        <w:tc>
          <w:tcPr>
            <w:tcW w:w="947" w:type="dxa"/>
          </w:tcPr>
          <w:p w14:paraId="3E058261">
            <w:pPr>
              <w:pStyle w:val="16"/>
              <w:spacing w:before="31" w:after="31"/>
              <w:ind w:firstLine="0" w:firstLineChars="0"/>
              <w:rPr>
                <w:szCs w:val="24"/>
              </w:rPr>
            </w:pPr>
          </w:p>
        </w:tc>
        <w:tc>
          <w:tcPr>
            <w:tcW w:w="947" w:type="dxa"/>
          </w:tcPr>
          <w:p w14:paraId="74679F53">
            <w:pPr>
              <w:pStyle w:val="16"/>
              <w:spacing w:before="31" w:after="31"/>
              <w:ind w:firstLine="0" w:firstLineChars="0"/>
              <w:rPr>
                <w:szCs w:val="24"/>
              </w:rPr>
            </w:pPr>
          </w:p>
        </w:tc>
        <w:tc>
          <w:tcPr>
            <w:tcW w:w="947" w:type="dxa"/>
          </w:tcPr>
          <w:p w14:paraId="4658160F">
            <w:pPr>
              <w:pStyle w:val="16"/>
              <w:spacing w:before="31" w:after="31"/>
              <w:ind w:firstLine="0" w:firstLineChars="0"/>
              <w:rPr>
                <w:szCs w:val="24"/>
              </w:rPr>
            </w:pPr>
          </w:p>
        </w:tc>
      </w:tr>
      <w:tr w14:paraId="53B15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59585313">
            <w:pPr>
              <w:pStyle w:val="16"/>
              <w:spacing w:before="31" w:after="31"/>
              <w:ind w:firstLine="0" w:firstLineChars="0"/>
              <w:rPr>
                <w:szCs w:val="24"/>
              </w:rPr>
            </w:pPr>
            <w:r>
              <w:rPr>
                <w:szCs w:val="24"/>
              </w:rPr>
              <w:t>Average</w:t>
            </w:r>
          </w:p>
        </w:tc>
        <w:tc>
          <w:tcPr>
            <w:tcW w:w="947" w:type="dxa"/>
          </w:tcPr>
          <w:p w14:paraId="2C77D519">
            <w:pPr>
              <w:pStyle w:val="16"/>
              <w:spacing w:before="31" w:after="31"/>
              <w:ind w:firstLine="0" w:firstLineChars="0"/>
              <w:rPr>
                <w:szCs w:val="24"/>
              </w:rPr>
            </w:pPr>
            <w:r>
              <w:rPr>
                <w:szCs w:val="24"/>
              </w:rPr>
              <w:t>117.3</w:t>
            </w:r>
          </w:p>
        </w:tc>
        <w:tc>
          <w:tcPr>
            <w:tcW w:w="947" w:type="dxa"/>
          </w:tcPr>
          <w:p w14:paraId="0C36E7B8">
            <w:pPr>
              <w:pStyle w:val="16"/>
              <w:spacing w:before="31" w:after="31"/>
              <w:ind w:firstLine="0" w:firstLineChars="0"/>
              <w:rPr>
                <w:szCs w:val="24"/>
              </w:rPr>
            </w:pPr>
            <w:r>
              <w:rPr>
                <w:szCs w:val="24"/>
              </w:rPr>
              <w:t>9.22</w:t>
            </w:r>
          </w:p>
        </w:tc>
        <w:tc>
          <w:tcPr>
            <w:tcW w:w="947" w:type="dxa"/>
          </w:tcPr>
          <w:p w14:paraId="316423D5">
            <w:pPr>
              <w:pStyle w:val="16"/>
              <w:spacing w:before="31" w:after="31"/>
              <w:ind w:firstLine="0" w:firstLineChars="0"/>
              <w:rPr>
                <w:szCs w:val="24"/>
              </w:rPr>
            </w:pPr>
            <w:r>
              <w:rPr>
                <w:szCs w:val="24"/>
              </w:rPr>
              <w:t>3.16</w:t>
            </w:r>
          </w:p>
        </w:tc>
        <w:tc>
          <w:tcPr>
            <w:tcW w:w="947" w:type="dxa"/>
          </w:tcPr>
          <w:p w14:paraId="69BF7FBD">
            <w:pPr>
              <w:pStyle w:val="16"/>
              <w:spacing w:before="31" w:after="31"/>
              <w:ind w:firstLine="0" w:firstLineChars="0"/>
              <w:rPr>
                <w:szCs w:val="24"/>
              </w:rPr>
            </w:pPr>
          </w:p>
        </w:tc>
        <w:tc>
          <w:tcPr>
            <w:tcW w:w="947" w:type="dxa"/>
          </w:tcPr>
          <w:p w14:paraId="72945BEF">
            <w:pPr>
              <w:pStyle w:val="16"/>
              <w:spacing w:before="31" w:after="31"/>
              <w:ind w:firstLine="0" w:firstLineChars="0"/>
              <w:rPr>
                <w:szCs w:val="24"/>
              </w:rPr>
            </w:pPr>
          </w:p>
        </w:tc>
        <w:tc>
          <w:tcPr>
            <w:tcW w:w="947" w:type="dxa"/>
          </w:tcPr>
          <w:p w14:paraId="4097DDB4">
            <w:pPr>
              <w:pStyle w:val="16"/>
              <w:spacing w:before="31" w:after="31"/>
              <w:ind w:firstLine="0" w:firstLineChars="0"/>
              <w:rPr>
                <w:szCs w:val="24"/>
              </w:rPr>
            </w:pPr>
          </w:p>
        </w:tc>
        <w:tc>
          <w:tcPr>
            <w:tcW w:w="947" w:type="dxa"/>
          </w:tcPr>
          <w:p w14:paraId="1D21223A">
            <w:pPr>
              <w:pStyle w:val="16"/>
              <w:spacing w:before="31" w:after="31"/>
              <w:ind w:firstLine="0" w:firstLineChars="0"/>
              <w:rPr>
                <w:szCs w:val="24"/>
              </w:rPr>
            </w:pPr>
          </w:p>
        </w:tc>
        <w:tc>
          <w:tcPr>
            <w:tcW w:w="947" w:type="dxa"/>
          </w:tcPr>
          <w:p w14:paraId="1B2ACAC3">
            <w:pPr>
              <w:pStyle w:val="16"/>
              <w:spacing w:before="31" w:after="31"/>
              <w:ind w:firstLine="0" w:firstLineChars="0"/>
              <w:rPr>
                <w:szCs w:val="24"/>
              </w:rPr>
            </w:pPr>
          </w:p>
        </w:tc>
      </w:tr>
    </w:tbl>
    <w:p w14:paraId="70EBA34B">
      <w:pPr>
        <w:pStyle w:val="16"/>
        <w:spacing w:before="31" w:after="31"/>
        <w:ind w:firstLine="480"/>
        <w:rPr>
          <w:szCs w:val="24"/>
        </w:rPr>
      </w:pPr>
    </w:p>
    <w:p w14:paraId="1AE45F06">
      <w:pPr>
        <w:pStyle w:val="16"/>
        <w:spacing w:before="31" w:after="31"/>
        <w:ind w:firstLine="480"/>
        <w:rPr>
          <w:szCs w:val="24"/>
        </w:rPr>
      </w:pPr>
      <w:r>
        <w:rPr>
          <w:szCs w:val="24"/>
        </w:rPr>
        <w:t>(b) Microstructure</w:t>
      </w:r>
    </w:p>
    <w:p w14:paraId="461E1683">
      <w:pPr>
        <w:pStyle w:val="16"/>
        <w:spacing w:before="31" w:after="31"/>
        <w:ind w:firstLine="480"/>
        <w:rPr>
          <w:rFonts w:hint="eastAsia"/>
          <w:szCs w:val="24"/>
        </w:rPr>
      </w:pPr>
      <w:r>
        <w:rPr>
          <w:rFonts w:hint="eastAsia"/>
          <w:szCs w:val="24"/>
        </w:rPr>
        <w:t>① Main Clutch</w:t>
      </w:r>
    </w:p>
    <w:p w14:paraId="0B527550">
      <w:pPr>
        <w:pStyle w:val="16"/>
        <w:spacing w:before="31" w:after="31"/>
        <w:ind w:firstLine="480"/>
        <w:rPr>
          <w:szCs w:val="24"/>
        </w:rPr>
      </w:pPr>
      <w:r>
        <w:rPr>
          <w:szCs w:val="24"/>
        </w:rPr>
        <w:t>The microstructure near the fracture of the main clutch remnants without erosion is shown in Figure 9-2.1. The secondary cracks at the fracture site extend radially towards the center along the stripe graphite and casting defects.</w:t>
      </w:r>
    </w:p>
    <w:p w14:paraId="756B29BE">
      <w:pPr>
        <w:pStyle w:val="16"/>
        <w:spacing w:before="31" w:after="31"/>
        <w:ind w:firstLine="482"/>
        <w:jc w:val="center"/>
        <w:rPr>
          <w:b/>
          <w:bCs/>
          <w:szCs w:val="24"/>
        </w:rPr>
      </w:pPr>
    </w:p>
    <w:p w14:paraId="2B2D5A42">
      <w:pPr>
        <w:pStyle w:val="16"/>
        <w:spacing w:before="31" w:after="31"/>
        <w:ind w:firstLine="482"/>
        <w:jc w:val="center"/>
        <w:rPr>
          <w:b/>
          <w:bCs/>
          <w:szCs w:val="24"/>
        </w:rPr>
      </w:pPr>
      <w:r>
        <w:rPr>
          <w:b/>
          <w:bCs/>
          <w:szCs w:val="24"/>
        </w:rPr>
        <w:t>Figure 9-2.1 Microstructure Near Fracture of Main Clutch</w:t>
      </w:r>
    </w:p>
    <w:p w14:paraId="05EC4FC0">
      <w:pPr>
        <w:pStyle w:val="16"/>
        <w:spacing w:before="31" w:after="31"/>
        <w:ind w:firstLine="480"/>
        <w:rPr>
          <w:szCs w:val="24"/>
        </w:rPr>
      </w:pPr>
    </w:p>
    <w:p w14:paraId="55BC2DF3">
      <w:pPr>
        <w:pStyle w:val="16"/>
        <w:spacing w:before="31" w:after="31"/>
        <w:ind w:firstLine="480"/>
        <w:rPr>
          <w:szCs w:val="24"/>
        </w:rPr>
      </w:pPr>
      <w:r>
        <w:rPr>
          <w:szCs w:val="24"/>
        </w:rPr>
        <w:t>After erosion, the microstructure of the main clutch is shown in Figure 9-2.2. The material has an uneven structure, consisting of coarse lamellar pearlite, ferrite, graphite, and a small amount of phosphorus eutectic, with a pearlite content of about 40% to 50%.</w:t>
      </w:r>
    </w:p>
    <w:p w14:paraId="2F3B9BC5">
      <w:pPr>
        <w:pStyle w:val="16"/>
        <w:spacing w:before="31" w:after="31"/>
        <w:ind w:firstLine="482"/>
        <w:jc w:val="center"/>
        <w:rPr>
          <w:b/>
          <w:bCs/>
          <w:szCs w:val="24"/>
        </w:rPr>
      </w:pPr>
    </w:p>
    <w:p w14:paraId="1CD39BE7">
      <w:pPr>
        <w:pStyle w:val="16"/>
        <w:spacing w:before="31" w:after="31"/>
        <w:ind w:firstLine="482"/>
        <w:jc w:val="center"/>
        <w:rPr>
          <w:b/>
          <w:bCs/>
          <w:szCs w:val="24"/>
        </w:rPr>
      </w:pPr>
      <w:r>
        <w:rPr>
          <w:b/>
          <w:bCs/>
          <w:szCs w:val="24"/>
        </w:rPr>
        <w:t>Figure 9-2.2 Microstructure of Main Clutch After Erosion</w:t>
      </w:r>
    </w:p>
    <w:p w14:paraId="7D109D65">
      <w:pPr>
        <w:pStyle w:val="16"/>
        <w:spacing w:before="31" w:after="31"/>
        <w:ind w:firstLine="480"/>
        <w:rPr>
          <w:szCs w:val="24"/>
        </w:rPr>
      </w:pPr>
    </w:p>
    <w:p w14:paraId="0173198A">
      <w:pPr>
        <w:pStyle w:val="16"/>
        <w:spacing w:before="31" w:after="31"/>
        <w:ind w:firstLine="480"/>
        <w:rPr>
          <w:rFonts w:hint="eastAsia"/>
          <w:szCs w:val="24"/>
        </w:rPr>
      </w:pPr>
      <w:r>
        <w:rPr>
          <w:rFonts w:hint="eastAsia"/>
          <w:szCs w:val="24"/>
        </w:rPr>
        <w:t>② Auxiliary Clutch</w:t>
      </w:r>
    </w:p>
    <w:p w14:paraId="37A781B3">
      <w:pPr>
        <w:pStyle w:val="16"/>
        <w:spacing w:before="31" w:after="31"/>
        <w:ind w:firstLine="480"/>
        <w:rPr>
          <w:szCs w:val="24"/>
        </w:rPr>
      </w:pPr>
      <w:r>
        <w:rPr>
          <w:szCs w:val="24"/>
        </w:rPr>
        <w:t>The axial and radial structures of the auxiliary clutch remnants near the fracture are shown in Figure 9-2.3, where the graphite exhibits an A-type pattern, with a graphite length of approximately 2-3 grades, and there are black blocky cast defects in the material.</w:t>
      </w:r>
    </w:p>
    <w:p w14:paraId="30277D35">
      <w:pPr>
        <w:pStyle w:val="16"/>
        <w:spacing w:before="31" w:after="31"/>
        <w:ind w:firstLine="480"/>
        <w:rPr>
          <w:szCs w:val="24"/>
        </w:rPr>
      </w:pPr>
    </w:p>
    <w:p w14:paraId="3620A6B9">
      <w:pPr>
        <w:pStyle w:val="16"/>
        <w:spacing w:before="31" w:after="31"/>
        <w:ind w:firstLine="480"/>
        <w:rPr>
          <w:szCs w:val="24"/>
        </w:rPr>
      </w:pPr>
    </w:p>
    <w:p w14:paraId="75FB1CA3">
      <w:pPr>
        <w:pStyle w:val="16"/>
        <w:spacing w:before="31" w:after="31"/>
        <w:ind w:firstLine="482"/>
        <w:jc w:val="center"/>
        <w:rPr>
          <w:b/>
          <w:bCs/>
          <w:szCs w:val="24"/>
        </w:rPr>
      </w:pPr>
      <w:r>
        <w:rPr>
          <w:b/>
          <w:bCs/>
          <w:szCs w:val="24"/>
        </w:rPr>
        <w:t>Figure 9-2.3 Axial Microstructure of Auxiliary Clutch Near Fracture</w:t>
      </w:r>
    </w:p>
    <w:p w14:paraId="3D8696DF">
      <w:pPr>
        <w:pStyle w:val="16"/>
        <w:spacing w:before="31" w:after="31"/>
        <w:ind w:firstLine="480"/>
        <w:rPr>
          <w:szCs w:val="24"/>
        </w:rPr>
      </w:pPr>
    </w:p>
    <w:p w14:paraId="6F56B403">
      <w:pPr>
        <w:pStyle w:val="16"/>
        <w:spacing w:before="31" w:after="31"/>
        <w:ind w:firstLine="480"/>
        <w:rPr>
          <w:szCs w:val="24"/>
        </w:rPr>
      </w:pPr>
      <w:r>
        <w:rPr>
          <w:szCs w:val="24"/>
        </w:rPr>
        <w:t>After erosion, the microstructure of the auxiliary clutch is shown in Figure 9-2.4. The structure is similar to the main clutch's metallographic structure, but with less pearlite, below 30%.</w:t>
      </w:r>
    </w:p>
    <w:p w14:paraId="6C44D079">
      <w:pPr>
        <w:pStyle w:val="16"/>
        <w:spacing w:before="31" w:after="31"/>
        <w:ind w:firstLine="482"/>
        <w:jc w:val="center"/>
        <w:rPr>
          <w:b/>
          <w:bCs/>
          <w:szCs w:val="24"/>
        </w:rPr>
      </w:pPr>
    </w:p>
    <w:p w14:paraId="26FE95B0">
      <w:pPr>
        <w:pStyle w:val="16"/>
        <w:spacing w:before="31" w:after="31"/>
        <w:ind w:firstLine="482"/>
        <w:jc w:val="center"/>
        <w:rPr>
          <w:b/>
          <w:bCs/>
          <w:szCs w:val="24"/>
        </w:rPr>
      </w:pPr>
      <w:r>
        <w:rPr>
          <w:b/>
          <w:bCs/>
          <w:szCs w:val="24"/>
        </w:rPr>
        <w:t>Figure 9-2.4 Microstructure of Auxiliary Clutch After Erosion</w:t>
      </w:r>
    </w:p>
    <w:p w14:paraId="0FC151CA">
      <w:pPr>
        <w:pStyle w:val="16"/>
        <w:spacing w:before="31" w:after="31"/>
        <w:ind w:firstLine="480"/>
        <w:rPr>
          <w:szCs w:val="24"/>
        </w:rPr>
      </w:pPr>
    </w:p>
    <w:p w14:paraId="066B657D">
      <w:pPr>
        <w:pStyle w:val="16"/>
        <w:spacing w:before="31" w:after="31"/>
        <w:ind w:firstLine="480"/>
        <w:rPr>
          <w:szCs w:val="24"/>
        </w:rPr>
      </w:pPr>
      <w:r>
        <w:rPr>
          <w:szCs w:val="24"/>
        </w:rPr>
        <w:t>(5) Component Failure Morphology</w:t>
      </w:r>
    </w:p>
    <w:p w14:paraId="61211B3D">
      <w:pPr>
        <w:pStyle w:val="16"/>
        <w:spacing w:before="31" w:after="31"/>
        <w:ind w:firstLine="480"/>
        <w:rPr>
          <w:szCs w:val="24"/>
        </w:rPr>
      </w:pPr>
      <w:r>
        <w:rPr>
          <w:szCs w:val="24"/>
        </w:rPr>
        <w:t>(a) Macroscopic Appearance</w:t>
      </w:r>
    </w:p>
    <w:p w14:paraId="4E1EE128">
      <w:pPr>
        <w:pStyle w:val="16"/>
        <w:spacing w:before="31" w:after="31"/>
        <w:ind w:firstLine="480"/>
        <w:rPr>
          <w:szCs w:val="24"/>
        </w:rPr>
      </w:pPr>
      <w:r>
        <w:rPr>
          <w:szCs w:val="24"/>
        </w:rPr>
        <w:t>The external appearance of the brake wheel's main and auxiliary clutch remnants is shown in Figure 9-2.5. The main clutch is shown in (a), broken into two pieces, and the auxiliary clutch is shown in (b), with one detached brake claw. The arrow B indicates the fracture site of the brake claw, and the arrow K indicates the fractured and dislodged brake claw now placed on the remnants of the auxiliary clutch. Both main and auxiliary clutch remnants' surfaces, especially the fracture surfaces, are heavily contaminated with mud and sand, and there are significant deep yellow rust stains. The edges of the fracture surface where the brake claw broke off from the auxiliary clutch show blunting, and the fracture surfaces are severely damaged and contaminated.</w:t>
      </w:r>
    </w:p>
    <w:p w14:paraId="11B087E3">
      <w:pPr>
        <w:pStyle w:val="16"/>
        <w:spacing w:before="31" w:after="31"/>
        <w:ind w:firstLine="482"/>
        <w:jc w:val="center"/>
        <w:rPr>
          <w:b/>
          <w:bCs/>
          <w:szCs w:val="24"/>
        </w:rPr>
      </w:pPr>
    </w:p>
    <w:p w14:paraId="3C59C676">
      <w:pPr>
        <w:pStyle w:val="16"/>
        <w:spacing w:before="31" w:after="31"/>
        <w:ind w:firstLine="482"/>
        <w:jc w:val="center"/>
        <w:rPr>
          <w:b/>
          <w:bCs/>
          <w:szCs w:val="24"/>
        </w:rPr>
      </w:pPr>
      <w:r>
        <w:rPr>
          <w:b/>
          <w:bCs/>
          <w:szCs w:val="24"/>
        </w:rPr>
        <w:t>Figure 9-2.5 Brake Wheel Main Clutch (a) and Auxiliary Clutch (b) Appearance</w:t>
      </w:r>
    </w:p>
    <w:p w14:paraId="5B1F8325">
      <w:pPr>
        <w:pStyle w:val="16"/>
        <w:spacing w:before="31" w:after="31"/>
        <w:ind w:firstLine="480"/>
        <w:rPr>
          <w:szCs w:val="24"/>
        </w:rPr>
      </w:pPr>
    </w:p>
    <w:p w14:paraId="62F6F9F5">
      <w:pPr>
        <w:pStyle w:val="16"/>
        <w:spacing w:before="31" w:after="31"/>
        <w:ind w:firstLine="480"/>
        <w:rPr>
          <w:szCs w:val="24"/>
        </w:rPr>
      </w:pPr>
      <w:r>
        <w:rPr>
          <w:szCs w:val="24"/>
        </w:rPr>
        <w:t>(b) Microscopic Appearance</w:t>
      </w:r>
    </w:p>
    <w:p w14:paraId="37E00BD7">
      <w:pPr>
        <w:pStyle w:val="16"/>
        <w:spacing w:before="31" w:after="31"/>
        <w:ind w:firstLine="480"/>
        <w:rPr>
          <w:rFonts w:hint="eastAsia"/>
          <w:szCs w:val="24"/>
        </w:rPr>
      </w:pPr>
      <w:r>
        <w:rPr>
          <w:rFonts w:hint="eastAsia"/>
          <w:szCs w:val="24"/>
        </w:rPr>
        <w:t>① Main Clutch</w:t>
      </w:r>
    </w:p>
    <w:p w14:paraId="2932F6CC">
      <w:pPr>
        <w:pStyle w:val="16"/>
        <w:spacing w:before="31" w:after="31"/>
        <w:ind w:firstLine="480"/>
        <w:rPr>
          <w:szCs w:val="24"/>
        </w:rPr>
      </w:pPr>
      <w:r>
        <w:rPr>
          <w:szCs w:val="24"/>
        </w:rPr>
        <w:t>The fracture surface of the main clutch is shown in Figure 9-2.6, where (a) depicts the morphology of the fracture edge, with secondary cracks starting from the surface of the casting. (b) shows the morphology about 6 mm away from the fracture edge, exhibiting a sugary block pattern and secondary cracks along the grain boundaries. (c) displays the existence of microscopic shrinkage voids with a morphology similar to (a) and (b). The fracture surfaces exhibit characteristics of cleavage, quasi-cleavage, and brittle fracture of the microstructure.</w:t>
      </w:r>
    </w:p>
    <w:p w14:paraId="6AFF290A">
      <w:pPr>
        <w:pStyle w:val="16"/>
        <w:spacing w:before="31" w:after="31"/>
        <w:ind w:firstLine="482"/>
        <w:jc w:val="center"/>
        <w:rPr>
          <w:b/>
          <w:bCs/>
          <w:szCs w:val="24"/>
        </w:rPr>
      </w:pPr>
      <w:r>
        <w:rPr>
          <w:b/>
          <w:bCs/>
          <w:szCs w:val="24"/>
        </w:rPr>
        <w:t>Figure 9-2.6 SEM Morphology of Main Clutch Fracture Surface</w:t>
      </w:r>
    </w:p>
    <w:p w14:paraId="59D6498F">
      <w:pPr>
        <w:pStyle w:val="16"/>
        <w:spacing w:before="31" w:after="31"/>
        <w:ind w:firstLine="480"/>
        <w:rPr>
          <w:szCs w:val="24"/>
        </w:rPr>
      </w:pPr>
    </w:p>
    <w:p w14:paraId="0CD0E691">
      <w:pPr>
        <w:pStyle w:val="16"/>
        <w:spacing w:before="31" w:after="31"/>
        <w:ind w:firstLine="480"/>
        <w:rPr>
          <w:rFonts w:hint="eastAsia"/>
          <w:szCs w:val="24"/>
        </w:rPr>
      </w:pPr>
      <w:r>
        <w:rPr>
          <w:rFonts w:hint="eastAsia"/>
          <w:szCs w:val="24"/>
        </w:rPr>
        <w:t>② Auxiliary Clutch</w:t>
      </w:r>
    </w:p>
    <w:p w14:paraId="452A0691">
      <w:pPr>
        <w:pStyle w:val="16"/>
        <w:spacing w:before="31" w:after="31"/>
        <w:ind w:firstLine="480"/>
        <w:rPr>
          <w:szCs w:val="24"/>
        </w:rPr>
      </w:pPr>
      <w:r>
        <w:rPr>
          <w:szCs w:val="24"/>
        </w:rPr>
        <w:t>The fracture surface of the auxiliary clutch, representing the fractured and dislodged brake claw, is shown in Figure 9-2.7. Here, (a), (d),</w:t>
      </w:r>
    </w:p>
    <w:p w14:paraId="784AC3DC">
      <w:pPr>
        <w:pStyle w:val="16"/>
        <w:spacing w:before="31" w:after="31"/>
        <w:ind w:firstLine="480"/>
        <w:rPr>
          <w:szCs w:val="24"/>
        </w:rPr>
      </w:pPr>
    </w:p>
    <w:p w14:paraId="6748D14C">
      <w:pPr>
        <w:pStyle w:val="16"/>
        <w:spacing w:before="31" w:after="31"/>
        <w:ind w:firstLine="480"/>
        <w:rPr>
          <w:szCs w:val="24"/>
        </w:rPr>
      </w:pPr>
      <w:r>
        <w:rPr>
          <w:szCs w:val="24"/>
        </w:rPr>
        <w:t xml:space="preserve"> and (c) show the morphology of the fracture edge, while (b) is a local magnification of (a). In (a), it can be observed that secondary cracks start from the outer surface of the fracture and then propagate along the grains. (b) exhibits a cellular structure belonging to casting defects and microfeatures of quasi-cleavage. (c) and (d) display the microscopic morphology of different zones in the middle of the fracture, sharing similar characteristics with the main clutch's fracture surface.</w:t>
      </w:r>
    </w:p>
    <w:p w14:paraId="55C3CBD4">
      <w:pPr>
        <w:pStyle w:val="16"/>
        <w:spacing w:before="31" w:after="31"/>
        <w:ind w:firstLine="482"/>
        <w:jc w:val="center"/>
        <w:rPr>
          <w:b/>
          <w:bCs/>
          <w:szCs w:val="24"/>
        </w:rPr>
      </w:pPr>
      <w:r>
        <w:rPr>
          <w:b/>
          <w:bCs/>
          <w:szCs w:val="24"/>
        </w:rPr>
        <w:t>Figure 9-2.7 SEM Morphology of Auxiliary Clutch Fracture Surface</w:t>
      </w:r>
    </w:p>
    <w:p w14:paraId="536F5D41">
      <w:pPr>
        <w:pStyle w:val="16"/>
        <w:spacing w:before="31" w:after="31"/>
        <w:ind w:firstLine="480"/>
        <w:rPr>
          <w:szCs w:val="24"/>
        </w:rPr>
      </w:pPr>
    </w:p>
    <w:p w14:paraId="72596D43">
      <w:pPr>
        <w:pStyle w:val="16"/>
        <w:spacing w:before="31" w:after="31"/>
        <w:ind w:firstLine="480"/>
        <w:rPr>
          <w:szCs w:val="24"/>
        </w:rPr>
      </w:pPr>
      <w:r>
        <w:rPr>
          <w:szCs w:val="24"/>
        </w:rPr>
        <w:t>(6) Analysis of Failure Causes</w:t>
      </w:r>
    </w:p>
    <w:p w14:paraId="6BC19DB2">
      <w:pPr>
        <w:pStyle w:val="16"/>
        <w:spacing w:before="31" w:after="31"/>
        <w:ind w:firstLine="480"/>
        <w:rPr>
          <w:szCs w:val="24"/>
        </w:rPr>
      </w:pPr>
      <w:r>
        <w:rPr>
          <w:szCs w:val="24"/>
        </w:rPr>
        <w:t>During the operation of the hoist, the main and auxiliary clutches of the brake wheel must frequently engage and disengage, subjecting the brake claws to repeated dynamic loads of impact stress, torsional stress, and shear stress in both directions. Therefore, the material of the clutch must have good metallurgical quality and mechanical properties to ensure the safe operation and sufficient service life of the hoist. Upon examination, it was found that the production and manufacturing process of the failed main and auxiliary clutch materials were similar to the chemical composition requirements and technical indicators of Chinese GB standard HT100 gray cast iron. However, this type of gray cast iron is the lowest-grade material in this series of gray cast irons, with low strength. It is generally suitable for manufacturing parts with low loads and no special requirements for friction and wear, such as covers, caps, handwheels, handles, brackets, base plates, and heavy hammers [1]. It is not suitable for making mechanical parts subjected to high dynamic loads, such as brake wheels and auxiliary clutches. Using this material for the construction hoist brake wheel's main and auxiliary clutches, with uneven graphite lengths, predominantly long strip-shaped graphite, low hardness, and strength, and the presence of significant structural and localized casting defects, especially in the auxiliary clutch, resulted in early fracture failure under the actual operating conditions of the brake wheel. The fracture surfaces of both the main and auxiliary clutches exhibit features of cleavage, quasi-cleavage, and brittle fracture, starting from the casting surface and representing instantaneous brittle fracture. This situation is related to the material's structural defects and casting defects.</w:t>
      </w:r>
    </w:p>
    <w:p w14:paraId="7DCBA754">
      <w:pPr>
        <w:pStyle w:val="16"/>
        <w:spacing w:before="31" w:after="31"/>
        <w:ind w:firstLine="480"/>
        <w:rPr>
          <w:szCs w:val="24"/>
        </w:rPr>
      </w:pPr>
    </w:p>
    <w:p w14:paraId="08DF307D">
      <w:pPr>
        <w:pStyle w:val="16"/>
        <w:spacing w:before="31" w:after="31"/>
        <w:ind w:firstLine="480"/>
        <w:rPr>
          <w:szCs w:val="24"/>
        </w:rPr>
      </w:pPr>
      <w:r>
        <w:rPr>
          <w:szCs w:val="24"/>
        </w:rPr>
        <w:t>(7) Consequences and Hazards</w:t>
      </w:r>
    </w:p>
    <w:p w14:paraId="7553DF55">
      <w:pPr>
        <w:pStyle w:val="16"/>
        <w:spacing w:before="31" w:after="31"/>
        <w:ind w:firstLine="480"/>
        <w:rPr>
          <w:szCs w:val="24"/>
        </w:rPr>
      </w:pPr>
      <w:r>
        <w:rPr>
          <w:szCs w:val="24"/>
        </w:rPr>
        <w:t>The failure of one brake claw in the brake wheel of the hoist resulted in its detachment from the clutch, leading to a serious accident and causing injuries.</w:t>
      </w:r>
    </w:p>
    <w:p w14:paraId="2DABBB5D">
      <w:pPr>
        <w:pStyle w:val="16"/>
        <w:spacing w:before="31" w:after="31"/>
        <w:ind w:firstLine="480"/>
        <w:rPr>
          <w:szCs w:val="24"/>
        </w:rPr>
      </w:pPr>
    </w:p>
    <w:p w14:paraId="303F9F73">
      <w:pPr>
        <w:pStyle w:val="16"/>
        <w:spacing w:before="31" w:after="31"/>
        <w:ind w:firstLine="480"/>
        <w:rPr>
          <w:szCs w:val="24"/>
        </w:rPr>
      </w:pPr>
      <w:r>
        <w:rPr>
          <w:szCs w:val="24"/>
        </w:rPr>
        <w:t>(8) Conclusion and Improvement Measures</w:t>
      </w:r>
    </w:p>
    <w:p w14:paraId="7094982A">
      <w:pPr>
        <w:pStyle w:val="16"/>
        <w:spacing w:before="31" w:after="31"/>
        <w:ind w:firstLine="0" w:firstLineChars="0"/>
        <w:rPr>
          <w:szCs w:val="24"/>
        </w:rPr>
      </w:pPr>
      <w:r>
        <w:rPr>
          <w:szCs w:val="24"/>
        </w:rPr>
        <w:t>The material selection for the main and auxiliary clutches of the brake wheel was inappropriate in terms of grade and specification, failing to meet the operational requirements of the components. Additionally, the material exhibited structural defects and casting defects, particularly in the auxiliary clutch.</w:t>
      </w:r>
    </w:p>
    <w:p w14:paraId="423FE5B7">
      <w:pPr>
        <w:pStyle w:val="16"/>
        <w:spacing w:before="31" w:after="31"/>
        <w:ind w:firstLine="0" w:firstLineChars="0"/>
        <w:rPr>
          <w:b/>
          <w:bCs/>
          <w:szCs w:val="24"/>
        </w:rPr>
      </w:pPr>
      <w:r>
        <w:rPr>
          <w:b/>
          <w:bCs/>
          <w:szCs w:val="24"/>
        </w:rPr>
        <w:t>9.2.3 Case 9-3: Fracture Failure of Connecting Bolt</w:t>
      </w:r>
    </w:p>
    <w:p w14:paraId="285C80D6">
      <w:pPr>
        <w:pStyle w:val="16"/>
        <w:spacing w:before="31" w:after="31"/>
        <w:ind w:firstLine="480"/>
        <w:rPr>
          <w:szCs w:val="24"/>
        </w:rPr>
      </w:pPr>
    </w:p>
    <w:p w14:paraId="7FC76608">
      <w:pPr>
        <w:pStyle w:val="16"/>
        <w:spacing w:before="31" w:after="31"/>
        <w:ind w:firstLine="480"/>
        <w:rPr>
          <w:szCs w:val="24"/>
        </w:rPr>
      </w:pPr>
      <w:r>
        <w:rPr>
          <w:szCs w:val="24"/>
        </w:rPr>
        <w:t>(1) Case Name</w:t>
      </w:r>
    </w:p>
    <w:p w14:paraId="1FA24E60">
      <w:pPr>
        <w:pStyle w:val="16"/>
        <w:spacing w:before="31" w:after="31"/>
        <w:ind w:firstLine="480"/>
        <w:rPr>
          <w:szCs w:val="24"/>
        </w:rPr>
      </w:pPr>
      <w:r>
        <w:rPr>
          <w:szCs w:val="24"/>
        </w:rPr>
        <w:t>Failure Analysis of Connecting Bolt Fracture [3]</w:t>
      </w:r>
    </w:p>
    <w:p w14:paraId="30A569F4">
      <w:pPr>
        <w:pStyle w:val="16"/>
        <w:spacing w:before="31" w:after="31"/>
        <w:ind w:firstLine="480"/>
        <w:rPr>
          <w:szCs w:val="24"/>
        </w:rPr>
      </w:pPr>
    </w:p>
    <w:p w14:paraId="54DE8E81">
      <w:pPr>
        <w:pStyle w:val="16"/>
        <w:spacing w:before="31" w:after="31"/>
        <w:ind w:firstLine="480"/>
        <w:rPr>
          <w:szCs w:val="24"/>
        </w:rPr>
      </w:pPr>
      <w:r>
        <w:rPr>
          <w:szCs w:val="24"/>
        </w:rPr>
        <w:t>(2) Failure Process Description</w:t>
      </w:r>
    </w:p>
    <w:p w14:paraId="790DD509">
      <w:pPr>
        <w:pStyle w:val="16"/>
        <w:spacing w:before="31" w:after="31"/>
        <w:ind w:firstLine="480"/>
        <w:rPr>
          <w:szCs w:val="24"/>
        </w:rPr>
      </w:pPr>
      <w:r>
        <w:rPr>
          <w:szCs w:val="24"/>
        </w:rPr>
        <w:t>The bolt experienced fracture approximately 19 months after being put into use.</w:t>
      </w:r>
    </w:p>
    <w:p w14:paraId="22B2A2DF">
      <w:pPr>
        <w:pStyle w:val="16"/>
        <w:spacing w:before="31" w:after="31"/>
        <w:ind w:firstLine="480"/>
        <w:rPr>
          <w:szCs w:val="24"/>
        </w:rPr>
      </w:pPr>
    </w:p>
    <w:p w14:paraId="3A1F0E5E">
      <w:pPr>
        <w:pStyle w:val="16"/>
        <w:spacing w:before="31" w:after="31"/>
        <w:ind w:firstLine="480"/>
        <w:rPr>
          <w:szCs w:val="24"/>
        </w:rPr>
      </w:pPr>
      <w:r>
        <w:rPr>
          <w:szCs w:val="24"/>
        </w:rPr>
        <w:t>(3) Component Service Environment</w:t>
      </w:r>
    </w:p>
    <w:p w14:paraId="5476FF51">
      <w:pPr>
        <w:pStyle w:val="16"/>
        <w:spacing w:before="31" w:after="31"/>
        <w:ind w:firstLine="480"/>
        <w:rPr>
          <w:szCs w:val="24"/>
        </w:rPr>
      </w:pPr>
      <w:r>
        <w:rPr>
          <w:szCs w:val="24"/>
        </w:rPr>
        <w:t>The bolt primarily connects containers and valves. The container contains deionized water with a design pressure of 0.6 MPa and a temperature of around 100°C. The threaded part of the bolt is immersed in deionized water inside the container.</w:t>
      </w:r>
    </w:p>
    <w:p w14:paraId="742DB817">
      <w:pPr>
        <w:pStyle w:val="16"/>
        <w:spacing w:before="31" w:after="31"/>
        <w:ind w:firstLine="480"/>
        <w:rPr>
          <w:szCs w:val="24"/>
        </w:rPr>
      </w:pPr>
    </w:p>
    <w:p w14:paraId="18FC3941">
      <w:pPr>
        <w:pStyle w:val="16"/>
        <w:spacing w:before="31" w:after="31"/>
        <w:ind w:firstLine="480"/>
        <w:rPr>
          <w:szCs w:val="24"/>
        </w:rPr>
      </w:pPr>
      <w:r>
        <w:rPr>
          <w:szCs w:val="24"/>
        </w:rPr>
        <w:t>(4) Failed Component and Material</w:t>
      </w:r>
    </w:p>
    <w:p w14:paraId="1F2D1F7F">
      <w:pPr>
        <w:pStyle w:val="16"/>
        <w:spacing w:before="31" w:after="31"/>
        <w:ind w:firstLine="480"/>
        <w:rPr>
          <w:szCs w:val="24"/>
        </w:rPr>
      </w:pPr>
      <w:r>
        <w:rPr>
          <w:szCs w:val="24"/>
        </w:rPr>
        <w:t>(a) Material Type</w:t>
      </w:r>
    </w:p>
    <w:p w14:paraId="211E1D69">
      <w:pPr>
        <w:pStyle w:val="16"/>
        <w:spacing w:before="31" w:after="31"/>
        <w:ind w:firstLine="480"/>
        <w:rPr>
          <w:szCs w:val="24"/>
        </w:rPr>
      </w:pPr>
      <w:r>
        <w:rPr>
          <w:szCs w:val="24"/>
        </w:rPr>
        <w:t>The failed connecting bolt is made of 0Cr18Ni9, an austenitic stainless steel treated by solid solution.</w:t>
      </w:r>
    </w:p>
    <w:p w14:paraId="1B5B098E">
      <w:pPr>
        <w:pStyle w:val="16"/>
        <w:spacing w:before="31" w:after="31"/>
        <w:ind w:firstLine="480"/>
        <w:rPr>
          <w:szCs w:val="24"/>
        </w:rPr>
      </w:pPr>
    </w:p>
    <w:p w14:paraId="0E8A6036">
      <w:pPr>
        <w:pStyle w:val="16"/>
        <w:spacing w:before="31" w:after="31"/>
        <w:ind w:firstLine="480"/>
        <w:rPr>
          <w:szCs w:val="24"/>
        </w:rPr>
      </w:pPr>
      <w:r>
        <w:rPr>
          <w:szCs w:val="24"/>
        </w:rPr>
        <w:t>(b) Chemical Composition</w:t>
      </w:r>
    </w:p>
    <w:p w14:paraId="6D99A000">
      <w:pPr>
        <w:pStyle w:val="16"/>
        <w:spacing w:before="31" w:after="31"/>
        <w:ind w:firstLine="480"/>
        <w:rPr>
          <w:szCs w:val="24"/>
        </w:rPr>
      </w:pPr>
      <w:r>
        <w:rPr>
          <w:szCs w:val="24"/>
        </w:rPr>
        <w:t>The chemical composition of the component is shown in Table 9-4. The carbon and chromium elements in the bolt's chemical composition do not comply with the technical requirements of GB/T1220-1992 for 0Cr18Ni9 steel. The carbon element is higher, and the chromium element is lower than the standard values.</w:t>
      </w:r>
    </w:p>
    <w:p w14:paraId="399C1C88">
      <w:pPr>
        <w:pStyle w:val="16"/>
        <w:spacing w:before="31" w:after="31"/>
        <w:ind w:firstLine="480"/>
        <w:rPr>
          <w:szCs w:val="24"/>
        </w:rPr>
      </w:pPr>
    </w:p>
    <w:p w14:paraId="34FF630D">
      <w:pPr>
        <w:pStyle w:val="16"/>
        <w:spacing w:before="31" w:after="31"/>
        <w:ind w:firstLine="482"/>
        <w:jc w:val="center"/>
        <w:rPr>
          <w:b/>
          <w:bCs/>
          <w:szCs w:val="24"/>
        </w:rPr>
      </w:pPr>
      <w:r>
        <w:rPr>
          <w:b/>
          <w:bCs/>
          <w:szCs w:val="24"/>
        </w:rPr>
        <w:t>Table 9-4 Chemical Composition Analysis Results of Fractured Bolt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820"/>
        <w:gridCol w:w="888"/>
        <w:gridCol w:w="888"/>
        <w:gridCol w:w="820"/>
        <w:gridCol w:w="820"/>
        <w:gridCol w:w="1186"/>
        <w:gridCol w:w="1297"/>
      </w:tblGrid>
      <w:tr w14:paraId="16F5D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3AF63722">
            <w:pPr>
              <w:pStyle w:val="16"/>
              <w:spacing w:before="31" w:after="31"/>
              <w:ind w:firstLine="0" w:firstLineChars="0"/>
              <w:rPr>
                <w:szCs w:val="24"/>
              </w:rPr>
            </w:pPr>
            <w:r>
              <w:rPr>
                <w:szCs w:val="24"/>
              </w:rPr>
              <w:t>Testing Element</w:t>
            </w:r>
          </w:p>
        </w:tc>
        <w:tc>
          <w:tcPr>
            <w:tcW w:w="1065" w:type="dxa"/>
          </w:tcPr>
          <w:p w14:paraId="12ADD73D">
            <w:pPr>
              <w:pStyle w:val="16"/>
              <w:spacing w:before="31" w:after="31"/>
              <w:ind w:firstLine="0" w:firstLineChars="0"/>
              <w:rPr>
                <w:szCs w:val="24"/>
              </w:rPr>
            </w:pPr>
            <w:r>
              <w:rPr>
                <w:szCs w:val="24"/>
              </w:rPr>
              <w:t>C</w:t>
            </w:r>
          </w:p>
        </w:tc>
        <w:tc>
          <w:tcPr>
            <w:tcW w:w="1065" w:type="dxa"/>
          </w:tcPr>
          <w:p w14:paraId="3227085E">
            <w:pPr>
              <w:pStyle w:val="16"/>
              <w:spacing w:before="31" w:after="31"/>
              <w:ind w:firstLine="0" w:firstLineChars="0"/>
              <w:rPr>
                <w:szCs w:val="24"/>
              </w:rPr>
            </w:pPr>
            <w:r>
              <w:rPr>
                <w:szCs w:val="24"/>
              </w:rPr>
              <w:t>S</w:t>
            </w:r>
          </w:p>
        </w:tc>
        <w:tc>
          <w:tcPr>
            <w:tcW w:w="1065" w:type="dxa"/>
          </w:tcPr>
          <w:p w14:paraId="1E78C362">
            <w:pPr>
              <w:pStyle w:val="16"/>
              <w:spacing w:before="31" w:after="31"/>
              <w:ind w:firstLine="0" w:firstLineChars="0"/>
              <w:rPr>
                <w:szCs w:val="24"/>
              </w:rPr>
            </w:pPr>
            <w:r>
              <w:rPr>
                <w:szCs w:val="24"/>
              </w:rPr>
              <w:t>P</w:t>
            </w:r>
          </w:p>
        </w:tc>
        <w:tc>
          <w:tcPr>
            <w:tcW w:w="1065" w:type="dxa"/>
          </w:tcPr>
          <w:p w14:paraId="19EC5A26">
            <w:pPr>
              <w:pStyle w:val="16"/>
              <w:spacing w:before="31" w:after="31"/>
              <w:ind w:firstLine="0" w:firstLineChars="0"/>
              <w:rPr>
                <w:szCs w:val="24"/>
              </w:rPr>
            </w:pPr>
            <w:r>
              <w:rPr>
                <w:szCs w:val="24"/>
              </w:rPr>
              <w:t>Si</w:t>
            </w:r>
          </w:p>
        </w:tc>
        <w:tc>
          <w:tcPr>
            <w:tcW w:w="1065" w:type="dxa"/>
          </w:tcPr>
          <w:p w14:paraId="1B4B2B97">
            <w:pPr>
              <w:pStyle w:val="16"/>
              <w:spacing w:before="31" w:after="31"/>
              <w:ind w:firstLine="0" w:firstLineChars="0"/>
              <w:rPr>
                <w:szCs w:val="24"/>
              </w:rPr>
            </w:pPr>
            <w:r>
              <w:rPr>
                <w:szCs w:val="24"/>
              </w:rPr>
              <w:t>Mn</w:t>
            </w:r>
          </w:p>
        </w:tc>
        <w:tc>
          <w:tcPr>
            <w:tcW w:w="1066" w:type="dxa"/>
          </w:tcPr>
          <w:p w14:paraId="2DD3F3C8">
            <w:pPr>
              <w:pStyle w:val="16"/>
              <w:spacing w:before="31" w:after="31"/>
              <w:ind w:firstLine="0" w:firstLineChars="0"/>
              <w:rPr>
                <w:szCs w:val="24"/>
              </w:rPr>
            </w:pPr>
            <w:r>
              <w:rPr>
                <w:szCs w:val="24"/>
              </w:rPr>
              <w:t>Cr</w:t>
            </w:r>
          </w:p>
        </w:tc>
        <w:tc>
          <w:tcPr>
            <w:tcW w:w="1066" w:type="dxa"/>
          </w:tcPr>
          <w:p w14:paraId="373C14C7">
            <w:pPr>
              <w:pStyle w:val="16"/>
              <w:spacing w:before="31" w:after="31"/>
              <w:ind w:firstLine="0" w:firstLineChars="0"/>
              <w:rPr>
                <w:szCs w:val="24"/>
              </w:rPr>
            </w:pPr>
            <w:r>
              <w:rPr>
                <w:szCs w:val="24"/>
              </w:rPr>
              <w:t>Ni</w:t>
            </w:r>
          </w:p>
        </w:tc>
      </w:tr>
      <w:tr w14:paraId="2EE3F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70444579">
            <w:pPr>
              <w:pStyle w:val="16"/>
              <w:spacing w:before="31" w:after="31"/>
              <w:ind w:firstLine="0" w:firstLineChars="0"/>
              <w:rPr>
                <w:szCs w:val="24"/>
              </w:rPr>
            </w:pPr>
            <w:r>
              <w:rPr>
                <w:szCs w:val="24"/>
              </w:rPr>
              <w:t>Measured Value</w:t>
            </w:r>
          </w:p>
        </w:tc>
        <w:tc>
          <w:tcPr>
            <w:tcW w:w="1065" w:type="dxa"/>
          </w:tcPr>
          <w:p w14:paraId="062A364F">
            <w:pPr>
              <w:pStyle w:val="16"/>
              <w:spacing w:before="31" w:after="31"/>
              <w:ind w:firstLine="0" w:firstLineChars="0"/>
              <w:rPr>
                <w:szCs w:val="24"/>
              </w:rPr>
            </w:pPr>
            <w:r>
              <w:rPr>
                <w:szCs w:val="24"/>
              </w:rPr>
              <w:t>0.19</w:t>
            </w:r>
          </w:p>
        </w:tc>
        <w:tc>
          <w:tcPr>
            <w:tcW w:w="1065" w:type="dxa"/>
          </w:tcPr>
          <w:p w14:paraId="1C723836">
            <w:pPr>
              <w:pStyle w:val="16"/>
              <w:spacing w:before="31" w:after="31"/>
              <w:ind w:firstLine="0" w:firstLineChars="0"/>
              <w:rPr>
                <w:szCs w:val="24"/>
              </w:rPr>
            </w:pPr>
            <w:r>
              <w:rPr>
                <w:szCs w:val="24"/>
              </w:rPr>
              <w:t>0.015</w:t>
            </w:r>
          </w:p>
        </w:tc>
        <w:tc>
          <w:tcPr>
            <w:tcW w:w="1065" w:type="dxa"/>
          </w:tcPr>
          <w:p w14:paraId="64E33C58">
            <w:pPr>
              <w:pStyle w:val="16"/>
              <w:spacing w:before="31" w:after="31"/>
              <w:ind w:firstLine="0" w:firstLineChars="0"/>
              <w:rPr>
                <w:szCs w:val="24"/>
              </w:rPr>
            </w:pPr>
            <w:r>
              <w:rPr>
                <w:szCs w:val="24"/>
              </w:rPr>
              <w:t>0.031</w:t>
            </w:r>
          </w:p>
        </w:tc>
        <w:tc>
          <w:tcPr>
            <w:tcW w:w="1065" w:type="dxa"/>
          </w:tcPr>
          <w:p w14:paraId="7C8ED5CE">
            <w:pPr>
              <w:pStyle w:val="16"/>
              <w:spacing w:before="31" w:after="31"/>
              <w:ind w:firstLine="0" w:firstLineChars="0"/>
              <w:rPr>
                <w:szCs w:val="24"/>
              </w:rPr>
            </w:pPr>
            <w:r>
              <w:rPr>
                <w:szCs w:val="24"/>
              </w:rPr>
              <w:t>0.51</w:t>
            </w:r>
          </w:p>
        </w:tc>
        <w:tc>
          <w:tcPr>
            <w:tcW w:w="1065" w:type="dxa"/>
          </w:tcPr>
          <w:p w14:paraId="0EAD37E0">
            <w:pPr>
              <w:pStyle w:val="16"/>
              <w:spacing w:before="31" w:after="31"/>
              <w:ind w:firstLine="0" w:firstLineChars="0"/>
              <w:rPr>
                <w:szCs w:val="24"/>
              </w:rPr>
            </w:pPr>
            <w:r>
              <w:rPr>
                <w:szCs w:val="24"/>
              </w:rPr>
              <w:t>0.85</w:t>
            </w:r>
          </w:p>
        </w:tc>
        <w:tc>
          <w:tcPr>
            <w:tcW w:w="1066" w:type="dxa"/>
          </w:tcPr>
          <w:p w14:paraId="26453F8E">
            <w:pPr>
              <w:pStyle w:val="16"/>
              <w:spacing w:before="31" w:after="31"/>
              <w:ind w:firstLine="0" w:firstLineChars="0"/>
              <w:rPr>
                <w:szCs w:val="24"/>
              </w:rPr>
            </w:pPr>
            <w:r>
              <w:rPr>
                <w:szCs w:val="24"/>
              </w:rPr>
              <w:t>15.81</w:t>
            </w:r>
          </w:p>
        </w:tc>
        <w:tc>
          <w:tcPr>
            <w:tcW w:w="1066" w:type="dxa"/>
          </w:tcPr>
          <w:p w14:paraId="49A3E062">
            <w:pPr>
              <w:pStyle w:val="16"/>
              <w:spacing w:before="31" w:after="31"/>
              <w:ind w:firstLine="0" w:firstLineChars="0"/>
              <w:rPr>
                <w:szCs w:val="24"/>
              </w:rPr>
            </w:pPr>
            <w:r>
              <w:rPr>
                <w:szCs w:val="24"/>
              </w:rPr>
              <w:t>9.05</w:t>
            </w:r>
          </w:p>
        </w:tc>
      </w:tr>
      <w:tr w14:paraId="571BC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7AE68A0B">
            <w:pPr>
              <w:pStyle w:val="16"/>
              <w:spacing w:before="31" w:after="31"/>
              <w:ind w:firstLine="0" w:firstLineChars="0"/>
              <w:rPr>
                <w:rFonts w:hint="eastAsia"/>
                <w:szCs w:val="24"/>
              </w:rPr>
            </w:pPr>
            <w:r>
              <w:rPr>
                <w:rFonts w:hint="eastAsia"/>
                <w:szCs w:val="24"/>
              </w:rPr>
              <w:t>GB/T1220-1992</w:t>
            </w:r>
          </w:p>
        </w:tc>
        <w:tc>
          <w:tcPr>
            <w:tcW w:w="1065" w:type="dxa"/>
          </w:tcPr>
          <w:p w14:paraId="794AC832">
            <w:pPr>
              <w:pStyle w:val="16"/>
              <w:spacing w:before="31" w:after="31"/>
              <w:ind w:firstLine="0" w:firstLineChars="0"/>
              <w:rPr>
                <w:rFonts w:hint="eastAsia"/>
                <w:szCs w:val="24"/>
              </w:rPr>
            </w:pPr>
            <w:r>
              <w:rPr>
                <w:rFonts w:hint="eastAsia"/>
                <w:szCs w:val="24"/>
              </w:rPr>
              <w:t>≤0.07</w:t>
            </w:r>
          </w:p>
        </w:tc>
        <w:tc>
          <w:tcPr>
            <w:tcW w:w="1065" w:type="dxa"/>
          </w:tcPr>
          <w:p w14:paraId="44EF1E46">
            <w:pPr>
              <w:pStyle w:val="16"/>
              <w:spacing w:before="31" w:after="31"/>
              <w:ind w:firstLine="0" w:firstLineChars="0"/>
              <w:rPr>
                <w:rFonts w:hint="eastAsia"/>
                <w:szCs w:val="24"/>
              </w:rPr>
            </w:pPr>
            <w:r>
              <w:rPr>
                <w:rFonts w:hint="eastAsia"/>
                <w:szCs w:val="24"/>
              </w:rPr>
              <w:t>≤0.030</w:t>
            </w:r>
          </w:p>
        </w:tc>
        <w:tc>
          <w:tcPr>
            <w:tcW w:w="1065" w:type="dxa"/>
          </w:tcPr>
          <w:p w14:paraId="246943DD">
            <w:pPr>
              <w:pStyle w:val="16"/>
              <w:spacing w:before="31" w:after="31"/>
              <w:ind w:firstLine="0" w:firstLineChars="0"/>
              <w:rPr>
                <w:rFonts w:hint="eastAsia"/>
                <w:szCs w:val="24"/>
              </w:rPr>
            </w:pPr>
            <w:r>
              <w:rPr>
                <w:rFonts w:hint="eastAsia"/>
                <w:szCs w:val="24"/>
              </w:rPr>
              <w:t>≤0.035</w:t>
            </w:r>
          </w:p>
        </w:tc>
        <w:tc>
          <w:tcPr>
            <w:tcW w:w="1065" w:type="dxa"/>
          </w:tcPr>
          <w:p w14:paraId="755D465B">
            <w:pPr>
              <w:pStyle w:val="16"/>
              <w:spacing w:before="31" w:after="31"/>
              <w:ind w:firstLine="0" w:firstLineChars="0"/>
              <w:rPr>
                <w:rFonts w:hint="eastAsia"/>
                <w:szCs w:val="24"/>
              </w:rPr>
            </w:pPr>
            <w:r>
              <w:rPr>
                <w:rFonts w:hint="eastAsia"/>
                <w:szCs w:val="24"/>
              </w:rPr>
              <w:t>≤1.00</w:t>
            </w:r>
          </w:p>
        </w:tc>
        <w:tc>
          <w:tcPr>
            <w:tcW w:w="1065" w:type="dxa"/>
          </w:tcPr>
          <w:p w14:paraId="1660FF6E">
            <w:pPr>
              <w:pStyle w:val="16"/>
              <w:spacing w:before="31" w:after="31"/>
              <w:ind w:firstLine="0" w:firstLineChars="0"/>
              <w:rPr>
                <w:rFonts w:hint="eastAsia"/>
                <w:szCs w:val="24"/>
              </w:rPr>
            </w:pPr>
            <w:r>
              <w:rPr>
                <w:rFonts w:hint="eastAsia"/>
                <w:szCs w:val="24"/>
              </w:rPr>
              <w:t>≤2.00</w:t>
            </w:r>
          </w:p>
        </w:tc>
        <w:tc>
          <w:tcPr>
            <w:tcW w:w="1066" w:type="dxa"/>
          </w:tcPr>
          <w:p w14:paraId="2233E7DE">
            <w:pPr>
              <w:pStyle w:val="16"/>
              <w:spacing w:before="31" w:after="31"/>
              <w:ind w:firstLine="0" w:firstLineChars="0"/>
              <w:rPr>
                <w:rFonts w:hint="eastAsia"/>
                <w:szCs w:val="24"/>
              </w:rPr>
            </w:pPr>
            <w:r>
              <w:rPr>
                <w:rFonts w:hint="eastAsia"/>
                <w:szCs w:val="24"/>
              </w:rPr>
              <w:t>17.0~19.0</w:t>
            </w:r>
          </w:p>
        </w:tc>
        <w:tc>
          <w:tcPr>
            <w:tcW w:w="1066" w:type="dxa"/>
          </w:tcPr>
          <w:p w14:paraId="3C52FF5F">
            <w:pPr>
              <w:pStyle w:val="16"/>
              <w:spacing w:before="31" w:after="31"/>
              <w:ind w:firstLine="0" w:firstLineChars="0"/>
              <w:rPr>
                <w:rFonts w:hint="eastAsia"/>
                <w:szCs w:val="24"/>
              </w:rPr>
            </w:pPr>
            <w:r>
              <w:rPr>
                <w:rFonts w:hint="eastAsia"/>
                <w:szCs w:val="24"/>
              </w:rPr>
              <w:t>8.00~11.00</w:t>
            </w:r>
          </w:p>
        </w:tc>
      </w:tr>
    </w:tbl>
    <w:p w14:paraId="2392D578">
      <w:pPr>
        <w:pStyle w:val="16"/>
        <w:spacing w:before="31" w:after="31"/>
        <w:ind w:firstLine="480"/>
        <w:rPr>
          <w:szCs w:val="24"/>
        </w:rPr>
      </w:pPr>
    </w:p>
    <w:p w14:paraId="53142B91">
      <w:pPr>
        <w:pStyle w:val="16"/>
        <w:spacing w:before="31" w:after="31"/>
        <w:ind w:firstLine="480"/>
        <w:rPr>
          <w:szCs w:val="24"/>
        </w:rPr>
      </w:pPr>
      <w:r>
        <w:rPr>
          <w:szCs w:val="24"/>
        </w:rPr>
        <w:t>(c) Mechanical Properties</w:t>
      </w:r>
    </w:p>
    <w:p w14:paraId="47D844C0">
      <w:pPr>
        <w:pStyle w:val="16"/>
        <w:spacing w:before="31" w:after="31"/>
        <w:ind w:firstLine="480"/>
        <w:rPr>
          <w:szCs w:val="24"/>
        </w:rPr>
      </w:pPr>
      <w:r>
        <w:rPr>
          <w:szCs w:val="24"/>
        </w:rPr>
        <w:t>Microhardness values at the crack location of the bolt are: 214HV0.3, 212HVO.3, 211HV0.3, 215HV0.3, 211HV0.3. The microhardness of this connecting bolt is higher than the standard requirement.</w:t>
      </w:r>
    </w:p>
    <w:p w14:paraId="4ED242E1">
      <w:pPr>
        <w:pStyle w:val="16"/>
        <w:spacing w:before="31" w:after="31"/>
        <w:ind w:firstLine="480"/>
        <w:rPr>
          <w:szCs w:val="24"/>
        </w:rPr>
      </w:pPr>
    </w:p>
    <w:p w14:paraId="735C965D">
      <w:pPr>
        <w:pStyle w:val="16"/>
        <w:spacing w:before="31" w:after="31"/>
        <w:ind w:firstLine="480"/>
        <w:rPr>
          <w:szCs w:val="24"/>
        </w:rPr>
      </w:pPr>
      <w:r>
        <w:rPr>
          <w:szCs w:val="24"/>
        </w:rPr>
        <w:t>(d) Metallographic Structure</w:t>
      </w:r>
    </w:p>
    <w:p w14:paraId="42016BD1">
      <w:pPr>
        <w:pStyle w:val="16"/>
        <w:spacing w:before="31" w:after="31"/>
        <w:ind w:firstLine="480"/>
        <w:rPr>
          <w:szCs w:val="24"/>
        </w:rPr>
      </w:pPr>
      <w:r>
        <w:rPr>
          <w:szCs w:val="24"/>
        </w:rPr>
        <w:t>The microstructure of the sample is equiaxed austenite. Grains near the fracture surface have separated from each other, showing signs of corrosion. The grain size is 7 levels, and small carbides and non-metallic inclusions are densely distributed along the grain boundaries, as seen in Figure 9-3.2.</w:t>
      </w:r>
    </w:p>
    <w:p w14:paraId="39F6726E">
      <w:pPr>
        <w:pStyle w:val="16"/>
        <w:spacing w:before="31" w:after="31"/>
        <w:ind w:firstLine="482"/>
        <w:jc w:val="center"/>
        <w:rPr>
          <w:b/>
          <w:bCs/>
          <w:szCs w:val="24"/>
        </w:rPr>
      </w:pPr>
      <w:r>
        <w:rPr>
          <w:b/>
          <w:bCs/>
          <w:szCs w:val="24"/>
        </w:rPr>
        <w:t>Figure 9-3.1 Metallographic Structure at the Fracture Site</w:t>
      </w:r>
    </w:p>
    <w:p w14:paraId="3E90C771">
      <w:pPr>
        <w:pStyle w:val="16"/>
        <w:spacing w:before="31" w:after="31"/>
        <w:ind w:firstLine="482"/>
        <w:jc w:val="center"/>
        <w:rPr>
          <w:b/>
          <w:bCs/>
          <w:szCs w:val="24"/>
        </w:rPr>
      </w:pPr>
      <w:r>
        <w:rPr>
          <w:b/>
          <w:bCs/>
          <w:szCs w:val="24"/>
        </w:rPr>
        <w:t>Figure 9-3.2 Distribution of Carbides along Grain Boundaries</w:t>
      </w:r>
    </w:p>
    <w:p w14:paraId="53401FF4">
      <w:pPr>
        <w:pStyle w:val="16"/>
        <w:spacing w:before="31" w:after="31"/>
        <w:ind w:firstLine="480"/>
        <w:rPr>
          <w:szCs w:val="24"/>
        </w:rPr>
      </w:pPr>
    </w:p>
    <w:p w14:paraId="5E16AEAD">
      <w:pPr>
        <w:pStyle w:val="16"/>
        <w:spacing w:before="31" w:after="31"/>
        <w:ind w:firstLine="480"/>
        <w:rPr>
          <w:szCs w:val="24"/>
        </w:rPr>
      </w:pPr>
      <w:r>
        <w:rPr>
          <w:szCs w:val="24"/>
        </w:rPr>
        <w:t>(d) Corrosion Products</w:t>
      </w:r>
    </w:p>
    <w:p w14:paraId="2738174A">
      <w:pPr>
        <w:pStyle w:val="16"/>
        <w:spacing w:before="31" w:after="31"/>
        <w:ind w:firstLine="480"/>
        <w:rPr>
          <w:szCs w:val="24"/>
        </w:rPr>
      </w:pPr>
      <w:r>
        <w:rPr>
          <w:szCs w:val="24"/>
        </w:rPr>
        <w:t>The main elements in the corrosion products on the bolt fracture surface are oxygen, aluminum, silicon, sulfur, chlorine, chromium, manganese, iron, nickel, calcium, etc. The oxygen content is 4.61%, sulfur content is 1.55%, and chlorine content is 2.47%.</w:t>
      </w:r>
    </w:p>
    <w:p w14:paraId="2DE22FB3">
      <w:pPr>
        <w:pStyle w:val="16"/>
        <w:spacing w:before="31" w:after="31"/>
        <w:ind w:firstLine="480"/>
        <w:rPr>
          <w:szCs w:val="24"/>
        </w:rPr>
      </w:pPr>
    </w:p>
    <w:p w14:paraId="594CBA3F">
      <w:pPr>
        <w:pStyle w:val="16"/>
        <w:spacing w:before="31" w:after="31"/>
        <w:ind w:firstLine="480"/>
        <w:rPr>
          <w:szCs w:val="24"/>
        </w:rPr>
      </w:pPr>
      <w:r>
        <w:rPr>
          <w:szCs w:val="24"/>
        </w:rPr>
        <w:t>(5) Component Failure Morphology</w:t>
      </w:r>
    </w:p>
    <w:p w14:paraId="6F91E304">
      <w:pPr>
        <w:pStyle w:val="16"/>
        <w:spacing w:before="31" w:after="31"/>
        <w:ind w:firstLine="480"/>
        <w:rPr>
          <w:szCs w:val="24"/>
        </w:rPr>
      </w:pPr>
      <w:r>
        <w:rPr>
          <w:szCs w:val="24"/>
        </w:rPr>
        <w:t>(a) Macroscopic Appearance</w:t>
      </w:r>
    </w:p>
    <w:p w14:paraId="4ABF1261">
      <w:pPr>
        <w:pStyle w:val="16"/>
        <w:spacing w:before="31" w:after="31"/>
        <w:ind w:firstLine="480"/>
        <w:rPr>
          <w:szCs w:val="24"/>
        </w:rPr>
      </w:pPr>
      <w:r>
        <w:rPr>
          <w:szCs w:val="24"/>
        </w:rPr>
        <w:t>The macroscopic appearance of the fractured bolt is shown in Figure 9-3.3. The connection bolt broke at the 1st to 2nd threads near the shank. There is a layer of yellow-brown rust on the shank and thread surfaces, and the fracture surface is covered with corrosion products.</w:t>
      </w:r>
    </w:p>
    <w:p w14:paraId="32D5EC02">
      <w:pPr>
        <w:pStyle w:val="16"/>
        <w:spacing w:before="31" w:after="31"/>
        <w:ind w:firstLine="482"/>
        <w:jc w:val="center"/>
        <w:rPr>
          <w:b/>
          <w:bCs/>
          <w:szCs w:val="24"/>
        </w:rPr>
      </w:pPr>
      <w:r>
        <w:rPr>
          <w:b/>
          <w:bCs/>
          <w:szCs w:val="24"/>
        </w:rPr>
        <w:t>Figure 9-3.3 Macroscopic Appearance of Fractured Connecting Bolt</w:t>
      </w:r>
    </w:p>
    <w:p w14:paraId="53CBD753">
      <w:pPr>
        <w:pStyle w:val="16"/>
        <w:spacing w:before="31" w:after="31"/>
        <w:ind w:firstLine="480"/>
        <w:rPr>
          <w:szCs w:val="24"/>
        </w:rPr>
      </w:pPr>
    </w:p>
    <w:p w14:paraId="4E1079BF">
      <w:pPr>
        <w:pStyle w:val="16"/>
        <w:spacing w:before="31" w:after="31"/>
        <w:ind w:firstLine="480"/>
        <w:rPr>
          <w:szCs w:val="24"/>
        </w:rPr>
      </w:pPr>
      <w:r>
        <w:rPr>
          <w:szCs w:val="24"/>
        </w:rPr>
        <w:t>(b) Microscopic Appearance</w:t>
      </w:r>
    </w:p>
    <w:p w14:paraId="691B721F">
      <w:pPr>
        <w:pStyle w:val="16"/>
        <w:spacing w:before="31" w:after="31"/>
        <w:ind w:firstLine="480"/>
        <w:rPr>
          <w:szCs w:val="24"/>
        </w:rPr>
      </w:pPr>
      <w:r>
        <w:rPr>
          <w:szCs w:val="24"/>
        </w:rPr>
        <w:t>The microscopic appearance of the fracture surface shows clear intergranular cracking features, with grains near the fracture surface separated from each other, as seen in Figure 9-3.4. The inclusion levels are A1.5, B0, C0, D0.5, DTiN3.0, with some regions showing densely distributed DTiN-like non-metallic inclusions, as seen in Figure 9-3.5. The fracture surface of the bolt, as shown in Figure 9-3.6 to Figure 9-3.8, exhibits evident corrosion traces and corrosion products. The mudflat pattern (Figure 9-3.6), striations (Figure 9-3.7), and pitting (Figure 9-3.8) on the fracture surface are typical features of intergranular corrosion.</w:t>
      </w:r>
    </w:p>
    <w:p w14:paraId="62526CBA">
      <w:pPr>
        <w:pStyle w:val="16"/>
        <w:spacing w:before="31" w:after="31"/>
        <w:ind w:firstLine="482"/>
        <w:jc w:val="center"/>
        <w:rPr>
          <w:b/>
          <w:bCs/>
          <w:szCs w:val="24"/>
        </w:rPr>
      </w:pPr>
      <w:r>
        <w:rPr>
          <w:b/>
          <w:bCs/>
          <w:szCs w:val="24"/>
        </w:rPr>
        <w:t>Figure 9-3.4 Polished State Morphology at the Fracture Site</w:t>
      </w:r>
    </w:p>
    <w:p w14:paraId="0F21FD48">
      <w:pPr>
        <w:pStyle w:val="16"/>
        <w:spacing w:before="31" w:after="31"/>
        <w:ind w:firstLine="482"/>
        <w:jc w:val="center"/>
        <w:rPr>
          <w:b/>
          <w:bCs/>
          <w:szCs w:val="24"/>
        </w:rPr>
      </w:pPr>
      <w:r>
        <w:rPr>
          <w:b/>
          <w:bCs/>
          <w:szCs w:val="24"/>
        </w:rPr>
        <w:t>Figure 9-3.5 Non-Metallic Inclusions Morphology at the Fracture Site</w:t>
      </w:r>
    </w:p>
    <w:p w14:paraId="25FE613D">
      <w:pPr>
        <w:pStyle w:val="16"/>
        <w:spacing w:before="31" w:after="31"/>
        <w:ind w:firstLine="482"/>
        <w:jc w:val="center"/>
        <w:rPr>
          <w:b/>
          <w:bCs/>
          <w:szCs w:val="24"/>
        </w:rPr>
      </w:pPr>
      <w:r>
        <w:rPr>
          <w:b/>
          <w:bCs/>
          <w:szCs w:val="24"/>
        </w:rPr>
        <w:t>Figure 9-3.6 Mudflat Pattern</w:t>
      </w:r>
    </w:p>
    <w:p w14:paraId="2AE52FD6">
      <w:pPr>
        <w:pStyle w:val="16"/>
        <w:spacing w:before="31" w:after="31"/>
        <w:ind w:firstLine="482"/>
        <w:jc w:val="center"/>
        <w:rPr>
          <w:b/>
          <w:bCs/>
          <w:szCs w:val="24"/>
        </w:rPr>
      </w:pPr>
      <w:r>
        <w:rPr>
          <w:b/>
          <w:bCs/>
          <w:szCs w:val="24"/>
        </w:rPr>
        <w:t>Figure 9-3.7 Striations</w:t>
      </w:r>
    </w:p>
    <w:p w14:paraId="3568F3F1">
      <w:pPr>
        <w:pStyle w:val="16"/>
        <w:spacing w:before="31" w:after="31"/>
        <w:ind w:firstLine="482"/>
        <w:jc w:val="center"/>
        <w:rPr>
          <w:b/>
          <w:bCs/>
          <w:szCs w:val="24"/>
        </w:rPr>
      </w:pPr>
      <w:r>
        <w:rPr>
          <w:b/>
          <w:bCs/>
          <w:szCs w:val="24"/>
        </w:rPr>
        <w:t>Figure 9-3.8 Pitting</w:t>
      </w:r>
    </w:p>
    <w:p w14:paraId="16633E2B">
      <w:pPr>
        <w:pStyle w:val="16"/>
        <w:spacing w:before="31" w:after="31"/>
        <w:ind w:firstLine="480"/>
        <w:rPr>
          <w:szCs w:val="24"/>
        </w:rPr>
      </w:pPr>
    </w:p>
    <w:p w14:paraId="7854B463">
      <w:pPr>
        <w:pStyle w:val="16"/>
        <w:spacing w:before="31" w:after="31"/>
        <w:ind w:firstLine="480"/>
        <w:rPr>
          <w:szCs w:val="24"/>
        </w:rPr>
      </w:pPr>
      <w:r>
        <w:rPr>
          <w:szCs w:val="24"/>
        </w:rPr>
        <w:t>(6) Analysis of Failure Causes</w:t>
      </w:r>
    </w:p>
    <w:p w14:paraId="64991FB7">
      <w:pPr>
        <w:pStyle w:val="16"/>
        <w:spacing w:before="31" w:after="31"/>
        <w:ind w:firstLine="480"/>
        <w:rPr>
          <w:szCs w:val="24"/>
        </w:rPr>
      </w:pPr>
      <w:r>
        <w:rPr>
          <w:szCs w:val="24"/>
        </w:rPr>
        <w:t>(a) Material Factors</w:t>
      </w:r>
    </w:p>
    <w:p w14:paraId="6162A318">
      <w:pPr>
        <w:pStyle w:val="16"/>
        <w:spacing w:before="31" w:after="31"/>
        <w:ind w:firstLine="480"/>
        <w:rPr>
          <w:szCs w:val="24"/>
        </w:rPr>
      </w:pPr>
      <w:r>
        <w:rPr>
          <w:szCs w:val="24"/>
        </w:rPr>
        <w:t>The chemical composition of the failed connecting bolt does not meet technical requirements. Chromium content is lower than the standard, and carbon content is higher than the standard. The metallographic structure is normal, with fine grains but a high level of inclusions. There are small carbides and inclusion particles distributed along the grain boundaries. The fracture surface exhibits clear features of intergranular corrosion, and the corrosion products contain high levels of corrosive elements such as oxygen, chlorine, and sulfur. The connecting bolt has higher hardness and elevated carbon content beyond the standard, leading to reduced corrosion resistance. Additionally, the bolt operates in an environment at 100°C, accelerating the corrosion rate.</w:t>
      </w:r>
    </w:p>
    <w:p w14:paraId="2017B3FA">
      <w:pPr>
        <w:pStyle w:val="16"/>
        <w:spacing w:before="31" w:after="31"/>
        <w:ind w:firstLine="480"/>
        <w:rPr>
          <w:szCs w:val="24"/>
        </w:rPr>
      </w:pPr>
    </w:p>
    <w:p w14:paraId="486032A5">
      <w:pPr>
        <w:pStyle w:val="16"/>
        <w:spacing w:before="31" w:after="31"/>
        <w:ind w:firstLine="480"/>
        <w:rPr>
          <w:szCs w:val="24"/>
        </w:rPr>
      </w:pPr>
      <w:r>
        <w:rPr>
          <w:szCs w:val="24"/>
        </w:rPr>
        <w:t>(b) Environmental Factors</w:t>
      </w:r>
    </w:p>
    <w:p w14:paraId="2D83BFF4">
      <w:pPr>
        <w:pStyle w:val="16"/>
        <w:spacing w:before="31" w:after="31"/>
        <w:ind w:firstLine="480"/>
        <w:rPr>
          <w:szCs w:val="24"/>
        </w:rPr>
      </w:pPr>
      <w:r>
        <w:rPr>
          <w:szCs w:val="24"/>
        </w:rPr>
        <w:t>The water inside the container is stagnant, with poor purity and a large amount of solid matter accumulating in the thread grooves of the bolt. The sediment and gaps between the bolt and the container cause a localized increase in corrosion medium concentration. Electrochemically, the conditions for intergranular corrosion are satisfied, triggering intergranular corrosion on the bolt surface.</w:t>
      </w:r>
    </w:p>
    <w:p w14:paraId="3267CF94">
      <w:pPr>
        <w:pStyle w:val="16"/>
        <w:spacing w:before="31" w:after="31"/>
        <w:ind w:firstLine="480"/>
        <w:rPr>
          <w:szCs w:val="24"/>
        </w:rPr>
      </w:pPr>
    </w:p>
    <w:p w14:paraId="539335BC">
      <w:pPr>
        <w:pStyle w:val="16"/>
        <w:spacing w:before="31" w:after="31"/>
        <w:ind w:firstLine="480"/>
        <w:rPr>
          <w:szCs w:val="24"/>
        </w:rPr>
      </w:pPr>
      <w:r>
        <w:rPr>
          <w:szCs w:val="24"/>
        </w:rPr>
        <w:t>Once intergranular corrosion occurs, the mechanical strength of the bolt will significantly decrease. The bolt, subjected to significant three-way bending stress at the 1st to 2nd threads near the shank, coupled with the pre-tensioning force, experienced intergranular corrosion fracture at that location.</w:t>
      </w:r>
    </w:p>
    <w:p w14:paraId="51814663">
      <w:pPr>
        <w:pStyle w:val="16"/>
        <w:spacing w:before="31" w:after="31"/>
        <w:ind w:firstLine="480"/>
        <w:rPr>
          <w:szCs w:val="24"/>
        </w:rPr>
      </w:pPr>
    </w:p>
    <w:p w14:paraId="67761CAE">
      <w:pPr>
        <w:pStyle w:val="16"/>
        <w:spacing w:before="31" w:after="31"/>
        <w:ind w:firstLine="480"/>
        <w:rPr>
          <w:szCs w:val="24"/>
        </w:rPr>
      </w:pPr>
      <w:r>
        <w:rPr>
          <w:szCs w:val="24"/>
        </w:rPr>
        <w:t>(7) Consequences and Hazards</w:t>
      </w:r>
    </w:p>
    <w:p w14:paraId="39371B73">
      <w:pPr>
        <w:pStyle w:val="16"/>
        <w:spacing w:before="31" w:after="31"/>
        <w:ind w:firstLine="480"/>
        <w:rPr>
          <w:szCs w:val="24"/>
        </w:rPr>
      </w:pPr>
      <w:r>
        <w:rPr>
          <w:szCs w:val="24"/>
        </w:rPr>
        <w:t>The fracture of the connecting bolt rendered the container unusable.</w:t>
      </w:r>
    </w:p>
    <w:p w14:paraId="1224D542">
      <w:pPr>
        <w:pStyle w:val="16"/>
        <w:spacing w:before="31" w:after="31"/>
        <w:ind w:firstLine="480"/>
        <w:rPr>
          <w:szCs w:val="24"/>
        </w:rPr>
      </w:pPr>
    </w:p>
    <w:p w14:paraId="2A160D95">
      <w:pPr>
        <w:pStyle w:val="16"/>
        <w:spacing w:before="31" w:after="31"/>
        <w:ind w:firstLine="480"/>
        <w:rPr>
          <w:szCs w:val="24"/>
        </w:rPr>
      </w:pPr>
      <w:r>
        <w:rPr>
          <w:szCs w:val="24"/>
        </w:rPr>
        <w:t>(8) Conclusion and Improvement Measures</w:t>
      </w:r>
    </w:p>
    <w:p w14:paraId="59F22421">
      <w:pPr>
        <w:pStyle w:val="16"/>
        <w:spacing w:before="31" w:after="31"/>
        <w:ind w:firstLine="0" w:firstLineChars="0"/>
        <w:rPr>
          <w:szCs w:val="24"/>
        </w:rPr>
      </w:pPr>
      <w:r>
        <w:rPr>
          <w:szCs w:val="24"/>
        </w:rPr>
        <w:t>To address the issue, the material of the connecting bolt was changed to 0Cr18Ni9Ti stainless steel with lower carbon content, ensuring the chemical composition of the raw material meets specifications, and maintaining high-quality solid solution treatment. Bolts produced with this modification have not experienced fractures even after several years of use.</w:t>
      </w:r>
    </w:p>
    <w:p w14:paraId="19596FD9">
      <w:pPr>
        <w:pStyle w:val="16"/>
        <w:spacing w:before="31" w:after="31"/>
        <w:ind w:firstLine="0" w:firstLineChars="0"/>
        <w:rPr>
          <w:b/>
          <w:bCs/>
          <w:szCs w:val="24"/>
        </w:rPr>
      </w:pPr>
      <w:r>
        <w:rPr>
          <w:b/>
          <w:bCs/>
          <w:szCs w:val="24"/>
        </w:rPr>
        <w:t>9.2.4 Case 9-4 Failure of Heat Transfer Titanium Tubes in Nuclear Power Plant Heat Exchanger</w:t>
      </w:r>
    </w:p>
    <w:p w14:paraId="1724A7C9">
      <w:pPr>
        <w:pStyle w:val="16"/>
        <w:spacing w:before="31" w:after="31"/>
        <w:ind w:firstLine="480"/>
        <w:rPr>
          <w:szCs w:val="24"/>
        </w:rPr>
      </w:pPr>
    </w:p>
    <w:p w14:paraId="74457639">
      <w:pPr>
        <w:pStyle w:val="16"/>
        <w:spacing w:before="31" w:after="31"/>
        <w:ind w:firstLine="480"/>
        <w:rPr>
          <w:szCs w:val="24"/>
        </w:rPr>
      </w:pPr>
      <w:r>
        <w:rPr>
          <w:szCs w:val="24"/>
        </w:rPr>
        <w:t>(1) Case Title</w:t>
      </w:r>
    </w:p>
    <w:p w14:paraId="27D56F5B">
      <w:pPr>
        <w:pStyle w:val="16"/>
        <w:spacing w:before="31" w:after="31"/>
        <w:ind w:firstLine="480"/>
        <w:rPr>
          <w:szCs w:val="24"/>
        </w:rPr>
      </w:pPr>
      <w:r>
        <w:rPr>
          <w:szCs w:val="24"/>
        </w:rPr>
        <w:t>Failure Analysis of Nuclear Power Plant Heat Exchanger [4]</w:t>
      </w:r>
    </w:p>
    <w:p w14:paraId="421DB945">
      <w:pPr>
        <w:pStyle w:val="16"/>
        <w:spacing w:before="31" w:after="31"/>
        <w:ind w:firstLine="480"/>
        <w:rPr>
          <w:szCs w:val="24"/>
        </w:rPr>
      </w:pPr>
    </w:p>
    <w:p w14:paraId="09596349">
      <w:pPr>
        <w:pStyle w:val="16"/>
        <w:spacing w:before="31" w:after="31"/>
        <w:ind w:firstLine="480"/>
        <w:rPr>
          <w:szCs w:val="24"/>
        </w:rPr>
      </w:pPr>
      <w:r>
        <w:rPr>
          <w:szCs w:val="24"/>
        </w:rPr>
        <w:t>(2) Failure Process Description</w:t>
      </w:r>
    </w:p>
    <w:p w14:paraId="4542AB7B">
      <w:pPr>
        <w:pStyle w:val="16"/>
        <w:spacing w:before="31" w:after="31"/>
        <w:ind w:firstLine="480"/>
        <w:rPr>
          <w:szCs w:val="24"/>
        </w:rPr>
      </w:pPr>
      <w:r>
        <w:rPr>
          <w:szCs w:val="24"/>
        </w:rPr>
        <w:t>Two nuclear power units in a coastal area were put into operation in June and December of 2002, respectively. The heat exchanger for the circulating cooling water (RCW) had been in use for less than 3 years. Various forms of premature failure occurred in the heat exchanger's titanium tubes, with defects ranging from dozens to over a hundred tubes experiencing rapid wall thinning. Some of these defective tubes eventually ruptured, and the majority of titanium tube failures occurred inside the tube sheet or between the tube sheet and the first support plate, exhibiting diverse and complex morphologies. This led to equipment shutdowns for maintenance, impacting the normal operation of the nuclear power plant.</w:t>
      </w:r>
    </w:p>
    <w:p w14:paraId="29B95DDC">
      <w:pPr>
        <w:pStyle w:val="16"/>
        <w:spacing w:before="31" w:after="31"/>
        <w:ind w:firstLine="480"/>
        <w:rPr>
          <w:szCs w:val="24"/>
        </w:rPr>
      </w:pPr>
    </w:p>
    <w:p w14:paraId="47528209">
      <w:pPr>
        <w:pStyle w:val="16"/>
        <w:spacing w:before="31" w:after="31"/>
        <w:ind w:firstLine="480"/>
        <w:rPr>
          <w:szCs w:val="24"/>
        </w:rPr>
      </w:pPr>
      <w:r>
        <w:rPr>
          <w:szCs w:val="24"/>
        </w:rPr>
        <w:t>(3) Service Environment</w:t>
      </w:r>
    </w:p>
    <w:p w14:paraId="43536730">
      <w:pPr>
        <w:pStyle w:val="16"/>
        <w:spacing w:before="31" w:after="31"/>
        <w:ind w:firstLine="480"/>
        <w:rPr>
          <w:szCs w:val="24"/>
        </w:rPr>
      </w:pPr>
      <w:r>
        <w:rPr>
          <w:szCs w:val="24"/>
        </w:rPr>
        <w:t>The media on the shell side of the heat exchanger were seawater and desalinated water. Service environment data for titanium tubes and plates are provided in Table 9-5.</w:t>
      </w:r>
    </w:p>
    <w:p w14:paraId="71AA870F">
      <w:pPr>
        <w:pStyle w:val="16"/>
        <w:spacing w:before="31" w:after="31"/>
        <w:ind w:firstLine="482"/>
        <w:jc w:val="center"/>
        <w:rPr>
          <w:b/>
          <w:bCs/>
          <w:szCs w:val="24"/>
        </w:rPr>
      </w:pPr>
    </w:p>
    <w:p w14:paraId="360C367F">
      <w:pPr>
        <w:pStyle w:val="16"/>
        <w:spacing w:before="31" w:after="31"/>
        <w:ind w:firstLine="482"/>
        <w:jc w:val="center"/>
        <w:rPr>
          <w:b/>
          <w:bCs/>
          <w:szCs w:val="24"/>
        </w:rPr>
      </w:pPr>
      <w:r>
        <w:rPr>
          <w:b/>
          <w:bCs/>
          <w:szCs w:val="24"/>
        </w:rPr>
        <w:t>Table 9-5 RCW Heat Exchanger Service Environment Parameters</w:t>
      </w:r>
    </w:p>
    <w:tbl>
      <w:tblPr>
        <w:tblStyle w:val="9"/>
        <w:tblW w:w="834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98"/>
        <w:gridCol w:w="849"/>
        <w:gridCol w:w="1258"/>
        <w:gridCol w:w="1259"/>
        <w:gridCol w:w="1258"/>
        <w:gridCol w:w="1259"/>
        <w:gridCol w:w="1259"/>
      </w:tblGrid>
      <w:tr w14:paraId="3BCEB7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8" w:type="dxa"/>
            <w:tcBorders>
              <w:top w:val="single" w:color="auto" w:sz="12" w:space="0"/>
              <w:left w:val="nil"/>
              <w:bottom w:val="single" w:color="auto" w:sz="12" w:space="0"/>
              <w:right w:val="nil"/>
            </w:tcBorders>
            <w:vAlign w:val="center"/>
          </w:tcPr>
          <w:p w14:paraId="415F8D99">
            <w:pPr>
              <w:pStyle w:val="16"/>
              <w:spacing w:before="31" w:after="31"/>
              <w:ind w:firstLine="0" w:firstLineChars="0"/>
              <w:jc w:val="center"/>
              <w:rPr>
                <w:rFonts w:cs="Times New Roman"/>
                <w:sz w:val="21"/>
                <w:szCs w:val="21"/>
              </w:rPr>
            </w:pPr>
            <w:r>
              <w:rPr>
                <w:szCs w:val="24"/>
              </w:rPr>
              <w:t>Parameter</w:t>
            </w:r>
          </w:p>
        </w:tc>
        <w:tc>
          <w:tcPr>
            <w:tcW w:w="850" w:type="dxa"/>
            <w:tcBorders>
              <w:top w:val="single" w:color="auto" w:sz="12" w:space="0"/>
              <w:left w:val="nil"/>
              <w:bottom w:val="single" w:color="auto" w:sz="12" w:space="0"/>
              <w:right w:val="nil"/>
            </w:tcBorders>
            <w:vAlign w:val="center"/>
          </w:tcPr>
          <w:p w14:paraId="09C7F376">
            <w:pPr>
              <w:pStyle w:val="16"/>
              <w:spacing w:before="31" w:after="31"/>
              <w:ind w:firstLine="0" w:firstLineChars="0"/>
              <w:jc w:val="center"/>
              <w:rPr>
                <w:rFonts w:cs="Times New Roman"/>
                <w:sz w:val="21"/>
                <w:szCs w:val="21"/>
              </w:rPr>
            </w:pPr>
            <w:r>
              <w:rPr>
                <w:szCs w:val="24"/>
              </w:rPr>
              <w:t>Media</w:t>
            </w:r>
          </w:p>
        </w:tc>
        <w:tc>
          <w:tcPr>
            <w:tcW w:w="1259" w:type="dxa"/>
            <w:tcBorders>
              <w:top w:val="single" w:color="auto" w:sz="12" w:space="0"/>
              <w:left w:val="nil"/>
              <w:bottom w:val="single" w:color="auto" w:sz="12" w:space="0"/>
              <w:right w:val="nil"/>
            </w:tcBorders>
            <w:vAlign w:val="center"/>
          </w:tcPr>
          <w:p w14:paraId="56D3B747">
            <w:pPr>
              <w:pStyle w:val="16"/>
              <w:spacing w:before="31" w:after="31"/>
              <w:ind w:firstLine="0" w:firstLineChars="0"/>
              <w:jc w:val="center"/>
              <w:rPr>
                <w:rFonts w:cs="Times New Roman"/>
                <w:sz w:val="21"/>
                <w:szCs w:val="21"/>
              </w:rPr>
            </w:pPr>
            <w:r>
              <w:rPr>
                <w:szCs w:val="24"/>
              </w:rPr>
              <w:t>Flow Rate</w:t>
            </w:r>
            <w:r>
              <w:rPr>
                <w:rFonts w:cs="Times New Roman"/>
                <w:sz w:val="21"/>
                <w:szCs w:val="21"/>
              </w:rPr>
              <w:t xml:space="preserve"> m</w:t>
            </w:r>
            <w:r>
              <w:rPr>
                <w:rFonts w:cs="Times New Roman"/>
                <w:sz w:val="21"/>
                <w:szCs w:val="21"/>
                <w:vertAlign w:val="superscript"/>
              </w:rPr>
              <w:t>3</w:t>
            </w:r>
            <w:r>
              <w:rPr>
                <w:rFonts w:cs="Times New Roman"/>
                <w:sz w:val="21"/>
                <w:szCs w:val="21"/>
              </w:rPr>
              <w:t>/s</w:t>
            </w:r>
          </w:p>
        </w:tc>
        <w:tc>
          <w:tcPr>
            <w:tcW w:w="1260" w:type="dxa"/>
            <w:tcBorders>
              <w:top w:val="single" w:color="auto" w:sz="12" w:space="0"/>
              <w:left w:val="nil"/>
              <w:bottom w:val="single" w:color="auto" w:sz="12" w:space="0"/>
              <w:right w:val="nil"/>
            </w:tcBorders>
            <w:vAlign w:val="center"/>
          </w:tcPr>
          <w:p w14:paraId="132B0E97">
            <w:pPr>
              <w:pStyle w:val="16"/>
              <w:spacing w:before="31" w:after="31"/>
              <w:ind w:firstLine="0" w:firstLineChars="0"/>
              <w:jc w:val="center"/>
              <w:rPr>
                <w:rFonts w:cs="Times New Roman"/>
                <w:sz w:val="21"/>
                <w:szCs w:val="21"/>
              </w:rPr>
            </w:pPr>
            <w:r>
              <w:rPr>
                <w:szCs w:val="24"/>
              </w:rPr>
              <w:t>Velocity</w:t>
            </w:r>
            <w:r>
              <w:rPr>
                <w:rFonts w:cs="Times New Roman"/>
                <w:sz w:val="21"/>
                <w:szCs w:val="21"/>
              </w:rPr>
              <w:t xml:space="preserve"> m/s</w:t>
            </w:r>
          </w:p>
        </w:tc>
        <w:tc>
          <w:tcPr>
            <w:tcW w:w="1259" w:type="dxa"/>
            <w:tcBorders>
              <w:top w:val="single" w:color="auto" w:sz="12" w:space="0"/>
              <w:left w:val="nil"/>
              <w:bottom w:val="single" w:color="auto" w:sz="12" w:space="0"/>
              <w:right w:val="nil"/>
            </w:tcBorders>
            <w:vAlign w:val="center"/>
          </w:tcPr>
          <w:p w14:paraId="75DB6AA1">
            <w:pPr>
              <w:pStyle w:val="16"/>
              <w:spacing w:before="31" w:after="31"/>
              <w:ind w:firstLine="0" w:firstLineChars="0"/>
              <w:jc w:val="center"/>
              <w:rPr>
                <w:rFonts w:cs="Times New Roman"/>
                <w:sz w:val="21"/>
                <w:szCs w:val="21"/>
              </w:rPr>
            </w:pPr>
            <w:r>
              <w:rPr>
                <w:szCs w:val="24"/>
              </w:rPr>
              <w:t>Pressure (MPa)</w:t>
            </w:r>
          </w:p>
        </w:tc>
        <w:tc>
          <w:tcPr>
            <w:tcW w:w="1260" w:type="dxa"/>
            <w:tcBorders>
              <w:top w:val="single" w:color="auto" w:sz="12" w:space="0"/>
              <w:left w:val="nil"/>
              <w:bottom w:val="single" w:color="auto" w:sz="12" w:space="0"/>
              <w:right w:val="nil"/>
            </w:tcBorders>
            <w:vAlign w:val="center"/>
          </w:tcPr>
          <w:p w14:paraId="7D969008">
            <w:r>
              <w:t>Inlet Temperature (°C)</w:t>
            </w:r>
          </w:p>
        </w:tc>
        <w:tc>
          <w:tcPr>
            <w:tcW w:w="1260" w:type="dxa"/>
            <w:tcBorders>
              <w:top w:val="single" w:color="auto" w:sz="12" w:space="0"/>
              <w:left w:val="nil"/>
              <w:bottom w:val="single" w:color="auto" w:sz="12" w:space="0"/>
              <w:right w:val="nil"/>
            </w:tcBorders>
            <w:vAlign w:val="center"/>
          </w:tcPr>
          <w:p w14:paraId="14207254">
            <w:r>
              <w:t>Outlet Temperature (°C</w:t>
            </w:r>
          </w:p>
        </w:tc>
      </w:tr>
      <w:tr w14:paraId="3E6144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 w:hRule="atLeast"/>
          <w:jc w:val="center"/>
        </w:trPr>
        <w:tc>
          <w:tcPr>
            <w:tcW w:w="1198" w:type="dxa"/>
            <w:tcBorders>
              <w:top w:val="single" w:color="auto" w:sz="12" w:space="0"/>
              <w:left w:val="nil"/>
              <w:bottom w:val="nil"/>
              <w:right w:val="nil"/>
            </w:tcBorders>
            <w:vAlign w:val="center"/>
          </w:tcPr>
          <w:p w14:paraId="04716239">
            <w:pPr>
              <w:pStyle w:val="16"/>
              <w:spacing w:before="31" w:after="31"/>
              <w:ind w:firstLine="0" w:firstLineChars="0"/>
              <w:jc w:val="center"/>
              <w:rPr>
                <w:rFonts w:cs="Times New Roman"/>
                <w:sz w:val="21"/>
                <w:szCs w:val="21"/>
              </w:rPr>
            </w:pPr>
            <w:r>
              <w:rPr>
                <w:rFonts w:cs="Times New Roman"/>
                <w:sz w:val="21"/>
                <w:szCs w:val="21"/>
              </w:rPr>
              <w:t>Tube side</w:t>
            </w:r>
          </w:p>
        </w:tc>
        <w:tc>
          <w:tcPr>
            <w:tcW w:w="850" w:type="dxa"/>
            <w:tcBorders>
              <w:top w:val="single" w:color="auto" w:sz="12" w:space="0"/>
              <w:left w:val="nil"/>
              <w:bottom w:val="nil"/>
              <w:right w:val="nil"/>
            </w:tcBorders>
            <w:vAlign w:val="center"/>
          </w:tcPr>
          <w:p w14:paraId="0CD1E79F">
            <w:pPr>
              <w:pStyle w:val="16"/>
              <w:spacing w:before="31" w:after="31"/>
              <w:ind w:firstLine="0" w:firstLineChars="0"/>
              <w:jc w:val="center"/>
              <w:rPr>
                <w:rFonts w:cs="Times New Roman"/>
                <w:sz w:val="21"/>
                <w:szCs w:val="21"/>
              </w:rPr>
            </w:pPr>
            <w:r>
              <w:rPr>
                <w:szCs w:val="24"/>
              </w:rPr>
              <w:t>Seawater</w:t>
            </w:r>
          </w:p>
        </w:tc>
        <w:tc>
          <w:tcPr>
            <w:tcW w:w="1259" w:type="dxa"/>
            <w:tcBorders>
              <w:top w:val="single" w:color="auto" w:sz="12" w:space="0"/>
              <w:left w:val="nil"/>
              <w:bottom w:val="nil"/>
              <w:right w:val="nil"/>
            </w:tcBorders>
            <w:vAlign w:val="center"/>
          </w:tcPr>
          <w:p w14:paraId="6BAF7A1A">
            <w:pPr>
              <w:pStyle w:val="16"/>
              <w:spacing w:before="31" w:after="31"/>
              <w:ind w:firstLine="0" w:firstLineChars="0"/>
              <w:jc w:val="center"/>
              <w:rPr>
                <w:rFonts w:cs="Times New Roman"/>
                <w:sz w:val="21"/>
                <w:szCs w:val="21"/>
              </w:rPr>
            </w:pPr>
            <w:r>
              <w:rPr>
                <w:rFonts w:cs="Times New Roman"/>
                <w:sz w:val="21"/>
                <w:szCs w:val="21"/>
              </w:rPr>
              <w:t>3.34</w:t>
            </w:r>
          </w:p>
        </w:tc>
        <w:tc>
          <w:tcPr>
            <w:tcW w:w="1260" w:type="dxa"/>
            <w:tcBorders>
              <w:top w:val="single" w:color="auto" w:sz="12" w:space="0"/>
              <w:left w:val="nil"/>
              <w:bottom w:val="nil"/>
              <w:right w:val="nil"/>
            </w:tcBorders>
            <w:vAlign w:val="center"/>
          </w:tcPr>
          <w:p w14:paraId="45EC3241">
            <w:pPr>
              <w:pStyle w:val="16"/>
              <w:spacing w:before="31" w:after="31"/>
              <w:ind w:firstLine="0" w:firstLineChars="0"/>
              <w:jc w:val="center"/>
              <w:rPr>
                <w:rFonts w:cs="Times New Roman"/>
                <w:sz w:val="21"/>
                <w:szCs w:val="21"/>
              </w:rPr>
            </w:pPr>
            <w:r>
              <w:rPr>
                <w:rFonts w:cs="Times New Roman"/>
                <w:sz w:val="21"/>
                <w:szCs w:val="21"/>
              </w:rPr>
              <w:t>2.7</w:t>
            </w:r>
          </w:p>
        </w:tc>
        <w:tc>
          <w:tcPr>
            <w:tcW w:w="1259" w:type="dxa"/>
            <w:tcBorders>
              <w:top w:val="single" w:color="auto" w:sz="12" w:space="0"/>
              <w:left w:val="nil"/>
              <w:bottom w:val="nil"/>
              <w:right w:val="nil"/>
            </w:tcBorders>
            <w:vAlign w:val="center"/>
          </w:tcPr>
          <w:p w14:paraId="1150B65E">
            <w:pPr>
              <w:pStyle w:val="16"/>
              <w:spacing w:before="31" w:after="31"/>
              <w:ind w:firstLine="0" w:firstLineChars="0"/>
              <w:jc w:val="center"/>
              <w:rPr>
                <w:rFonts w:cs="Times New Roman"/>
                <w:sz w:val="21"/>
                <w:szCs w:val="21"/>
              </w:rPr>
            </w:pPr>
            <w:r>
              <w:rPr>
                <w:rFonts w:cs="Times New Roman"/>
                <w:sz w:val="21"/>
                <w:szCs w:val="21"/>
              </w:rPr>
              <w:t>0.3</w:t>
            </w:r>
          </w:p>
        </w:tc>
        <w:tc>
          <w:tcPr>
            <w:tcW w:w="1260" w:type="dxa"/>
            <w:tcBorders>
              <w:top w:val="single" w:color="auto" w:sz="12" w:space="0"/>
              <w:left w:val="nil"/>
              <w:bottom w:val="nil"/>
              <w:right w:val="nil"/>
            </w:tcBorders>
            <w:vAlign w:val="center"/>
          </w:tcPr>
          <w:p w14:paraId="6070E3F3">
            <w:pPr>
              <w:pStyle w:val="16"/>
              <w:spacing w:before="31" w:after="31"/>
              <w:ind w:firstLine="0" w:firstLineChars="0"/>
              <w:jc w:val="center"/>
              <w:rPr>
                <w:rFonts w:cs="Times New Roman"/>
                <w:sz w:val="21"/>
                <w:szCs w:val="21"/>
              </w:rPr>
            </w:pPr>
            <w:r>
              <w:rPr>
                <w:rFonts w:cs="Times New Roman"/>
                <w:sz w:val="21"/>
                <w:szCs w:val="21"/>
              </w:rPr>
              <w:t>30.5</w:t>
            </w:r>
          </w:p>
        </w:tc>
        <w:tc>
          <w:tcPr>
            <w:tcW w:w="1260" w:type="dxa"/>
            <w:tcBorders>
              <w:top w:val="single" w:color="auto" w:sz="12" w:space="0"/>
              <w:left w:val="nil"/>
              <w:bottom w:val="nil"/>
              <w:right w:val="nil"/>
            </w:tcBorders>
            <w:vAlign w:val="center"/>
          </w:tcPr>
          <w:p w14:paraId="65E5DD22">
            <w:pPr>
              <w:pStyle w:val="16"/>
              <w:spacing w:before="31" w:after="31"/>
              <w:ind w:firstLine="0" w:firstLineChars="0"/>
              <w:jc w:val="center"/>
              <w:rPr>
                <w:rFonts w:cs="Times New Roman"/>
                <w:sz w:val="21"/>
                <w:szCs w:val="21"/>
              </w:rPr>
            </w:pPr>
            <w:r>
              <w:rPr>
                <w:rFonts w:cs="Times New Roman"/>
                <w:sz w:val="21"/>
                <w:szCs w:val="21"/>
              </w:rPr>
              <w:t>35.1</w:t>
            </w:r>
          </w:p>
        </w:tc>
      </w:tr>
      <w:tr w14:paraId="7CFB22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8" w:type="dxa"/>
            <w:tcBorders>
              <w:top w:val="nil"/>
              <w:left w:val="nil"/>
              <w:bottom w:val="single" w:color="auto" w:sz="12" w:space="0"/>
              <w:right w:val="nil"/>
            </w:tcBorders>
            <w:vAlign w:val="center"/>
          </w:tcPr>
          <w:p w14:paraId="349B67CA">
            <w:pPr>
              <w:pStyle w:val="16"/>
              <w:spacing w:before="31" w:after="31"/>
              <w:ind w:firstLine="0" w:firstLineChars="0"/>
              <w:jc w:val="center"/>
              <w:rPr>
                <w:rFonts w:cs="Times New Roman"/>
                <w:sz w:val="21"/>
                <w:szCs w:val="21"/>
              </w:rPr>
            </w:pPr>
            <w:r>
              <w:rPr>
                <w:rFonts w:cs="Times New Roman"/>
                <w:sz w:val="21"/>
                <w:szCs w:val="21"/>
              </w:rPr>
              <w:t>Shell side</w:t>
            </w:r>
          </w:p>
        </w:tc>
        <w:tc>
          <w:tcPr>
            <w:tcW w:w="850" w:type="dxa"/>
            <w:tcBorders>
              <w:top w:val="nil"/>
              <w:left w:val="nil"/>
              <w:bottom w:val="single" w:color="auto" w:sz="12" w:space="0"/>
              <w:right w:val="nil"/>
            </w:tcBorders>
            <w:vAlign w:val="center"/>
          </w:tcPr>
          <w:p w14:paraId="48E98F3E">
            <w:pPr>
              <w:pStyle w:val="16"/>
              <w:spacing w:before="31" w:after="31"/>
              <w:ind w:firstLine="0" w:firstLineChars="0"/>
              <w:jc w:val="center"/>
              <w:rPr>
                <w:rFonts w:cs="Times New Roman"/>
                <w:sz w:val="21"/>
                <w:szCs w:val="21"/>
              </w:rPr>
            </w:pPr>
            <w:r>
              <w:rPr>
                <w:szCs w:val="24"/>
              </w:rPr>
              <w:t>Desalinated water</w:t>
            </w:r>
          </w:p>
        </w:tc>
        <w:tc>
          <w:tcPr>
            <w:tcW w:w="1259" w:type="dxa"/>
            <w:tcBorders>
              <w:top w:val="nil"/>
              <w:left w:val="nil"/>
              <w:bottom w:val="single" w:color="auto" w:sz="12" w:space="0"/>
              <w:right w:val="nil"/>
            </w:tcBorders>
            <w:vAlign w:val="center"/>
          </w:tcPr>
          <w:p w14:paraId="432915B7">
            <w:pPr>
              <w:pStyle w:val="16"/>
              <w:spacing w:before="31" w:after="31"/>
              <w:ind w:firstLine="0" w:firstLineChars="0"/>
              <w:jc w:val="center"/>
              <w:rPr>
                <w:rFonts w:cs="Times New Roman"/>
                <w:sz w:val="21"/>
                <w:szCs w:val="21"/>
              </w:rPr>
            </w:pPr>
            <w:r>
              <w:rPr>
                <w:rFonts w:cs="Times New Roman"/>
                <w:sz w:val="21"/>
                <w:szCs w:val="21"/>
              </w:rPr>
              <w:t>2.21</w:t>
            </w:r>
          </w:p>
        </w:tc>
        <w:tc>
          <w:tcPr>
            <w:tcW w:w="1260" w:type="dxa"/>
            <w:tcBorders>
              <w:top w:val="nil"/>
              <w:left w:val="nil"/>
              <w:bottom w:val="single" w:color="auto" w:sz="12" w:space="0"/>
              <w:right w:val="nil"/>
            </w:tcBorders>
            <w:vAlign w:val="center"/>
          </w:tcPr>
          <w:p w14:paraId="1A32DF4E">
            <w:pPr>
              <w:pStyle w:val="16"/>
              <w:spacing w:before="31" w:after="31"/>
              <w:ind w:firstLine="0" w:firstLineChars="0"/>
              <w:jc w:val="center"/>
              <w:rPr>
                <w:rFonts w:cs="Times New Roman"/>
                <w:sz w:val="21"/>
                <w:szCs w:val="21"/>
              </w:rPr>
            </w:pPr>
            <w:r>
              <w:rPr>
                <w:rFonts w:cs="Times New Roman"/>
                <w:sz w:val="21"/>
                <w:szCs w:val="21"/>
              </w:rPr>
              <w:t>1.0</w:t>
            </w:r>
          </w:p>
        </w:tc>
        <w:tc>
          <w:tcPr>
            <w:tcW w:w="1259" w:type="dxa"/>
            <w:tcBorders>
              <w:top w:val="nil"/>
              <w:left w:val="nil"/>
              <w:bottom w:val="single" w:color="auto" w:sz="12" w:space="0"/>
              <w:right w:val="nil"/>
            </w:tcBorders>
            <w:vAlign w:val="center"/>
          </w:tcPr>
          <w:p w14:paraId="2CAD744D">
            <w:pPr>
              <w:pStyle w:val="16"/>
              <w:spacing w:before="31" w:after="31"/>
              <w:ind w:firstLine="0" w:firstLineChars="0"/>
              <w:jc w:val="center"/>
              <w:rPr>
                <w:rFonts w:cs="Times New Roman"/>
                <w:sz w:val="21"/>
                <w:szCs w:val="21"/>
              </w:rPr>
            </w:pPr>
            <w:r>
              <w:rPr>
                <w:rFonts w:cs="Times New Roman"/>
                <w:sz w:val="21"/>
                <w:szCs w:val="21"/>
              </w:rPr>
              <w:t>0.4</w:t>
            </w:r>
          </w:p>
        </w:tc>
        <w:tc>
          <w:tcPr>
            <w:tcW w:w="1260" w:type="dxa"/>
            <w:tcBorders>
              <w:top w:val="nil"/>
              <w:left w:val="nil"/>
              <w:bottom w:val="single" w:color="auto" w:sz="12" w:space="0"/>
              <w:right w:val="nil"/>
            </w:tcBorders>
            <w:vAlign w:val="center"/>
          </w:tcPr>
          <w:p w14:paraId="155373F5">
            <w:pPr>
              <w:pStyle w:val="16"/>
              <w:spacing w:before="31" w:after="31"/>
              <w:ind w:firstLine="0" w:firstLineChars="0"/>
              <w:jc w:val="center"/>
              <w:rPr>
                <w:rFonts w:cs="Times New Roman"/>
                <w:sz w:val="21"/>
                <w:szCs w:val="21"/>
              </w:rPr>
            </w:pPr>
            <w:r>
              <w:rPr>
                <w:rFonts w:cs="Times New Roman"/>
                <w:sz w:val="21"/>
                <w:szCs w:val="21"/>
              </w:rPr>
              <w:t>41.5</w:t>
            </w:r>
          </w:p>
        </w:tc>
        <w:tc>
          <w:tcPr>
            <w:tcW w:w="1260" w:type="dxa"/>
            <w:tcBorders>
              <w:top w:val="nil"/>
              <w:left w:val="nil"/>
              <w:bottom w:val="single" w:color="auto" w:sz="12" w:space="0"/>
              <w:right w:val="nil"/>
            </w:tcBorders>
            <w:vAlign w:val="center"/>
          </w:tcPr>
          <w:p w14:paraId="3D944A82">
            <w:pPr>
              <w:pStyle w:val="16"/>
              <w:spacing w:before="31" w:after="31"/>
              <w:ind w:firstLine="0" w:firstLineChars="0"/>
              <w:jc w:val="center"/>
              <w:rPr>
                <w:rFonts w:cs="Times New Roman"/>
                <w:sz w:val="21"/>
                <w:szCs w:val="21"/>
              </w:rPr>
            </w:pPr>
            <w:r>
              <w:rPr>
                <w:rFonts w:cs="Times New Roman"/>
                <w:sz w:val="21"/>
                <w:szCs w:val="21"/>
              </w:rPr>
              <w:t>35.0</w:t>
            </w:r>
          </w:p>
        </w:tc>
      </w:tr>
    </w:tbl>
    <w:p w14:paraId="62D867BA">
      <w:pPr>
        <w:pStyle w:val="16"/>
        <w:spacing w:before="31" w:after="31"/>
        <w:ind w:firstLine="482"/>
        <w:jc w:val="center"/>
        <w:rPr>
          <w:b/>
          <w:bCs/>
          <w:szCs w:val="24"/>
        </w:rPr>
      </w:pPr>
    </w:p>
    <w:p w14:paraId="0BE1F664">
      <w:pPr>
        <w:pStyle w:val="16"/>
        <w:spacing w:before="31" w:after="31"/>
        <w:ind w:firstLine="480"/>
        <w:rPr>
          <w:szCs w:val="24"/>
        </w:rPr>
      </w:pPr>
    </w:p>
    <w:p w14:paraId="76B608B5">
      <w:pPr>
        <w:pStyle w:val="16"/>
        <w:spacing w:before="31" w:after="31"/>
        <w:ind w:firstLine="480"/>
        <w:rPr>
          <w:szCs w:val="24"/>
        </w:rPr>
      </w:pPr>
      <w:r>
        <w:rPr>
          <w:szCs w:val="24"/>
        </w:rPr>
        <w:t>(4) Failed Components and Materials</w:t>
      </w:r>
    </w:p>
    <w:p w14:paraId="4078F24D">
      <w:pPr>
        <w:pStyle w:val="16"/>
        <w:spacing w:before="31" w:after="31"/>
        <w:ind w:firstLine="480"/>
        <w:rPr>
          <w:szCs w:val="24"/>
        </w:rPr>
      </w:pPr>
      <w:r>
        <w:rPr>
          <w:szCs w:val="24"/>
        </w:rPr>
        <w:t>Two CANDU-6 type 700MW heavy water reactor units in a coastal area were equipped with conventional island RCW heat exchangers provided by the American YUBA company. The heat exchanger is a horizontal shell-and-tube heat exchange device with a design life of 40 years.</w:t>
      </w:r>
    </w:p>
    <w:p w14:paraId="7AF45933">
      <w:pPr>
        <w:pStyle w:val="16"/>
        <w:spacing w:before="31" w:after="31"/>
        <w:ind w:firstLine="480"/>
        <w:rPr>
          <w:szCs w:val="24"/>
        </w:rPr>
      </w:pPr>
      <w:r>
        <w:rPr>
          <w:szCs w:val="24"/>
        </w:rPr>
        <w:t>(a) Materials and Dimensions</w:t>
      </w:r>
    </w:p>
    <w:p w14:paraId="0B0EE295">
      <w:pPr>
        <w:pStyle w:val="16"/>
        <w:spacing w:before="31" w:after="31"/>
        <w:ind w:firstLine="480"/>
        <w:rPr>
          <w:szCs w:val="24"/>
        </w:rPr>
      </w:pPr>
      <w:r>
        <w:rPr>
          <w:szCs w:val="24"/>
        </w:rPr>
        <w:t>Each heat exchanger contains 4932 titanium tubes, with a length of 14630mm, a diameter of Ф19×0.71mm, and made of welded titanium tubes designed according to the American ASME SB338 Gr.2 standard. Each titanium tube is supported by perforated titanium steel plates with a spacing of 603mm and fixed at both ends with hooked steel composite tube sheets. The tube sheet thickness is 78mm, and a 5mm thick titanium plate, in accordance with the American ASME SB265 Gr.1 standard, covers the seawater side. The internal structure of the heat exchanger is shown in Figure 9-4.1.</w:t>
      </w:r>
    </w:p>
    <w:p w14:paraId="71829F39">
      <w:pPr>
        <w:pStyle w:val="16"/>
        <w:spacing w:before="31" w:after="31"/>
        <w:ind w:firstLine="482"/>
        <w:jc w:val="center"/>
        <w:rPr>
          <w:b/>
          <w:bCs/>
          <w:szCs w:val="24"/>
        </w:rPr>
      </w:pPr>
      <w:r>
        <w:rPr>
          <w:b/>
          <w:bCs/>
          <w:szCs w:val="24"/>
        </w:rPr>
        <w:t>Figure 9-4.1 RCW Shell-and-Tube Heat Exchanger Internal and External Wall Structure (a. External Structure; b. Internal Connection of Titanium Tubes, Tube Sheets, Support Plates, etc.)</w:t>
      </w:r>
    </w:p>
    <w:p w14:paraId="3B233961">
      <w:pPr>
        <w:pStyle w:val="16"/>
        <w:spacing w:before="31" w:after="31"/>
        <w:ind w:firstLine="480"/>
        <w:rPr>
          <w:szCs w:val="24"/>
        </w:rPr>
      </w:pPr>
    </w:p>
    <w:p w14:paraId="515D18D3">
      <w:pPr>
        <w:pStyle w:val="16"/>
        <w:spacing w:before="31" w:after="31"/>
        <w:ind w:firstLine="480"/>
        <w:rPr>
          <w:szCs w:val="24"/>
        </w:rPr>
      </w:pPr>
      <w:r>
        <w:rPr>
          <w:szCs w:val="24"/>
        </w:rPr>
        <w:t>(b) Process Parameters</w:t>
      </w:r>
    </w:p>
    <w:p w14:paraId="7B8E47A4">
      <w:pPr>
        <w:pStyle w:val="16"/>
        <w:spacing w:before="31" w:after="31"/>
        <w:ind w:firstLine="480"/>
        <w:rPr>
          <w:szCs w:val="24"/>
        </w:rPr>
      </w:pPr>
      <w:r>
        <w:rPr>
          <w:szCs w:val="24"/>
        </w:rPr>
        <w:t>The connection between the tube sheet and the tube mouth adopts hydraulic expansion technology with an expansion rate of 80%, but the tube sheet mouth is not sealed by welding.</w:t>
      </w:r>
    </w:p>
    <w:p w14:paraId="1C5F5B7C">
      <w:pPr>
        <w:pStyle w:val="16"/>
        <w:spacing w:before="31" w:after="31"/>
        <w:ind w:firstLine="480"/>
        <w:rPr>
          <w:szCs w:val="24"/>
        </w:rPr>
      </w:pPr>
    </w:p>
    <w:p w14:paraId="11457619">
      <w:pPr>
        <w:pStyle w:val="16"/>
        <w:spacing w:before="31" w:after="31"/>
        <w:ind w:firstLine="480"/>
        <w:rPr>
          <w:szCs w:val="24"/>
        </w:rPr>
      </w:pPr>
      <w:r>
        <w:rPr>
          <w:szCs w:val="24"/>
        </w:rPr>
        <w:t>(c) Metallographic Structure</w:t>
      </w:r>
    </w:p>
    <w:p w14:paraId="30D04C96">
      <w:pPr>
        <w:pStyle w:val="16"/>
        <w:spacing w:before="31" w:after="31"/>
        <w:ind w:firstLine="480"/>
        <w:rPr>
          <w:szCs w:val="24"/>
        </w:rPr>
      </w:pPr>
      <w:r>
        <w:rPr>
          <w:szCs w:val="24"/>
        </w:rPr>
        <w:t>The material of the titanium tube is an α-titanium matrix with a hexagonal close-packed crystal structure. All performance indicators of the material meet the requirements specified in the American ASME SB338 Gr.2 standard.</w:t>
      </w:r>
    </w:p>
    <w:p w14:paraId="4216F67A">
      <w:pPr>
        <w:pStyle w:val="16"/>
        <w:spacing w:before="31" w:after="31"/>
        <w:ind w:firstLine="480"/>
        <w:rPr>
          <w:szCs w:val="24"/>
        </w:rPr>
      </w:pPr>
    </w:p>
    <w:p w14:paraId="05FA73F3">
      <w:pPr>
        <w:pStyle w:val="16"/>
        <w:spacing w:before="31" w:after="31"/>
        <w:ind w:firstLine="480"/>
        <w:rPr>
          <w:szCs w:val="24"/>
        </w:rPr>
      </w:pPr>
      <w:r>
        <w:rPr>
          <w:szCs w:val="24"/>
        </w:rPr>
        <w:t>(5) Failure Morphology</w:t>
      </w:r>
    </w:p>
    <w:p w14:paraId="743EEBA5">
      <w:pPr>
        <w:pStyle w:val="16"/>
        <w:spacing w:before="31" w:after="31"/>
        <w:ind w:firstLine="480"/>
        <w:rPr>
          <w:szCs w:val="24"/>
        </w:rPr>
      </w:pPr>
      <w:r>
        <w:rPr>
          <w:szCs w:val="24"/>
        </w:rPr>
        <w:t>(a) Hydrogen Bubble Failure Morphology</w:t>
      </w:r>
    </w:p>
    <w:p w14:paraId="2CE305E3">
      <w:pPr>
        <w:pStyle w:val="16"/>
        <w:spacing w:before="31" w:after="31"/>
        <w:ind w:firstLine="480"/>
        <w:rPr>
          <w:szCs w:val="24"/>
        </w:rPr>
      </w:pPr>
      <w:r>
        <w:rPr>
          <w:szCs w:val="24"/>
        </w:rPr>
        <w:t>At a distance of 33mm from the tube sheet, a rupture occurred on the outer wall of the titanium tube, forming an elliptical defect with dimensions of 5×3mm. The elliptical long axis formed a 30° angle with the titanium tube, and the outer wall of the rupture was noticeably concave, with some rust stains around it. The inner wall and nearby surface were smooth, but some brown-red rust deposits were observed. The concave nature of the rupture indicated that an external force acted on the outer wall of the tube, causing the edge to bend significantly inward, as shown in Figure 9-4.2.</w:t>
      </w:r>
    </w:p>
    <w:p w14:paraId="04A40DC5">
      <w:pPr>
        <w:pStyle w:val="16"/>
        <w:spacing w:before="31" w:after="31"/>
        <w:ind w:firstLine="482"/>
        <w:jc w:val="center"/>
        <w:rPr>
          <w:b/>
          <w:bCs/>
          <w:szCs w:val="24"/>
        </w:rPr>
      </w:pPr>
      <w:r>
        <w:rPr>
          <w:b/>
          <w:bCs/>
          <w:szCs w:val="24"/>
        </w:rPr>
        <w:t>(a) Location from tube mouth; (b) Concave morphology of outer wall; (c) Inner wall surface morphology</w:t>
      </w:r>
    </w:p>
    <w:p w14:paraId="24B0F0FF">
      <w:pPr>
        <w:pStyle w:val="16"/>
        <w:spacing w:before="31" w:after="31"/>
        <w:ind w:firstLine="482"/>
        <w:jc w:val="center"/>
        <w:rPr>
          <w:b/>
          <w:bCs/>
          <w:szCs w:val="24"/>
        </w:rPr>
      </w:pPr>
      <w:r>
        <w:rPr>
          <w:b/>
          <w:bCs/>
          <w:szCs w:val="24"/>
        </w:rPr>
        <w:t>Figure 9-4.2 Macroscopic Observation of Ruptured Titanium Tube in Tube Sheet</w:t>
      </w:r>
    </w:p>
    <w:p w14:paraId="0CCFEC0B">
      <w:pPr>
        <w:pStyle w:val="16"/>
        <w:spacing w:before="31" w:after="31"/>
        <w:ind w:firstLine="480"/>
        <w:rPr>
          <w:szCs w:val="24"/>
        </w:rPr>
      </w:pPr>
      <w:r>
        <w:rPr>
          <w:szCs w:val="24"/>
        </w:rPr>
        <w:t>Upon magnifying the macroscopic rupture in Figure 9-4.2(c), noticeable abrasion marks were observed on the inner wall surface, with some adhering white particles (Figure 9-4.3(a)), identified as sediment. Further magnification of a small hole near the upper right corner of the image (Figure 9-4.3(b)) revealed clear vortices and abrasion marks with a scale-like appearance, along with some small black particles adhering to the surface, which were titanium matrix particles worn away by the vortex, leading to rapid thinning and rupture of the tube wall.</w:t>
      </w:r>
    </w:p>
    <w:p w14:paraId="38408F83">
      <w:pPr>
        <w:pStyle w:val="16"/>
        <w:spacing w:before="31" w:after="31"/>
        <w:ind w:firstLine="482"/>
        <w:jc w:val="center"/>
        <w:rPr>
          <w:b/>
          <w:bCs/>
          <w:szCs w:val="24"/>
        </w:rPr>
      </w:pPr>
      <w:r>
        <w:rPr>
          <w:b/>
          <w:bCs/>
          <w:szCs w:val="24"/>
        </w:rPr>
        <w:t>(a) Inner wall surface morphology; (b) Local magnification of hole edge</w:t>
      </w:r>
    </w:p>
    <w:p w14:paraId="1FCE7480">
      <w:pPr>
        <w:pStyle w:val="16"/>
        <w:spacing w:before="31" w:after="31"/>
        <w:ind w:firstLine="482"/>
        <w:jc w:val="center"/>
        <w:rPr>
          <w:b/>
          <w:bCs/>
          <w:szCs w:val="24"/>
        </w:rPr>
      </w:pPr>
      <w:r>
        <w:rPr>
          <w:b/>
          <w:bCs/>
          <w:szCs w:val="24"/>
        </w:rPr>
        <w:t>Figure 9-4.3 SEM Images of Elliptical Rupture in Failed Titanium Tube</w:t>
      </w:r>
    </w:p>
    <w:p w14:paraId="24C9F863">
      <w:pPr>
        <w:pStyle w:val="16"/>
        <w:spacing w:before="31" w:after="31"/>
        <w:ind w:firstLine="480"/>
        <w:rPr>
          <w:szCs w:val="24"/>
        </w:rPr>
      </w:pPr>
      <w:r>
        <w:rPr>
          <w:szCs w:val="24"/>
        </w:rPr>
        <w:t>(b) Surface Pitting Failure Morphology</w:t>
      </w:r>
    </w:p>
    <w:p w14:paraId="734AB42B">
      <w:pPr>
        <w:pStyle w:val="16"/>
        <w:spacing w:before="31" w:after="31"/>
        <w:ind w:firstLine="480"/>
        <w:rPr>
          <w:szCs w:val="24"/>
        </w:rPr>
      </w:pPr>
      <w:r>
        <w:rPr>
          <w:szCs w:val="24"/>
        </w:rPr>
        <w:t>At a rupture location 213mm from the tube sheet, four surface pits were distributed along the inner wall circumference, with two of them already ruptured. The pits were quasi-circular in shape, ranging in size from 1.5mm to 2.5mm. Some were hole-shaped, and others were coin-shaped, with regular distribution spacing, as shown in Figure 9-4.4. No other wear marks were observed near the pits, suggesting that the pits were not caused by foreign object blockage. As seen in Figure 9-4.5(a), a pit consisted of a ruptured deep hole and a coin-shaped depression. The area around the deep hole was smooth, and the wear marks inside the deep hole were clear (Figure 9-4.5(b)), with some black particles adhering to it.</w:t>
      </w:r>
    </w:p>
    <w:p w14:paraId="13EEDD65">
      <w:pPr>
        <w:pStyle w:val="16"/>
        <w:spacing w:before="31" w:after="31"/>
        <w:ind w:firstLine="480"/>
        <w:rPr>
          <w:szCs w:val="24"/>
        </w:rPr>
      </w:pPr>
    </w:p>
    <w:p w14:paraId="4DB02443">
      <w:pPr>
        <w:pStyle w:val="16"/>
        <w:spacing w:before="31" w:after="31"/>
        <w:ind w:firstLine="480"/>
        <w:rPr>
          <w:szCs w:val="24"/>
        </w:rPr>
      </w:pPr>
      <w:r>
        <w:rPr>
          <w:szCs w:val="24"/>
        </w:rPr>
        <w:t>(c) Shell Blockage Failure Morphology</w:t>
      </w:r>
    </w:p>
    <w:p w14:paraId="796BFD7F">
      <w:pPr>
        <w:pStyle w:val="16"/>
        <w:spacing w:before="31" w:after="31"/>
        <w:ind w:firstLine="480"/>
        <w:rPr>
          <w:szCs w:val="24"/>
        </w:rPr>
      </w:pPr>
      <w:r>
        <w:rPr>
          <w:szCs w:val="24"/>
        </w:rPr>
        <w:t>At a rupture location approximately 42mm from the tube sheet, an irregularly shaped rupture measuring 9mm×5mm appeared, displaying horseshoe-shaped abrasive wear features (Figure 9-4.6). This indicated damage caused by blockage from shells. Once shells were lodged inside the tube, their soft bodies easily bent and deformed. As seawater containing sand flowed through, the fluid was accelerated, creating turbulent flow. Water could only jet out irregularly at high speeds from the holes or gaps, causing severe impact abrasion on the inner wall. Directional impact abrasion formed distinctive horseshoe-shaped ruptures, while non-directional impact fluid created irregular wear patterns. The horseshoe-shaped rupture characteristics suggested that this was caused by directional impact jetting due to shell blockage, leading to continuous enlargement of the rupture.</w:t>
      </w:r>
    </w:p>
    <w:p w14:paraId="07ADBD4F">
      <w:pPr>
        <w:pStyle w:val="16"/>
        <w:spacing w:before="31" w:after="31"/>
        <w:ind w:firstLine="482"/>
        <w:jc w:val="center"/>
        <w:rPr>
          <w:b/>
          <w:bCs/>
          <w:szCs w:val="24"/>
        </w:rPr>
      </w:pPr>
      <w:r>
        <w:rPr>
          <w:b/>
          <w:bCs/>
          <w:szCs w:val="24"/>
        </w:rPr>
        <w:t>(a) External appearance; (b) Distribution of inner wall pits; (c) Outer wall morphology of rupture</w:t>
      </w:r>
    </w:p>
    <w:p w14:paraId="2F4422C4">
      <w:pPr>
        <w:pStyle w:val="16"/>
        <w:spacing w:before="31" w:after="31"/>
        <w:ind w:firstLine="482"/>
        <w:jc w:val="center"/>
        <w:rPr>
          <w:b/>
          <w:bCs/>
          <w:szCs w:val="24"/>
        </w:rPr>
      </w:pPr>
      <w:r>
        <w:rPr>
          <w:b/>
          <w:bCs/>
          <w:szCs w:val="24"/>
        </w:rPr>
        <w:t>Figure 9-4.4 Macroscopic Appearance of Ruptured Titanium Tube in Tube Sheet</w:t>
      </w:r>
    </w:p>
    <w:p w14:paraId="057F5E28">
      <w:pPr>
        <w:pStyle w:val="16"/>
        <w:spacing w:before="31" w:after="31"/>
        <w:ind w:firstLine="482"/>
        <w:jc w:val="center"/>
        <w:rPr>
          <w:b/>
          <w:bCs/>
          <w:szCs w:val="24"/>
        </w:rPr>
      </w:pPr>
      <w:r>
        <w:rPr>
          <w:b/>
          <w:bCs/>
          <w:szCs w:val="24"/>
        </w:rPr>
        <w:t>(a) Ruptured deep hole and coin-shaped shallow depression; (b) Local magnification of ruptured deep hole</w:t>
      </w:r>
    </w:p>
    <w:p w14:paraId="024BC714">
      <w:pPr>
        <w:pStyle w:val="16"/>
        <w:spacing w:before="31" w:after="31"/>
        <w:ind w:firstLine="482"/>
        <w:jc w:val="center"/>
        <w:rPr>
          <w:b/>
          <w:bCs/>
          <w:szCs w:val="24"/>
        </w:rPr>
      </w:pPr>
      <w:r>
        <w:rPr>
          <w:b/>
          <w:bCs/>
          <w:szCs w:val="24"/>
        </w:rPr>
        <w:t>Figure 9-4.5 SEM Images of Failed Titanium Tube with Surface Pits in Tube Sheet</w:t>
      </w:r>
    </w:p>
    <w:p w14:paraId="5EDCCD4F">
      <w:pPr>
        <w:pStyle w:val="16"/>
        <w:spacing w:before="31" w:after="31"/>
        <w:ind w:firstLine="482"/>
        <w:jc w:val="center"/>
        <w:rPr>
          <w:b/>
          <w:bCs/>
          <w:szCs w:val="24"/>
        </w:rPr>
      </w:pPr>
      <w:r>
        <w:rPr>
          <w:b/>
          <w:bCs/>
          <w:szCs w:val="24"/>
        </w:rPr>
        <w:t>(a) External wall; (b) Inner wall; (c) Local magnification of inner wall morphology</w:t>
      </w:r>
    </w:p>
    <w:p w14:paraId="57BD324E">
      <w:pPr>
        <w:pStyle w:val="16"/>
        <w:spacing w:before="31" w:after="31"/>
        <w:ind w:firstLine="482"/>
        <w:jc w:val="center"/>
        <w:rPr>
          <w:b/>
          <w:bCs/>
          <w:szCs w:val="24"/>
        </w:rPr>
      </w:pPr>
      <w:r>
        <w:rPr>
          <w:b/>
          <w:bCs/>
          <w:szCs w:val="24"/>
        </w:rPr>
        <w:t>Figure 9-4.6 Macroscopic Appearance of Horseshoe-shaped Rupture in Failed Titanium Tube in Tube Sheet</w:t>
      </w:r>
    </w:p>
    <w:p w14:paraId="103FB5AD">
      <w:pPr>
        <w:pStyle w:val="16"/>
        <w:spacing w:before="31" w:after="31"/>
        <w:ind w:firstLine="480"/>
        <w:rPr>
          <w:szCs w:val="24"/>
        </w:rPr>
      </w:pPr>
    </w:p>
    <w:p w14:paraId="7729716E">
      <w:pPr>
        <w:pStyle w:val="16"/>
        <w:spacing w:before="31" w:after="31"/>
        <w:ind w:firstLine="480"/>
        <w:rPr>
          <w:szCs w:val="24"/>
        </w:rPr>
      </w:pPr>
      <w:r>
        <w:rPr>
          <w:szCs w:val="24"/>
        </w:rPr>
        <w:t>(d) Sand Blockage Failure Morphology</w:t>
      </w:r>
    </w:p>
    <w:p w14:paraId="0BF18306">
      <w:pPr>
        <w:pStyle w:val="16"/>
        <w:spacing w:before="31" w:after="31"/>
        <w:ind w:firstLine="480"/>
        <w:rPr>
          <w:szCs w:val="24"/>
        </w:rPr>
      </w:pPr>
      <w:r>
        <w:rPr>
          <w:szCs w:val="24"/>
        </w:rPr>
        <w:t>Three parallel, staggered, ladder-shaped narrow hole ruptures were found in the failed titanium tube. These ruptures, each measuring less than 5mm in length, were all located between the tube sheet and the first support plate, with the first rupture 125mm from the tube sheet. From the morphology of the failures, it was evident that the outer wall surface of the ruptures showed no signs of wear, indicating that the ruptures originated from the inner wall. Microscopic examination of one of the narrow hole ruptures revealed that the inner wall had undergone compression plastic deformation, with multiple parallel compression streaks around it. The wide and narrow streaks exhibited folding, indicating significant local plastic deformation, as shown in Figure 9-4.8.</w:t>
      </w:r>
    </w:p>
    <w:p w14:paraId="5E8835AF">
      <w:pPr>
        <w:pStyle w:val="16"/>
        <w:spacing w:before="31" w:after="31"/>
        <w:ind w:firstLine="482"/>
        <w:jc w:val="center"/>
        <w:rPr>
          <w:b/>
          <w:bCs/>
          <w:szCs w:val="24"/>
        </w:rPr>
      </w:pPr>
      <w:r>
        <w:rPr>
          <w:b/>
          <w:bCs/>
          <w:szCs w:val="24"/>
        </w:rPr>
        <w:t>Figure 9-4.7 Macroscopic Appearance of Failed Titanium Tube with Three Narrow Hole Ruptures</w:t>
      </w:r>
    </w:p>
    <w:p w14:paraId="1CBC83EF">
      <w:pPr>
        <w:pStyle w:val="16"/>
        <w:spacing w:before="31" w:after="31"/>
        <w:ind w:firstLine="482"/>
        <w:jc w:val="center"/>
        <w:rPr>
          <w:b/>
          <w:bCs/>
          <w:szCs w:val="24"/>
        </w:rPr>
      </w:pPr>
      <w:r>
        <w:rPr>
          <w:b/>
          <w:bCs/>
          <w:szCs w:val="24"/>
        </w:rPr>
        <w:t>(a) External appearance; (b) Outer wall; (c) Inner wall</w:t>
      </w:r>
    </w:p>
    <w:p w14:paraId="660C2DE6">
      <w:pPr>
        <w:pStyle w:val="16"/>
        <w:spacing w:before="31" w:after="31"/>
        <w:ind w:firstLine="482"/>
        <w:jc w:val="center"/>
        <w:rPr>
          <w:b/>
          <w:bCs/>
          <w:szCs w:val="24"/>
        </w:rPr>
      </w:pPr>
    </w:p>
    <w:p w14:paraId="3DB56D78">
      <w:pPr>
        <w:pStyle w:val="16"/>
        <w:spacing w:before="31" w:after="31"/>
        <w:ind w:firstLine="480"/>
        <w:rPr>
          <w:szCs w:val="24"/>
        </w:rPr>
      </w:pPr>
    </w:p>
    <w:p w14:paraId="412246C3">
      <w:pPr>
        <w:pStyle w:val="16"/>
        <w:spacing w:before="31" w:after="31"/>
        <w:ind w:firstLine="480"/>
        <w:rPr>
          <w:szCs w:val="24"/>
        </w:rPr>
      </w:pPr>
    </w:p>
    <w:p w14:paraId="6572D0B5">
      <w:pPr>
        <w:pStyle w:val="16"/>
        <w:spacing w:before="31" w:after="31"/>
        <w:ind w:firstLine="482"/>
        <w:jc w:val="center"/>
        <w:rPr>
          <w:b/>
          <w:bCs/>
          <w:szCs w:val="24"/>
        </w:rPr>
      </w:pPr>
    </w:p>
    <w:p w14:paraId="071E31EF">
      <w:pPr>
        <w:pStyle w:val="16"/>
        <w:spacing w:before="31" w:after="31"/>
        <w:ind w:firstLine="482"/>
        <w:jc w:val="center"/>
        <w:rPr>
          <w:b/>
          <w:bCs/>
          <w:szCs w:val="24"/>
        </w:rPr>
      </w:pPr>
      <w:r>
        <w:rPr>
          <w:b/>
          <w:bCs/>
          <w:szCs w:val="24"/>
        </w:rPr>
        <w:t>Figure 9-4.8 SEM Images of Narrow Hole Rupture in Failed Titanium Tube</w:t>
      </w:r>
    </w:p>
    <w:p w14:paraId="2C6E4397">
      <w:pPr>
        <w:pStyle w:val="16"/>
        <w:spacing w:before="31" w:after="31"/>
        <w:ind w:firstLine="480"/>
        <w:rPr>
          <w:szCs w:val="24"/>
        </w:rPr>
      </w:pPr>
    </w:p>
    <w:p w14:paraId="1D23C050">
      <w:pPr>
        <w:pStyle w:val="16"/>
        <w:spacing w:before="31" w:after="31"/>
        <w:ind w:firstLine="480"/>
        <w:rPr>
          <w:szCs w:val="24"/>
        </w:rPr>
      </w:pPr>
      <w:r>
        <w:rPr>
          <w:szCs w:val="24"/>
        </w:rPr>
        <w:t>(e) Failure Morphology due to Rubber Belt Blockage</w:t>
      </w:r>
    </w:p>
    <w:p w14:paraId="7F958956">
      <w:pPr>
        <w:pStyle w:val="16"/>
        <w:spacing w:before="31" w:after="31"/>
        <w:ind w:firstLine="480"/>
        <w:rPr>
          <w:szCs w:val="24"/>
        </w:rPr>
      </w:pPr>
      <w:r>
        <w:rPr>
          <w:szCs w:val="24"/>
        </w:rPr>
        <w:t>A rupture in a titanium tube occurred between the 4th and 5th support plates, approximately 2830mm from the tube sheet, with three parallel holes measuring 2-3mm each. The inner wall contained multiple sharp blade-like deformations, exceeding 200mm in length and varying in size. Upon cutting open the entire straight pipe section, a blocked rubber belt was found inside. The rubber belt, due to erosion from seawater, had a relatively smooth surface (Figure 9-4.9(c)). This rubber belt originated from the anti-corrosion rubber lining inside the RCW system water chamber. It entered the tube, causing impact abrasion and abrasion by particles in the form of jet impact abrasion and erosion. This led to the formation of multiple plastic deformation and bent blade-like features on the inner wall of the titanium tube (Figure 9-4.9(b)).</w:t>
      </w:r>
    </w:p>
    <w:p w14:paraId="1440B51D">
      <w:pPr>
        <w:pStyle w:val="16"/>
        <w:spacing w:before="31" w:after="31"/>
        <w:ind w:firstLine="482"/>
        <w:jc w:val="center"/>
        <w:rPr>
          <w:b/>
          <w:bCs/>
          <w:szCs w:val="24"/>
        </w:rPr>
      </w:pPr>
      <w:r>
        <w:rPr>
          <w:b/>
          <w:bCs/>
          <w:szCs w:val="24"/>
        </w:rPr>
        <w:t>(a) External appearance; (b) Inner wall morphology; (c) Blocked smooth rubber belt</w:t>
      </w:r>
    </w:p>
    <w:p w14:paraId="1170D149">
      <w:pPr>
        <w:pStyle w:val="16"/>
        <w:spacing w:before="31" w:after="31"/>
        <w:ind w:firstLine="482"/>
        <w:jc w:val="center"/>
        <w:rPr>
          <w:b/>
          <w:bCs/>
          <w:szCs w:val="24"/>
        </w:rPr>
      </w:pPr>
      <w:r>
        <w:rPr>
          <w:b/>
          <w:bCs/>
          <w:szCs w:val="24"/>
        </w:rPr>
        <w:t>Figure 9-4.9 Macroscopic Appearance of Failed Titanium Tube Outside the First Support Plate</w:t>
      </w:r>
    </w:p>
    <w:p w14:paraId="30199664">
      <w:pPr>
        <w:pStyle w:val="16"/>
        <w:spacing w:before="31" w:after="31"/>
        <w:ind w:firstLine="480"/>
        <w:rPr>
          <w:szCs w:val="24"/>
        </w:rPr>
      </w:pPr>
    </w:p>
    <w:p w14:paraId="60AB4EFF">
      <w:pPr>
        <w:pStyle w:val="16"/>
        <w:spacing w:before="31" w:after="31"/>
        <w:ind w:firstLine="480"/>
        <w:rPr>
          <w:szCs w:val="24"/>
        </w:rPr>
      </w:pPr>
      <w:r>
        <w:rPr>
          <w:szCs w:val="24"/>
        </w:rPr>
        <w:t>(f) Failure Morphology and Analysis due to Micro-Motion Wear</w:t>
      </w:r>
    </w:p>
    <w:p w14:paraId="27027038">
      <w:pPr>
        <w:pStyle w:val="16"/>
        <w:spacing w:before="31" w:after="31"/>
        <w:ind w:firstLine="480"/>
        <w:rPr>
          <w:szCs w:val="24"/>
        </w:rPr>
      </w:pPr>
      <w:r>
        <w:rPr>
          <w:szCs w:val="24"/>
        </w:rPr>
        <w:t>At a certain distance from the outlet, a rupture occurred in a titanium tube, 1715mm from the outlet. The morphology was irregular, measuring 10mm×5mm, located at the support plate. Clear friction streaks were visible on the outer wall surface, with the streak width equal to the thickness of the support plate. The inner wall surface and nearby areas were smooth without signs of wear, indicating that this rupture was not caused by foreign object blockage (Figure 9-4.10). The external morphology revealed curved and relatively long mechanical cut marks. On the worn surface, in addition to a layer of loosely distributed metal powder, there were also areas of ulceration and micro-depressions, as shown in Figure 9-4.11.</w:t>
      </w:r>
    </w:p>
    <w:p w14:paraId="1326DA74">
      <w:pPr>
        <w:pStyle w:val="16"/>
        <w:spacing w:before="31" w:after="31"/>
        <w:ind w:firstLine="482"/>
        <w:jc w:val="center"/>
        <w:rPr>
          <w:b/>
          <w:bCs/>
          <w:szCs w:val="24"/>
        </w:rPr>
      </w:pPr>
      <w:r>
        <w:rPr>
          <w:b/>
          <w:bCs/>
          <w:szCs w:val="24"/>
        </w:rPr>
        <w:t>(a) External appearance; (b) Outer wall morphology</w:t>
      </w:r>
    </w:p>
    <w:p w14:paraId="54974657">
      <w:pPr>
        <w:pStyle w:val="16"/>
        <w:spacing w:before="31" w:after="31"/>
        <w:ind w:firstLine="482"/>
        <w:jc w:val="center"/>
        <w:rPr>
          <w:b/>
          <w:bCs/>
          <w:szCs w:val="24"/>
        </w:rPr>
      </w:pPr>
      <w:r>
        <w:rPr>
          <w:b/>
          <w:bCs/>
          <w:szCs w:val="24"/>
        </w:rPr>
        <w:t>Figure 9-4.10 Macroscopic Appearance of Failed Titanium Tube Near the Outlet Side Support Plate</w:t>
      </w:r>
    </w:p>
    <w:p w14:paraId="22B065CA">
      <w:pPr>
        <w:pStyle w:val="16"/>
        <w:spacing w:before="31" w:after="31"/>
        <w:ind w:firstLine="482"/>
        <w:jc w:val="center"/>
        <w:rPr>
          <w:b/>
          <w:bCs/>
          <w:szCs w:val="24"/>
        </w:rPr>
      </w:pPr>
      <w:r>
        <w:rPr>
          <w:b/>
          <w:bCs/>
          <w:szCs w:val="24"/>
        </w:rPr>
        <w:t>(a) Metal grinding morphology on worn streak; (b) Local ulceration and micro-depression on worn streak</w:t>
      </w:r>
    </w:p>
    <w:p w14:paraId="643DBE3D">
      <w:pPr>
        <w:pStyle w:val="16"/>
        <w:spacing w:before="31" w:after="31"/>
        <w:ind w:firstLine="482"/>
        <w:jc w:val="center"/>
        <w:rPr>
          <w:b/>
          <w:bCs/>
          <w:szCs w:val="24"/>
        </w:rPr>
      </w:pPr>
      <w:r>
        <w:rPr>
          <w:b/>
          <w:bCs/>
          <w:szCs w:val="24"/>
        </w:rPr>
        <w:t>Figure 9-4.11 SEM Images of Outer Surface of Tube Wall Produced by Micro-Motion Wear</w:t>
      </w:r>
    </w:p>
    <w:p w14:paraId="2FB80B6B">
      <w:pPr>
        <w:pStyle w:val="16"/>
        <w:spacing w:before="31" w:after="31"/>
        <w:ind w:firstLine="480"/>
        <w:rPr>
          <w:szCs w:val="24"/>
        </w:rPr>
      </w:pPr>
    </w:p>
    <w:p w14:paraId="429AD8DE">
      <w:pPr>
        <w:pStyle w:val="16"/>
        <w:spacing w:before="31" w:after="31"/>
        <w:ind w:firstLine="480"/>
        <w:rPr>
          <w:szCs w:val="24"/>
        </w:rPr>
      </w:pPr>
      <w:r>
        <w:rPr>
          <w:szCs w:val="24"/>
        </w:rPr>
        <w:t>(6) Analysis of Failure Causes</w:t>
      </w:r>
    </w:p>
    <w:p w14:paraId="497EA40D">
      <w:pPr>
        <w:pStyle w:val="16"/>
        <w:spacing w:before="31" w:after="31"/>
        <w:ind w:firstLine="480"/>
        <w:rPr>
          <w:szCs w:val="24"/>
        </w:rPr>
      </w:pPr>
      <w:r>
        <w:rPr>
          <w:szCs w:val="24"/>
        </w:rPr>
        <w:t>(a) Analysis of Hydrogen Bubble Failure Causes</w:t>
      </w:r>
    </w:p>
    <w:p w14:paraId="1A6853AD">
      <w:pPr>
        <w:pStyle w:val="16"/>
        <w:spacing w:before="31" w:after="31"/>
        <w:ind w:firstLine="480"/>
        <w:rPr>
          <w:szCs w:val="24"/>
        </w:rPr>
      </w:pPr>
      <w:r>
        <w:rPr>
          <w:szCs w:val="24"/>
        </w:rPr>
        <w:t>The failure of titanium tubes in the tube sheet was due to a design oversight—no sealing was implemented at the tube sheet mouth, leading to galvanic corrosion and crevice corrosion between the titanium tubes and the titanium steel tube sheet. This resulted in hydrogen evolution and bubble formation, causing micro-protrusions on the tube wall, leading to titanium tube rupture under abrasive wear by sandy seawater. Therefore, the design negligence of the tube sheet mouth was the main cause of titanium tube failure inside the tube sheet.</w:t>
      </w:r>
    </w:p>
    <w:p w14:paraId="2F5EDC3B">
      <w:pPr>
        <w:pStyle w:val="16"/>
        <w:spacing w:before="31" w:after="31"/>
        <w:ind w:firstLine="480"/>
        <w:rPr>
          <w:szCs w:val="24"/>
        </w:rPr>
      </w:pPr>
    </w:p>
    <w:p w14:paraId="653388BE">
      <w:pPr>
        <w:pStyle w:val="16"/>
        <w:spacing w:before="31" w:after="31"/>
        <w:ind w:firstLine="480"/>
        <w:rPr>
          <w:szCs w:val="24"/>
        </w:rPr>
      </w:pPr>
      <w:r>
        <w:rPr>
          <w:szCs w:val="24"/>
        </w:rPr>
        <w:t>(b) Analysis of Surface Pitting Failure Causes</w:t>
      </w:r>
    </w:p>
    <w:p w14:paraId="0511BB8A">
      <w:pPr>
        <w:pStyle w:val="16"/>
        <w:spacing w:before="31" w:after="31"/>
        <w:ind w:firstLine="480"/>
        <w:rPr>
          <w:szCs w:val="24"/>
        </w:rPr>
      </w:pPr>
      <w:r>
        <w:rPr>
          <w:szCs w:val="24"/>
        </w:rPr>
        <w:t>During the installation process, titanium tubes were scratched on the inner wall due to the hardness of the traction clamp, forming vortex abrasion wear centers. Under abrasive wear by sandy seawater, these scratched areas led to tube rupture. Therefore, the failure of titanium tubes with multiple surface pits was caused by improper installation and was a significant reason for the large number of titanium tube failures.</w:t>
      </w:r>
    </w:p>
    <w:p w14:paraId="145460CC">
      <w:pPr>
        <w:pStyle w:val="16"/>
        <w:spacing w:before="31" w:after="31"/>
        <w:ind w:firstLine="480"/>
        <w:rPr>
          <w:szCs w:val="24"/>
        </w:rPr>
      </w:pPr>
    </w:p>
    <w:p w14:paraId="0412266A">
      <w:pPr>
        <w:pStyle w:val="16"/>
        <w:spacing w:before="31" w:after="31"/>
        <w:ind w:firstLine="480"/>
        <w:rPr>
          <w:szCs w:val="24"/>
        </w:rPr>
      </w:pPr>
      <w:r>
        <w:rPr>
          <w:szCs w:val="24"/>
        </w:rPr>
        <w:t>(c) Analysis of Shell Blockage Failure Causes</w:t>
      </w:r>
    </w:p>
    <w:p w14:paraId="47585BBE">
      <w:pPr>
        <w:pStyle w:val="16"/>
        <w:spacing w:before="31" w:after="31"/>
        <w:ind w:firstLine="480"/>
        <w:rPr>
          <w:szCs w:val="24"/>
        </w:rPr>
      </w:pPr>
      <w:r>
        <w:rPr>
          <w:szCs w:val="24"/>
        </w:rPr>
        <w:t>The failure of titanium tubes with horseshoe-shaped morphologies on the inner wall was caused by the blockage of shells inside the tube. This changed the flow direction of seawater, forming impact fluid flow, and ruptured under the continuous action of impact abrasion.</w:t>
      </w:r>
    </w:p>
    <w:p w14:paraId="23C45A72">
      <w:pPr>
        <w:pStyle w:val="16"/>
        <w:spacing w:before="31" w:after="31"/>
        <w:ind w:firstLine="480"/>
        <w:rPr>
          <w:szCs w:val="24"/>
        </w:rPr>
      </w:pPr>
    </w:p>
    <w:p w14:paraId="3ECE99C3">
      <w:pPr>
        <w:pStyle w:val="16"/>
        <w:spacing w:before="31" w:after="31"/>
        <w:ind w:firstLine="480"/>
        <w:rPr>
          <w:szCs w:val="24"/>
        </w:rPr>
      </w:pPr>
      <w:r>
        <w:rPr>
          <w:szCs w:val="24"/>
        </w:rPr>
        <w:t>(d) Analysis of Sand Blockage Failure Morphology</w:t>
      </w:r>
    </w:p>
    <w:p w14:paraId="16ED9938">
      <w:pPr>
        <w:pStyle w:val="16"/>
        <w:spacing w:before="31" w:after="31"/>
        <w:ind w:firstLine="480"/>
        <w:rPr>
          <w:szCs w:val="24"/>
        </w:rPr>
      </w:pPr>
      <w:r>
        <w:rPr>
          <w:szCs w:val="24"/>
        </w:rPr>
        <w:t>Sand entered the tube, blocking most of the channels in the titanium tube, but leaving small portions unobstructed, forming narrow gaps. When seawater flowed through these gaps, the large pressure difference caused by sand blockage on both sides of the gap led to seawater rushing through the gap at high speed. This caused severe impact abrasion, abrasive particle wear, and deformation in the local area of the titanium tube, eventually leading to rapid thinning and rupture of the tube wall due to the continuous action of impact abrasion.</w:t>
      </w:r>
    </w:p>
    <w:p w14:paraId="341BC8D8">
      <w:pPr>
        <w:pStyle w:val="16"/>
        <w:spacing w:before="31" w:after="31"/>
        <w:ind w:firstLine="480"/>
        <w:rPr>
          <w:szCs w:val="24"/>
        </w:rPr>
      </w:pPr>
    </w:p>
    <w:p w14:paraId="28F4D598">
      <w:pPr>
        <w:pStyle w:val="16"/>
        <w:spacing w:before="31" w:after="31"/>
        <w:ind w:firstLine="480"/>
        <w:rPr>
          <w:szCs w:val="24"/>
        </w:rPr>
      </w:pPr>
      <w:r>
        <w:rPr>
          <w:szCs w:val="24"/>
        </w:rPr>
        <w:t>(e) Analysis of Rubber Belt Blockage Failure Causes</w:t>
      </w:r>
    </w:p>
    <w:p w14:paraId="53B2FADD">
      <w:pPr>
        <w:pStyle w:val="16"/>
        <w:spacing w:before="31" w:after="31"/>
        <w:ind w:firstLine="480"/>
        <w:rPr>
          <w:szCs w:val="24"/>
        </w:rPr>
      </w:pPr>
      <w:r>
        <w:rPr>
          <w:szCs w:val="24"/>
        </w:rPr>
        <w:t>The anti-corrosion rubber lining inside the RCW system water chamber was not securely bonded to the surface. After partial detachment, it entered the tube, existing in two states: (1) The rubber filled the channels inside the tube, causing abrasion by sandy seawater in the form of impact abrasion and abrasive particle wear. (2) If the rubber in the tube could not be fully folded, jetting-type impact abrasion was the main mode of wear. Both forms of wear led to internal failure of the titanium tube.</w:t>
      </w:r>
    </w:p>
    <w:p w14:paraId="144ED78A">
      <w:pPr>
        <w:pStyle w:val="16"/>
        <w:spacing w:before="31" w:after="31"/>
        <w:ind w:firstLine="480"/>
        <w:rPr>
          <w:szCs w:val="24"/>
        </w:rPr>
      </w:pPr>
    </w:p>
    <w:p w14:paraId="3B95545F">
      <w:pPr>
        <w:pStyle w:val="16"/>
        <w:spacing w:before="31" w:after="31"/>
        <w:ind w:firstLine="480"/>
        <w:rPr>
          <w:szCs w:val="24"/>
        </w:rPr>
      </w:pPr>
      <w:r>
        <w:rPr>
          <w:szCs w:val="24"/>
        </w:rPr>
        <w:t>(f) Micro-motion Wear Failure Analysis</w:t>
      </w:r>
    </w:p>
    <w:p w14:paraId="6AD28BDA">
      <w:pPr>
        <w:pStyle w:val="16"/>
        <w:spacing w:before="31" w:after="31"/>
        <w:ind w:firstLine="480"/>
        <w:rPr>
          <w:szCs w:val="24"/>
        </w:rPr>
      </w:pPr>
      <w:r>
        <w:rPr>
          <w:szCs w:val="24"/>
        </w:rPr>
        <w:t>When the titanium plate is fixed through the support plate, a ring-shaped wear surface is generated, and the cause of this wear surface is attributed to mechanical cutting. However, under the continuous action of micro-motion wear, the outer wall surface is gradually worn thin. Meanwhile, turbulent flow corrosion is produced at the breach on the shell side, where seawater enters, and coupled with the corrosion from the electrochemical couple during production shutdown and maintenance, the breach continuously enlarges. Ultimately, the breach widens and enlarges due to the combined effects of mechanical cutting, micro-motion wear, and electrochemical corrosion.</w:t>
      </w:r>
    </w:p>
    <w:p w14:paraId="2A4C095B">
      <w:pPr>
        <w:pStyle w:val="16"/>
        <w:spacing w:before="31" w:after="31"/>
        <w:ind w:firstLine="480"/>
        <w:rPr>
          <w:szCs w:val="24"/>
        </w:rPr>
      </w:pPr>
    </w:p>
    <w:p w14:paraId="420FB5E9">
      <w:pPr>
        <w:pStyle w:val="16"/>
        <w:spacing w:before="31" w:after="31"/>
        <w:ind w:firstLine="480"/>
        <w:rPr>
          <w:szCs w:val="24"/>
        </w:rPr>
      </w:pPr>
      <w:r>
        <w:rPr>
          <w:szCs w:val="24"/>
        </w:rPr>
        <w:t>(7) Impact and Harm Caused</w:t>
      </w:r>
    </w:p>
    <w:p w14:paraId="6FC27AEB">
      <w:pPr>
        <w:pStyle w:val="16"/>
        <w:spacing w:before="31" w:after="31"/>
        <w:ind w:firstLine="480"/>
        <w:rPr>
          <w:szCs w:val="24"/>
        </w:rPr>
      </w:pPr>
      <w:r>
        <w:rPr>
          <w:szCs w:val="24"/>
        </w:rPr>
        <w:t>It affects the normal operation of the nuclear power unit.</w:t>
      </w:r>
    </w:p>
    <w:p w14:paraId="12F269F5">
      <w:pPr>
        <w:pStyle w:val="16"/>
        <w:spacing w:before="31" w:after="31"/>
        <w:ind w:firstLine="480"/>
        <w:rPr>
          <w:szCs w:val="24"/>
        </w:rPr>
      </w:pPr>
    </w:p>
    <w:p w14:paraId="78D794B9">
      <w:pPr>
        <w:pStyle w:val="16"/>
        <w:spacing w:before="31" w:after="31"/>
        <w:ind w:firstLine="480"/>
        <w:rPr>
          <w:szCs w:val="24"/>
        </w:rPr>
      </w:pPr>
      <w:r>
        <w:rPr>
          <w:szCs w:val="24"/>
        </w:rPr>
        <w:t>(8) Conclusions and Improvement Measures</w:t>
      </w:r>
    </w:p>
    <w:p w14:paraId="01716A4F">
      <w:pPr>
        <w:pStyle w:val="16"/>
        <w:spacing w:before="31" w:after="31"/>
        <w:ind w:firstLine="480"/>
        <w:rPr>
          <w:szCs w:val="24"/>
        </w:rPr>
      </w:pPr>
      <w:r>
        <w:rPr>
          <w:szCs w:val="24"/>
        </w:rPr>
        <w:t>(a) Seal protection welding should be applied between the tube plate and titanium tube to completely eliminate electrochemical corrosion and crevice corrosion; high molecular polymer sealing agents can also be used for sealing.</w:t>
      </w:r>
    </w:p>
    <w:p w14:paraId="7707F7CB">
      <w:pPr>
        <w:pStyle w:val="16"/>
        <w:spacing w:before="31" w:after="31"/>
        <w:ind w:firstLine="480"/>
        <w:rPr>
          <w:szCs w:val="24"/>
        </w:rPr>
      </w:pPr>
    </w:p>
    <w:p w14:paraId="07BA0F33">
      <w:pPr>
        <w:pStyle w:val="16"/>
        <w:spacing w:before="31" w:after="31"/>
        <w:ind w:firstLine="480"/>
        <w:rPr>
          <w:szCs w:val="24"/>
        </w:rPr>
      </w:pPr>
      <w:r>
        <w:rPr>
          <w:szCs w:val="24"/>
        </w:rPr>
        <w:t>(b) Regularly inspect the quality of the filter screen to prevent shells from entering the water chamber and pipes. If allowed, a filter screen with an aperture smaller than 15mm can be installed at the inlet of the main pipe and water chamber to prevent shells generated within the RCW main pipe system from entering the pipes.</w:t>
      </w:r>
    </w:p>
    <w:p w14:paraId="07E5DE7D">
      <w:pPr>
        <w:pStyle w:val="16"/>
        <w:spacing w:before="31" w:after="31"/>
        <w:ind w:firstLine="480"/>
        <w:rPr>
          <w:szCs w:val="24"/>
        </w:rPr>
      </w:pPr>
    </w:p>
    <w:p w14:paraId="1895156A">
      <w:pPr>
        <w:pStyle w:val="16"/>
        <w:spacing w:before="31" w:after="31"/>
        <w:ind w:firstLine="480"/>
        <w:rPr>
          <w:szCs w:val="24"/>
        </w:rPr>
      </w:pPr>
      <w:r>
        <w:rPr>
          <w:szCs w:val="24"/>
        </w:rPr>
        <w:t>(c) During RCW heat exchanger shutdown maintenance, sediment, silt, and sludge deposited inside the pipes must be flushed clean to eliminate scaling and blockages. If conditions permit, a clarification pool can be established to reduce the sand content in seawater.</w:t>
      </w:r>
    </w:p>
    <w:p w14:paraId="2A63393C">
      <w:pPr>
        <w:pStyle w:val="16"/>
        <w:spacing w:before="31" w:after="31"/>
        <w:ind w:firstLine="480"/>
        <w:rPr>
          <w:szCs w:val="24"/>
        </w:rPr>
      </w:pPr>
    </w:p>
    <w:p w14:paraId="3B976F57">
      <w:pPr>
        <w:pStyle w:val="16"/>
        <w:spacing w:before="31" w:after="31"/>
        <w:ind w:firstLine="480"/>
        <w:rPr>
          <w:szCs w:val="24"/>
        </w:rPr>
      </w:pPr>
      <w:r>
        <w:rPr>
          <w:szCs w:val="24"/>
        </w:rPr>
        <w:t>(d) For defects within 250mm from the tube plate opening, with surface pits, a protective nylon sleeve with a trapezoidal shape and a length of 300mm can be added to the tube plate opening. This prevents seawater from eroding and wearing the defective pipes, extending their service life and acting as a barrier against foreign objects entering the pipes.</w:t>
      </w:r>
    </w:p>
    <w:p w14:paraId="3B972D74">
      <w:pPr>
        <w:pStyle w:val="16"/>
        <w:spacing w:before="31" w:after="31"/>
        <w:ind w:firstLine="480"/>
        <w:rPr>
          <w:szCs w:val="24"/>
        </w:rPr>
      </w:pPr>
    </w:p>
    <w:p w14:paraId="31B7949B">
      <w:pPr>
        <w:pStyle w:val="16"/>
        <w:spacing w:before="31" w:after="31"/>
        <w:ind w:firstLine="480"/>
        <w:rPr>
          <w:szCs w:val="24"/>
        </w:rPr>
      </w:pPr>
      <w:r>
        <w:rPr>
          <w:szCs w:val="24"/>
        </w:rPr>
        <w:t>(e) For defects beyond 250mm from the tube plate opening with larger surface pits, measures to seal off the pipes must be taken at the tube plate opening to temporarily suspend their use, ensuring normal production order. It is recommended to use spare new pipes for replacement during the next shutdown maintenance to restore the original design capacity of the heat exchanger.</w:t>
      </w:r>
    </w:p>
    <w:p w14:paraId="6ACCD380">
      <w:pPr>
        <w:pStyle w:val="16"/>
        <w:spacing w:before="31" w:after="31"/>
        <w:ind w:firstLine="480"/>
        <w:rPr>
          <w:szCs w:val="24"/>
        </w:rPr>
      </w:pPr>
    </w:p>
    <w:p w14:paraId="4B9FE87E">
      <w:pPr>
        <w:pStyle w:val="16"/>
        <w:spacing w:before="31" w:after="31"/>
        <w:ind w:firstLine="480"/>
        <w:rPr>
          <w:szCs w:val="24"/>
        </w:rPr>
      </w:pPr>
      <w:r>
        <w:rPr>
          <w:szCs w:val="24"/>
        </w:rPr>
        <w:t>(f) Feasibility of appropriately reducing the seawater flow rate can be considered from a process perspective to slow down the abrasive wear caused by sediment-laden seawater on the pipe side. However, such adjustments to process parameters must be based on a detailed analysis and calculation of heat exchange and energy balance.</w:t>
      </w:r>
    </w:p>
    <w:p w14:paraId="6704681C">
      <w:pPr>
        <w:pStyle w:val="16"/>
        <w:spacing w:before="31" w:after="31"/>
        <w:ind w:firstLine="0" w:firstLineChars="0"/>
        <w:rPr>
          <w:b/>
          <w:bCs/>
          <w:szCs w:val="24"/>
        </w:rPr>
      </w:pPr>
      <w:r>
        <w:rPr>
          <w:b/>
          <w:bCs/>
          <w:szCs w:val="24"/>
        </w:rPr>
        <w:t>9.2.5 Case 9-5: Urea Synthesis Tower Explosion and Severe Corrosion-Cracking of Layered Plates</w:t>
      </w:r>
    </w:p>
    <w:p w14:paraId="2F1AD8CF">
      <w:pPr>
        <w:pStyle w:val="16"/>
        <w:spacing w:before="31" w:after="31"/>
        <w:ind w:firstLine="480"/>
        <w:rPr>
          <w:szCs w:val="24"/>
        </w:rPr>
      </w:pPr>
    </w:p>
    <w:p w14:paraId="33FC407C">
      <w:pPr>
        <w:pStyle w:val="16"/>
        <w:spacing w:before="31" w:after="31"/>
        <w:ind w:firstLine="480"/>
        <w:rPr>
          <w:szCs w:val="24"/>
        </w:rPr>
      </w:pPr>
      <w:r>
        <w:rPr>
          <w:szCs w:val="24"/>
        </w:rPr>
        <w:t>(1) Case Name</w:t>
      </w:r>
    </w:p>
    <w:p w14:paraId="6F42B33B">
      <w:pPr>
        <w:pStyle w:val="16"/>
        <w:spacing w:before="31" w:after="31"/>
        <w:ind w:firstLine="480"/>
        <w:rPr>
          <w:szCs w:val="24"/>
        </w:rPr>
      </w:pPr>
      <w:r>
        <w:rPr>
          <w:szCs w:val="24"/>
        </w:rPr>
        <w:t>Urea Synthesis Tower Explosion and Severe Corrosion-Cracking of Layered Plates [5]</w:t>
      </w:r>
    </w:p>
    <w:p w14:paraId="6CE2C4A2">
      <w:pPr>
        <w:pStyle w:val="16"/>
        <w:spacing w:before="31" w:after="31"/>
        <w:ind w:firstLine="480"/>
        <w:rPr>
          <w:szCs w:val="24"/>
        </w:rPr>
      </w:pPr>
    </w:p>
    <w:p w14:paraId="529E71C3">
      <w:pPr>
        <w:pStyle w:val="16"/>
        <w:spacing w:before="31" w:after="31"/>
        <w:ind w:firstLine="480"/>
        <w:rPr>
          <w:szCs w:val="24"/>
        </w:rPr>
      </w:pPr>
      <w:r>
        <w:rPr>
          <w:szCs w:val="24"/>
        </w:rPr>
        <w:t>(2) Description of Failure Process</w:t>
      </w:r>
    </w:p>
    <w:p w14:paraId="237F29DF">
      <w:pPr>
        <w:pStyle w:val="16"/>
        <w:spacing w:before="31" w:after="31"/>
        <w:ind w:firstLine="480"/>
        <w:rPr>
          <w:szCs w:val="24"/>
        </w:rPr>
      </w:pPr>
      <w:r>
        <w:rPr>
          <w:szCs w:val="24"/>
        </w:rPr>
        <w:t>In 2005, an explosion occurred in the urea synthesis tower of Lu Xi Chemical Co., Ltd., Shandong Province, Pingyin County. The tower body exploded into three sections.</w:t>
      </w:r>
    </w:p>
    <w:p w14:paraId="6076164B">
      <w:pPr>
        <w:pStyle w:val="16"/>
        <w:spacing w:before="31" w:after="31"/>
        <w:ind w:firstLine="480"/>
        <w:rPr>
          <w:szCs w:val="24"/>
        </w:rPr>
      </w:pPr>
      <w:r>
        <w:rPr>
          <w:szCs w:val="24"/>
        </w:rPr>
        <w:t>(a) At the first scene, remnants of the tower base, lower head, and the 10th cylinder section were found, leaning about 15° southwest as a whole, as shown in Figure 9-5.1. On the south side, the six-story main plant collapsed 5 meters away; on the northwest side, the second-floor plant collapsed 20 meters away; the devices on the north and northeast sides were affected by the explosion, and the outer insulation layer peeled off; the insulation layers of two alkali washing towers on the east side completely fell off, and the cooling drain pipe system was damaged.</w:t>
      </w:r>
    </w:p>
    <w:p w14:paraId="2D42239F">
      <w:pPr>
        <w:pStyle w:val="16"/>
        <w:spacing w:before="31" w:after="31"/>
        <w:ind w:firstLine="480"/>
        <w:rPr>
          <w:szCs w:val="24"/>
        </w:rPr>
      </w:pPr>
      <w:r>
        <w:rPr>
          <w:szCs w:val="24"/>
        </w:rPr>
        <w:t>(b) The second scene was located on the south side of the urea synthesis tower in the second-floor room of the main plant, originally on the third floor. The 9th cylinder section broke through the wall and landed in a room on the third floor, as shown in Figure 9-5.2. The multi-layered wrapped plates at both ends of the cylinder were partially deformed into flat plates, separated between layers, and most layered plates had obvious longitudinal cracks at the cylinder seam. Irregular cracks appeared at the explosion points, as shown in Figure 9-5.3. Above the 8th cylinder section up to the upper head, a row of plants was flown over in the northeast direction, with the upper head facing down and the 8th cylinder section facing up, inserted into the soil about 91 meters from the tower, as shown in Figure 9-5.4.</w:t>
      </w:r>
    </w:p>
    <w:p w14:paraId="5D5D6593">
      <w:pPr>
        <w:pStyle w:val="16"/>
        <w:spacing w:before="31" w:after="31"/>
        <w:ind w:firstLine="480"/>
        <w:rPr>
          <w:szCs w:val="24"/>
        </w:rPr>
      </w:pPr>
      <w:r>
        <w:rPr>
          <w:szCs w:val="24"/>
        </w:rPr>
        <w:t>The explosion divided the tower into three parts. The first part was the base, where the upper side of the cylinder seam of the first cylinder section fractured, and the tower base tilted southwest. There was a large longitudinal crack intersecting with the fracture in the northeast direction of the lower cylinder section, showing obvious bulging as observed from the side, as shown in Figure 9-5.5. The second part was the second cylinder section from the bottom, which, after vertical explosion, penetrated into the upper floor in the southwest direction. The longitudinal rupture corresponded to the northeast side of the original tower, precisely through the opening where the thermocouple was installed. During the explosion, this cylinder section rolled over, with the inside facing outward, the outside facing inward, and the four corners curling in the direction of the original inner surface, showing the form of longitudinal explosion after bulging, as shown in Figure 9-5.6. The third part was above the third cylinder section from the bottom. This part experienced radial rupture, with the main fracture surface below the weld seam. The northeast fracture surface was mainly located below the weld seam, gradually transitioning from the northern side to the upper part of the weld seam, and in the southwest direction, forming an outward tearing opening on the mother material of the upper cylinder section, as shown in Figure 9-5.7.</w:t>
      </w:r>
    </w:p>
    <w:p w14:paraId="41E79C5E">
      <w:pPr>
        <w:pStyle w:val="16"/>
        <w:spacing w:before="31" w:after="31"/>
        <w:ind w:firstLineChars="83"/>
        <w:jc w:val="center"/>
        <w:rPr>
          <w:b/>
          <w:bCs/>
          <w:szCs w:val="24"/>
        </w:rPr>
      </w:pPr>
      <w:r>
        <w:rPr>
          <w:b/>
          <w:bCs/>
          <w:szCs w:val="24"/>
        </w:rPr>
        <w:t xml:space="preserve">Figures 9-5.1 to 9-5.7 </w:t>
      </w:r>
    </w:p>
    <w:p w14:paraId="6D66953E">
      <w:pPr>
        <w:pStyle w:val="16"/>
        <w:spacing w:before="31" w:after="31"/>
        <w:ind w:firstLine="480"/>
        <w:rPr>
          <w:szCs w:val="24"/>
        </w:rPr>
      </w:pPr>
    </w:p>
    <w:p w14:paraId="13785639">
      <w:pPr>
        <w:pStyle w:val="16"/>
        <w:spacing w:before="31" w:after="31"/>
        <w:ind w:firstLine="480"/>
        <w:rPr>
          <w:szCs w:val="24"/>
        </w:rPr>
      </w:pPr>
      <w:r>
        <w:rPr>
          <w:szCs w:val="24"/>
        </w:rPr>
        <w:t>(3) Operating Environment of Components</w:t>
      </w:r>
    </w:p>
    <w:p w14:paraId="0A90955D">
      <w:pPr>
        <w:pStyle w:val="16"/>
        <w:spacing w:before="31" w:after="31"/>
        <w:ind w:firstLine="480"/>
        <w:rPr>
          <w:szCs w:val="24"/>
        </w:rPr>
      </w:pPr>
      <w:r>
        <w:rPr>
          <w:szCs w:val="24"/>
        </w:rPr>
        <w:t>The working medium in the vessel is urea solution and ammonium carbamate.</w:t>
      </w:r>
    </w:p>
    <w:p w14:paraId="67BEBD4A">
      <w:pPr>
        <w:pStyle w:val="16"/>
        <w:spacing w:before="31" w:after="31"/>
        <w:ind w:firstLine="480"/>
        <w:rPr>
          <w:szCs w:val="24"/>
        </w:rPr>
      </w:pPr>
    </w:p>
    <w:p w14:paraId="1B70BC0B">
      <w:pPr>
        <w:pStyle w:val="16"/>
        <w:spacing w:before="31" w:after="31"/>
        <w:ind w:firstLine="480"/>
        <w:rPr>
          <w:szCs w:val="24"/>
        </w:rPr>
      </w:pPr>
      <w:r>
        <w:rPr>
          <w:szCs w:val="24"/>
        </w:rPr>
        <w:t>(4) Failed Components and Materials</w:t>
      </w:r>
    </w:p>
    <w:p w14:paraId="4EEAA4A6">
      <w:pPr>
        <w:pStyle w:val="16"/>
        <w:spacing w:before="31" w:after="31"/>
        <w:ind w:firstLine="480"/>
        <w:rPr>
          <w:szCs w:val="24"/>
        </w:rPr>
      </w:pPr>
      <w:r>
        <w:rPr>
          <w:rFonts w:hint="eastAsia"/>
          <w:szCs w:val="24"/>
        </w:rPr>
        <w:t>The urea synthesis tower was put into operation in 2000. It was designed with a working pressure of 21.57 MPa, a design temperature of ≤195°C, a test pressure of 27.26 MPa, and a nominal volume of 37.5 m3. The vessel, a vertical high-pressure reaction vess</w:t>
      </w:r>
      <w:r>
        <w:rPr>
          <w:szCs w:val="24"/>
        </w:rPr>
        <w:t>el, consists of 10 cylinder sections and upper and lower heads. The cylinder has an inner diameter of 1400 mm, wall thickness of 110 mm, and a total length of 26210 mm. The cylinder is a multi-layered wrapping structure, and the layered plates are made of 15MnVR and 16MnR, with an inner lining of 8mm thick urea-grade stainless steel. The top is a 20MnMo spherical forging, with an inner lining of urea-grade stainless steel welded with more than 8mm thickness. The bottom is a 19Mn6 spherical head, with an inner lining of urea-grade stainless steel welded with more than 8mm thickness. The end flange is connected to the top cover with double-headed bolts, and the sealing form is a flat serrated gasket structure.</w:t>
      </w:r>
    </w:p>
    <w:p w14:paraId="1ABB460E">
      <w:pPr>
        <w:pStyle w:val="16"/>
        <w:spacing w:before="31" w:after="31"/>
        <w:ind w:firstLine="480"/>
        <w:rPr>
          <w:szCs w:val="24"/>
        </w:rPr>
      </w:pPr>
    </w:p>
    <w:p w14:paraId="1D7B4115">
      <w:pPr>
        <w:pStyle w:val="16"/>
        <w:spacing w:before="31" w:after="31"/>
        <w:ind w:firstLine="480"/>
        <w:rPr>
          <w:szCs w:val="24"/>
        </w:rPr>
      </w:pPr>
      <w:r>
        <w:rPr>
          <w:szCs w:val="24"/>
        </w:rPr>
        <w:t>(5) Failure Appearance</w:t>
      </w:r>
    </w:p>
    <w:p w14:paraId="1C7C8CBC">
      <w:pPr>
        <w:pStyle w:val="16"/>
        <w:spacing w:before="31" w:after="31"/>
        <w:ind w:firstLine="480"/>
        <w:rPr>
          <w:szCs w:val="24"/>
        </w:rPr>
      </w:pPr>
      <w:r>
        <w:rPr>
          <w:szCs w:val="24"/>
        </w:rPr>
        <w:t>(a) Macroscopic Appearance</w:t>
      </w:r>
    </w:p>
    <w:p w14:paraId="712FD46C">
      <w:pPr>
        <w:pStyle w:val="16"/>
        <w:spacing w:before="31" w:after="31"/>
        <w:ind w:firstLine="480"/>
        <w:rPr>
          <w:szCs w:val="24"/>
        </w:rPr>
      </w:pPr>
      <w:r>
        <w:rPr>
          <w:szCs w:val="24"/>
        </w:rPr>
        <w:t>The initial cracks at the explosion site penetrated all 13 layers of wrapped steel plates except the inner lining, with a total length exceeding 80 cm. There were longitudinal initial cracks penetrating all strength layers with a length exceeding 80 cm. Near the thermocouple hole and below, the longitudinal fracture surfaces of all layered plates except the 316 inner lining were brittle flat fractures (with a total height of 80-100 cm), and numerous longitudinal gaping cracks were visible near the main fracture surface, indicating that these longitudinal penetrating cracks existed before the explosion.</w:t>
      </w:r>
    </w:p>
    <w:p w14:paraId="52F5220D">
      <w:pPr>
        <w:pStyle w:val="16"/>
        <w:spacing w:before="31" w:after="31"/>
        <w:ind w:firstLine="480"/>
        <w:rPr>
          <w:szCs w:val="24"/>
        </w:rPr>
      </w:pPr>
      <w:r>
        <w:rPr>
          <w:szCs w:val="24"/>
        </w:rPr>
        <w:t>The first part had a radial fracture surface located above the weld seam. The entire fracture was quite flat, especially the northeast surface, which was flatter, with multiple longitudinal cracks. This location had four layers (including Q235, 16MnR, and 15MnVR) with completely flat fractures, which had already fractured before the explosion.</w:t>
      </w:r>
    </w:p>
    <w:p w14:paraId="21283F71">
      <w:pPr>
        <w:pStyle w:val="16"/>
        <w:spacing w:before="31" w:after="31"/>
        <w:ind w:firstLine="480"/>
        <w:rPr>
          <w:szCs w:val="24"/>
        </w:rPr>
      </w:pPr>
      <w:r>
        <w:rPr>
          <w:szCs w:val="24"/>
        </w:rPr>
        <w:t>The third part mainly had a radial fracture surface, with the main section located above the weld seam. The entire section was mainly an oblique fracture, with the section expanding outward like a trumpet, and the outer edge curling outward. The northeast section was mainly located below the weld seam, and three steel plates (excluding the inner lining) broke above the weld seam. From northeast to southwest, the fracture surface gradually transitioned from the inside to the outside to the upper part of the weld seam, and finally entered the mother material of the upper cylinder section in the southwest, forming a triangular tearing opening, as shown in Figure 9-5.8.</w:t>
      </w:r>
    </w:p>
    <w:p w14:paraId="1B9477A4">
      <w:pPr>
        <w:pStyle w:val="16"/>
        <w:spacing w:before="31" w:after="31"/>
        <w:ind w:firstLine="0" w:firstLineChars="0"/>
        <w:jc w:val="center"/>
        <w:rPr>
          <w:b/>
          <w:bCs/>
          <w:szCs w:val="24"/>
        </w:rPr>
      </w:pPr>
      <w:r>
        <w:rPr>
          <w:b/>
          <w:bCs/>
          <w:szCs w:val="24"/>
        </w:rPr>
        <w:t>Figures 9-5.8 is included in the description.</w:t>
      </w:r>
    </w:p>
    <w:p w14:paraId="29BE7FBC">
      <w:pPr>
        <w:pStyle w:val="16"/>
        <w:spacing w:before="31" w:after="31"/>
        <w:ind w:firstLine="480"/>
        <w:rPr>
          <w:szCs w:val="24"/>
        </w:rPr>
      </w:pPr>
    </w:p>
    <w:p w14:paraId="0C3708C5">
      <w:pPr>
        <w:pStyle w:val="16"/>
        <w:spacing w:before="31" w:after="31"/>
        <w:ind w:firstLine="480"/>
        <w:rPr>
          <w:szCs w:val="24"/>
        </w:rPr>
      </w:pPr>
      <w:r>
        <w:rPr>
          <w:szCs w:val="24"/>
        </w:rPr>
        <w:t>Additionally, no cracks were observed on the innermost 316 plate, and all fractures were ductile dimple fractures. All oblique and shearing lips were ductile dimple fractures, indicating that the steel material did not undergo significant embrittlement during use.</w:t>
      </w:r>
    </w:p>
    <w:p w14:paraId="36582D42">
      <w:pPr>
        <w:pStyle w:val="16"/>
        <w:spacing w:before="31" w:after="31"/>
        <w:ind w:firstLine="482"/>
        <w:jc w:val="center"/>
        <w:rPr>
          <w:rFonts w:hint="eastAsia"/>
          <w:b/>
          <w:bCs/>
          <w:szCs w:val="24"/>
        </w:rPr>
      </w:pPr>
      <w:r>
        <w:rPr>
          <w:b/>
          <w:bCs/>
          <w:szCs w:val="24"/>
        </w:rPr>
        <w:t>Figure 9-5.9</w:t>
      </w:r>
    </w:p>
    <w:p w14:paraId="6FCCFF96">
      <w:pPr>
        <w:pStyle w:val="16"/>
        <w:spacing w:before="31" w:after="31"/>
        <w:ind w:firstLine="480"/>
        <w:rPr>
          <w:szCs w:val="24"/>
        </w:rPr>
      </w:pPr>
      <w:r>
        <w:rPr>
          <w:szCs w:val="24"/>
        </w:rPr>
        <w:t>(b) Microscopic Appearance</w:t>
      </w:r>
    </w:p>
    <w:p w14:paraId="267609B1">
      <w:pPr>
        <w:pStyle w:val="16"/>
        <w:spacing w:before="31" w:after="31"/>
        <w:ind w:firstLine="480"/>
        <w:rPr>
          <w:szCs w:val="24"/>
        </w:rPr>
      </w:pPr>
      <w:r>
        <w:rPr>
          <w:szCs w:val="24"/>
        </w:rPr>
        <w:t>The Q235 steel plate of the isolation layer exhibited typical transgranular fractures, as shown in Figure 9-5.10. The cracks propagated from the inside out. Corrosion products in front of the crack edge were mud-like, containing chlorine (Cl), sulfur (S), silicon (Si), calcium (Ca), etc.</w:t>
      </w:r>
    </w:p>
    <w:p w14:paraId="195E89DE">
      <w:pPr>
        <w:pStyle w:val="16"/>
        <w:spacing w:before="31" w:after="31"/>
        <w:ind w:firstLine="480"/>
        <w:rPr>
          <w:szCs w:val="24"/>
        </w:rPr>
      </w:pPr>
      <w:r>
        <w:rPr>
          <w:szCs w:val="24"/>
        </w:rPr>
        <w:t>The 16MnR steel plate exhibited primarily transgranular fractures, with longitudinal and near-weld transverse cracks showing transgranular and branching characteristics. Corrosion products were present inside the cracks, indicating a typical stress corrosion cracking morphology, with the corrosion products containing S, Si, Ca, magnesium (Mg), aluminum (Al), etc</w:t>
      </w:r>
    </w:p>
    <w:p w14:paraId="5ADBD6D3">
      <w:pPr>
        <w:pStyle w:val="16"/>
        <w:spacing w:before="31" w:after="31"/>
        <w:ind w:firstLine="480"/>
        <w:rPr>
          <w:szCs w:val="24"/>
        </w:rPr>
      </w:pPr>
    </w:p>
    <w:p w14:paraId="3ECD39F0">
      <w:pPr>
        <w:pStyle w:val="16"/>
        <w:spacing w:before="31" w:after="31"/>
        <w:ind w:firstLine="480"/>
        <w:rPr>
          <w:szCs w:val="24"/>
        </w:rPr>
      </w:pPr>
      <w:r>
        <w:rPr>
          <w:szCs w:val="24"/>
        </w:rPr>
        <w:t>.</w:t>
      </w:r>
    </w:p>
    <w:p w14:paraId="62348B7F">
      <w:pPr>
        <w:pStyle w:val="16"/>
        <w:spacing w:before="31" w:after="31"/>
        <w:ind w:firstLine="480"/>
        <w:rPr>
          <w:szCs w:val="24"/>
        </w:rPr>
      </w:pPr>
      <w:r>
        <w:rPr>
          <w:szCs w:val="24"/>
        </w:rPr>
        <w:t>The 15MnVR steel plate showed beach markings on the thick corrosion products, and multiple small crack initiation points were visible over a short distance. Large longitudinal cracks formed by the gradual merging of many small cracks, exhibiting the characteristics of multiple-initiation corrosion fatigue cracking. Both longitudinal and transverse fractures of the layered plates in the 15MnVR wrap were primarily transgranular.</w:t>
      </w:r>
    </w:p>
    <w:p w14:paraId="4C522563">
      <w:pPr>
        <w:pStyle w:val="16"/>
        <w:spacing w:before="31" w:after="31"/>
        <w:ind w:firstLine="482"/>
        <w:jc w:val="center"/>
        <w:rPr>
          <w:b/>
          <w:bCs/>
          <w:szCs w:val="24"/>
        </w:rPr>
      </w:pPr>
      <w:r>
        <w:rPr>
          <w:b/>
          <w:bCs/>
          <w:szCs w:val="24"/>
        </w:rPr>
        <w:t xml:space="preserve">Figure 9-5.10 </w:t>
      </w:r>
    </w:p>
    <w:p w14:paraId="0671308B">
      <w:pPr>
        <w:pStyle w:val="16"/>
        <w:spacing w:before="31" w:after="31"/>
        <w:ind w:firstLine="480"/>
        <w:rPr>
          <w:szCs w:val="24"/>
        </w:rPr>
      </w:pPr>
    </w:p>
    <w:p w14:paraId="3F5FF55A">
      <w:pPr>
        <w:pStyle w:val="16"/>
        <w:spacing w:before="31" w:after="31"/>
        <w:ind w:firstLine="480"/>
        <w:rPr>
          <w:szCs w:val="24"/>
        </w:rPr>
      </w:pPr>
      <w:r>
        <w:rPr>
          <w:szCs w:val="24"/>
        </w:rPr>
        <w:t>The inner lining of 316L stainless steel exhibited entirely ductile dimple fractures. It can be seen that the initial cracks in the mother material of each layered wrapped steel plate primarily exhibited tree-like branching and transgranular orientation, with corrosion products indicating stress corrosion cracks. Many crack surfaces on the 15MnVR wrap also showed beach markings, signifying multiple initiation and merging of cracks, indicating characteristics of corrosion fatigue fractures. All oblique fractures and shearing lips were ductile dimple fractures, suggesting that the steel plate material did not undergo significant embrittlement during use.</w:t>
      </w:r>
    </w:p>
    <w:p w14:paraId="5F5441A7">
      <w:pPr>
        <w:pStyle w:val="16"/>
        <w:spacing w:before="31" w:after="31"/>
        <w:ind w:firstLine="480"/>
        <w:rPr>
          <w:szCs w:val="24"/>
        </w:rPr>
      </w:pPr>
    </w:p>
    <w:p w14:paraId="3E679A34">
      <w:pPr>
        <w:pStyle w:val="16"/>
        <w:spacing w:before="31" w:after="31"/>
        <w:ind w:firstLine="480"/>
        <w:rPr>
          <w:szCs w:val="24"/>
        </w:rPr>
      </w:pPr>
      <w:r>
        <w:rPr>
          <w:szCs w:val="24"/>
        </w:rPr>
        <w:t>(6) Analysis of Failure Causes</w:t>
      </w:r>
    </w:p>
    <w:p w14:paraId="2793A45E">
      <w:pPr>
        <w:pStyle w:val="16"/>
        <w:spacing w:before="31" w:after="31"/>
        <w:ind w:firstLine="480"/>
        <w:rPr>
          <w:szCs w:val="24"/>
        </w:rPr>
      </w:pPr>
      <w:r>
        <w:rPr>
          <w:szCs w:val="24"/>
        </w:rPr>
        <w:t>As layered steel plates can only undergo stress corrosion cracking under specific medium conditions, inappropriate introduction of media between the layers is considered a cause of stress corrosion and corrosion fatigue cracking. On the basis of large-sized stress corrosion cracks and corrosion fatigue cracks formed during operation, the initial cracks at the explosion site penetrated all 13 layers of wrapped steel plates except the inner lining, indicating a fundamental reason for the rupture and subsequent leakage and boiling of the vessel at that location.</w:t>
      </w:r>
    </w:p>
    <w:p w14:paraId="66157E11">
      <w:pPr>
        <w:pStyle w:val="16"/>
        <w:spacing w:before="31" w:after="31"/>
        <w:ind w:firstLine="480"/>
        <w:rPr>
          <w:szCs w:val="24"/>
        </w:rPr>
      </w:pPr>
      <w:r>
        <w:rPr>
          <w:szCs w:val="24"/>
        </w:rPr>
        <w:t>(7) Impact and Harm Caused</w:t>
      </w:r>
    </w:p>
    <w:p w14:paraId="61923CCC">
      <w:pPr>
        <w:pStyle w:val="16"/>
        <w:spacing w:before="31" w:after="31"/>
        <w:ind w:firstLine="480"/>
        <w:rPr>
          <w:szCs w:val="24"/>
        </w:rPr>
      </w:pPr>
      <w:r>
        <w:rPr>
          <w:szCs w:val="24"/>
        </w:rPr>
        <w:t>The accident resulted in 4 deaths, 1 serious injury, and significant economic losses.</w:t>
      </w:r>
    </w:p>
    <w:p w14:paraId="42334A28">
      <w:pPr>
        <w:pStyle w:val="16"/>
        <w:spacing w:before="31" w:after="31"/>
        <w:ind w:firstLine="480"/>
        <w:rPr>
          <w:szCs w:val="24"/>
        </w:rPr>
      </w:pPr>
      <w:r>
        <w:rPr>
          <w:szCs w:val="24"/>
        </w:rPr>
        <w:t>(8) Conclusions and Improvement Measures</w:t>
      </w:r>
    </w:p>
    <w:p w14:paraId="44B0B786">
      <w:pPr>
        <w:pStyle w:val="16"/>
        <w:spacing w:before="31" w:after="31"/>
        <w:ind w:firstLine="480"/>
        <w:rPr>
          <w:szCs w:val="24"/>
        </w:rPr>
      </w:pPr>
      <w:r>
        <w:rPr>
          <w:szCs w:val="24"/>
        </w:rPr>
        <w:t>(a) Conclusions</w:t>
      </w:r>
    </w:p>
    <w:p w14:paraId="4A7D6519">
      <w:pPr>
        <w:pStyle w:val="16"/>
        <w:spacing w:before="31" w:after="31"/>
        <w:ind w:firstLine="480"/>
        <w:rPr>
          <w:szCs w:val="24"/>
        </w:rPr>
      </w:pPr>
      <w:r>
        <w:rPr>
          <w:rFonts w:hint="eastAsia"/>
          <w:szCs w:val="24"/>
        </w:rPr>
        <w:t xml:space="preserve">The causes of the urea synthesis tower explosion can be categorized into two main types: ① physical explosion, also known as "balanced destructive explosion" or "boiling explosion"; ② chemical explosion. Among them, the causes of physical explosion can be </w:t>
      </w:r>
      <w:r>
        <w:rPr>
          <w:szCs w:val="24"/>
        </w:rPr>
        <w:t>further divided into four types:</w:t>
      </w:r>
    </w:p>
    <w:p w14:paraId="479C4C9E">
      <w:pPr>
        <w:pStyle w:val="16"/>
        <w:spacing w:before="31" w:after="31"/>
        <w:ind w:firstLine="480"/>
        <w:rPr>
          <w:szCs w:val="24"/>
        </w:rPr>
      </w:pPr>
      <w:r>
        <w:rPr>
          <w:szCs w:val="24"/>
        </w:rPr>
        <w:t>- Leakage due to corrosion of the inner lining, causing severe corrosion-cracking of the layered plates and a large opening in a certain part of the urea synthesis tower, leading to a sudden pressure relief of the high-temperature and high-pressure medium inside the tower, resulting in boiling explosion.</w:t>
      </w:r>
    </w:p>
    <w:p w14:paraId="52342FC0">
      <w:pPr>
        <w:pStyle w:val="16"/>
        <w:spacing w:before="31" w:after="31"/>
        <w:ind w:firstLine="480"/>
        <w:rPr>
          <w:szCs w:val="24"/>
        </w:rPr>
      </w:pPr>
      <w:r>
        <w:rPr>
          <w:szCs w:val="24"/>
        </w:rPr>
        <w:t>- Severe stress corrosion cracking of layered plates, leading to a rupture of the most severe part of the urea synthesis tower into a large opening, causing boiling explosion.</w:t>
      </w:r>
    </w:p>
    <w:p w14:paraId="3718B73C">
      <w:pPr>
        <w:pStyle w:val="16"/>
        <w:spacing w:before="31" w:after="31"/>
        <w:ind w:firstLine="480"/>
        <w:rPr>
          <w:szCs w:val="24"/>
        </w:rPr>
      </w:pPr>
      <w:r>
        <w:rPr>
          <w:szCs w:val="24"/>
        </w:rPr>
        <w:t>- Existence of serious defects, especially weld defects, in the urea synthesis tower, leading to the deterioration of the defects during operation, resulting in the rupture of the severely defective part into a larger opening, causing boiling explosion.</w:t>
      </w:r>
    </w:p>
    <w:p w14:paraId="4A3A5482">
      <w:pPr>
        <w:pStyle w:val="16"/>
        <w:spacing w:before="31" w:after="31"/>
        <w:ind w:firstLine="480"/>
        <w:rPr>
          <w:szCs w:val="24"/>
        </w:rPr>
      </w:pPr>
      <w:r>
        <w:rPr>
          <w:szCs w:val="24"/>
        </w:rPr>
        <w:t>These three causes may act alone or in combination. The explosion of the urea synthesis tower in Shandong Pingyin was analyzed and proven to be caused by the second reason.</w:t>
      </w:r>
    </w:p>
    <w:p w14:paraId="3AC8E5A7">
      <w:pPr>
        <w:pStyle w:val="16"/>
        <w:spacing w:before="31" w:after="31"/>
        <w:ind w:firstLine="480"/>
        <w:rPr>
          <w:szCs w:val="24"/>
        </w:rPr>
      </w:pPr>
      <w:r>
        <w:rPr>
          <w:szCs w:val="24"/>
        </w:rPr>
        <w:t>Some experts believe that during parking or improper operation of the urea synthesis tower, hydrogen, ammonia, and oxygen accumulate in the gas space at the top of the tower, leading to a chemical explosion. The chemical explosion produces shock waves that split into upper and lower beams. The shock wave propagating upward reaches the flat cover of the urea synthesis tower and bends downward, while the shock wave propagating downward reaches the bottom head of the urea synthesis tower and rebounds upward, leaving characteristic explosion traces. Simultaneously, experts who propose this viewpoint explain how to establish a mathematical model and deduce it, especially how the shock waves rebound. The two shock waves converge and superimpose in the middle and lower parts of the urea synthesis tower, causing the tower to rupture into a large opening, ultimately resulting in boiling explosion. However, to date, no evidence or references have been found for urea synthesis towers that have not exploded as a whole, and the consideration of a chemical explosion in the gas space of the urea synthesis tower has not been supported by concrete literature and data, especially considering the damping effect of the tower tray during the propagation of shock waves. Moreover, the explosion form of the urea synthesis tower in Colombia, which is lead-lined and strictly maintains an oxygen-free environment (&lt;50 ppm), shows remarkable similarity to the explosion forms in the explosions in Qian'an, Hebei, and Pingyin, Shandong. This seems to suggest an important point.</w:t>
      </w:r>
    </w:p>
    <w:p w14:paraId="663CE9ED">
      <w:pPr>
        <w:pStyle w:val="16"/>
        <w:spacing w:before="31" w:after="31"/>
        <w:ind w:firstLine="480"/>
        <w:rPr>
          <w:szCs w:val="24"/>
        </w:rPr>
      </w:pPr>
      <w:r>
        <w:rPr>
          <w:szCs w:val="24"/>
        </w:rPr>
        <w:t>Some experts believe that improper parking or operation of urea synthesis towers can lead to the accumulation of hydrogen, ammonia, and oxygen in the gas space at the top of the tower, resulting in a chemical explosion. The shockwave generated by the chemical explosion is divided into two beams, with the upward-propagating shockwave reaching the top cover of the urea synthesis tower and rebounding downward, while the downward-propagating shockwave reaches the bottom head of the urea synthesis tower and leaves characteristic explosion traces. The experts proposing this viewpoint have not provided information on how they established mathematical models and derived these conclusions, especially regarding the rebound phenomenon. The convergence and superposition of the two shockwaves in the middle and lower part of the urea synthesis tower result in the tower rupturing into a large opening, ultimately causing a boiling explosion.</w:t>
      </w:r>
    </w:p>
    <w:p w14:paraId="49E7240E">
      <w:pPr>
        <w:pStyle w:val="16"/>
        <w:spacing w:before="31" w:after="31"/>
        <w:ind w:firstLine="480"/>
        <w:rPr>
          <w:szCs w:val="24"/>
        </w:rPr>
      </w:pPr>
    </w:p>
    <w:p w14:paraId="435F09B3">
      <w:pPr>
        <w:pStyle w:val="16"/>
        <w:spacing w:before="31" w:after="31"/>
        <w:ind w:firstLine="480"/>
        <w:rPr>
          <w:szCs w:val="24"/>
        </w:rPr>
      </w:pPr>
      <w:r>
        <w:rPr>
          <w:szCs w:val="24"/>
        </w:rPr>
        <w:t xml:space="preserve">However, to date, no evidence has been found or provided for urea synthesis towers, whether in the domestic explosions in Qian'an and Pingyin, or foreign explosions, experiencing a complete explosion. Considering the damping effect of the tower tray during the shockwave propagation process, it is currently not possible to obtain their references and data. </w:t>
      </w:r>
    </w:p>
    <w:p w14:paraId="3003DEFC">
      <w:pPr>
        <w:pStyle w:val="16"/>
        <w:spacing w:before="31" w:after="31"/>
        <w:ind w:firstLine="480"/>
        <w:rPr>
          <w:szCs w:val="24"/>
        </w:rPr>
      </w:pPr>
    </w:p>
    <w:p w14:paraId="1F8E43EA">
      <w:pPr>
        <w:pStyle w:val="16"/>
        <w:spacing w:before="31" w:after="31"/>
        <w:ind w:firstLine="480"/>
        <w:rPr>
          <w:szCs w:val="24"/>
        </w:rPr>
      </w:pPr>
      <w:r>
        <w:rPr>
          <w:szCs w:val="24"/>
        </w:rPr>
        <w:t>In addition, the urea synthesis tower in Colombia has a lead-lined structure, strictly ensuring an oxygen-free environment (&lt; 50 ppm) during operation, eliminating the medium conditions that could lead to a chemical explosion, as required for stainless steel-lined structures. However, despite being such a tower, its explosion morphology is remarkably similar to the explosions of urea synthesis towers in Qian'an, Hebei, and Pingyin, Shandong. This seems to suggest something noteworthy.</w:t>
      </w:r>
    </w:p>
    <w:p w14:paraId="2FD01DBC">
      <w:pPr>
        <w:pStyle w:val="16"/>
        <w:spacing w:before="31" w:after="31"/>
        <w:ind w:firstLine="480"/>
        <w:rPr>
          <w:szCs w:val="24"/>
        </w:rPr>
      </w:pPr>
    </w:p>
    <w:p w14:paraId="5E1171D6">
      <w:pPr>
        <w:pStyle w:val="16"/>
        <w:spacing w:before="31" w:after="31"/>
        <w:ind w:firstLine="480"/>
        <w:rPr>
          <w:szCs w:val="24"/>
        </w:rPr>
      </w:pPr>
      <w:r>
        <w:rPr>
          <w:szCs w:val="24"/>
        </w:rPr>
        <w:t>Experts who support the chemical explosion theory of urea synthesis towers believe that during parking, the space inside the tower gradually becomes filled with gases such as hydrogen, ammonia, and oxygen, eventually leading to a chemical explosion involving hydrogen and oxygen or ammonia and oxygen. This viewpoint currently lacks any supporting evidence.</w:t>
      </w:r>
    </w:p>
    <w:p w14:paraId="5E4915F4">
      <w:pPr>
        <w:pStyle w:val="16"/>
        <w:spacing w:before="31" w:after="31"/>
        <w:ind w:firstLine="480"/>
        <w:rPr>
          <w:szCs w:val="24"/>
        </w:rPr>
      </w:pPr>
    </w:p>
    <w:p w14:paraId="34DC0B1B">
      <w:pPr>
        <w:pStyle w:val="16"/>
        <w:spacing w:before="31" w:after="31"/>
        <w:ind w:firstLine="480"/>
        <w:rPr>
          <w:szCs w:val="24"/>
        </w:rPr>
      </w:pPr>
      <w:r>
        <w:rPr>
          <w:szCs w:val="24"/>
        </w:rPr>
        <w:t>Therefore, it can be considered that the cause of catastrophic explosion accidents in urea synthesis towers is physical explosion. The triggers for this physical explosion can be attributed to the corrosion, especially stress corrosion, of the village layer, as well as layer stress corrosion and layer welding defects. To prevent such accidents from recurring, effective leak detection measures should be implemented first. Secondly, strict control of impurities and pressure indicators of leak detection media such as steam should be ensured. Finally, for urea synthesis towers that have been in operation for many years, effective measures should be taken to detect or assess the severity of their defects. The serious cracking of such layers in urea synthesis towers should not be ignored, as the gas space explosion can significantly differ from intact urea synthesis towers, posing the potential for catastrophic accidents.</w:t>
      </w:r>
    </w:p>
    <w:p w14:paraId="78A2E000">
      <w:pPr>
        <w:pStyle w:val="16"/>
        <w:spacing w:before="31" w:after="31"/>
        <w:ind w:firstLine="480"/>
        <w:rPr>
          <w:szCs w:val="24"/>
        </w:rPr>
      </w:pPr>
    </w:p>
    <w:p w14:paraId="6453F645">
      <w:pPr>
        <w:pStyle w:val="16"/>
        <w:spacing w:before="31" w:after="31"/>
        <w:ind w:firstLine="0" w:firstLineChars="0"/>
        <w:rPr>
          <w:szCs w:val="24"/>
        </w:rPr>
      </w:pPr>
      <w:r>
        <w:rPr>
          <w:szCs w:val="24"/>
        </w:rPr>
        <w:t>Currently, there have been six cases of explosion accidents in urea synthesis towers worldwide, with two occurring in China alone. In China, six towers have been scrapped due to severe layer stress corrosion cracking. With around 500 urea synthesis towers in China, the explosion rate is above 4 per thousand, and the scrapping rate due to severe layer cracking leading to tower abandonment is over 1%. Therefore, the current urea synthesis towers are considered equipment with serious safety hazards. This paper aims to provide reference through the analysis of domestic and international cases of urea synthesis tower explosions, cases of severe layer cracking causing tower abandonment, and the microscopic structure analysis of the suspected crack initiation point in the Pingyin urea synthesis tower in Shandong, to further clarify the causes of urea synthesis tower explosions and propose preventive measures.</w:t>
      </w:r>
    </w:p>
    <w:p w14:paraId="6BE5207D">
      <w:pPr>
        <w:pStyle w:val="16"/>
        <w:spacing w:before="31" w:after="31"/>
        <w:ind w:firstLine="0" w:firstLineChars="0"/>
        <w:rPr>
          <w:b/>
          <w:bCs/>
          <w:szCs w:val="24"/>
        </w:rPr>
      </w:pPr>
      <w:r>
        <w:rPr>
          <w:b/>
          <w:bCs/>
          <w:szCs w:val="24"/>
        </w:rPr>
        <w:t>9.2.6 Case 9-6 Overturning of QUY70 Crawler Crane</w:t>
      </w:r>
    </w:p>
    <w:p w14:paraId="501C4835">
      <w:pPr>
        <w:pStyle w:val="16"/>
        <w:spacing w:before="31" w:after="31"/>
        <w:ind w:firstLine="480"/>
        <w:rPr>
          <w:szCs w:val="24"/>
        </w:rPr>
      </w:pPr>
    </w:p>
    <w:p w14:paraId="680AE933">
      <w:pPr>
        <w:pStyle w:val="16"/>
        <w:spacing w:before="31" w:after="31"/>
        <w:ind w:firstLine="480"/>
        <w:rPr>
          <w:szCs w:val="24"/>
        </w:rPr>
      </w:pPr>
      <w:r>
        <w:rPr>
          <w:szCs w:val="24"/>
        </w:rPr>
        <w:t>(1) Case Title</w:t>
      </w:r>
    </w:p>
    <w:p w14:paraId="05A14277">
      <w:pPr>
        <w:pStyle w:val="16"/>
        <w:spacing w:before="31" w:after="31"/>
        <w:ind w:firstLine="480"/>
        <w:rPr>
          <w:szCs w:val="24"/>
        </w:rPr>
      </w:pPr>
      <w:r>
        <w:rPr>
          <w:szCs w:val="24"/>
        </w:rPr>
        <w:t>Analysis of the Overturning of QUY70 Crawler Crane [6]</w:t>
      </w:r>
    </w:p>
    <w:p w14:paraId="167F8927">
      <w:pPr>
        <w:pStyle w:val="16"/>
        <w:spacing w:before="31" w:after="31"/>
        <w:ind w:firstLine="480"/>
        <w:rPr>
          <w:szCs w:val="24"/>
        </w:rPr>
      </w:pPr>
    </w:p>
    <w:p w14:paraId="35BD604E">
      <w:pPr>
        <w:pStyle w:val="16"/>
        <w:spacing w:before="31" w:after="31"/>
        <w:ind w:firstLine="480"/>
        <w:rPr>
          <w:szCs w:val="24"/>
        </w:rPr>
      </w:pPr>
      <w:r>
        <w:rPr>
          <w:szCs w:val="24"/>
        </w:rPr>
        <w:t>(2) Failure Process Description</w:t>
      </w:r>
    </w:p>
    <w:p w14:paraId="3D246096">
      <w:pPr>
        <w:pStyle w:val="16"/>
        <w:spacing w:before="31" w:after="31"/>
        <w:ind w:firstLine="480"/>
        <w:rPr>
          <w:szCs w:val="24"/>
        </w:rPr>
      </w:pPr>
      <w:r>
        <w:rPr>
          <w:szCs w:val="24"/>
        </w:rPr>
        <w:t>The MQ600B/30 gantry crane is positioned on the downstream guard platform of a hydroelectric power station, while the QUY70 crawler crane is positioned on the sloping ramp for the installation of the MQ600B/30 gantry crane. The working platform of the QUY70 crawler crane is not leveled with stones or wooden pads. On the first day of lifting the four travel wheels and two bottom beams of the gantry crane, everything was normal. On the second day, while lifting the gantry crane frame (including the tower body I and two gantry legs, actual weight 22.2 tons) from the downstream assembly point to the upstream installation point, the QUY70 crawler crane suddenly overturned. The crawler crane's arm penetrated into the pit of the plant, and the crane's four legs were up in the air. Simultaneously, the two upper travel wheels and bottom beams of the MQ600B/30 gantry crane on the upstream side also overturned.</w:t>
      </w:r>
    </w:p>
    <w:p w14:paraId="379A2293">
      <w:pPr>
        <w:pStyle w:val="16"/>
        <w:spacing w:before="31" w:after="31"/>
        <w:ind w:firstLine="480"/>
        <w:rPr>
          <w:szCs w:val="24"/>
        </w:rPr>
      </w:pPr>
    </w:p>
    <w:p w14:paraId="2F2D3134">
      <w:pPr>
        <w:pStyle w:val="16"/>
        <w:spacing w:before="31" w:after="31"/>
        <w:ind w:firstLine="480"/>
        <w:rPr>
          <w:szCs w:val="24"/>
        </w:rPr>
      </w:pPr>
      <w:r>
        <w:rPr>
          <w:szCs w:val="24"/>
        </w:rPr>
        <w:t>(3) Service Environment</w:t>
      </w:r>
    </w:p>
    <w:p w14:paraId="73C55C86">
      <w:pPr>
        <w:pStyle w:val="16"/>
        <w:spacing w:before="31" w:after="31"/>
        <w:ind w:firstLine="480"/>
        <w:rPr>
          <w:szCs w:val="24"/>
        </w:rPr>
      </w:pPr>
      <w:r>
        <w:rPr>
          <w:szCs w:val="24"/>
        </w:rPr>
        <w:t>Service environment: Guangdong Province Water and Power Second Bureau.</w:t>
      </w:r>
    </w:p>
    <w:p w14:paraId="757B6934">
      <w:pPr>
        <w:pStyle w:val="16"/>
        <w:spacing w:before="31" w:after="31"/>
        <w:ind w:firstLine="480"/>
        <w:rPr>
          <w:szCs w:val="24"/>
        </w:rPr>
      </w:pPr>
    </w:p>
    <w:p w14:paraId="1A7FD8B8">
      <w:pPr>
        <w:pStyle w:val="16"/>
        <w:spacing w:before="31" w:after="31"/>
        <w:ind w:firstLine="480"/>
        <w:rPr>
          <w:szCs w:val="24"/>
        </w:rPr>
      </w:pPr>
      <w:r>
        <w:rPr>
          <w:szCs w:val="24"/>
        </w:rPr>
        <w:t>(4) Failed Components and Materials</w:t>
      </w:r>
    </w:p>
    <w:p w14:paraId="35A9C2D1">
      <w:pPr>
        <w:pStyle w:val="16"/>
        <w:spacing w:before="31" w:after="31"/>
        <w:ind w:firstLine="480"/>
        <w:rPr>
          <w:szCs w:val="24"/>
        </w:rPr>
      </w:pPr>
      <w:r>
        <w:rPr>
          <w:szCs w:val="24"/>
        </w:rPr>
        <w:t>The failed component is the XCMG QUY70 crawler crane, and the weight of the gantry crane is 18.6 tons (verified according to the manufacturer's blueprint, actual weight is 22.2 tons, excluding lifting accessories), rotation radius 8 meters (measured actual is 9 meters). According to the rated lifting capacity table of the QUY70 crawler crane, it can lift over 19 tons.</w:t>
      </w:r>
    </w:p>
    <w:p w14:paraId="4CA399B3">
      <w:pPr>
        <w:pStyle w:val="16"/>
        <w:spacing w:before="31" w:after="31"/>
        <w:ind w:firstLine="480"/>
        <w:rPr>
          <w:szCs w:val="24"/>
        </w:rPr>
      </w:pPr>
    </w:p>
    <w:p w14:paraId="3B4C56B2">
      <w:pPr>
        <w:pStyle w:val="16"/>
        <w:spacing w:before="31" w:after="31"/>
        <w:ind w:firstLine="480"/>
        <w:rPr>
          <w:szCs w:val="24"/>
        </w:rPr>
      </w:pPr>
      <w:r>
        <w:rPr>
          <w:szCs w:val="24"/>
        </w:rPr>
        <w:t>(5) Failure Cause Analysis</w:t>
      </w:r>
    </w:p>
    <w:p w14:paraId="7AA6CF5D">
      <w:pPr>
        <w:pStyle w:val="16"/>
        <w:spacing w:before="31" w:after="31"/>
        <w:ind w:firstLine="480"/>
        <w:rPr>
          <w:szCs w:val="24"/>
        </w:rPr>
      </w:pPr>
      <w:r>
        <w:rPr>
          <w:szCs w:val="24"/>
        </w:rPr>
        <w:t>During the lifting process, the crane did not perform a slewing operation, but the accident occurred when the crane lifted the gantry frame to the installation point without any apparent variation in amplitude. A comprehensive analysis of the failure suggests the following reasons:</w:t>
      </w:r>
    </w:p>
    <w:p w14:paraId="6C6E27C8">
      <w:pPr>
        <w:pStyle w:val="16"/>
        <w:spacing w:before="31" w:after="31"/>
        <w:ind w:firstLine="480"/>
        <w:rPr>
          <w:szCs w:val="24"/>
        </w:rPr>
      </w:pPr>
      <w:r>
        <w:rPr>
          <w:szCs w:val="24"/>
        </w:rPr>
        <w:t>(a) The QUY70 crawler crane was operating with its base not leveled. The crawler crane was positioned on an incline, and the ramp sloped from downstream to upstream towards the plant pit. When the crane lifted heavy objects from downstream, the crane had a small angle with the ground, and with sufficient counterweight, the lifting was stable. However, when the crane lifted heavy objects and rotated upstream, the angle between the crane and the ground increased. As a result, the counterweight of the crane gradually became insufficient, leading to an imbalance in the crane's center of gravity. When the crane exceeded the critical line, it overturned.</w:t>
      </w:r>
    </w:p>
    <w:p w14:paraId="58F90D61">
      <w:pPr>
        <w:pStyle w:val="16"/>
        <w:spacing w:before="31" w:after="31"/>
        <w:ind w:firstLine="480"/>
        <w:rPr>
          <w:szCs w:val="24"/>
        </w:rPr>
      </w:pPr>
    </w:p>
    <w:p w14:paraId="65832777">
      <w:pPr>
        <w:pStyle w:val="16"/>
        <w:spacing w:before="31" w:after="31"/>
        <w:ind w:firstLine="480"/>
        <w:rPr>
          <w:szCs w:val="24"/>
        </w:rPr>
      </w:pPr>
      <w:r>
        <w:rPr>
          <w:szCs w:val="24"/>
        </w:rPr>
        <w:t>(b) Carelessness of the workers during construction. Instead of verifying each lifting weight one by one according to the manufacturer's blueprint, the workers calculated the total weight based on the manufacturer's loading list, without accounting for the weight of connecting plates, screws, stairs, and other items. Therefore, there was a serious error in their calculation, with the calculated lifting weight being 18.6 tons while the actual weight was 22.2 tons. Even if the crane was lifting a load of 18.6 tons, it would have been at the rated lifting capacity. Moreover, exceeding the rated lifting capacity by over 3 tons was abnormal and could lead to accidents.</w:t>
      </w:r>
    </w:p>
    <w:p w14:paraId="738DE947">
      <w:pPr>
        <w:pStyle w:val="16"/>
        <w:spacing w:before="31" w:after="31"/>
        <w:ind w:firstLine="480"/>
        <w:rPr>
          <w:szCs w:val="24"/>
        </w:rPr>
      </w:pPr>
    </w:p>
    <w:p w14:paraId="263B3BF6">
      <w:pPr>
        <w:pStyle w:val="16"/>
        <w:spacing w:before="31" w:after="31"/>
        <w:ind w:firstLine="480"/>
        <w:rPr>
          <w:szCs w:val="24"/>
        </w:rPr>
      </w:pPr>
      <w:r>
        <w:rPr>
          <w:szCs w:val="24"/>
        </w:rPr>
        <w:t>(7) Impact and Harm Caused</w:t>
      </w:r>
    </w:p>
    <w:p w14:paraId="497806E3">
      <w:pPr>
        <w:pStyle w:val="16"/>
        <w:spacing w:before="31" w:after="31"/>
        <w:ind w:firstLine="480"/>
        <w:rPr>
          <w:szCs w:val="24"/>
        </w:rPr>
      </w:pPr>
      <w:r>
        <w:rPr>
          <w:szCs w:val="24"/>
        </w:rPr>
        <w:t>Significant economic losses occurred, with the crane's arm and legs of the gantry crane declared as scrap, and one fatality and one injury resulting from the accident.</w:t>
      </w:r>
    </w:p>
    <w:p w14:paraId="1CAD06FD">
      <w:pPr>
        <w:pStyle w:val="16"/>
        <w:spacing w:before="31" w:after="31"/>
        <w:ind w:firstLine="480"/>
        <w:rPr>
          <w:szCs w:val="24"/>
        </w:rPr>
      </w:pPr>
    </w:p>
    <w:p w14:paraId="34F1C731">
      <w:pPr>
        <w:pStyle w:val="16"/>
        <w:spacing w:before="31" w:after="31"/>
        <w:ind w:firstLine="480"/>
        <w:rPr>
          <w:szCs w:val="24"/>
        </w:rPr>
      </w:pPr>
      <w:r>
        <w:rPr>
          <w:szCs w:val="24"/>
        </w:rPr>
        <w:t>(8) Conclusion and Improvement Measures</w:t>
      </w:r>
    </w:p>
    <w:p w14:paraId="3A736DE1">
      <w:pPr>
        <w:pStyle w:val="16"/>
        <w:spacing w:before="31" w:after="31"/>
        <w:ind w:firstLine="480"/>
        <w:rPr>
          <w:szCs w:val="24"/>
        </w:rPr>
      </w:pPr>
      <w:r>
        <w:rPr>
          <w:szCs w:val="24"/>
        </w:rPr>
        <w:t>(a) Conclusion</w:t>
      </w:r>
    </w:p>
    <w:p w14:paraId="794B2AB9">
      <w:pPr>
        <w:pStyle w:val="16"/>
        <w:spacing w:before="31" w:after="31"/>
        <w:ind w:firstLine="480"/>
        <w:rPr>
          <w:szCs w:val="24"/>
        </w:rPr>
      </w:pPr>
      <w:r>
        <w:rPr>
          <w:szCs w:val="24"/>
        </w:rPr>
        <w:t>Insufficient counterweight of the crane and worker's carelessness are the main reasons for the equipment failure.</w:t>
      </w:r>
    </w:p>
    <w:p w14:paraId="53B3012E">
      <w:pPr>
        <w:pStyle w:val="16"/>
        <w:spacing w:before="31" w:after="31"/>
        <w:ind w:firstLine="480"/>
        <w:rPr>
          <w:szCs w:val="24"/>
        </w:rPr>
      </w:pPr>
    </w:p>
    <w:p w14:paraId="154112DC">
      <w:pPr>
        <w:pStyle w:val="16"/>
        <w:spacing w:before="31" w:after="31"/>
        <w:ind w:firstLine="480"/>
        <w:rPr>
          <w:szCs w:val="24"/>
        </w:rPr>
      </w:pPr>
      <w:r>
        <w:rPr>
          <w:szCs w:val="24"/>
        </w:rPr>
        <w:t>(b) Improvement Measures</w:t>
      </w:r>
    </w:p>
    <w:p w14:paraId="7C7D50E5">
      <w:pPr>
        <w:pStyle w:val="16"/>
        <w:spacing w:before="31" w:after="31"/>
        <w:ind w:firstLine="480"/>
        <w:rPr>
          <w:szCs w:val="24"/>
        </w:rPr>
      </w:pPr>
      <w:r>
        <w:rPr>
          <w:szCs w:val="24"/>
        </w:rPr>
        <w:t>1. Regularly convene crane operators and cable operators to study crane-related knowledge, safety precautions, and operating procedures. Ensure that they have a good understanding of crane knowledge, enhance safety awareness, remain vigilant, and prevent accidents.</w:t>
      </w:r>
    </w:p>
    <w:p w14:paraId="6E954C43">
      <w:pPr>
        <w:pStyle w:val="16"/>
        <w:spacing w:before="31" w:after="31"/>
        <w:ind w:firstLine="480"/>
        <w:rPr>
          <w:szCs w:val="24"/>
        </w:rPr>
      </w:pPr>
      <w:r>
        <w:rPr>
          <w:szCs w:val="24"/>
        </w:rPr>
        <w:t>2. The working platform of the crane must be leveled and compacted. When the crane is in position on the working platform, it must be leveled. If possible, the bottom layer of the crane can be padded with 2-meter wooden sleepers to increase the crane's grounding area. This ensures balanced center of gravity when the crane operates in all directions, preventing accidents.</w:t>
      </w:r>
    </w:p>
    <w:p w14:paraId="709B95E8">
      <w:pPr>
        <w:pStyle w:val="16"/>
        <w:spacing w:before="31" w:after="31"/>
        <w:ind w:firstLine="480"/>
        <w:rPr>
          <w:szCs w:val="24"/>
        </w:rPr>
      </w:pPr>
      <w:r>
        <w:rPr>
          <w:szCs w:val="24"/>
        </w:rPr>
        <w:t>3. During large lifting operations, there must be a dedicated person to supervise, identify problems promptly, and stop accidents in their early stages.</w:t>
      </w:r>
    </w:p>
    <w:p w14:paraId="1BD2D0F5">
      <w:pPr>
        <w:pStyle w:val="16"/>
        <w:spacing w:before="31" w:after="31"/>
        <w:ind w:firstLine="480"/>
        <w:rPr>
          <w:szCs w:val="24"/>
        </w:rPr>
      </w:pPr>
      <w:r>
        <w:rPr>
          <w:szCs w:val="24"/>
        </w:rPr>
        <w:t>4. Engineering and technical personnel must carefully write a "Technical Plan" before construction, emphasizing construction procedures, technical requirements, safety measures, etc. All construction personnel involved must study the "Technical Plan" carefully, understand every detail and safety measure.</w:t>
      </w:r>
    </w:p>
    <w:p w14:paraId="01A6FB3C">
      <w:pPr>
        <w:pStyle w:val="16"/>
        <w:spacing w:before="31" w:after="31"/>
        <w:ind w:firstLine="0" w:firstLineChars="0"/>
        <w:rPr>
          <w:b/>
          <w:bCs/>
          <w:szCs w:val="24"/>
        </w:rPr>
      </w:pPr>
      <w:r>
        <w:rPr>
          <w:b/>
          <w:bCs/>
          <w:szCs w:val="24"/>
        </w:rPr>
        <w:t>9.2.7 Case 9-7 DC12-50×12 High-Temperature Water Pump Axial End Mechanical Failure</w:t>
      </w:r>
    </w:p>
    <w:p w14:paraId="7E00D10F">
      <w:pPr>
        <w:pStyle w:val="16"/>
        <w:spacing w:before="31" w:after="31"/>
        <w:ind w:firstLine="480"/>
        <w:rPr>
          <w:szCs w:val="24"/>
        </w:rPr>
      </w:pPr>
    </w:p>
    <w:p w14:paraId="0061295C">
      <w:pPr>
        <w:pStyle w:val="16"/>
        <w:spacing w:before="31" w:after="31"/>
        <w:ind w:firstLine="480"/>
        <w:rPr>
          <w:szCs w:val="24"/>
        </w:rPr>
      </w:pPr>
      <w:r>
        <w:rPr>
          <w:szCs w:val="24"/>
        </w:rPr>
        <w:t>(1) Case Title</w:t>
      </w:r>
    </w:p>
    <w:p w14:paraId="2A7C65A5">
      <w:pPr>
        <w:pStyle w:val="16"/>
        <w:spacing w:before="31" w:after="31"/>
        <w:ind w:firstLine="480"/>
        <w:rPr>
          <w:szCs w:val="24"/>
        </w:rPr>
      </w:pPr>
      <w:r>
        <w:rPr>
          <w:szCs w:val="24"/>
        </w:rPr>
        <w:t>Analysis of the DC12-50×12 High-Temperature Water Pump Axial End Mechanical Failure [7]</w:t>
      </w:r>
    </w:p>
    <w:p w14:paraId="01543FC4">
      <w:pPr>
        <w:pStyle w:val="16"/>
        <w:spacing w:before="31" w:after="31"/>
        <w:ind w:firstLine="480"/>
        <w:rPr>
          <w:szCs w:val="24"/>
        </w:rPr>
      </w:pPr>
    </w:p>
    <w:p w14:paraId="181EF562">
      <w:pPr>
        <w:pStyle w:val="16"/>
        <w:spacing w:before="31" w:after="31"/>
        <w:ind w:firstLine="480"/>
        <w:rPr>
          <w:szCs w:val="24"/>
        </w:rPr>
      </w:pPr>
      <w:r>
        <w:rPr>
          <w:szCs w:val="24"/>
        </w:rPr>
        <w:t>(2) Failure Process Description</w:t>
      </w:r>
    </w:p>
    <w:p w14:paraId="76B86666">
      <w:pPr>
        <w:pStyle w:val="16"/>
        <w:spacing w:before="31" w:after="31"/>
        <w:ind w:firstLine="480"/>
        <w:rPr>
          <w:szCs w:val="24"/>
        </w:rPr>
      </w:pPr>
      <w:r>
        <w:rPr>
          <w:szCs w:val="24"/>
        </w:rPr>
        <w:t>The Shandong Aluminum Thermal Power Plant has two DC25-50×12 boiler feed pumps for a 75-ton circulating sulfur bed boiler. These pumps supply qualified high-temperature deaerated water to reduce the outlet temperature of the superheater. Normally, one pump is in operation, and the other serves as a standby. One of the cooling water pumps, after two months of operation, started leaking at the outlet pressure end axial seal, gradually increasing until the deaerated water splashed around, forcing the pump to be stopped for maintenance. The cooling water chamber and the connection for cooling water were cleaned. After half a month of operation, the axial seal at the inlet end started leaking again.</w:t>
      </w:r>
    </w:p>
    <w:p w14:paraId="1B3D4C6F">
      <w:pPr>
        <w:pStyle w:val="16"/>
        <w:spacing w:before="31" w:after="31"/>
        <w:ind w:firstLine="480"/>
        <w:rPr>
          <w:szCs w:val="24"/>
        </w:rPr>
      </w:pPr>
    </w:p>
    <w:p w14:paraId="19A9F373">
      <w:pPr>
        <w:pStyle w:val="16"/>
        <w:spacing w:before="31" w:after="31"/>
        <w:ind w:firstLine="480"/>
        <w:rPr>
          <w:szCs w:val="24"/>
        </w:rPr>
      </w:pPr>
      <w:r>
        <w:rPr>
          <w:szCs w:val="24"/>
        </w:rPr>
        <w:t>(3) Service Environment</w:t>
      </w:r>
    </w:p>
    <w:p w14:paraId="27ED544D">
      <w:pPr>
        <w:pStyle w:val="16"/>
        <w:spacing w:before="31" w:after="31"/>
        <w:ind w:firstLine="480"/>
        <w:rPr>
          <w:szCs w:val="24"/>
        </w:rPr>
      </w:pPr>
      <w:r>
        <w:rPr>
          <w:szCs w:val="24"/>
        </w:rPr>
        <w:t>Service environment: Shandong Aluminum Co., Ltd., Zibo City, Shandong Province.</w:t>
      </w:r>
    </w:p>
    <w:p w14:paraId="56C7D96D">
      <w:pPr>
        <w:pStyle w:val="16"/>
        <w:spacing w:before="31" w:after="31"/>
        <w:ind w:firstLine="480"/>
        <w:rPr>
          <w:szCs w:val="24"/>
        </w:rPr>
      </w:pPr>
    </w:p>
    <w:p w14:paraId="4BED0111">
      <w:pPr>
        <w:pStyle w:val="16"/>
        <w:spacing w:before="31" w:after="31"/>
        <w:ind w:firstLine="480"/>
        <w:rPr>
          <w:szCs w:val="24"/>
        </w:rPr>
      </w:pPr>
      <w:r>
        <w:rPr>
          <w:szCs w:val="24"/>
        </w:rPr>
        <w:t>(4) Failed Components and Materials</w:t>
      </w:r>
    </w:p>
    <w:p w14:paraId="5E4EB42D">
      <w:pPr>
        <w:pStyle w:val="16"/>
        <w:spacing w:before="31" w:after="31"/>
        <w:ind w:firstLine="480"/>
        <w:rPr>
          <w:szCs w:val="24"/>
        </w:rPr>
      </w:pPr>
      <w:r>
        <w:rPr>
          <w:szCs w:val="24"/>
        </w:rPr>
        <w:t>Sealing device. The material of the moving ring in the sealing chamber is A12O3 ceramic.</w:t>
      </w:r>
    </w:p>
    <w:p w14:paraId="0C631BBC">
      <w:pPr>
        <w:pStyle w:val="16"/>
        <w:spacing w:before="31" w:after="31"/>
        <w:ind w:firstLine="480"/>
        <w:rPr>
          <w:szCs w:val="24"/>
        </w:rPr>
      </w:pPr>
    </w:p>
    <w:p w14:paraId="512BB8AA">
      <w:pPr>
        <w:pStyle w:val="16"/>
        <w:spacing w:before="31" w:after="31"/>
        <w:ind w:firstLine="480"/>
        <w:rPr>
          <w:szCs w:val="24"/>
        </w:rPr>
      </w:pPr>
      <w:r>
        <w:rPr>
          <w:szCs w:val="24"/>
        </w:rPr>
        <w:t>Performance parameters of the feed pump: Flow rate Q = 25 m3/h, head H = 600 m, speed n = 2,950 r/min, efficiency η = 54%, required cavitation margin 2.7 m.</w:t>
      </w:r>
    </w:p>
    <w:p w14:paraId="15582289">
      <w:pPr>
        <w:pStyle w:val="16"/>
        <w:spacing w:before="31" w:after="31"/>
        <w:ind w:firstLine="480"/>
        <w:rPr>
          <w:szCs w:val="24"/>
        </w:rPr>
      </w:pPr>
    </w:p>
    <w:p w14:paraId="71318DE6">
      <w:pPr>
        <w:pStyle w:val="16"/>
        <w:spacing w:before="31" w:after="31"/>
        <w:ind w:firstLine="480"/>
        <w:rPr>
          <w:szCs w:val="24"/>
        </w:rPr>
      </w:pPr>
      <w:r>
        <w:rPr>
          <w:szCs w:val="24"/>
        </w:rPr>
        <w:t>(5) Component Failure Morphology</w:t>
      </w:r>
    </w:p>
    <w:p w14:paraId="151DB03C">
      <w:pPr>
        <w:pStyle w:val="16"/>
        <w:spacing w:before="31" w:after="31"/>
        <w:ind w:firstLine="480"/>
        <w:rPr>
          <w:szCs w:val="24"/>
        </w:rPr>
      </w:pPr>
      <w:r>
        <w:rPr>
          <w:szCs w:val="24"/>
        </w:rPr>
        <w:t>After removing the mechanical seal, it was found that the carbon graphite ring sealing surface was worn by 2 mm, the static ring sealing surface had obvious radial cracks, and the cooling water chamber was severely clogged. After cleaning the cooling water chamber and connecting cooling water, and running for half a month, during pump inspection, similar fault phenomena were found on the mechanical seal surface at the outlet pressure end. The cooling water chamber was almost blocked, and it was noticed that the moving ring sealing ring was stuck to the shaft sleeve, causing the moving ring to be unable to float freely along the axial direction to compensate for wear or displacement. This was the main reason for the large amount of leakage and splashing.</w:t>
      </w:r>
    </w:p>
    <w:p w14:paraId="2EFEB50E">
      <w:pPr>
        <w:pStyle w:val="16"/>
        <w:spacing w:before="31" w:after="31"/>
        <w:ind w:firstLine="480"/>
        <w:rPr>
          <w:szCs w:val="24"/>
        </w:rPr>
      </w:pPr>
    </w:p>
    <w:p w14:paraId="7C74A9F5">
      <w:pPr>
        <w:pStyle w:val="16"/>
        <w:spacing w:before="31" w:after="31"/>
        <w:ind w:firstLine="480"/>
        <w:rPr>
          <w:szCs w:val="24"/>
        </w:rPr>
      </w:pPr>
      <w:r>
        <w:rPr>
          <w:szCs w:val="24"/>
        </w:rPr>
        <w:t>(6) Failure Cause Analysis</w:t>
      </w:r>
    </w:p>
    <w:p w14:paraId="22BA1C22">
      <w:pPr>
        <w:pStyle w:val="16"/>
        <w:spacing w:before="31" w:after="31"/>
        <w:ind w:firstLine="480"/>
        <w:rPr>
          <w:rFonts w:hint="eastAsia"/>
          <w:szCs w:val="24"/>
        </w:rPr>
      </w:pPr>
      <w:r>
        <w:rPr>
          <w:szCs w:val="24"/>
        </w:rPr>
        <w:t>(a) Severe wear of the moving ring sealing surface may be due to excessive specific pressure on the sealing end face, leading to wear.</w:t>
      </w:r>
    </w:p>
    <w:p w14:paraId="58D61400">
      <w:pPr>
        <w:pStyle w:val="16"/>
        <w:spacing w:before="31" w:after="31"/>
        <w:ind w:firstLine="480"/>
        <w:rPr>
          <w:szCs w:val="24"/>
        </w:rPr>
      </w:pPr>
      <w:r>
        <w:rPr>
          <w:szCs w:val="24"/>
        </w:rPr>
        <w:t>(b) Severe clogging of the cooling water chamber results in insufficient cooling water, and the heat generated by the friction of the sealing end faces and the stirring heat cannot be promptly transferred to the outside of the pump body. Vaporization occurs in the liquid film between the sealing surfaces, exacerbating wear on the sealing surfaces and aging of the auxiliary sealing ring.</w:t>
      </w:r>
    </w:p>
    <w:p w14:paraId="27CA2110">
      <w:pPr>
        <w:pStyle w:val="16"/>
        <w:spacing w:before="31" w:after="31"/>
        <w:ind w:firstLine="480"/>
        <w:rPr>
          <w:szCs w:val="24"/>
        </w:rPr>
      </w:pPr>
      <w:r>
        <w:rPr>
          <w:szCs w:val="24"/>
        </w:rPr>
        <w:t>(c) The temperature inside the sealing chamber is too high, causing the moving ring sealing ring to soften when exposed to heat. It adheres to the shaft sleeve, preventing the moving ring from freely floating along the axial direction to compensate for wear or displacement. This is the main reason for the significant leakage and splashing of the axial seal.</w:t>
      </w:r>
    </w:p>
    <w:p w14:paraId="47CA7EFB">
      <w:pPr>
        <w:pStyle w:val="16"/>
        <w:spacing w:before="31" w:after="31"/>
        <w:ind w:firstLine="480"/>
        <w:rPr>
          <w:szCs w:val="24"/>
        </w:rPr>
      </w:pPr>
      <w:r>
        <w:rPr>
          <w:szCs w:val="24"/>
        </w:rPr>
        <w:t>(7) Impact and Harm Caused</w:t>
      </w:r>
    </w:p>
    <w:p w14:paraId="3E764185">
      <w:pPr>
        <w:pStyle w:val="16"/>
        <w:spacing w:before="31" w:after="31"/>
        <w:ind w:firstLine="480"/>
        <w:rPr>
          <w:szCs w:val="24"/>
        </w:rPr>
      </w:pPr>
      <w:r>
        <w:rPr>
          <w:szCs w:val="24"/>
        </w:rPr>
        <w:t>Substantial economic losses were incurred.</w:t>
      </w:r>
    </w:p>
    <w:p w14:paraId="29B2B607">
      <w:pPr>
        <w:pStyle w:val="16"/>
        <w:spacing w:before="31" w:after="31"/>
        <w:ind w:firstLine="480"/>
        <w:rPr>
          <w:szCs w:val="24"/>
        </w:rPr>
      </w:pPr>
      <w:r>
        <w:rPr>
          <w:szCs w:val="24"/>
        </w:rPr>
        <w:t>(8) Conclusion and Improvement Measures</w:t>
      </w:r>
    </w:p>
    <w:p w14:paraId="47FDE8E2">
      <w:pPr>
        <w:pStyle w:val="16"/>
        <w:spacing w:before="31" w:after="31"/>
        <w:ind w:firstLine="480"/>
        <w:rPr>
          <w:szCs w:val="24"/>
        </w:rPr>
      </w:pPr>
      <w:r>
        <w:rPr>
          <w:szCs w:val="24"/>
        </w:rPr>
        <w:t>(a) Conclusion</w:t>
      </w:r>
    </w:p>
    <w:p w14:paraId="72DC04BC">
      <w:pPr>
        <w:pStyle w:val="16"/>
        <w:spacing w:before="31" w:after="31"/>
        <w:ind w:firstLine="480"/>
        <w:rPr>
          <w:szCs w:val="24"/>
        </w:rPr>
      </w:pPr>
      <w:r>
        <w:rPr>
          <w:szCs w:val="24"/>
        </w:rPr>
        <w:t>The carbon graphite sealing device and rubber sealing device were severely aged and damaged, leading to the mechanical failure of the water pump shaft end.</w:t>
      </w:r>
    </w:p>
    <w:p w14:paraId="2BEEE740">
      <w:pPr>
        <w:pStyle w:val="16"/>
        <w:spacing w:before="31" w:after="31"/>
        <w:ind w:firstLine="480"/>
        <w:rPr>
          <w:szCs w:val="24"/>
        </w:rPr>
      </w:pPr>
      <w:r>
        <w:rPr>
          <w:szCs w:val="24"/>
        </w:rPr>
        <w:t>(b) Improvement Measures</w:t>
      </w:r>
    </w:p>
    <w:p w14:paraId="072A501B">
      <w:pPr>
        <w:pStyle w:val="16"/>
        <w:spacing w:before="31" w:after="31"/>
        <w:ind w:firstLine="480"/>
        <w:rPr>
          <w:szCs w:val="24"/>
        </w:rPr>
      </w:pPr>
      <w:r>
        <w:rPr>
          <w:szCs w:val="24"/>
        </w:rPr>
        <w:t>1. The material of the moving ring should be changed to a heat-resistant and impact-resistant material. The A12O3 ceramic has poor heat resistance and is brittle. Vibration of the pump body or axial movement of the rotor often causes cracks on the sealing surface. Additionally, the large temperature difference on the sealing surface can easily cause stress concentration and surface cracks. Therefore, the moving ring can be made of tough and rigid tungsten carbide hard alloy YG6, which has good wear resistance. A new moving ring seat can be machined, and the moving ring can be embedded in it. To ensure sealing performance, based on the analysis of the failure of the auxiliary sealing ring, the auxiliary sealing ring should have good elasticity and heat resistance. An O-ring made of silicone rubber can be used for the moving ring sealing ring. Since carbon graphite has excellent self-lubricating properties and can operate well at high temperatures, it can be retained for the static ring sealing surface, while the static sealing ring uniformly uses silicone rubber.</w:t>
      </w:r>
    </w:p>
    <w:p w14:paraId="7D4FC4B7">
      <w:pPr>
        <w:pStyle w:val="16"/>
        <w:spacing w:before="31" w:after="31"/>
        <w:ind w:firstLine="480"/>
        <w:rPr>
          <w:szCs w:val="24"/>
        </w:rPr>
      </w:pPr>
      <w:r>
        <w:rPr>
          <w:szCs w:val="24"/>
        </w:rPr>
        <w:t>2. The original shoulder of the shaft sleeve is used for spring axial positioning, which is simple and reliable but cannot adjust the amount of spring expansion and contraction. Therefore, a simple machining of the shaft sleeve can be performed, removing the shoulder and making the outer diameter of the shaft sleeve flush. A spring thrust ring is re-machined to fix the spring and adjust the axial positioning. Due to severe wear of the original static ring, referencing the [Pcv] value of the new matching material, it is appropriate to compress the spring between 7 and 10 mm. By checking the end pressure ratio, move the spring positioning point back by 1 mm from the original point, tighten the hexagon socket screw, and fix the spring seat securely. To ensure convenient replacement of the mechanical seal and reliable operation, it is recommended to use a modular mechanical seal, with the manufacturer producing a specialized mechanical seal based on the pump's operating parameters and sealing chamber dimensions.</w:t>
      </w:r>
    </w:p>
    <w:p w14:paraId="783AA76C">
      <w:pPr>
        <w:pStyle w:val="16"/>
        <w:spacing w:before="31" w:after="31"/>
        <w:ind w:firstLine="480"/>
        <w:rPr>
          <w:szCs w:val="24"/>
        </w:rPr>
      </w:pPr>
      <w:r>
        <w:rPr>
          <w:szCs w:val="24"/>
        </w:rPr>
        <w:t>3. The original water used had high hardness, many impurities, slow flow rate, and a small jacket space. Therefore, changing the water source is the best solution. Introduce a 20 mm diameter desalinated water pipe (soft water) from the deaerator inlet pipeline. The temperature is around 25°C, and the pressure is around 0.5 MPa, greater than the industrial water pressure of 0.25 MPa. This is beneficial to increase the flow rate and circulation volume, and the return water still goes to the industrial water pipe. The return water pipe diameter is increased from the original φ20 mm to φ25 mm to ensure smooth return water flow and effectively remove the heat generated inside the sealing chamber.</w:t>
      </w:r>
    </w:p>
    <w:p w14:paraId="7D35DFAE">
      <w:pPr>
        <w:pStyle w:val="16"/>
        <w:spacing w:before="31" w:after="31"/>
        <w:ind w:firstLine="480"/>
        <w:rPr>
          <w:szCs w:val="24"/>
        </w:rPr>
      </w:pPr>
      <w:r>
        <w:rPr>
          <w:szCs w:val="24"/>
        </w:rPr>
        <w:t>In addition, before starting the cooling water pump, the following aspects should be checked:</w:t>
      </w:r>
    </w:p>
    <w:p w14:paraId="16D30362">
      <w:pPr>
        <w:pStyle w:val="16"/>
        <w:spacing w:before="31" w:after="31"/>
        <w:ind w:firstLine="480"/>
        <w:rPr>
          <w:szCs w:val="24"/>
        </w:rPr>
      </w:pPr>
      <w:r>
        <w:rPr>
          <w:rFonts w:hint="eastAsia"/>
          <w:szCs w:val="24"/>
        </w:rPr>
        <w:t>① Before starting the pump, the sealing faces of the mechanical seal must be immersed in the liquid. Dry operation will seriously damage the sealing faces, affecting the use and life of the seal. Ensure that the pump inlet valve is open and open the air re</w:t>
      </w:r>
      <w:r>
        <w:rPr>
          <w:szCs w:val="24"/>
        </w:rPr>
        <w:t>lease valve to release the air accumulated in the pump.</w:t>
      </w:r>
    </w:p>
    <w:p w14:paraId="3835931B">
      <w:pPr>
        <w:pStyle w:val="16"/>
        <w:spacing w:before="31" w:after="31"/>
        <w:ind w:firstLine="480"/>
        <w:rPr>
          <w:szCs w:val="24"/>
        </w:rPr>
      </w:pPr>
      <w:r>
        <w:rPr>
          <w:rFonts w:hint="eastAsia"/>
          <w:szCs w:val="24"/>
        </w:rPr>
        <w:t>② The pipeline system connected to the equipment must also be cleaned. If the debris in the system is not cleaned in time, after long-term operation, debris may enter the seal and affect the seal's life. Checking the blockage of the inlet filter is necessa</w:t>
      </w:r>
      <w:r>
        <w:rPr>
          <w:szCs w:val="24"/>
        </w:rPr>
        <w:t>ry.</w:t>
      </w:r>
    </w:p>
    <w:p w14:paraId="7A5937BD">
      <w:pPr>
        <w:pStyle w:val="16"/>
        <w:spacing w:before="31" w:after="31"/>
        <w:ind w:firstLine="480"/>
        <w:rPr>
          <w:szCs w:val="24"/>
        </w:rPr>
      </w:pPr>
      <w:r>
        <w:rPr>
          <w:rFonts w:hint="eastAsia"/>
          <w:szCs w:val="24"/>
        </w:rPr>
        <w:t>③ After injecting cooling water, whether the equipment is running or not, it is best not to cut off the cooling and flushing system. Otherwise, if the cooling water pump conveys high-temperature water, it is easy to cause vaporization of the sealing faces.</w:t>
      </w:r>
    </w:p>
    <w:p w14:paraId="4BBC520F">
      <w:pPr>
        <w:pStyle w:val="16"/>
        <w:spacing w:before="31" w:after="31"/>
        <w:ind w:firstLine="480"/>
        <w:rPr>
          <w:szCs w:val="24"/>
        </w:rPr>
      </w:pPr>
      <w:r>
        <w:rPr>
          <w:rFonts w:hint="eastAsia"/>
          <w:szCs w:val="24"/>
        </w:rPr>
        <w:t>④ After the equipment is started, slight leakage may occur. This is normal. As the seal wears in, the leakage will decrease until there is no leakage. However, if leakage continues for a long time, it indicates possible damage to the auxiliary sealing syst</w:t>
      </w:r>
      <w:r>
        <w:rPr>
          <w:szCs w:val="24"/>
        </w:rPr>
        <w:t>em (O-ring sealing ring, etc.) or damage to the sealing surface.</w:t>
      </w:r>
    </w:p>
    <w:p w14:paraId="039FDF94">
      <w:pPr>
        <w:pStyle w:val="16"/>
        <w:spacing w:before="31" w:after="31"/>
        <w:ind w:firstLine="0" w:firstLineChars="0"/>
        <w:rPr>
          <w:szCs w:val="24"/>
        </w:rPr>
      </w:pPr>
      <w:r>
        <w:rPr>
          <w:szCs w:val="24"/>
        </w:rPr>
        <w:t>After the transformation of the mechanical seal of the cooling water pump and its cooling water system, after six months of operation, no leakage occurred at the shaft seal, and the water pump operated smoothly, proving that this transformation was successful.</w:t>
      </w:r>
    </w:p>
    <w:p w14:paraId="36908094">
      <w:pPr>
        <w:pStyle w:val="16"/>
        <w:spacing w:before="31" w:after="31"/>
        <w:ind w:firstLine="482"/>
        <w:rPr>
          <w:b/>
          <w:bCs/>
          <w:szCs w:val="24"/>
        </w:rPr>
      </w:pPr>
      <w:r>
        <w:rPr>
          <w:b/>
          <w:bCs/>
          <w:szCs w:val="24"/>
        </w:rPr>
        <w:t>9.2.8 Case 9-8 Analysis of Accidents Caused by Insufficient Mechanical Strength in Several Imported Transformers</w:t>
      </w:r>
    </w:p>
    <w:p w14:paraId="60A17A6A">
      <w:pPr>
        <w:pStyle w:val="16"/>
        <w:spacing w:before="31" w:after="31"/>
        <w:ind w:firstLine="480"/>
        <w:rPr>
          <w:szCs w:val="24"/>
        </w:rPr>
      </w:pPr>
    </w:p>
    <w:p w14:paraId="2DE22DBE">
      <w:pPr>
        <w:pStyle w:val="16"/>
        <w:spacing w:before="31" w:after="31"/>
        <w:ind w:firstLine="480"/>
        <w:rPr>
          <w:szCs w:val="24"/>
        </w:rPr>
      </w:pPr>
      <w:r>
        <w:rPr>
          <w:szCs w:val="24"/>
        </w:rPr>
        <w:t>(1) Case Name</w:t>
      </w:r>
    </w:p>
    <w:p w14:paraId="5901A7D1">
      <w:pPr>
        <w:pStyle w:val="16"/>
        <w:spacing w:before="31" w:after="31"/>
        <w:ind w:firstLine="480"/>
        <w:rPr>
          <w:szCs w:val="24"/>
        </w:rPr>
      </w:pPr>
      <w:r>
        <w:rPr>
          <w:szCs w:val="24"/>
        </w:rPr>
        <w:t>Analysis of accidents caused by insufficient mechanical strength in several imported transformers [8].</w:t>
      </w:r>
    </w:p>
    <w:p w14:paraId="2F8FD5F1">
      <w:pPr>
        <w:pStyle w:val="16"/>
        <w:spacing w:before="31" w:after="31"/>
        <w:ind w:firstLine="480"/>
        <w:rPr>
          <w:szCs w:val="24"/>
        </w:rPr>
      </w:pPr>
    </w:p>
    <w:p w14:paraId="3C0F504C">
      <w:pPr>
        <w:pStyle w:val="16"/>
        <w:spacing w:before="31" w:after="31"/>
        <w:ind w:firstLine="480"/>
        <w:rPr>
          <w:szCs w:val="24"/>
        </w:rPr>
      </w:pPr>
      <w:r>
        <w:rPr>
          <w:szCs w:val="24"/>
        </w:rPr>
        <w:t>(2) Description of Failure Process</w:t>
      </w:r>
    </w:p>
    <w:p w14:paraId="328853F8">
      <w:pPr>
        <w:pStyle w:val="16"/>
        <w:spacing w:before="31" w:after="31"/>
        <w:ind w:firstLine="480"/>
        <w:rPr>
          <w:szCs w:val="24"/>
        </w:rPr>
      </w:pPr>
      <w:r>
        <w:rPr>
          <w:szCs w:val="24"/>
        </w:rPr>
        <w:t>In 1986, Shenzhen Power Supply Bureau imported 9 transformers from Mitsubishi Corporation in Japan. Within less than two years, 3 transformers were burnt due to three-phase short circuits at the junction of 10kV outgoing cables and overhead lines. The damaged transformers were sent back to Guangzhou Electric Equipment Factory for dismantling and analysis. The damaged parts were essentially the same. During normal operation, vibration was detected, and upon inspection, it was found that the V and W-phase shield near the top of the low-voltage winding was ruptured. Three taps of the W-phase regulating winding were burnt, and a short circuit occurred in the V-phase outgoing line. The transformer had experienced three previous short circuits.</w:t>
      </w:r>
    </w:p>
    <w:p w14:paraId="330A1B33">
      <w:pPr>
        <w:pStyle w:val="16"/>
        <w:spacing w:before="31" w:after="31"/>
        <w:ind w:firstLine="480"/>
        <w:rPr>
          <w:szCs w:val="24"/>
        </w:rPr>
      </w:pPr>
    </w:p>
    <w:p w14:paraId="25C23FA8">
      <w:pPr>
        <w:pStyle w:val="16"/>
        <w:spacing w:before="31" w:after="31"/>
        <w:ind w:firstLine="480"/>
        <w:rPr>
          <w:szCs w:val="24"/>
        </w:rPr>
      </w:pPr>
      <w:r>
        <w:rPr>
          <w:szCs w:val="24"/>
        </w:rPr>
        <w:t>(3) Component Service Environment</w:t>
      </w:r>
    </w:p>
    <w:p w14:paraId="2810D87D">
      <w:pPr>
        <w:pStyle w:val="16"/>
        <w:spacing w:before="31" w:after="31"/>
        <w:ind w:firstLine="480"/>
        <w:rPr>
          <w:szCs w:val="24"/>
        </w:rPr>
      </w:pPr>
      <w:r>
        <w:rPr>
          <w:szCs w:val="24"/>
        </w:rPr>
        <w:t>Guangdong Provincial Electric Power Testing and Research Institute.</w:t>
      </w:r>
    </w:p>
    <w:p w14:paraId="294DFFB0">
      <w:pPr>
        <w:pStyle w:val="16"/>
        <w:spacing w:before="31" w:after="31"/>
        <w:ind w:firstLine="480"/>
        <w:rPr>
          <w:szCs w:val="24"/>
        </w:rPr>
      </w:pPr>
    </w:p>
    <w:p w14:paraId="3056D955">
      <w:pPr>
        <w:pStyle w:val="16"/>
        <w:spacing w:before="31" w:after="31"/>
        <w:ind w:firstLine="480"/>
        <w:rPr>
          <w:szCs w:val="24"/>
        </w:rPr>
      </w:pPr>
      <w:r>
        <w:rPr>
          <w:szCs w:val="24"/>
        </w:rPr>
        <w:t>(4) Failed Component and Material</w:t>
      </w:r>
    </w:p>
    <w:p w14:paraId="0EDC55EB">
      <w:pPr>
        <w:pStyle w:val="16"/>
        <w:spacing w:before="31" w:after="31"/>
        <w:ind w:firstLine="480"/>
        <w:rPr>
          <w:szCs w:val="24"/>
        </w:rPr>
      </w:pPr>
      <w:r>
        <w:rPr>
          <w:szCs w:val="24"/>
        </w:rPr>
        <w:t>Imported transformer model: TIH50/CRBNRH31500/KTRT123.</w:t>
      </w:r>
    </w:p>
    <w:p w14:paraId="35D8C926">
      <w:pPr>
        <w:pStyle w:val="16"/>
        <w:spacing w:before="31" w:after="31"/>
        <w:ind w:firstLine="480"/>
        <w:rPr>
          <w:szCs w:val="24"/>
        </w:rPr>
      </w:pPr>
    </w:p>
    <w:p w14:paraId="58A99A29">
      <w:pPr>
        <w:pStyle w:val="16"/>
        <w:spacing w:before="31" w:after="31"/>
        <w:ind w:firstLine="480"/>
        <w:rPr>
          <w:szCs w:val="24"/>
        </w:rPr>
      </w:pPr>
      <w:r>
        <w:rPr>
          <w:szCs w:val="24"/>
        </w:rPr>
        <w:t>(5) Failure Appearance of Components</w:t>
      </w:r>
    </w:p>
    <w:p w14:paraId="7D8BEB2F">
      <w:pPr>
        <w:pStyle w:val="16"/>
        <w:spacing w:before="31" w:after="31"/>
        <w:ind w:firstLine="480"/>
        <w:rPr>
          <w:szCs w:val="24"/>
        </w:rPr>
      </w:pPr>
      <w:r>
        <w:rPr>
          <w:szCs w:val="24"/>
        </w:rPr>
        <w:t>The upper part of the low-voltage winding V-phase coil near the W-phase had severe burn deformation in 5 steps, and between the 2nd and 3rd coils, there were 2 coils with severe burn deformation (see Figure 9-9.1). The low-voltage coil spacer and support bar were rotated counterclockwise by 10-50 mm. At the S-shaped bend between the 37th and 38th coils of the low-voltage winding, the wire moved about 40 mm inside the oil. In the upper part of the high-voltage U-phase coil near the V-phase side, 5 coils on both sides of the phase, totaling 12 coils, were severely deformed with an amplitude of 15mm, while the W-phase deformation was less severe. At the upper part of the U, V, W three-phase coils, there were cracks in the 3.2 mm coils at the junction between the press plate and the non-press plate in the interphase (the upper press plate is a two-part laminated wooden plate, and there is no pressing device in the interphase, and the distance between the two halves of the press plate is equal to the distance between the iron core crossbars).</w:t>
      </w:r>
    </w:p>
    <w:p w14:paraId="2158C094">
      <w:pPr>
        <w:pStyle w:val="16"/>
        <w:spacing w:before="31" w:after="31"/>
        <w:ind w:firstLine="482"/>
        <w:jc w:val="center"/>
        <w:rPr>
          <w:b/>
          <w:bCs/>
          <w:szCs w:val="24"/>
        </w:rPr>
      </w:pPr>
      <w:r>
        <w:rPr>
          <w:b/>
          <w:bCs/>
          <w:szCs w:val="24"/>
        </w:rPr>
        <w:t>(a) Severe burn deformation of 5 steps in the W-phase coil</w:t>
      </w:r>
    </w:p>
    <w:p w14:paraId="64E0A057">
      <w:pPr>
        <w:pStyle w:val="16"/>
        <w:spacing w:before="31" w:after="31"/>
        <w:ind w:firstLine="482"/>
        <w:jc w:val="center"/>
        <w:rPr>
          <w:b/>
          <w:bCs/>
          <w:szCs w:val="24"/>
        </w:rPr>
      </w:pPr>
      <w:r>
        <w:rPr>
          <w:b/>
          <w:bCs/>
          <w:szCs w:val="24"/>
        </w:rPr>
        <w:t>(b) Severe burn deformation of coils between the 2nd and 3rd coils of the W-phase</w:t>
      </w:r>
    </w:p>
    <w:p w14:paraId="18741AC0">
      <w:pPr>
        <w:pStyle w:val="16"/>
        <w:spacing w:before="31" w:after="31"/>
        <w:ind w:firstLine="482"/>
        <w:jc w:val="center"/>
        <w:rPr>
          <w:b/>
          <w:bCs/>
          <w:szCs w:val="24"/>
        </w:rPr>
      </w:pPr>
      <w:r>
        <w:rPr>
          <w:b/>
          <w:bCs/>
          <w:szCs w:val="24"/>
        </w:rPr>
        <w:t>Figure 9-9.1 Accident diagram of transformer No. 2 at Shenzhen Shahe Substation</w:t>
      </w:r>
    </w:p>
    <w:p w14:paraId="3932F5DE">
      <w:pPr>
        <w:pStyle w:val="16"/>
        <w:spacing w:before="31" w:after="31"/>
        <w:ind w:firstLine="480"/>
        <w:rPr>
          <w:szCs w:val="24"/>
        </w:rPr>
      </w:pPr>
    </w:p>
    <w:p w14:paraId="730F0F60">
      <w:pPr>
        <w:pStyle w:val="16"/>
        <w:spacing w:before="31" w:after="31"/>
        <w:ind w:firstLine="480"/>
        <w:rPr>
          <w:szCs w:val="24"/>
        </w:rPr>
      </w:pPr>
      <w:r>
        <w:rPr>
          <w:szCs w:val="24"/>
        </w:rPr>
        <w:t>(6) Failure Analysis</w:t>
      </w:r>
    </w:p>
    <w:p w14:paraId="23CDCBE4">
      <w:pPr>
        <w:pStyle w:val="16"/>
        <w:spacing w:before="31" w:after="31"/>
        <w:ind w:firstLine="480"/>
        <w:rPr>
          <w:szCs w:val="24"/>
        </w:rPr>
      </w:pPr>
      <w:r>
        <w:rPr>
          <w:szCs w:val="24"/>
        </w:rPr>
        <w:t>(a) The transformer structure is unreasonable, and the turns are unbalanced without a regulating winding. The post-accident survey results showed that the unbalance turns in the first and third zones reached 7.59%, and in the second and fourth zones, the unbalance turns reached 6.85%, both exceeding 5%. The axial mechanical force calculation results for coil short circuits: 353,780 N at maximum tap, 972,160 N at minimum tap, and 126,420 N at fault tap.</w:t>
      </w:r>
    </w:p>
    <w:p w14:paraId="2913A09A">
      <w:pPr>
        <w:pStyle w:val="16"/>
        <w:spacing w:before="31" w:after="31"/>
        <w:ind w:firstLine="480"/>
        <w:rPr>
          <w:szCs w:val="24"/>
        </w:rPr>
      </w:pPr>
    </w:p>
    <w:p w14:paraId="71050551">
      <w:pPr>
        <w:pStyle w:val="16"/>
        <w:spacing w:before="31" w:after="31"/>
        <w:ind w:firstLine="480"/>
        <w:rPr>
          <w:szCs w:val="24"/>
        </w:rPr>
      </w:pPr>
      <w:r>
        <w:rPr>
          <w:szCs w:val="24"/>
        </w:rPr>
        <w:t>(b) Poor axial clamping device. The isolation switch at the junction of the 10kV outgoing cable and overhead line at Shenzhen Shahe Substation No. 2 main transformer flashed over, and the entire process, from the differential protection action to the circuit breaker tripping, took less than 1 second, and the short-circuit current did not exceed the allowable value. From the above situation, it seems that the main transformer should be able to withstand the impact of this mechanical force, but from the analysis of the dismantled transformer, the most severe damage and deformation occurred in the interphase. The upper part of the iron core window had no clamping device for the coils, only a 3.2 mm paper ring. The damaged parts of the three transformers were all in this position, while the parts clamped by nails and plates had little deformation. Therefore, the lack of clamping of the coils in the iron core window part is the main cause of the accident.</w:t>
      </w:r>
    </w:p>
    <w:p w14:paraId="68A9D84E">
      <w:pPr>
        <w:pStyle w:val="16"/>
        <w:spacing w:before="31" w:after="31"/>
        <w:ind w:firstLine="480"/>
        <w:rPr>
          <w:szCs w:val="24"/>
        </w:rPr>
      </w:pPr>
    </w:p>
    <w:p w14:paraId="56DC071F">
      <w:pPr>
        <w:pStyle w:val="16"/>
        <w:spacing w:before="31" w:after="31"/>
        <w:ind w:firstLine="480"/>
        <w:rPr>
          <w:szCs w:val="24"/>
        </w:rPr>
      </w:pPr>
      <w:r>
        <w:rPr>
          <w:szCs w:val="24"/>
        </w:rPr>
        <w:t>(c) Neglect of maintenance and supervision of 10kV side equipment in operation and maintenance. The burnout of the three main transformers was caused by the flashover of the isolation switch at the junction of the 10kV outgoing cable and overhead line, leading to a three-phase short circuit and causing transformer accidents. Many units lack maintenance and management of 10kV equipment during normal times, and the pre-test cycle of three years is obviously unreasonable, especially for the isolation switch combined with overhead lines, which has long been in a state of neglect.</w:t>
      </w:r>
    </w:p>
    <w:p w14:paraId="520A017C">
      <w:pPr>
        <w:pStyle w:val="16"/>
        <w:spacing w:before="31" w:after="31"/>
        <w:ind w:firstLine="480"/>
        <w:rPr>
          <w:szCs w:val="24"/>
        </w:rPr>
      </w:pPr>
    </w:p>
    <w:p w14:paraId="64E7C7FD">
      <w:pPr>
        <w:pStyle w:val="16"/>
        <w:spacing w:before="31" w:after="31"/>
        <w:ind w:firstLine="480"/>
        <w:rPr>
          <w:szCs w:val="24"/>
        </w:rPr>
      </w:pPr>
      <w:r>
        <w:rPr>
          <w:szCs w:val="24"/>
        </w:rPr>
        <w:t>(7) Impact and Harm</w:t>
      </w:r>
    </w:p>
    <w:p w14:paraId="2AF01BDD">
      <w:pPr>
        <w:pStyle w:val="16"/>
        <w:spacing w:before="31" w:after="31"/>
        <w:ind w:firstLine="480"/>
        <w:rPr>
          <w:szCs w:val="24"/>
        </w:rPr>
      </w:pPr>
      <w:r>
        <w:rPr>
          <w:szCs w:val="24"/>
        </w:rPr>
        <w:t>Caused an economic loss of about 2 million yuan.</w:t>
      </w:r>
    </w:p>
    <w:p w14:paraId="5869B6CA">
      <w:pPr>
        <w:pStyle w:val="16"/>
        <w:spacing w:before="31" w:after="31"/>
        <w:ind w:firstLine="480"/>
        <w:rPr>
          <w:szCs w:val="24"/>
        </w:rPr>
      </w:pPr>
    </w:p>
    <w:p w14:paraId="6A96447D">
      <w:pPr>
        <w:pStyle w:val="16"/>
        <w:spacing w:before="31" w:after="31"/>
        <w:ind w:firstLine="480"/>
        <w:rPr>
          <w:szCs w:val="24"/>
        </w:rPr>
      </w:pPr>
      <w:r>
        <w:rPr>
          <w:szCs w:val="24"/>
        </w:rPr>
        <w:t>(8) Conclusion and Improvement Measures</w:t>
      </w:r>
    </w:p>
    <w:p w14:paraId="21CE58D6">
      <w:pPr>
        <w:pStyle w:val="16"/>
        <w:spacing w:before="31" w:after="31"/>
        <w:ind w:firstLine="480"/>
        <w:rPr>
          <w:szCs w:val="24"/>
        </w:rPr>
      </w:pPr>
      <w:r>
        <w:rPr>
          <w:szCs w:val="24"/>
        </w:rPr>
        <w:t>(a) Conclusion</w:t>
      </w:r>
    </w:p>
    <w:p w14:paraId="0432D307">
      <w:pPr>
        <w:pStyle w:val="16"/>
        <w:spacing w:before="31" w:after="31"/>
        <w:ind w:firstLine="480"/>
        <w:rPr>
          <w:szCs w:val="24"/>
        </w:rPr>
      </w:pPr>
      <w:r>
        <w:rPr>
          <w:szCs w:val="24"/>
        </w:rPr>
        <w:t>The analysis of several imported transformer accidents found that the transformer structure is unreasonable, the turns are unbalanced without a regulating winding, and the lack of clamping for the coils in the iron core window is the main cause of the accidents. In terms of operation and maintenance, the lack of maintenance and management of 10kV equipment during normal times, especially the neglect of the isolation switch combined with overhead lines, leading to its long-term neglect, is also one of the causes of the accidents. For transformers with a structure lacking clamping components, using strap binding for coils and without clamping rings and nails on the upper and lower parts of the coils, and no metal components, it is difficult to carry out transformation. The only solution is to strengthen attention to its insufficient short-circuit strength and prevent near-zone short circuits.</w:t>
      </w:r>
    </w:p>
    <w:p w14:paraId="2CD65962">
      <w:pPr>
        <w:pStyle w:val="16"/>
        <w:spacing w:before="31" w:after="31"/>
        <w:ind w:firstLine="480"/>
        <w:rPr>
          <w:szCs w:val="24"/>
        </w:rPr>
      </w:pPr>
    </w:p>
    <w:p w14:paraId="362FD407">
      <w:pPr>
        <w:pStyle w:val="16"/>
        <w:spacing w:before="31" w:after="31"/>
        <w:ind w:firstLine="480"/>
        <w:rPr>
          <w:szCs w:val="24"/>
        </w:rPr>
      </w:pPr>
      <w:r>
        <w:rPr>
          <w:szCs w:val="24"/>
        </w:rPr>
        <w:t>(b) Improvement Measures</w:t>
      </w:r>
    </w:p>
    <w:p w14:paraId="63E5D8B2">
      <w:pPr>
        <w:pStyle w:val="16"/>
        <w:spacing w:before="31" w:after="31"/>
        <w:ind w:firstLine="480"/>
        <w:rPr>
          <w:szCs w:val="24"/>
        </w:rPr>
      </w:pPr>
      <w:r>
        <w:rPr>
          <w:szCs w:val="24"/>
        </w:rPr>
        <w:t>Shenzhen Power Supply Bureau imported 9 units of the same batch of products from Mitsubishi Corporation, with the same structure and design. Three of the failed transformers were rewound, and the high-voltage side voltage tap was changed from (110±8×1.5%) kV to 110+2×1.5%—6×1.5% kV to minimize the unbalance turns. In addition, the segmented clamping ring was changed to a complete clamping ring with an appropriate increase in clamping nails to ensure uniform stress around the coils. The remaining 6 transformers were also retrofitted in stages (mainly replacing complete clamping rings and increasing clamping nails), with materials provided by the manufacturer, such as insulation clamping rings, spacers, sealing rings, and other accessories. Experts were dispatched to guide the retrofitting on-site. For Alstom products, it seems impossible to make major changes to their structure, so efforts must focus on operational maintenance. For example, canceling the reclosing of the transformer cable outlet or extending the reclosing time, conducting preventive tests on the isolation switch at the transformer cable outlet every year, strengthening the maintenance of 10kV equipment, and preventing near-zone short circuits.</w:t>
      </w:r>
    </w:p>
    <w:p w14:paraId="03B721CC">
      <w:pPr>
        <w:pStyle w:val="16"/>
        <w:spacing w:before="31" w:after="31"/>
        <w:ind w:firstLine="480"/>
        <w:rPr>
          <w:szCs w:val="24"/>
        </w:rPr>
      </w:pPr>
    </w:p>
    <w:p w14:paraId="23984FA0">
      <w:pPr>
        <w:pStyle w:val="16"/>
        <w:spacing w:before="31" w:after="31"/>
        <w:ind w:firstLine="0" w:firstLineChars="0"/>
        <w:rPr>
          <w:b/>
          <w:bCs/>
          <w:szCs w:val="24"/>
        </w:rPr>
      </w:pPr>
      <w:r>
        <w:rPr>
          <w:b/>
          <w:bCs/>
          <w:szCs w:val="24"/>
        </w:rPr>
        <w:t>9.2.9 Case 9-9 Failure Analysis of Spur Gear Shaft Breakage in Loader Rear Axle Reducer</w:t>
      </w:r>
    </w:p>
    <w:p w14:paraId="25336FAA">
      <w:pPr>
        <w:pStyle w:val="16"/>
        <w:spacing w:before="31" w:after="31"/>
        <w:ind w:firstLine="480"/>
        <w:rPr>
          <w:szCs w:val="24"/>
        </w:rPr>
      </w:pPr>
    </w:p>
    <w:p w14:paraId="414F8B9F">
      <w:pPr>
        <w:pStyle w:val="16"/>
        <w:spacing w:before="31" w:after="31"/>
        <w:ind w:firstLine="480"/>
        <w:rPr>
          <w:szCs w:val="24"/>
        </w:rPr>
      </w:pPr>
      <w:r>
        <w:rPr>
          <w:szCs w:val="24"/>
        </w:rPr>
        <w:t>(1) Case Name</w:t>
      </w:r>
    </w:p>
    <w:p w14:paraId="23AC3BD0">
      <w:pPr>
        <w:pStyle w:val="16"/>
        <w:spacing w:before="31" w:after="31"/>
        <w:ind w:firstLine="480"/>
        <w:rPr>
          <w:szCs w:val="24"/>
        </w:rPr>
      </w:pPr>
      <w:r>
        <w:rPr>
          <w:szCs w:val="24"/>
        </w:rPr>
        <w:t>Failure analysis of spur gear shaft breakage in loader rear axle reducer [9].</w:t>
      </w:r>
    </w:p>
    <w:p w14:paraId="217F675E">
      <w:pPr>
        <w:pStyle w:val="16"/>
        <w:spacing w:before="31" w:after="31"/>
        <w:ind w:firstLine="480"/>
        <w:rPr>
          <w:szCs w:val="24"/>
        </w:rPr>
      </w:pPr>
    </w:p>
    <w:p w14:paraId="2FAD3B98">
      <w:pPr>
        <w:pStyle w:val="16"/>
        <w:spacing w:before="31" w:after="31"/>
        <w:ind w:firstLine="480"/>
        <w:rPr>
          <w:szCs w:val="24"/>
        </w:rPr>
      </w:pPr>
      <w:r>
        <w:rPr>
          <w:szCs w:val="24"/>
        </w:rPr>
        <w:t>(2) Description of Failure Process</w:t>
      </w:r>
    </w:p>
    <w:p w14:paraId="23D403C6">
      <w:pPr>
        <w:pStyle w:val="16"/>
        <w:spacing w:before="31" w:after="31"/>
        <w:ind w:firstLine="480"/>
        <w:rPr>
          <w:szCs w:val="24"/>
        </w:rPr>
      </w:pPr>
      <w:r>
        <w:rPr>
          <w:szCs w:val="24"/>
        </w:rPr>
        <w:t>The active gear shaft used in the ZR50 loader rear axle reducer produced by a certain factory exhibited abnormalities after approximately 7 months of assembly use</w:t>
      </w:r>
    </w:p>
    <w:p w14:paraId="17A17655">
      <w:pPr>
        <w:pStyle w:val="16"/>
        <w:spacing w:before="31" w:after="31"/>
        <w:ind w:firstLine="480"/>
        <w:rPr>
          <w:szCs w:val="24"/>
        </w:rPr>
      </w:pPr>
    </w:p>
    <w:p w14:paraId="28456596">
      <w:pPr>
        <w:pStyle w:val="16"/>
        <w:spacing w:before="31" w:after="31"/>
        <w:ind w:firstLine="480"/>
        <w:rPr>
          <w:szCs w:val="24"/>
        </w:rPr>
      </w:pPr>
      <w:r>
        <w:rPr>
          <w:szCs w:val="24"/>
        </w:rPr>
        <w:t>. After another month of service, it lost its mating function and was forced to stop operating. Upon disassembly, severe damage to the gear shaft was discovered.</w:t>
      </w:r>
    </w:p>
    <w:p w14:paraId="0956E2A5">
      <w:pPr>
        <w:pStyle w:val="16"/>
        <w:spacing w:before="31" w:after="31"/>
        <w:ind w:firstLine="480"/>
        <w:rPr>
          <w:szCs w:val="24"/>
        </w:rPr>
      </w:pPr>
    </w:p>
    <w:p w14:paraId="65417B6D">
      <w:pPr>
        <w:pStyle w:val="16"/>
        <w:spacing w:before="31" w:after="31"/>
        <w:ind w:firstLine="480"/>
        <w:rPr>
          <w:szCs w:val="24"/>
        </w:rPr>
      </w:pPr>
      <w:r>
        <w:rPr>
          <w:szCs w:val="24"/>
        </w:rPr>
        <w:t>(3) Component Service Environment</w:t>
      </w:r>
    </w:p>
    <w:p w14:paraId="1C28FA3D">
      <w:pPr>
        <w:pStyle w:val="16"/>
        <w:spacing w:before="31" w:after="31"/>
        <w:ind w:firstLine="480"/>
        <w:rPr>
          <w:szCs w:val="24"/>
        </w:rPr>
      </w:pPr>
      <w:r>
        <w:rPr>
          <w:szCs w:val="24"/>
        </w:rPr>
        <w:t>Service environment: Not specified.</w:t>
      </w:r>
    </w:p>
    <w:p w14:paraId="6B14B061">
      <w:pPr>
        <w:pStyle w:val="16"/>
        <w:spacing w:before="31" w:after="31"/>
        <w:ind w:firstLine="480"/>
        <w:rPr>
          <w:szCs w:val="24"/>
        </w:rPr>
      </w:pPr>
    </w:p>
    <w:p w14:paraId="13BF5840">
      <w:pPr>
        <w:pStyle w:val="16"/>
        <w:spacing w:before="31" w:after="31"/>
        <w:ind w:firstLine="480"/>
        <w:rPr>
          <w:szCs w:val="24"/>
        </w:rPr>
      </w:pPr>
      <w:r>
        <w:rPr>
          <w:szCs w:val="24"/>
        </w:rPr>
        <w:t>(4) Failed Component and Material</w:t>
      </w:r>
    </w:p>
    <w:p w14:paraId="2EA94F04">
      <w:pPr>
        <w:pStyle w:val="16"/>
        <w:spacing w:before="31" w:after="31"/>
        <w:ind w:firstLine="480"/>
        <w:rPr>
          <w:szCs w:val="24"/>
        </w:rPr>
      </w:pPr>
      <w:r>
        <w:rPr>
          <w:szCs w:val="24"/>
        </w:rPr>
        <w:t>Failed component: Active gear shaft of the loader rear axle reducer. Key information as follows:</w:t>
      </w:r>
    </w:p>
    <w:p w14:paraId="30491609">
      <w:pPr>
        <w:pStyle w:val="16"/>
        <w:spacing w:before="31" w:after="31"/>
        <w:ind w:firstLine="480"/>
        <w:rPr>
          <w:szCs w:val="24"/>
        </w:rPr>
      </w:pPr>
      <w:r>
        <w:rPr>
          <w:szCs w:val="24"/>
        </w:rPr>
        <w:t>(a) Material and dimensions</w:t>
      </w:r>
    </w:p>
    <w:p w14:paraId="7EDF18FA">
      <w:pPr>
        <w:pStyle w:val="16"/>
        <w:spacing w:before="31" w:after="31"/>
        <w:ind w:firstLine="480"/>
        <w:rPr>
          <w:szCs w:val="24"/>
        </w:rPr>
      </w:pPr>
      <w:r>
        <w:rPr>
          <w:szCs w:val="24"/>
        </w:rPr>
        <w:t>The material of the gear shaft is 20CrMnTi steel, and the surface undergoes carburizing treatment. The total length of the gear shaft is 250 mm, and the umbrella gear segment is 80 mm long. Macroscopic morphology of the component is shown in Figure 9-9.1.</w:t>
      </w:r>
    </w:p>
    <w:p w14:paraId="35A69711">
      <w:pPr>
        <w:pStyle w:val="16"/>
        <w:spacing w:before="31" w:after="31"/>
        <w:ind w:firstLine="482"/>
        <w:jc w:val="center"/>
        <w:rPr>
          <w:b/>
          <w:bCs/>
          <w:szCs w:val="24"/>
        </w:rPr>
      </w:pPr>
      <w:r>
        <w:rPr>
          <w:b/>
          <w:bCs/>
          <w:szCs w:val="24"/>
        </w:rPr>
        <w:t>Figure 9-10.1 Macroscopic morphology and composition of the gear shaft</w:t>
      </w:r>
    </w:p>
    <w:p w14:paraId="52FE2FDB">
      <w:pPr>
        <w:pStyle w:val="16"/>
        <w:spacing w:before="31" w:after="31"/>
        <w:ind w:firstLine="480"/>
        <w:rPr>
          <w:szCs w:val="24"/>
        </w:rPr>
      </w:pPr>
    </w:p>
    <w:p w14:paraId="7C7EC5BD">
      <w:pPr>
        <w:pStyle w:val="16"/>
        <w:spacing w:before="31" w:after="31"/>
        <w:ind w:firstLine="480"/>
        <w:rPr>
          <w:szCs w:val="24"/>
        </w:rPr>
      </w:pPr>
      <w:r>
        <w:rPr>
          <w:szCs w:val="24"/>
        </w:rPr>
        <w:t>(b) Chemical composition</w:t>
      </w:r>
    </w:p>
    <w:p w14:paraId="2674D40E">
      <w:pPr>
        <w:pStyle w:val="16"/>
        <w:spacing w:before="31" w:after="31"/>
        <w:ind w:firstLine="480"/>
        <w:rPr>
          <w:szCs w:val="24"/>
        </w:rPr>
      </w:pPr>
      <w:r>
        <w:rPr>
          <w:szCs w:val="24"/>
        </w:rPr>
        <w:t>The material's chemical composition, verified by the manufacturer, complies with the requirements of GB/T 3077-1999 "Alloy Structure Steel" standard.</w:t>
      </w:r>
    </w:p>
    <w:p w14:paraId="6AF7E23E">
      <w:pPr>
        <w:pStyle w:val="16"/>
        <w:spacing w:before="31" w:after="31"/>
        <w:ind w:firstLine="480"/>
        <w:rPr>
          <w:szCs w:val="24"/>
        </w:rPr>
      </w:pPr>
    </w:p>
    <w:p w14:paraId="42AF5777">
      <w:pPr>
        <w:pStyle w:val="16"/>
        <w:spacing w:before="31" w:after="31"/>
        <w:ind w:firstLine="480"/>
        <w:rPr>
          <w:szCs w:val="24"/>
        </w:rPr>
      </w:pPr>
      <w:r>
        <w:rPr>
          <w:szCs w:val="24"/>
        </w:rPr>
        <w:t>(c) Metallographic structure</w:t>
      </w:r>
    </w:p>
    <w:p w14:paraId="5BBB3C48">
      <w:pPr>
        <w:pStyle w:val="16"/>
        <w:spacing w:before="31" w:after="31"/>
        <w:ind w:firstLine="480"/>
        <w:rPr>
          <w:szCs w:val="24"/>
        </w:rPr>
      </w:pPr>
      <w:r>
        <w:rPr>
          <w:szCs w:val="24"/>
        </w:rPr>
        <w:t>The undamaged entire carburized layer has a continuous distribution and uniform thickness. The carburizing layer's depth measured by metallography is only about 1.2 mm, which does not meet the technical requirement. In addition, the depth of the effective hardening layer is generally lower than that measured by metallography. Therefore, the carburizing layer's depth is much lower than the minimum standard of 1.4 mm. The microstructure distribution in various regions of the carburizing layer is shown in Figure 9-10.2. It is observed that: (1) The outermost layer is slightly lower-carbon tempered martensite with no carbides found. The color of the outermost layer is significantly darker than that of the sub-layer, indicating decarburization in the outermost layer, resulting in a relatively lower carbon content, and causing a decrease in the amount of white residual austenite. (2) The sub-layer consists of coarse martensite + residual austenite structure. According to JB/T 6141.3-1992 "Heavy-duty Gear Carburizing Metallographic Inspection" regulations, the martensite is approximately level 5-6, and the residual austenite in the sub-layer is approximately level 4 according to the ASTM E112 metal average grain size rating chart. (3) The core of the gear is low-carbon plate martensite, without free ferrite observed, not conforming to JB/T 6141.3.</w:t>
      </w:r>
    </w:p>
    <w:p w14:paraId="39047E02">
      <w:pPr>
        <w:pStyle w:val="16"/>
        <w:spacing w:before="31" w:after="31"/>
        <w:ind w:firstLine="482"/>
        <w:jc w:val="center"/>
        <w:rPr>
          <w:b/>
          <w:bCs/>
          <w:szCs w:val="24"/>
        </w:rPr>
      </w:pPr>
    </w:p>
    <w:p w14:paraId="7C62E31F">
      <w:pPr>
        <w:pStyle w:val="16"/>
        <w:spacing w:before="31" w:after="31"/>
        <w:ind w:firstLine="482"/>
        <w:jc w:val="center"/>
        <w:rPr>
          <w:b/>
          <w:bCs/>
          <w:szCs w:val="24"/>
        </w:rPr>
      </w:pPr>
      <w:r>
        <w:rPr>
          <w:b/>
          <w:bCs/>
          <w:szCs w:val="24"/>
        </w:rPr>
        <w:t>Figure 9-10.2 Microstructure morphology of various regions of the carburizing layer on the gear surface</w:t>
      </w:r>
    </w:p>
    <w:p w14:paraId="78B018A4">
      <w:pPr>
        <w:pStyle w:val="16"/>
        <w:spacing w:before="31" w:after="31"/>
        <w:ind w:firstLine="480"/>
        <w:rPr>
          <w:szCs w:val="24"/>
        </w:rPr>
      </w:pPr>
    </w:p>
    <w:p w14:paraId="16AE3980">
      <w:pPr>
        <w:pStyle w:val="16"/>
        <w:spacing w:before="31" w:after="31"/>
        <w:ind w:firstLine="480"/>
        <w:rPr>
          <w:szCs w:val="24"/>
        </w:rPr>
      </w:pPr>
      <w:r>
        <w:rPr>
          <w:szCs w:val="24"/>
        </w:rPr>
        <w:t>(b) Mechanical properties</w:t>
      </w:r>
    </w:p>
    <w:p w14:paraId="34E0A8F6">
      <w:pPr>
        <w:pStyle w:val="16"/>
        <w:spacing w:before="31" w:after="31"/>
        <w:ind w:firstLine="480"/>
        <w:rPr>
          <w:szCs w:val="24"/>
        </w:rPr>
      </w:pPr>
      <w:r>
        <w:rPr>
          <w:szCs w:val="24"/>
        </w:rPr>
        <w:t>The technical standard requires a carburizing layer depth of 1.4-1.75 mm, surface hardness of 58-62 HRC, and core hardness of 33-48 HRC. The average surface hardness of the tested sample is 61 HRC. The hardness distribution of the surface layer, sub-layer, and core of the gear section is as follows: surface hardness of 61-63 HRC, sub-layer hardness of 56-60 HRC, and core hardness of 36-42 HRC. The results show that the hardness in each area meets the technical standard requirements.</w:t>
      </w:r>
    </w:p>
    <w:p w14:paraId="29BEA775">
      <w:pPr>
        <w:pStyle w:val="16"/>
        <w:spacing w:before="31" w:after="31"/>
        <w:ind w:firstLine="480"/>
        <w:rPr>
          <w:szCs w:val="24"/>
        </w:rPr>
      </w:pPr>
    </w:p>
    <w:p w14:paraId="122AEEED">
      <w:pPr>
        <w:pStyle w:val="16"/>
        <w:spacing w:before="31" w:after="31"/>
        <w:ind w:firstLine="480"/>
        <w:rPr>
          <w:szCs w:val="24"/>
        </w:rPr>
      </w:pPr>
      <w:r>
        <w:rPr>
          <w:szCs w:val="24"/>
        </w:rPr>
        <w:t>(5) Failure Appearance of Components</w:t>
      </w:r>
    </w:p>
    <w:p w14:paraId="141CAF26">
      <w:pPr>
        <w:pStyle w:val="16"/>
        <w:spacing w:before="31" w:after="31"/>
        <w:ind w:firstLine="480"/>
        <w:rPr>
          <w:szCs w:val="24"/>
        </w:rPr>
      </w:pPr>
      <w:r>
        <w:rPr>
          <w:szCs w:val="24"/>
        </w:rPr>
        <w:t>(a) Macroscopic Appearance</w:t>
      </w:r>
    </w:p>
    <w:p w14:paraId="2B780F5C">
      <w:pPr>
        <w:pStyle w:val="16"/>
        <w:spacing w:before="31" w:after="31"/>
        <w:ind w:firstLine="480"/>
        <w:rPr>
          <w:szCs w:val="24"/>
        </w:rPr>
      </w:pPr>
      <w:r>
        <w:rPr>
          <w:szCs w:val="24"/>
        </w:rPr>
        <w:t>The entire tooth surface wears evenly, and the surface is shiny. The broken tooth part is about 40 mm long, deep in the middle, and shallow at both ends, forming a notch-like shape. The failure mode is that the middle of all teeth in the umbrella gear section is broken, as shown in Figure 9-10.3. Radiating lines starting from the surface can be seen, and the extended area has obvious steps, presenting a multi-directional irregular fracture surface. This indicates that the breakage did not occur in a single fracture but resulted from multiple fall-offs during the repeated rotation of the gear shaft. Additionally, the fracture surface has obvious radiating and porcelain-like areas, and no obvious macroscopic plastic deformation is observed. This suggests that the fracture type is a typical macroscopic brittle fracture.</w:t>
      </w:r>
    </w:p>
    <w:p w14:paraId="37F20BFF">
      <w:pPr>
        <w:pStyle w:val="16"/>
        <w:spacing w:before="31" w:after="31"/>
        <w:ind w:firstLine="480"/>
        <w:rPr>
          <w:szCs w:val="24"/>
        </w:rPr>
      </w:pPr>
    </w:p>
    <w:p w14:paraId="5BC30BBA">
      <w:pPr>
        <w:pStyle w:val="16"/>
        <w:spacing w:before="31" w:after="31"/>
        <w:ind w:firstLine="480"/>
        <w:rPr>
          <w:szCs w:val="24"/>
        </w:rPr>
      </w:pPr>
      <w:r>
        <w:rPr>
          <w:szCs w:val="24"/>
        </w:rPr>
        <w:t>(b) Microscopic Appearance</w:t>
      </w:r>
    </w:p>
    <w:p w14:paraId="64A5D375">
      <w:pPr>
        <w:pStyle w:val="16"/>
        <w:spacing w:before="31" w:after="31"/>
        <w:ind w:firstLine="480"/>
        <w:rPr>
          <w:szCs w:val="24"/>
        </w:rPr>
      </w:pPr>
      <w:r>
        <w:rPr>
          <w:szCs w:val="24"/>
        </w:rPr>
        <w:t>The microscopic appearance of the fracture surface is shown in Figure 9-10.4. A fracture pattern similar to quasi-cleavage fracture can be seen, and when a local area is magnified, the river pattern is not very obvious. This is because the observed fracture surface is not the surface of a single fracture but has undergone multiple fall-offs, and after rotational friction, the morphology of the fracture surface may not be very typical. Additionally, since the observed fracture location is not in the carburized layer area but in the core structure, it reflects certain toughness characteristics.</w:t>
      </w:r>
    </w:p>
    <w:p w14:paraId="48AE1721">
      <w:pPr>
        <w:pStyle w:val="16"/>
        <w:spacing w:before="31" w:after="31"/>
        <w:ind w:firstLine="480"/>
        <w:rPr>
          <w:szCs w:val="24"/>
        </w:rPr>
      </w:pPr>
    </w:p>
    <w:p w14:paraId="59BA2ED8">
      <w:pPr>
        <w:pStyle w:val="16"/>
        <w:spacing w:before="31" w:after="31"/>
        <w:ind w:firstLine="482"/>
        <w:jc w:val="center"/>
        <w:rPr>
          <w:b/>
          <w:bCs/>
          <w:szCs w:val="24"/>
        </w:rPr>
      </w:pPr>
      <w:r>
        <w:rPr>
          <w:b/>
          <w:bCs/>
          <w:szCs w:val="24"/>
        </w:rPr>
        <w:t>Figure 9-10.3 Macroscopic appearance of broken tooth fracture ×10   Figure 9-10.4 SEM microscopic appearance of broken tooth fracture</w:t>
      </w:r>
    </w:p>
    <w:p w14:paraId="56A3F6D9">
      <w:pPr>
        <w:pStyle w:val="16"/>
        <w:spacing w:before="31" w:after="31"/>
        <w:ind w:firstLine="480"/>
        <w:rPr>
          <w:szCs w:val="24"/>
        </w:rPr>
      </w:pPr>
    </w:p>
    <w:p w14:paraId="6B41CFA0">
      <w:pPr>
        <w:pStyle w:val="16"/>
        <w:spacing w:before="31" w:after="31"/>
        <w:ind w:firstLine="480"/>
        <w:rPr>
          <w:szCs w:val="24"/>
        </w:rPr>
      </w:pPr>
      <w:r>
        <w:rPr>
          <w:szCs w:val="24"/>
        </w:rPr>
        <w:t>(6) Failure Analysis</w:t>
      </w:r>
    </w:p>
    <w:p w14:paraId="56C72370">
      <w:pPr>
        <w:pStyle w:val="16"/>
        <w:spacing w:before="31" w:after="31"/>
        <w:ind w:firstLine="480"/>
        <w:rPr>
          <w:szCs w:val="24"/>
        </w:rPr>
      </w:pPr>
      <w:r>
        <w:rPr>
          <w:szCs w:val="24"/>
        </w:rPr>
        <w:t>The severe tooth breakage phenomenon of the failed part is not the initial state of damage but occurs after the comprehensive action of multiple factors. Improper control of carburizing and heat treatment processes of the gear shaft, resulting in insufficient depth and coarse martensite structure of the carburizing layer, and problems such as decarburization on the carburizing layer surface, are the main internal causes of tooth breakage. The main reason for the central collapse of the active gear in the umbrella gear section is the high brittleness of the material, and there are phenomena of bias loading and overloading during operation.</w:t>
      </w:r>
    </w:p>
    <w:p w14:paraId="30A75256">
      <w:pPr>
        <w:pStyle w:val="16"/>
        <w:spacing w:before="31" w:after="31"/>
        <w:ind w:firstLine="480"/>
        <w:rPr>
          <w:szCs w:val="24"/>
        </w:rPr>
      </w:pPr>
    </w:p>
    <w:p w14:paraId="1E0E6E22">
      <w:pPr>
        <w:pStyle w:val="16"/>
        <w:spacing w:before="31" w:after="31"/>
        <w:ind w:firstLine="480"/>
        <w:rPr>
          <w:szCs w:val="24"/>
        </w:rPr>
      </w:pPr>
      <w:r>
        <w:rPr>
          <w:szCs w:val="24"/>
        </w:rPr>
        <w:t>(7) Impact and Harm</w:t>
      </w:r>
    </w:p>
    <w:p w14:paraId="2AA3CD5E">
      <w:pPr>
        <w:pStyle w:val="16"/>
        <w:spacing w:before="31" w:after="31"/>
        <w:ind w:firstLine="480"/>
        <w:rPr>
          <w:szCs w:val="24"/>
        </w:rPr>
      </w:pPr>
      <w:r>
        <w:rPr>
          <w:szCs w:val="24"/>
        </w:rPr>
        <w:t>Forced shutdown for inspection, affecting work, resulting in losses.</w:t>
      </w:r>
    </w:p>
    <w:p w14:paraId="690A5FC5">
      <w:pPr>
        <w:pStyle w:val="16"/>
        <w:spacing w:before="31" w:after="31"/>
        <w:ind w:firstLine="480"/>
        <w:rPr>
          <w:szCs w:val="24"/>
        </w:rPr>
      </w:pPr>
    </w:p>
    <w:p w14:paraId="4E08F37D">
      <w:pPr>
        <w:pStyle w:val="16"/>
        <w:spacing w:before="31" w:after="31"/>
        <w:ind w:firstLine="480"/>
        <w:rPr>
          <w:szCs w:val="24"/>
        </w:rPr>
      </w:pPr>
      <w:r>
        <w:rPr>
          <w:szCs w:val="24"/>
        </w:rPr>
        <w:t>(8) Conclusion and Improvement Measures</w:t>
      </w:r>
    </w:p>
    <w:p w14:paraId="3229163A">
      <w:pPr>
        <w:pStyle w:val="16"/>
        <w:spacing w:before="31" w:after="31"/>
        <w:ind w:firstLine="0" w:firstLineChars="0"/>
        <w:rPr>
          <w:szCs w:val="24"/>
        </w:rPr>
      </w:pPr>
      <w:r>
        <w:rPr>
          <w:szCs w:val="24"/>
        </w:rPr>
        <w:t>It is recommended to strictly control various parameters of the carburizing process, conduct random inspections on batches of carburized gear shafts, and eliminate the use of unqualified products. Install the gear shaft with precision according to the gear shaft's accuracy. Improve the usage conditions of the gear shaft, and stop promptly when equipment abnormalities occur to avoid major accidents. After the manufacturer improved according to the recommended measures, the product quality improved significantly, and no serious quality problems have been found recently.</w:t>
      </w:r>
    </w:p>
    <w:p w14:paraId="7B75FADD">
      <w:pPr>
        <w:pStyle w:val="16"/>
        <w:spacing w:before="31" w:after="31"/>
        <w:ind w:firstLine="0" w:firstLineChars="0"/>
        <w:rPr>
          <w:szCs w:val="24"/>
        </w:rPr>
      </w:pPr>
    </w:p>
    <w:p w14:paraId="0AE31665">
      <w:pPr>
        <w:pStyle w:val="16"/>
        <w:spacing w:before="31" w:after="31"/>
        <w:ind w:firstLine="0" w:firstLineChars="0"/>
        <w:rPr>
          <w:b/>
          <w:bCs/>
          <w:szCs w:val="24"/>
        </w:rPr>
      </w:pPr>
      <w:r>
        <w:rPr>
          <w:b/>
          <w:bCs/>
          <w:szCs w:val="24"/>
        </w:rPr>
        <w:t xml:space="preserve">9.3 Summary </w:t>
      </w:r>
    </w:p>
    <w:p w14:paraId="44DED78A">
      <w:pPr>
        <w:pStyle w:val="16"/>
        <w:spacing w:before="31" w:after="31"/>
        <w:ind w:firstLine="480"/>
        <w:rPr>
          <w:szCs w:val="24"/>
        </w:rPr>
      </w:pPr>
    </w:p>
    <w:p w14:paraId="33FFA179">
      <w:pPr>
        <w:pStyle w:val="16"/>
        <w:spacing w:before="31" w:after="31"/>
        <w:ind w:firstLine="0" w:firstLineChars="0"/>
        <w:rPr>
          <w:b/>
          <w:bCs/>
          <w:szCs w:val="24"/>
        </w:rPr>
      </w:pPr>
      <w:r>
        <w:rPr>
          <w:b/>
          <w:bCs/>
          <w:szCs w:val="24"/>
        </w:rPr>
        <w:t>9.3.1 Main Failure Modes and Issues</w:t>
      </w:r>
    </w:p>
    <w:p w14:paraId="70E27EB6">
      <w:pPr>
        <w:pStyle w:val="16"/>
        <w:spacing w:before="31" w:after="31"/>
        <w:ind w:firstLine="0" w:firstLineChars="0"/>
        <w:rPr>
          <w:szCs w:val="24"/>
        </w:rPr>
      </w:pPr>
      <w:r>
        <w:rPr>
          <w:szCs w:val="24"/>
        </w:rPr>
        <w:t>9.3.1.1 Primary Failure Modes</w:t>
      </w:r>
    </w:p>
    <w:p w14:paraId="3C241191">
      <w:pPr>
        <w:pStyle w:val="16"/>
        <w:spacing w:before="31" w:after="31"/>
        <w:ind w:firstLine="480"/>
        <w:rPr>
          <w:szCs w:val="24"/>
        </w:rPr>
      </w:pPr>
      <w:r>
        <w:rPr>
          <w:szCs w:val="24"/>
        </w:rPr>
        <w:t>Based on the investigation of failure incidents, various types of equipment in China's equipment manufacturing industry exhibit primary failure modes, including:</w:t>
      </w:r>
    </w:p>
    <w:p w14:paraId="4EC2AE7C">
      <w:pPr>
        <w:pStyle w:val="16"/>
        <w:spacing w:before="31" w:after="31"/>
        <w:ind w:firstLine="480"/>
        <w:rPr>
          <w:szCs w:val="24"/>
        </w:rPr>
      </w:pPr>
      <w:r>
        <w:rPr>
          <w:szCs w:val="24"/>
        </w:rPr>
        <w:t>1) General and foundational equipment: Early fracture failure, brittle fracture failure, fatigue fracture failure, wear failure, sealing failure, and corrosion. Brittle fracture has a significant proportion in the failure of general equipment.</w:t>
      </w:r>
    </w:p>
    <w:p w14:paraId="1DAC977A">
      <w:pPr>
        <w:pStyle w:val="16"/>
        <w:spacing w:before="31" w:after="31"/>
        <w:ind w:firstLine="480"/>
        <w:rPr>
          <w:szCs w:val="24"/>
        </w:rPr>
      </w:pPr>
      <w:r>
        <w:rPr>
          <w:szCs w:val="24"/>
        </w:rPr>
        <w:t>2) Pressure-bearing equipment: Corrosion and fatigue. Stress corrosion cracking plays a significant role in the failure of pressure-bearing special equipment. Environmental factors are the main contributors to the corrosion cracking of pressure-bearing special equipment leading to explosions.</w:t>
      </w:r>
    </w:p>
    <w:p w14:paraId="013BE14A">
      <w:pPr>
        <w:pStyle w:val="16"/>
        <w:spacing w:before="31" w:after="31"/>
        <w:ind w:firstLine="480"/>
        <w:rPr>
          <w:szCs w:val="24"/>
        </w:rPr>
      </w:pPr>
    </w:p>
    <w:p w14:paraId="713E8FAC">
      <w:pPr>
        <w:pStyle w:val="16"/>
        <w:spacing w:before="31" w:after="31"/>
        <w:ind w:firstLine="0" w:firstLineChars="0"/>
        <w:rPr>
          <w:szCs w:val="24"/>
        </w:rPr>
      </w:pPr>
      <w:r>
        <w:rPr>
          <w:szCs w:val="24"/>
        </w:rPr>
        <w:t>9.3.1.2 Existing Issues</w:t>
      </w:r>
    </w:p>
    <w:p w14:paraId="081AB7BE">
      <w:pPr>
        <w:pStyle w:val="16"/>
        <w:spacing w:before="31" w:after="31"/>
        <w:ind w:firstLine="480"/>
        <w:rPr>
          <w:szCs w:val="24"/>
        </w:rPr>
      </w:pPr>
      <w:r>
        <w:rPr>
          <w:szCs w:val="24"/>
        </w:rPr>
        <w:t>Analysis of collected data reveals that the main reasons for failures include inadequate design and material selection, substandard production and manufacturing processes, improper assembly, high operational stress or stress accumulation, and improper usage. Among these, substandard production and manufacturing processes are the two major causes of failure incidents. Some major accidents resulting in casualties are entirely due to the lack of proficiency, carelessness, and improper operation by operators. Additionally, during the product's usage, various abnormal situations may arise due to the influence of multiple usage environments. Regular inspections are effective means of detecting equipment abnormalities. However, inadequate selection of inspection equipment can lead to undiscovered safety hazards. Therefore, equipment failure is often a complex process caused by multiple factors, necessitating a systematic analysis of failure reasons from various aspects such as design, material selection, production, manufacturing, usage conditions, personnel, and inspection conditions.</w:t>
      </w:r>
    </w:p>
    <w:p w14:paraId="0407B597">
      <w:pPr>
        <w:pStyle w:val="16"/>
        <w:spacing w:before="31" w:after="31"/>
        <w:ind w:firstLine="480"/>
        <w:rPr>
          <w:szCs w:val="24"/>
        </w:rPr>
      </w:pPr>
    </w:p>
    <w:p w14:paraId="35EF507B">
      <w:pPr>
        <w:pStyle w:val="16"/>
        <w:spacing w:before="31" w:after="31"/>
        <w:ind w:firstLine="480"/>
        <w:rPr>
          <w:szCs w:val="24"/>
        </w:rPr>
      </w:pPr>
    </w:p>
    <w:p w14:paraId="1E93E244">
      <w:pPr>
        <w:pStyle w:val="16"/>
        <w:spacing w:before="31" w:after="31"/>
        <w:ind w:firstLine="480"/>
        <w:rPr>
          <w:szCs w:val="24"/>
        </w:rPr>
      </w:pPr>
    </w:p>
    <w:p w14:paraId="2AA5492C">
      <w:pPr>
        <w:pStyle w:val="16"/>
        <w:spacing w:before="31" w:after="31"/>
        <w:ind w:firstLine="480"/>
        <w:rPr>
          <w:rFonts w:hint="eastAsia"/>
          <w:szCs w:val="24"/>
        </w:rPr>
      </w:pPr>
    </w:p>
    <w:p w14:paraId="6AE34066">
      <w:pPr>
        <w:pStyle w:val="16"/>
        <w:spacing w:before="31" w:after="31"/>
        <w:ind w:firstLine="482"/>
        <w:jc w:val="center"/>
        <w:rPr>
          <w:rFonts w:hint="eastAsia"/>
          <w:b/>
          <w:bCs/>
          <w:szCs w:val="24"/>
        </w:rPr>
      </w:pPr>
      <w:r>
        <w:rPr>
          <w:b/>
          <w:bCs/>
          <w:szCs w:val="24"/>
        </w:rPr>
        <w:t>9-6 Case Study Summary of Failure Causes in the Equipment Manufacturing Industry</w:t>
      </w:r>
    </w:p>
    <w:tbl>
      <w:tblPr>
        <w:tblStyle w:val="9"/>
        <w:tblW w:w="10456" w:type="dxa"/>
        <w:jc w:val="center"/>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1120"/>
        <w:gridCol w:w="3956"/>
        <w:gridCol w:w="1029"/>
        <w:gridCol w:w="1456"/>
        <w:gridCol w:w="923"/>
        <w:gridCol w:w="129"/>
        <w:gridCol w:w="1843"/>
      </w:tblGrid>
      <w:tr w14:paraId="644FF75D">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gridAfter w:val="1"/>
          <w:wAfter w:w="1934" w:type="dxa"/>
          <w:jc w:val="center"/>
        </w:trPr>
        <w:tc>
          <w:tcPr>
            <w:tcW w:w="1242" w:type="dxa"/>
            <w:vMerge w:val="restart"/>
            <w:tcBorders>
              <w:top w:val="single" w:color="auto" w:sz="12" w:space="0"/>
              <w:left w:val="nil"/>
              <w:bottom w:val="single" w:color="auto" w:sz="12" w:space="0"/>
              <w:right w:val="nil"/>
            </w:tcBorders>
            <w:vAlign w:val="center"/>
          </w:tcPr>
          <w:p w14:paraId="2B2A6AC3">
            <w:pPr>
              <w:pStyle w:val="16"/>
              <w:spacing w:before="31" w:after="31"/>
              <w:ind w:firstLine="0" w:firstLineChars="0"/>
              <w:jc w:val="center"/>
              <w:rPr>
                <w:rFonts w:cs="Times New Roman"/>
                <w:sz w:val="21"/>
                <w:szCs w:val="21"/>
              </w:rPr>
            </w:pPr>
            <w:r>
              <w:rPr>
                <w:szCs w:val="24"/>
              </w:rPr>
              <w:t>Case No.</w:t>
            </w:r>
          </w:p>
        </w:tc>
        <w:tc>
          <w:tcPr>
            <w:tcW w:w="4536" w:type="dxa"/>
            <w:vMerge w:val="restart"/>
            <w:tcBorders>
              <w:top w:val="single" w:color="auto" w:sz="12" w:space="0"/>
              <w:left w:val="nil"/>
              <w:bottom w:val="single" w:color="auto" w:sz="12" w:space="0"/>
              <w:right w:val="nil"/>
            </w:tcBorders>
            <w:vAlign w:val="center"/>
          </w:tcPr>
          <w:p w14:paraId="154E8F49">
            <w:pPr>
              <w:pStyle w:val="16"/>
              <w:spacing w:before="31" w:after="31"/>
              <w:ind w:firstLine="0" w:firstLineChars="0"/>
              <w:jc w:val="center"/>
              <w:rPr>
                <w:rFonts w:cs="Times New Roman"/>
                <w:sz w:val="21"/>
                <w:szCs w:val="21"/>
              </w:rPr>
            </w:pPr>
            <w:r>
              <w:rPr>
                <w:szCs w:val="24"/>
              </w:rPr>
              <w:tab/>
            </w:r>
            <w:r>
              <w:rPr>
                <w:szCs w:val="24"/>
              </w:rPr>
              <w:t>Case Name</w:t>
            </w:r>
          </w:p>
        </w:tc>
        <w:tc>
          <w:tcPr>
            <w:tcW w:w="2744" w:type="dxa"/>
            <w:gridSpan w:val="4"/>
            <w:tcBorders>
              <w:top w:val="single" w:color="auto" w:sz="12" w:space="0"/>
              <w:left w:val="nil"/>
              <w:bottom w:val="single" w:color="auto" w:sz="12" w:space="0"/>
              <w:right w:val="nil"/>
            </w:tcBorders>
            <w:vAlign w:val="center"/>
          </w:tcPr>
          <w:p w14:paraId="0A3D195A">
            <w:pPr>
              <w:pStyle w:val="16"/>
              <w:spacing w:before="31" w:after="31"/>
              <w:ind w:firstLine="480"/>
              <w:rPr>
                <w:szCs w:val="24"/>
              </w:rPr>
            </w:pPr>
            <w:r>
              <w:rPr>
                <w:szCs w:val="24"/>
              </w:rPr>
              <w:tab/>
            </w:r>
            <w:r>
              <w:rPr>
                <w:szCs w:val="24"/>
              </w:rPr>
              <w:t>Failure Causes</w:t>
            </w:r>
          </w:p>
          <w:p w14:paraId="01DBB233">
            <w:pPr>
              <w:pStyle w:val="16"/>
              <w:spacing w:before="31" w:after="31"/>
              <w:ind w:firstLine="0" w:firstLineChars="0"/>
              <w:jc w:val="center"/>
              <w:rPr>
                <w:rFonts w:cs="Times New Roman"/>
                <w:sz w:val="21"/>
                <w:szCs w:val="21"/>
              </w:rPr>
            </w:pPr>
          </w:p>
        </w:tc>
      </w:tr>
      <w:tr w14:paraId="020EF66A">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242" w:type="dxa"/>
            <w:vMerge w:val="continue"/>
            <w:tcBorders>
              <w:top w:val="single" w:color="auto" w:sz="12" w:space="0"/>
              <w:left w:val="nil"/>
              <w:bottom w:val="single" w:color="auto" w:sz="12" w:space="0"/>
              <w:right w:val="nil"/>
            </w:tcBorders>
            <w:vAlign w:val="center"/>
          </w:tcPr>
          <w:p w14:paraId="6AD18466">
            <w:pPr>
              <w:widowControl/>
              <w:spacing w:beforeAutospacing="1" w:afterAutospacing="1"/>
              <w:jc w:val="left"/>
              <w:rPr>
                <w:szCs w:val="21"/>
              </w:rPr>
            </w:pPr>
          </w:p>
        </w:tc>
        <w:tc>
          <w:tcPr>
            <w:tcW w:w="4536" w:type="dxa"/>
            <w:vMerge w:val="continue"/>
            <w:tcBorders>
              <w:top w:val="single" w:color="auto" w:sz="12" w:space="0"/>
              <w:left w:val="nil"/>
              <w:bottom w:val="single" w:color="auto" w:sz="12" w:space="0"/>
              <w:right w:val="nil"/>
            </w:tcBorders>
            <w:vAlign w:val="center"/>
          </w:tcPr>
          <w:p w14:paraId="02D13731">
            <w:pPr>
              <w:widowControl/>
              <w:spacing w:beforeAutospacing="1" w:afterAutospacing="1"/>
              <w:jc w:val="left"/>
              <w:rPr>
                <w:szCs w:val="21"/>
              </w:rPr>
            </w:pPr>
          </w:p>
        </w:tc>
        <w:tc>
          <w:tcPr>
            <w:tcW w:w="236" w:type="dxa"/>
            <w:tcBorders>
              <w:top w:val="single" w:color="auto" w:sz="12" w:space="0"/>
              <w:left w:val="nil"/>
              <w:bottom w:val="single" w:color="auto" w:sz="12" w:space="0"/>
              <w:right w:val="nil"/>
            </w:tcBorders>
            <w:vAlign w:val="center"/>
          </w:tcPr>
          <w:p w14:paraId="20539E4C">
            <w:pPr>
              <w:pStyle w:val="16"/>
              <w:spacing w:before="31" w:after="31"/>
              <w:ind w:firstLine="0" w:firstLineChars="0"/>
              <w:jc w:val="center"/>
              <w:rPr>
                <w:rFonts w:cs="Times New Roman"/>
                <w:sz w:val="21"/>
                <w:szCs w:val="21"/>
              </w:rPr>
            </w:pPr>
            <w:r>
              <w:rPr>
                <w:szCs w:val="24"/>
              </w:rPr>
              <w:t>Material Itself</w:t>
            </w:r>
          </w:p>
        </w:tc>
        <w:tc>
          <w:tcPr>
            <w:tcW w:w="1456" w:type="dxa"/>
            <w:tcBorders>
              <w:top w:val="single" w:color="auto" w:sz="12" w:space="0"/>
              <w:left w:val="nil"/>
              <w:bottom w:val="single" w:color="auto" w:sz="12" w:space="0"/>
              <w:right w:val="nil"/>
            </w:tcBorders>
            <w:vAlign w:val="center"/>
          </w:tcPr>
          <w:p w14:paraId="0733D366">
            <w:pPr>
              <w:pStyle w:val="16"/>
              <w:spacing w:before="31" w:after="31"/>
              <w:ind w:firstLine="0" w:firstLineChars="0"/>
              <w:jc w:val="center"/>
              <w:rPr>
                <w:rFonts w:cs="Times New Roman"/>
                <w:sz w:val="21"/>
                <w:szCs w:val="21"/>
              </w:rPr>
            </w:pPr>
            <w:r>
              <w:rPr>
                <w:szCs w:val="24"/>
              </w:rPr>
              <w:t>Production Construction</w:t>
            </w:r>
          </w:p>
        </w:tc>
        <w:tc>
          <w:tcPr>
            <w:tcW w:w="923" w:type="dxa"/>
            <w:tcBorders>
              <w:top w:val="single" w:color="auto" w:sz="12" w:space="0"/>
              <w:left w:val="nil"/>
              <w:bottom w:val="single" w:color="auto" w:sz="12" w:space="0"/>
              <w:right w:val="nil"/>
            </w:tcBorders>
            <w:vAlign w:val="center"/>
          </w:tcPr>
          <w:p w14:paraId="73118B3D">
            <w:pPr>
              <w:pStyle w:val="16"/>
              <w:spacing w:before="31" w:after="31"/>
              <w:ind w:firstLine="0" w:firstLineChars="0"/>
              <w:jc w:val="center"/>
              <w:rPr>
                <w:rFonts w:cs="Times New Roman"/>
                <w:sz w:val="21"/>
                <w:szCs w:val="21"/>
              </w:rPr>
            </w:pPr>
            <w:r>
              <w:rPr>
                <w:szCs w:val="24"/>
              </w:rPr>
              <w:t>Design Reason</w:t>
            </w:r>
          </w:p>
        </w:tc>
        <w:tc>
          <w:tcPr>
            <w:tcW w:w="2063" w:type="dxa"/>
            <w:gridSpan w:val="2"/>
            <w:tcBorders>
              <w:top w:val="single" w:color="auto" w:sz="12" w:space="0"/>
              <w:left w:val="nil"/>
              <w:bottom w:val="single" w:color="auto" w:sz="12" w:space="0"/>
              <w:right w:val="nil"/>
            </w:tcBorders>
            <w:vAlign w:val="center"/>
          </w:tcPr>
          <w:p w14:paraId="2BE8FA4E">
            <w:pPr>
              <w:pStyle w:val="16"/>
              <w:spacing w:before="31" w:after="31"/>
              <w:ind w:firstLine="480"/>
              <w:rPr>
                <w:szCs w:val="24"/>
              </w:rPr>
            </w:pPr>
            <w:r>
              <w:rPr>
                <w:szCs w:val="24"/>
              </w:rPr>
              <w:tab/>
            </w:r>
            <w:r>
              <w:rPr>
                <w:szCs w:val="24"/>
              </w:rPr>
              <w:t>Environmental Factors</w:t>
            </w:r>
          </w:p>
          <w:p w14:paraId="37C2520E">
            <w:pPr>
              <w:pStyle w:val="16"/>
              <w:spacing w:before="31" w:after="31"/>
              <w:ind w:left="210" w:leftChars="100" w:firstLine="240" w:firstLineChars="100"/>
              <w:rPr>
                <w:szCs w:val="24"/>
              </w:rPr>
            </w:pPr>
          </w:p>
          <w:p w14:paraId="3CA0DB6F">
            <w:pPr>
              <w:pStyle w:val="16"/>
              <w:spacing w:before="31" w:after="31"/>
              <w:ind w:firstLine="0" w:firstLineChars="0"/>
              <w:jc w:val="center"/>
              <w:rPr>
                <w:rFonts w:cs="Times New Roman"/>
                <w:sz w:val="21"/>
                <w:szCs w:val="21"/>
              </w:rPr>
            </w:pPr>
          </w:p>
        </w:tc>
      </w:tr>
      <w:tr w14:paraId="4D6CA800">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242" w:type="dxa"/>
            <w:tcBorders>
              <w:top w:val="single" w:color="auto" w:sz="12" w:space="0"/>
              <w:left w:val="nil"/>
              <w:bottom w:val="nil"/>
              <w:right w:val="nil"/>
            </w:tcBorders>
            <w:vAlign w:val="center"/>
          </w:tcPr>
          <w:p w14:paraId="130FF6C2">
            <w:pPr>
              <w:pStyle w:val="16"/>
              <w:spacing w:before="31" w:after="31"/>
              <w:ind w:firstLine="0" w:firstLineChars="0"/>
              <w:jc w:val="center"/>
              <w:rPr>
                <w:rFonts w:cs="Times New Roman"/>
                <w:sz w:val="21"/>
                <w:szCs w:val="21"/>
              </w:rPr>
            </w:pPr>
            <w:r>
              <w:rPr>
                <w:rFonts w:hint="eastAsia"/>
                <w:szCs w:val="24"/>
              </w:rPr>
              <w:t>Case 9-1</w:t>
            </w:r>
          </w:p>
        </w:tc>
        <w:tc>
          <w:tcPr>
            <w:tcW w:w="4536" w:type="dxa"/>
            <w:tcBorders>
              <w:top w:val="single" w:color="auto" w:sz="12" w:space="0"/>
              <w:left w:val="nil"/>
              <w:bottom w:val="nil"/>
              <w:right w:val="nil"/>
            </w:tcBorders>
            <w:vAlign w:val="center"/>
          </w:tcPr>
          <w:p w14:paraId="667A376F">
            <w:pPr>
              <w:pStyle w:val="16"/>
              <w:spacing w:before="31" w:after="31"/>
              <w:ind w:firstLine="0" w:firstLineChars="0"/>
              <w:jc w:val="left"/>
              <w:rPr>
                <w:rFonts w:cs="Times New Roman"/>
                <w:sz w:val="21"/>
                <w:szCs w:val="21"/>
              </w:rPr>
            </w:pPr>
            <w:r>
              <w:rPr>
                <w:rFonts w:hint="eastAsia"/>
                <w:szCs w:val="24"/>
              </w:rPr>
              <w:t>Main shaft fracture failure of tunneling machine</w:t>
            </w:r>
          </w:p>
        </w:tc>
        <w:tc>
          <w:tcPr>
            <w:tcW w:w="236" w:type="dxa"/>
            <w:tcBorders>
              <w:top w:val="single" w:color="auto" w:sz="12" w:space="0"/>
              <w:left w:val="nil"/>
              <w:bottom w:val="nil"/>
              <w:right w:val="nil"/>
            </w:tcBorders>
            <w:vAlign w:val="center"/>
          </w:tcPr>
          <w:p w14:paraId="79AD8EB0">
            <w:pPr>
              <w:spacing w:line="312" w:lineRule="auto"/>
              <w:jc w:val="center"/>
              <w:rPr>
                <w:szCs w:val="21"/>
              </w:rPr>
            </w:pPr>
            <w:r>
              <w:rPr>
                <w:szCs w:val="21"/>
              </w:rPr>
              <w:t>√</w:t>
            </w:r>
          </w:p>
        </w:tc>
        <w:tc>
          <w:tcPr>
            <w:tcW w:w="1456" w:type="dxa"/>
            <w:tcBorders>
              <w:top w:val="single" w:color="auto" w:sz="12" w:space="0"/>
              <w:left w:val="nil"/>
              <w:bottom w:val="nil"/>
              <w:right w:val="nil"/>
            </w:tcBorders>
            <w:vAlign w:val="center"/>
          </w:tcPr>
          <w:p w14:paraId="1247EF53">
            <w:pPr>
              <w:pStyle w:val="16"/>
              <w:spacing w:before="31" w:after="31"/>
              <w:ind w:firstLine="0" w:firstLineChars="0"/>
              <w:jc w:val="center"/>
              <w:rPr>
                <w:rFonts w:cs="Times New Roman"/>
                <w:sz w:val="21"/>
                <w:szCs w:val="21"/>
              </w:rPr>
            </w:pPr>
            <w:r>
              <w:rPr>
                <w:szCs w:val="21"/>
              </w:rPr>
              <w:t>√</w:t>
            </w:r>
          </w:p>
        </w:tc>
        <w:tc>
          <w:tcPr>
            <w:tcW w:w="923" w:type="dxa"/>
            <w:tcBorders>
              <w:top w:val="single" w:color="auto" w:sz="12" w:space="0"/>
              <w:left w:val="nil"/>
              <w:bottom w:val="nil"/>
              <w:right w:val="nil"/>
            </w:tcBorders>
            <w:vAlign w:val="center"/>
          </w:tcPr>
          <w:p w14:paraId="6CB50084">
            <w:pPr>
              <w:pStyle w:val="16"/>
              <w:spacing w:before="31" w:after="31"/>
              <w:ind w:firstLine="0" w:firstLineChars="0"/>
              <w:jc w:val="center"/>
              <w:rPr>
                <w:rFonts w:cs="Times New Roman"/>
                <w:sz w:val="21"/>
                <w:szCs w:val="21"/>
              </w:rPr>
            </w:pPr>
          </w:p>
        </w:tc>
        <w:tc>
          <w:tcPr>
            <w:tcW w:w="2063" w:type="dxa"/>
            <w:gridSpan w:val="2"/>
            <w:tcBorders>
              <w:top w:val="single" w:color="auto" w:sz="12" w:space="0"/>
              <w:left w:val="nil"/>
              <w:bottom w:val="nil"/>
              <w:right w:val="nil"/>
            </w:tcBorders>
            <w:vAlign w:val="center"/>
          </w:tcPr>
          <w:p w14:paraId="76E1BF16">
            <w:pPr>
              <w:pStyle w:val="16"/>
              <w:spacing w:before="31" w:after="31"/>
              <w:ind w:firstLine="0" w:firstLineChars="0"/>
              <w:jc w:val="center"/>
              <w:rPr>
                <w:rFonts w:cs="Times New Roman"/>
                <w:sz w:val="21"/>
                <w:szCs w:val="21"/>
              </w:rPr>
            </w:pPr>
          </w:p>
        </w:tc>
      </w:tr>
      <w:tr w14:paraId="2E1EE20C">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242" w:type="dxa"/>
            <w:tcBorders>
              <w:top w:val="nil"/>
              <w:left w:val="nil"/>
              <w:bottom w:val="nil"/>
              <w:right w:val="nil"/>
            </w:tcBorders>
            <w:vAlign w:val="center"/>
          </w:tcPr>
          <w:p w14:paraId="5C75EF53">
            <w:pPr>
              <w:pStyle w:val="16"/>
              <w:spacing w:before="31" w:after="31"/>
              <w:ind w:firstLine="0" w:firstLineChars="0"/>
              <w:jc w:val="center"/>
              <w:rPr>
                <w:rFonts w:cs="Times New Roman"/>
                <w:sz w:val="21"/>
                <w:szCs w:val="21"/>
              </w:rPr>
            </w:pPr>
            <w:r>
              <w:rPr>
                <w:rFonts w:hint="eastAsia"/>
                <w:szCs w:val="24"/>
              </w:rPr>
              <w:t xml:space="preserve">Case </w:t>
            </w:r>
            <w:r>
              <w:rPr>
                <w:rFonts w:cs="Times New Roman"/>
                <w:sz w:val="21"/>
                <w:szCs w:val="21"/>
              </w:rPr>
              <w:t>9-2</w:t>
            </w:r>
          </w:p>
        </w:tc>
        <w:tc>
          <w:tcPr>
            <w:tcW w:w="4536" w:type="dxa"/>
            <w:tcBorders>
              <w:top w:val="nil"/>
              <w:left w:val="nil"/>
              <w:bottom w:val="nil"/>
              <w:right w:val="nil"/>
            </w:tcBorders>
            <w:vAlign w:val="center"/>
          </w:tcPr>
          <w:p w14:paraId="336B2F80">
            <w:pPr>
              <w:pStyle w:val="16"/>
              <w:spacing w:before="31" w:after="31"/>
              <w:ind w:firstLine="0" w:firstLineChars="0"/>
              <w:jc w:val="left"/>
              <w:rPr>
                <w:rFonts w:cs="Times New Roman"/>
                <w:sz w:val="21"/>
                <w:szCs w:val="21"/>
              </w:rPr>
            </w:pPr>
            <w:r>
              <w:rPr>
                <w:rFonts w:hint="eastAsia"/>
                <w:szCs w:val="24"/>
              </w:rPr>
              <w:t>Failure of brake wheel in construction hoist</w:t>
            </w:r>
          </w:p>
        </w:tc>
        <w:tc>
          <w:tcPr>
            <w:tcW w:w="236" w:type="dxa"/>
            <w:tcBorders>
              <w:top w:val="nil"/>
              <w:left w:val="nil"/>
              <w:bottom w:val="nil"/>
              <w:right w:val="nil"/>
            </w:tcBorders>
            <w:vAlign w:val="center"/>
          </w:tcPr>
          <w:p w14:paraId="320A0E01">
            <w:pPr>
              <w:pStyle w:val="16"/>
              <w:spacing w:before="31" w:after="31"/>
              <w:ind w:firstLine="0" w:firstLineChars="0"/>
              <w:jc w:val="center"/>
              <w:rPr>
                <w:rFonts w:cs="Times New Roman"/>
                <w:sz w:val="21"/>
                <w:szCs w:val="21"/>
              </w:rPr>
            </w:pPr>
            <w:r>
              <w:rPr>
                <w:rFonts w:cs="Times New Roman"/>
                <w:sz w:val="21"/>
                <w:szCs w:val="21"/>
              </w:rPr>
              <w:t>√</w:t>
            </w:r>
          </w:p>
        </w:tc>
        <w:tc>
          <w:tcPr>
            <w:tcW w:w="1456" w:type="dxa"/>
            <w:tcBorders>
              <w:top w:val="nil"/>
              <w:left w:val="nil"/>
              <w:bottom w:val="nil"/>
              <w:right w:val="nil"/>
            </w:tcBorders>
            <w:vAlign w:val="center"/>
          </w:tcPr>
          <w:p w14:paraId="46C8014C">
            <w:pPr>
              <w:pStyle w:val="16"/>
              <w:spacing w:before="31" w:after="31"/>
              <w:ind w:firstLine="0" w:firstLineChars="0"/>
              <w:jc w:val="center"/>
              <w:rPr>
                <w:rFonts w:cs="Times New Roman"/>
                <w:sz w:val="21"/>
                <w:szCs w:val="21"/>
              </w:rPr>
            </w:pPr>
          </w:p>
        </w:tc>
        <w:tc>
          <w:tcPr>
            <w:tcW w:w="923" w:type="dxa"/>
            <w:tcBorders>
              <w:top w:val="nil"/>
              <w:left w:val="nil"/>
              <w:bottom w:val="nil"/>
              <w:right w:val="nil"/>
            </w:tcBorders>
            <w:vAlign w:val="center"/>
          </w:tcPr>
          <w:p w14:paraId="01E69EA6">
            <w:pPr>
              <w:pStyle w:val="16"/>
              <w:spacing w:before="31" w:after="31"/>
              <w:ind w:firstLine="0" w:firstLineChars="0"/>
              <w:jc w:val="center"/>
              <w:rPr>
                <w:rFonts w:cs="Times New Roman"/>
                <w:sz w:val="21"/>
                <w:szCs w:val="21"/>
              </w:rPr>
            </w:pPr>
          </w:p>
        </w:tc>
        <w:tc>
          <w:tcPr>
            <w:tcW w:w="2063" w:type="dxa"/>
            <w:gridSpan w:val="2"/>
            <w:tcBorders>
              <w:top w:val="nil"/>
              <w:left w:val="nil"/>
              <w:bottom w:val="nil"/>
              <w:right w:val="nil"/>
            </w:tcBorders>
            <w:vAlign w:val="center"/>
          </w:tcPr>
          <w:p w14:paraId="0760F836">
            <w:pPr>
              <w:pStyle w:val="16"/>
              <w:spacing w:before="31" w:after="31"/>
              <w:ind w:firstLine="0" w:firstLineChars="0"/>
              <w:jc w:val="center"/>
              <w:rPr>
                <w:rFonts w:cs="Times New Roman"/>
                <w:sz w:val="21"/>
                <w:szCs w:val="21"/>
              </w:rPr>
            </w:pPr>
          </w:p>
        </w:tc>
      </w:tr>
      <w:tr w14:paraId="712FA444">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347" w:hRule="atLeast"/>
          <w:jc w:val="center"/>
        </w:trPr>
        <w:tc>
          <w:tcPr>
            <w:tcW w:w="1242" w:type="dxa"/>
            <w:tcBorders>
              <w:top w:val="nil"/>
              <w:left w:val="nil"/>
              <w:bottom w:val="nil"/>
              <w:right w:val="nil"/>
            </w:tcBorders>
            <w:vAlign w:val="center"/>
          </w:tcPr>
          <w:p w14:paraId="71D2BA31">
            <w:pPr>
              <w:pStyle w:val="16"/>
              <w:spacing w:before="31" w:after="31"/>
              <w:ind w:firstLine="0" w:firstLineChars="0"/>
              <w:jc w:val="center"/>
              <w:rPr>
                <w:rFonts w:cs="Times New Roman"/>
                <w:sz w:val="21"/>
                <w:szCs w:val="21"/>
              </w:rPr>
            </w:pPr>
            <w:r>
              <w:rPr>
                <w:rFonts w:hint="eastAsia"/>
                <w:szCs w:val="24"/>
              </w:rPr>
              <w:t xml:space="preserve">Case </w:t>
            </w:r>
            <w:r>
              <w:rPr>
                <w:rFonts w:cs="Times New Roman"/>
                <w:sz w:val="21"/>
                <w:szCs w:val="21"/>
              </w:rPr>
              <w:t>9-3</w:t>
            </w:r>
          </w:p>
        </w:tc>
        <w:tc>
          <w:tcPr>
            <w:tcW w:w="4536" w:type="dxa"/>
            <w:tcBorders>
              <w:top w:val="nil"/>
              <w:left w:val="nil"/>
              <w:bottom w:val="nil"/>
              <w:right w:val="nil"/>
            </w:tcBorders>
            <w:vAlign w:val="center"/>
          </w:tcPr>
          <w:p w14:paraId="3C3DE492">
            <w:pPr>
              <w:pStyle w:val="16"/>
              <w:spacing w:before="31" w:after="31"/>
              <w:ind w:firstLine="0" w:firstLineChars="0"/>
              <w:jc w:val="left"/>
              <w:rPr>
                <w:rFonts w:cs="Times New Roman"/>
                <w:sz w:val="21"/>
                <w:szCs w:val="21"/>
              </w:rPr>
            </w:pPr>
            <w:r>
              <w:rPr>
                <w:rFonts w:hint="eastAsia"/>
                <w:szCs w:val="24"/>
              </w:rPr>
              <w:t>Fracture failure of connecting bolt</w:t>
            </w:r>
            <w:r>
              <w:rPr>
                <w:rFonts w:hint="eastAsia"/>
                <w:szCs w:val="24"/>
              </w:rPr>
              <w:tab/>
            </w:r>
          </w:p>
        </w:tc>
        <w:tc>
          <w:tcPr>
            <w:tcW w:w="236" w:type="dxa"/>
            <w:tcBorders>
              <w:top w:val="nil"/>
              <w:left w:val="nil"/>
              <w:bottom w:val="nil"/>
              <w:right w:val="nil"/>
            </w:tcBorders>
            <w:vAlign w:val="center"/>
          </w:tcPr>
          <w:p w14:paraId="2D769386">
            <w:pPr>
              <w:pStyle w:val="16"/>
              <w:spacing w:before="31" w:after="31"/>
              <w:ind w:firstLine="0" w:firstLineChars="0"/>
              <w:jc w:val="center"/>
              <w:rPr>
                <w:rFonts w:cs="Times New Roman"/>
                <w:sz w:val="21"/>
                <w:szCs w:val="21"/>
              </w:rPr>
            </w:pPr>
          </w:p>
        </w:tc>
        <w:tc>
          <w:tcPr>
            <w:tcW w:w="1456" w:type="dxa"/>
            <w:tcBorders>
              <w:top w:val="nil"/>
              <w:left w:val="nil"/>
              <w:bottom w:val="nil"/>
              <w:right w:val="nil"/>
            </w:tcBorders>
            <w:vAlign w:val="center"/>
          </w:tcPr>
          <w:p w14:paraId="39065765">
            <w:pPr>
              <w:pStyle w:val="16"/>
              <w:spacing w:before="31" w:after="31"/>
              <w:ind w:firstLine="0" w:firstLineChars="0"/>
              <w:jc w:val="center"/>
              <w:rPr>
                <w:rFonts w:cs="Times New Roman"/>
                <w:sz w:val="21"/>
                <w:szCs w:val="21"/>
              </w:rPr>
            </w:pPr>
          </w:p>
        </w:tc>
        <w:tc>
          <w:tcPr>
            <w:tcW w:w="923" w:type="dxa"/>
            <w:tcBorders>
              <w:top w:val="nil"/>
              <w:left w:val="nil"/>
              <w:bottom w:val="nil"/>
              <w:right w:val="nil"/>
            </w:tcBorders>
            <w:vAlign w:val="center"/>
          </w:tcPr>
          <w:p w14:paraId="43537DC1">
            <w:pPr>
              <w:pStyle w:val="16"/>
              <w:spacing w:before="31" w:after="31"/>
              <w:ind w:firstLine="0" w:firstLineChars="0"/>
              <w:jc w:val="center"/>
              <w:rPr>
                <w:rFonts w:cs="Times New Roman"/>
                <w:sz w:val="21"/>
                <w:szCs w:val="21"/>
              </w:rPr>
            </w:pPr>
            <w:r>
              <w:rPr>
                <w:rFonts w:cs="Times New Roman"/>
                <w:sz w:val="21"/>
                <w:szCs w:val="21"/>
              </w:rPr>
              <w:t>√</w:t>
            </w:r>
          </w:p>
        </w:tc>
        <w:tc>
          <w:tcPr>
            <w:tcW w:w="2063" w:type="dxa"/>
            <w:gridSpan w:val="2"/>
            <w:tcBorders>
              <w:top w:val="nil"/>
              <w:left w:val="nil"/>
              <w:bottom w:val="nil"/>
              <w:right w:val="nil"/>
            </w:tcBorders>
            <w:vAlign w:val="center"/>
          </w:tcPr>
          <w:p w14:paraId="750C3A90">
            <w:pPr>
              <w:pStyle w:val="16"/>
              <w:spacing w:before="31" w:after="31"/>
              <w:ind w:firstLine="0" w:firstLineChars="0"/>
              <w:jc w:val="center"/>
              <w:rPr>
                <w:rFonts w:cs="Times New Roman"/>
                <w:sz w:val="21"/>
                <w:szCs w:val="21"/>
              </w:rPr>
            </w:pPr>
          </w:p>
        </w:tc>
      </w:tr>
      <w:tr w14:paraId="34E0519A">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242" w:type="dxa"/>
            <w:tcBorders>
              <w:top w:val="nil"/>
              <w:left w:val="nil"/>
              <w:bottom w:val="nil"/>
              <w:right w:val="nil"/>
            </w:tcBorders>
            <w:vAlign w:val="center"/>
          </w:tcPr>
          <w:p w14:paraId="4BBDAB94">
            <w:pPr>
              <w:pStyle w:val="16"/>
              <w:spacing w:before="31" w:after="31"/>
              <w:ind w:firstLine="0" w:firstLineChars="0"/>
              <w:jc w:val="center"/>
              <w:rPr>
                <w:rFonts w:cs="Times New Roman"/>
                <w:sz w:val="21"/>
                <w:szCs w:val="21"/>
              </w:rPr>
            </w:pPr>
            <w:r>
              <w:rPr>
                <w:rFonts w:hint="eastAsia"/>
                <w:szCs w:val="24"/>
              </w:rPr>
              <w:t xml:space="preserve">Case </w:t>
            </w:r>
            <w:r>
              <w:rPr>
                <w:rFonts w:cs="Times New Roman"/>
                <w:sz w:val="21"/>
                <w:szCs w:val="21"/>
              </w:rPr>
              <w:t>9-4</w:t>
            </w:r>
          </w:p>
        </w:tc>
        <w:tc>
          <w:tcPr>
            <w:tcW w:w="4536" w:type="dxa"/>
            <w:tcBorders>
              <w:top w:val="nil"/>
              <w:left w:val="nil"/>
              <w:bottom w:val="nil"/>
              <w:right w:val="nil"/>
            </w:tcBorders>
            <w:vAlign w:val="center"/>
          </w:tcPr>
          <w:p w14:paraId="466C35BD">
            <w:pPr>
              <w:pStyle w:val="16"/>
              <w:spacing w:before="31" w:after="31"/>
              <w:ind w:firstLine="0" w:firstLineChars="0"/>
              <w:jc w:val="left"/>
              <w:rPr>
                <w:rFonts w:cs="Times New Roman"/>
                <w:sz w:val="21"/>
                <w:szCs w:val="21"/>
              </w:rPr>
            </w:pPr>
            <w:r>
              <w:rPr>
                <w:rFonts w:hint="eastAsia"/>
                <w:szCs w:val="24"/>
              </w:rPr>
              <w:t>Failure of heat exchanger in nuclear power device</w:t>
            </w:r>
          </w:p>
        </w:tc>
        <w:tc>
          <w:tcPr>
            <w:tcW w:w="236" w:type="dxa"/>
            <w:tcBorders>
              <w:top w:val="nil"/>
              <w:left w:val="nil"/>
              <w:bottom w:val="nil"/>
              <w:right w:val="nil"/>
            </w:tcBorders>
            <w:vAlign w:val="center"/>
          </w:tcPr>
          <w:p w14:paraId="40567FDB">
            <w:pPr>
              <w:pStyle w:val="16"/>
              <w:spacing w:before="31" w:after="31"/>
              <w:ind w:firstLine="0" w:firstLineChars="0"/>
              <w:jc w:val="center"/>
              <w:rPr>
                <w:rFonts w:cs="Times New Roman"/>
                <w:sz w:val="21"/>
                <w:szCs w:val="21"/>
              </w:rPr>
            </w:pPr>
            <w:r>
              <w:rPr>
                <w:rFonts w:cs="Times New Roman"/>
                <w:sz w:val="21"/>
                <w:szCs w:val="21"/>
              </w:rPr>
              <w:t>√</w:t>
            </w:r>
          </w:p>
        </w:tc>
        <w:tc>
          <w:tcPr>
            <w:tcW w:w="1456" w:type="dxa"/>
            <w:tcBorders>
              <w:top w:val="nil"/>
              <w:left w:val="nil"/>
              <w:bottom w:val="nil"/>
              <w:right w:val="nil"/>
            </w:tcBorders>
            <w:vAlign w:val="center"/>
          </w:tcPr>
          <w:p w14:paraId="5173D97C">
            <w:pPr>
              <w:pStyle w:val="16"/>
              <w:spacing w:before="31" w:after="31"/>
              <w:ind w:firstLine="0" w:firstLineChars="0"/>
              <w:jc w:val="center"/>
              <w:rPr>
                <w:rFonts w:cs="Times New Roman"/>
                <w:sz w:val="21"/>
                <w:szCs w:val="21"/>
              </w:rPr>
            </w:pPr>
            <w:r>
              <w:rPr>
                <w:rFonts w:cs="Times New Roman"/>
                <w:sz w:val="21"/>
                <w:szCs w:val="21"/>
              </w:rPr>
              <w:t>√</w:t>
            </w:r>
          </w:p>
        </w:tc>
        <w:tc>
          <w:tcPr>
            <w:tcW w:w="923" w:type="dxa"/>
            <w:tcBorders>
              <w:top w:val="nil"/>
              <w:left w:val="nil"/>
              <w:bottom w:val="nil"/>
              <w:right w:val="nil"/>
            </w:tcBorders>
            <w:vAlign w:val="center"/>
          </w:tcPr>
          <w:p w14:paraId="646B5D96">
            <w:pPr>
              <w:pStyle w:val="16"/>
              <w:spacing w:before="31" w:after="31"/>
              <w:ind w:firstLine="0" w:firstLineChars="0"/>
              <w:jc w:val="center"/>
              <w:rPr>
                <w:rFonts w:cs="Times New Roman"/>
                <w:sz w:val="21"/>
                <w:szCs w:val="21"/>
              </w:rPr>
            </w:pPr>
          </w:p>
        </w:tc>
        <w:tc>
          <w:tcPr>
            <w:tcW w:w="2063" w:type="dxa"/>
            <w:gridSpan w:val="2"/>
            <w:tcBorders>
              <w:top w:val="nil"/>
              <w:left w:val="nil"/>
              <w:bottom w:val="nil"/>
              <w:right w:val="nil"/>
            </w:tcBorders>
            <w:vAlign w:val="center"/>
          </w:tcPr>
          <w:p w14:paraId="05F220C8">
            <w:pPr>
              <w:pStyle w:val="16"/>
              <w:spacing w:before="31" w:after="31"/>
              <w:ind w:firstLine="0" w:firstLineChars="0"/>
              <w:jc w:val="center"/>
              <w:rPr>
                <w:rFonts w:cs="Times New Roman"/>
                <w:sz w:val="21"/>
                <w:szCs w:val="21"/>
              </w:rPr>
            </w:pPr>
            <w:r>
              <w:rPr>
                <w:rFonts w:cs="Times New Roman"/>
                <w:sz w:val="21"/>
                <w:szCs w:val="21"/>
              </w:rPr>
              <w:t>√</w:t>
            </w:r>
          </w:p>
        </w:tc>
      </w:tr>
      <w:tr w14:paraId="524D3995">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242" w:type="dxa"/>
            <w:tcBorders>
              <w:top w:val="nil"/>
              <w:left w:val="nil"/>
              <w:bottom w:val="nil"/>
              <w:right w:val="nil"/>
            </w:tcBorders>
            <w:vAlign w:val="center"/>
          </w:tcPr>
          <w:p w14:paraId="1CA75C96">
            <w:pPr>
              <w:pStyle w:val="16"/>
              <w:spacing w:before="31" w:after="31"/>
              <w:ind w:firstLine="0" w:firstLineChars="0"/>
              <w:jc w:val="center"/>
              <w:rPr>
                <w:rFonts w:cs="Times New Roman"/>
                <w:sz w:val="21"/>
                <w:szCs w:val="21"/>
              </w:rPr>
            </w:pPr>
            <w:r>
              <w:rPr>
                <w:rFonts w:hint="eastAsia"/>
                <w:szCs w:val="24"/>
              </w:rPr>
              <w:t xml:space="preserve">Case </w:t>
            </w:r>
            <w:r>
              <w:rPr>
                <w:rFonts w:cs="Times New Roman"/>
                <w:sz w:val="21"/>
                <w:szCs w:val="21"/>
              </w:rPr>
              <w:t>9-5</w:t>
            </w:r>
          </w:p>
        </w:tc>
        <w:tc>
          <w:tcPr>
            <w:tcW w:w="4536" w:type="dxa"/>
            <w:tcBorders>
              <w:top w:val="nil"/>
              <w:left w:val="nil"/>
              <w:bottom w:val="nil"/>
              <w:right w:val="nil"/>
            </w:tcBorders>
            <w:vAlign w:val="center"/>
          </w:tcPr>
          <w:p w14:paraId="5B979F96">
            <w:pPr>
              <w:pStyle w:val="16"/>
              <w:spacing w:before="31" w:after="31"/>
              <w:ind w:firstLine="0" w:firstLineChars="0"/>
              <w:jc w:val="left"/>
              <w:rPr>
                <w:rFonts w:cs="Times New Roman"/>
                <w:sz w:val="21"/>
                <w:szCs w:val="21"/>
              </w:rPr>
            </w:pPr>
            <w:r>
              <w:rPr>
                <w:rFonts w:hint="eastAsia"/>
                <w:szCs w:val="24"/>
              </w:rPr>
              <w:t>Explosion of urea synthesis tower and severe corrosion cracking of trays</w:t>
            </w:r>
          </w:p>
        </w:tc>
        <w:tc>
          <w:tcPr>
            <w:tcW w:w="236" w:type="dxa"/>
            <w:tcBorders>
              <w:top w:val="nil"/>
              <w:left w:val="nil"/>
              <w:bottom w:val="nil"/>
              <w:right w:val="nil"/>
            </w:tcBorders>
            <w:vAlign w:val="center"/>
          </w:tcPr>
          <w:p w14:paraId="62D22710">
            <w:pPr>
              <w:pStyle w:val="16"/>
              <w:spacing w:before="31" w:after="31"/>
              <w:ind w:firstLine="0" w:firstLineChars="0"/>
              <w:jc w:val="center"/>
              <w:rPr>
                <w:rFonts w:cs="Times New Roman"/>
                <w:sz w:val="21"/>
                <w:szCs w:val="21"/>
              </w:rPr>
            </w:pPr>
            <w:r>
              <w:rPr>
                <w:rFonts w:cs="Times New Roman"/>
                <w:sz w:val="21"/>
                <w:szCs w:val="21"/>
              </w:rPr>
              <w:t>√</w:t>
            </w:r>
          </w:p>
        </w:tc>
        <w:tc>
          <w:tcPr>
            <w:tcW w:w="1456" w:type="dxa"/>
            <w:tcBorders>
              <w:top w:val="nil"/>
              <w:left w:val="nil"/>
              <w:bottom w:val="nil"/>
              <w:right w:val="nil"/>
            </w:tcBorders>
            <w:vAlign w:val="center"/>
          </w:tcPr>
          <w:p w14:paraId="33318E65">
            <w:pPr>
              <w:pStyle w:val="16"/>
              <w:spacing w:before="31" w:after="31"/>
              <w:ind w:firstLine="0" w:firstLineChars="0"/>
              <w:jc w:val="center"/>
              <w:rPr>
                <w:rFonts w:cs="Times New Roman"/>
                <w:sz w:val="21"/>
                <w:szCs w:val="21"/>
              </w:rPr>
            </w:pPr>
            <w:r>
              <w:rPr>
                <w:rFonts w:cs="Times New Roman"/>
                <w:sz w:val="21"/>
                <w:szCs w:val="21"/>
              </w:rPr>
              <w:t>√</w:t>
            </w:r>
          </w:p>
        </w:tc>
        <w:tc>
          <w:tcPr>
            <w:tcW w:w="923" w:type="dxa"/>
            <w:tcBorders>
              <w:top w:val="nil"/>
              <w:left w:val="nil"/>
              <w:bottom w:val="nil"/>
              <w:right w:val="nil"/>
            </w:tcBorders>
            <w:vAlign w:val="center"/>
          </w:tcPr>
          <w:p w14:paraId="0F307CA8">
            <w:pPr>
              <w:pStyle w:val="16"/>
              <w:spacing w:before="31" w:after="31"/>
              <w:ind w:firstLine="0" w:firstLineChars="0"/>
              <w:jc w:val="center"/>
              <w:rPr>
                <w:rFonts w:cs="Times New Roman"/>
                <w:sz w:val="21"/>
                <w:szCs w:val="21"/>
              </w:rPr>
            </w:pPr>
          </w:p>
        </w:tc>
        <w:tc>
          <w:tcPr>
            <w:tcW w:w="2063" w:type="dxa"/>
            <w:gridSpan w:val="2"/>
            <w:tcBorders>
              <w:top w:val="nil"/>
              <w:left w:val="nil"/>
              <w:bottom w:val="nil"/>
              <w:right w:val="nil"/>
            </w:tcBorders>
            <w:vAlign w:val="center"/>
          </w:tcPr>
          <w:p w14:paraId="522AE2D7">
            <w:pPr>
              <w:pStyle w:val="16"/>
              <w:spacing w:before="31" w:after="31"/>
              <w:ind w:firstLine="0" w:firstLineChars="0"/>
              <w:jc w:val="center"/>
              <w:rPr>
                <w:rFonts w:cs="Times New Roman"/>
                <w:sz w:val="21"/>
                <w:szCs w:val="21"/>
              </w:rPr>
            </w:pPr>
          </w:p>
        </w:tc>
      </w:tr>
      <w:tr w14:paraId="099A3DA3">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242" w:type="dxa"/>
            <w:tcBorders>
              <w:top w:val="nil"/>
              <w:left w:val="nil"/>
              <w:bottom w:val="nil"/>
              <w:right w:val="nil"/>
            </w:tcBorders>
            <w:vAlign w:val="center"/>
          </w:tcPr>
          <w:p w14:paraId="77A6DD0C">
            <w:pPr>
              <w:pStyle w:val="16"/>
              <w:spacing w:before="31" w:after="31"/>
              <w:ind w:firstLine="0" w:firstLineChars="0"/>
              <w:jc w:val="center"/>
              <w:rPr>
                <w:rFonts w:cs="Times New Roman"/>
                <w:sz w:val="21"/>
                <w:szCs w:val="21"/>
              </w:rPr>
            </w:pPr>
            <w:r>
              <w:rPr>
                <w:rFonts w:hint="eastAsia"/>
                <w:szCs w:val="24"/>
              </w:rPr>
              <w:t xml:space="preserve">Case </w:t>
            </w:r>
            <w:r>
              <w:rPr>
                <w:rFonts w:cs="Times New Roman"/>
                <w:sz w:val="21"/>
                <w:szCs w:val="21"/>
              </w:rPr>
              <w:t>9-6</w:t>
            </w:r>
          </w:p>
        </w:tc>
        <w:tc>
          <w:tcPr>
            <w:tcW w:w="4536" w:type="dxa"/>
            <w:tcBorders>
              <w:top w:val="nil"/>
              <w:left w:val="nil"/>
              <w:bottom w:val="nil"/>
              <w:right w:val="nil"/>
            </w:tcBorders>
            <w:vAlign w:val="center"/>
          </w:tcPr>
          <w:p w14:paraId="577AFFFB">
            <w:pPr>
              <w:pStyle w:val="16"/>
              <w:spacing w:before="31" w:after="31"/>
              <w:ind w:firstLine="0" w:firstLineChars="0"/>
              <w:jc w:val="left"/>
              <w:rPr>
                <w:rFonts w:cs="Times New Roman"/>
                <w:sz w:val="21"/>
                <w:szCs w:val="21"/>
              </w:rPr>
            </w:pPr>
            <w:r>
              <w:rPr>
                <w:rFonts w:hint="eastAsia"/>
                <w:szCs w:val="24"/>
              </w:rPr>
              <w:t>Tipping of QUY70 crawler crane</w:t>
            </w:r>
          </w:p>
        </w:tc>
        <w:tc>
          <w:tcPr>
            <w:tcW w:w="236" w:type="dxa"/>
            <w:tcBorders>
              <w:top w:val="nil"/>
              <w:left w:val="nil"/>
              <w:bottom w:val="nil"/>
              <w:right w:val="nil"/>
            </w:tcBorders>
            <w:vAlign w:val="center"/>
          </w:tcPr>
          <w:p w14:paraId="24BB2C4F">
            <w:pPr>
              <w:pStyle w:val="16"/>
              <w:spacing w:before="31" w:after="31"/>
              <w:ind w:firstLine="0" w:firstLineChars="0"/>
              <w:jc w:val="center"/>
              <w:rPr>
                <w:rFonts w:cs="Times New Roman"/>
                <w:sz w:val="21"/>
                <w:szCs w:val="21"/>
              </w:rPr>
            </w:pPr>
          </w:p>
        </w:tc>
        <w:tc>
          <w:tcPr>
            <w:tcW w:w="1456" w:type="dxa"/>
            <w:tcBorders>
              <w:top w:val="nil"/>
              <w:left w:val="nil"/>
              <w:bottom w:val="nil"/>
              <w:right w:val="nil"/>
            </w:tcBorders>
            <w:vAlign w:val="center"/>
          </w:tcPr>
          <w:p w14:paraId="3B9F8A4C">
            <w:pPr>
              <w:pStyle w:val="16"/>
              <w:spacing w:before="31" w:after="31"/>
              <w:ind w:firstLine="0" w:firstLineChars="0"/>
              <w:jc w:val="center"/>
              <w:rPr>
                <w:rFonts w:cs="Times New Roman"/>
                <w:sz w:val="21"/>
                <w:szCs w:val="21"/>
              </w:rPr>
            </w:pPr>
            <w:r>
              <w:rPr>
                <w:rFonts w:cs="Times New Roman"/>
                <w:sz w:val="21"/>
                <w:szCs w:val="21"/>
              </w:rPr>
              <w:t>√</w:t>
            </w:r>
          </w:p>
        </w:tc>
        <w:tc>
          <w:tcPr>
            <w:tcW w:w="923" w:type="dxa"/>
            <w:tcBorders>
              <w:top w:val="nil"/>
              <w:left w:val="nil"/>
              <w:bottom w:val="nil"/>
              <w:right w:val="nil"/>
            </w:tcBorders>
            <w:vAlign w:val="center"/>
          </w:tcPr>
          <w:p w14:paraId="728956E7">
            <w:pPr>
              <w:pStyle w:val="16"/>
              <w:spacing w:before="31" w:after="31"/>
              <w:ind w:firstLine="0" w:firstLineChars="0"/>
              <w:jc w:val="center"/>
              <w:rPr>
                <w:rFonts w:cs="Times New Roman"/>
                <w:sz w:val="21"/>
                <w:szCs w:val="21"/>
              </w:rPr>
            </w:pPr>
          </w:p>
        </w:tc>
        <w:tc>
          <w:tcPr>
            <w:tcW w:w="2063" w:type="dxa"/>
            <w:gridSpan w:val="2"/>
            <w:tcBorders>
              <w:top w:val="nil"/>
              <w:left w:val="nil"/>
              <w:bottom w:val="nil"/>
              <w:right w:val="nil"/>
            </w:tcBorders>
            <w:vAlign w:val="center"/>
          </w:tcPr>
          <w:p w14:paraId="19D7DF32">
            <w:pPr>
              <w:pStyle w:val="16"/>
              <w:spacing w:before="31" w:after="31"/>
              <w:ind w:firstLine="0" w:firstLineChars="0"/>
              <w:jc w:val="center"/>
              <w:rPr>
                <w:rFonts w:cs="Times New Roman"/>
                <w:sz w:val="21"/>
                <w:szCs w:val="21"/>
              </w:rPr>
            </w:pPr>
          </w:p>
        </w:tc>
      </w:tr>
      <w:tr w14:paraId="05CF0101">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242" w:type="dxa"/>
            <w:tcBorders>
              <w:top w:val="nil"/>
              <w:left w:val="nil"/>
              <w:bottom w:val="nil"/>
              <w:right w:val="nil"/>
            </w:tcBorders>
            <w:vAlign w:val="center"/>
          </w:tcPr>
          <w:p w14:paraId="7D3B39BA">
            <w:pPr>
              <w:pStyle w:val="16"/>
              <w:spacing w:before="31" w:after="31"/>
              <w:ind w:firstLine="0" w:firstLineChars="0"/>
              <w:jc w:val="center"/>
              <w:rPr>
                <w:rFonts w:cs="Times New Roman"/>
                <w:sz w:val="21"/>
                <w:szCs w:val="21"/>
              </w:rPr>
            </w:pPr>
            <w:r>
              <w:rPr>
                <w:rFonts w:hint="eastAsia"/>
                <w:szCs w:val="24"/>
              </w:rPr>
              <w:t xml:space="preserve">Case </w:t>
            </w:r>
            <w:r>
              <w:rPr>
                <w:rFonts w:cs="Times New Roman"/>
                <w:sz w:val="21"/>
                <w:szCs w:val="21"/>
              </w:rPr>
              <w:t>9-7</w:t>
            </w:r>
          </w:p>
        </w:tc>
        <w:tc>
          <w:tcPr>
            <w:tcW w:w="4536" w:type="dxa"/>
            <w:tcBorders>
              <w:top w:val="nil"/>
              <w:left w:val="nil"/>
              <w:bottom w:val="nil"/>
              <w:right w:val="nil"/>
            </w:tcBorders>
            <w:vAlign w:val="center"/>
          </w:tcPr>
          <w:p w14:paraId="64229884">
            <w:pPr>
              <w:pStyle w:val="16"/>
              <w:spacing w:before="31" w:after="31"/>
              <w:ind w:firstLine="0" w:firstLineChars="0"/>
              <w:jc w:val="left"/>
              <w:rPr>
                <w:rFonts w:cs="Times New Roman"/>
                <w:sz w:val="21"/>
                <w:szCs w:val="21"/>
              </w:rPr>
            </w:pPr>
            <w:r>
              <w:rPr>
                <w:rFonts w:hint="eastAsia"/>
                <w:szCs w:val="24"/>
              </w:rPr>
              <w:t>Mechanical failure of DC120-50 high-temperature water pump shaft end</w:t>
            </w:r>
            <w:r>
              <w:rPr>
                <w:rFonts w:hint="eastAsia"/>
                <w:szCs w:val="24"/>
              </w:rPr>
              <w:tab/>
            </w:r>
          </w:p>
        </w:tc>
        <w:tc>
          <w:tcPr>
            <w:tcW w:w="236" w:type="dxa"/>
            <w:tcBorders>
              <w:top w:val="nil"/>
              <w:left w:val="nil"/>
              <w:bottom w:val="nil"/>
              <w:right w:val="nil"/>
            </w:tcBorders>
            <w:vAlign w:val="center"/>
          </w:tcPr>
          <w:p w14:paraId="1E41FB36">
            <w:pPr>
              <w:pStyle w:val="16"/>
              <w:spacing w:before="31" w:after="31"/>
              <w:ind w:firstLine="0" w:firstLineChars="0"/>
              <w:jc w:val="center"/>
              <w:rPr>
                <w:rFonts w:cs="Times New Roman"/>
                <w:sz w:val="21"/>
                <w:szCs w:val="21"/>
              </w:rPr>
            </w:pPr>
            <w:r>
              <w:rPr>
                <w:rFonts w:cs="Times New Roman"/>
                <w:sz w:val="21"/>
                <w:szCs w:val="21"/>
              </w:rPr>
              <w:t>√</w:t>
            </w:r>
          </w:p>
        </w:tc>
        <w:tc>
          <w:tcPr>
            <w:tcW w:w="1456" w:type="dxa"/>
            <w:tcBorders>
              <w:top w:val="nil"/>
              <w:left w:val="nil"/>
              <w:bottom w:val="nil"/>
              <w:right w:val="nil"/>
            </w:tcBorders>
            <w:vAlign w:val="center"/>
          </w:tcPr>
          <w:p w14:paraId="644F18BD">
            <w:pPr>
              <w:pStyle w:val="16"/>
              <w:spacing w:before="31" w:after="31"/>
              <w:ind w:firstLine="0" w:firstLineChars="0"/>
              <w:jc w:val="center"/>
              <w:rPr>
                <w:rFonts w:cs="Times New Roman"/>
                <w:sz w:val="21"/>
                <w:szCs w:val="21"/>
              </w:rPr>
            </w:pPr>
          </w:p>
        </w:tc>
        <w:tc>
          <w:tcPr>
            <w:tcW w:w="923" w:type="dxa"/>
            <w:tcBorders>
              <w:top w:val="nil"/>
              <w:left w:val="nil"/>
              <w:bottom w:val="nil"/>
              <w:right w:val="nil"/>
            </w:tcBorders>
            <w:vAlign w:val="center"/>
          </w:tcPr>
          <w:p w14:paraId="4974E77F">
            <w:pPr>
              <w:pStyle w:val="16"/>
              <w:spacing w:before="31" w:after="31"/>
              <w:ind w:firstLine="0" w:firstLineChars="0"/>
              <w:jc w:val="center"/>
              <w:rPr>
                <w:rFonts w:cs="Times New Roman"/>
                <w:sz w:val="21"/>
                <w:szCs w:val="21"/>
              </w:rPr>
            </w:pPr>
          </w:p>
        </w:tc>
        <w:tc>
          <w:tcPr>
            <w:tcW w:w="2063" w:type="dxa"/>
            <w:gridSpan w:val="2"/>
            <w:tcBorders>
              <w:top w:val="nil"/>
              <w:left w:val="nil"/>
              <w:bottom w:val="nil"/>
              <w:right w:val="nil"/>
            </w:tcBorders>
            <w:vAlign w:val="center"/>
          </w:tcPr>
          <w:p w14:paraId="24E1CF00">
            <w:pPr>
              <w:pStyle w:val="16"/>
              <w:spacing w:before="31" w:after="31"/>
              <w:ind w:firstLine="0" w:firstLineChars="0"/>
              <w:jc w:val="center"/>
              <w:rPr>
                <w:rFonts w:cs="Times New Roman"/>
                <w:sz w:val="21"/>
                <w:szCs w:val="21"/>
              </w:rPr>
            </w:pPr>
          </w:p>
        </w:tc>
      </w:tr>
      <w:tr w14:paraId="49A301C4">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242" w:type="dxa"/>
            <w:tcBorders>
              <w:top w:val="nil"/>
              <w:left w:val="nil"/>
              <w:bottom w:val="nil"/>
              <w:right w:val="nil"/>
            </w:tcBorders>
            <w:vAlign w:val="center"/>
          </w:tcPr>
          <w:p w14:paraId="71663A35">
            <w:pPr>
              <w:pStyle w:val="16"/>
              <w:spacing w:before="31" w:after="31"/>
              <w:ind w:firstLine="0" w:firstLineChars="0"/>
              <w:jc w:val="center"/>
              <w:rPr>
                <w:rFonts w:cs="Times New Roman"/>
                <w:sz w:val="21"/>
                <w:szCs w:val="21"/>
              </w:rPr>
            </w:pPr>
            <w:r>
              <w:rPr>
                <w:rFonts w:hint="eastAsia"/>
                <w:szCs w:val="24"/>
              </w:rPr>
              <w:t xml:space="preserve">Case </w:t>
            </w:r>
            <w:r>
              <w:rPr>
                <w:rFonts w:cs="Times New Roman"/>
                <w:sz w:val="21"/>
                <w:szCs w:val="21"/>
              </w:rPr>
              <w:t>9-8</w:t>
            </w:r>
          </w:p>
        </w:tc>
        <w:tc>
          <w:tcPr>
            <w:tcW w:w="4536" w:type="dxa"/>
            <w:tcBorders>
              <w:top w:val="nil"/>
              <w:left w:val="nil"/>
              <w:bottom w:val="nil"/>
              <w:right w:val="nil"/>
            </w:tcBorders>
            <w:vAlign w:val="center"/>
          </w:tcPr>
          <w:p w14:paraId="79D401F4">
            <w:pPr>
              <w:pStyle w:val="16"/>
              <w:spacing w:before="31" w:after="31"/>
              <w:ind w:firstLine="0" w:firstLineChars="0"/>
              <w:jc w:val="left"/>
              <w:rPr>
                <w:rFonts w:cs="Times New Roman"/>
                <w:sz w:val="21"/>
                <w:szCs w:val="21"/>
              </w:rPr>
            </w:pPr>
            <w:r>
              <w:rPr>
                <w:rFonts w:hint="eastAsia"/>
                <w:szCs w:val="24"/>
              </w:rPr>
              <w:t>Accidents caused by insufficient mechanical strength of imported transmissions</w:t>
            </w:r>
          </w:p>
        </w:tc>
        <w:tc>
          <w:tcPr>
            <w:tcW w:w="236" w:type="dxa"/>
            <w:tcBorders>
              <w:top w:val="nil"/>
              <w:left w:val="nil"/>
              <w:bottom w:val="nil"/>
              <w:right w:val="nil"/>
            </w:tcBorders>
            <w:vAlign w:val="center"/>
          </w:tcPr>
          <w:p w14:paraId="555BF3D6">
            <w:pPr>
              <w:pStyle w:val="16"/>
              <w:spacing w:before="31" w:after="31"/>
              <w:ind w:firstLine="0" w:firstLineChars="0"/>
              <w:jc w:val="center"/>
              <w:rPr>
                <w:rFonts w:cs="Times New Roman"/>
                <w:sz w:val="21"/>
                <w:szCs w:val="21"/>
              </w:rPr>
            </w:pPr>
            <w:r>
              <w:rPr>
                <w:rFonts w:cs="Times New Roman"/>
                <w:sz w:val="21"/>
                <w:szCs w:val="21"/>
              </w:rPr>
              <w:t>√</w:t>
            </w:r>
          </w:p>
        </w:tc>
        <w:tc>
          <w:tcPr>
            <w:tcW w:w="1456" w:type="dxa"/>
            <w:tcBorders>
              <w:top w:val="nil"/>
              <w:left w:val="nil"/>
              <w:bottom w:val="nil"/>
              <w:right w:val="nil"/>
            </w:tcBorders>
            <w:vAlign w:val="center"/>
          </w:tcPr>
          <w:p w14:paraId="43A63EDF">
            <w:pPr>
              <w:pStyle w:val="16"/>
              <w:spacing w:before="31" w:after="31"/>
              <w:ind w:firstLine="0" w:firstLineChars="0"/>
              <w:jc w:val="center"/>
              <w:rPr>
                <w:rFonts w:cs="Times New Roman"/>
                <w:sz w:val="21"/>
                <w:szCs w:val="21"/>
              </w:rPr>
            </w:pPr>
            <w:r>
              <w:rPr>
                <w:rFonts w:cs="Times New Roman"/>
                <w:sz w:val="21"/>
                <w:szCs w:val="21"/>
              </w:rPr>
              <w:t>√</w:t>
            </w:r>
          </w:p>
        </w:tc>
        <w:tc>
          <w:tcPr>
            <w:tcW w:w="923" w:type="dxa"/>
            <w:tcBorders>
              <w:top w:val="nil"/>
              <w:left w:val="nil"/>
              <w:bottom w:val="nil"/>
              <w:right w:val="nil"/>
            </w:tcBorders>
            <w:vAlign w:val="center"/>
          </w:tcPr>
          <w:p w14:paraId="5BC6BA97">
            <w:pPr>
              <w:pStyle w:val="16"/>
              <w:spacing w:before="31" w:after="31"/>
              <w:ind w:firstLine="0" w:firstLineChars="0"/>
              <w:jc w:val="center"/>
              <w:rPr>
                <w:rFonts w:cs="Times New Roman"/>
                <w:sz w:val="21"/>
                <w:szCs w:val="21"/>
              </w:rPr>
            </w:pPr>
          </w:p>
        </w:tc>
        <w:tc>
          <w:tcPr>
            <w:tcW w:w="2063" w:type="dxa"/>
            <w:gridSpan w:val="2"/>
            <w:tcBorders>
              <w:top w:val="nil"/>
              <w:left w:val="nil"/>
              <w:bottom w:val="nil"/>
              <w:right w:val="nil"/>
            </w:tcBorders>
            <w:vAlign w:val="center"/>
          </w:tcPr>
          <w:p w14:paraId="71F11AEE">
            <w:pPr>
              <w:pStyle w:val="16"/>
              <w:spacing w:before="31" w:after="31"/>
              <w:ind w:firstLine="0" w:firstLineChars="0"/>
              <w:jc w:val="center"/>
              <w:rPr>
                <w:rFonts w:cs="Times New Roman"/>
                <w:sz w:val="21"/>
                <w:szCs w:val="21"/>
              </w:rPr>
            </w:pPr>
          </w:p>
        </w:tc>
      </w:tr>
      <w:tr w14:paraId="06315DE8">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242" w:type="dxa"/>
            <w:tcBorders>
              <w:top w:val="nil"/>
              <w:left w:val="nil"/>
              <w:bottom w:val="single" w:color="auto" w:sz="12" w:space="0"/>
              <w:right w:val="nil"/>
            </w:tcBorders>
            <w:vAlign w:val="center"/>
          </w:tcPr>
          <w:p w14:paraId="0D8785DC">
            <w:pPr>
              <w:pStyle w:val="16"/>
              <w:spacing w:before="31" w:after="31"/>
              <w:ind w:firstLine="0" w:firstLineChars="0"/>
              <w:jc w:val="center"/>
              <w:rPr>
                <w:rFonts w:cs="Times New Roman"/>
                <w:sz w:val="21"/>
                <w:szCs w:val="21"/>
              </w:rPr>
            </w:pPr>
            <w:r>
              <w:rPr>
                <w:rFonts w:hint="eastAsia"/>
                <w:szCs w:val="24"/>
              </w:rPr>
              <w:t xml:space="preserve">Case </w:t>
            </w:r>
            <w:r>
              <w:rPr>
                <w:rFonts w:cs="Times New Roman"/>
                <w:sz w:val="21"/>
                <w:szCs w:val="21"/>
              </w:rPr>
              <w:t>9-9</w:t>
            </w:r>
          </w:p>
        </w:tc>
        <w:tc>
          <w:tcPr>
            <w:tcW w:w="4536" w:type="dxa"/>
            <w:tcBorders>
              <w:top w:val="nil"/>
              <w:left w:val="nil"/>
              <w:bottom w:val="single" w:color="auto" w:sz="12" w:space="0"/>
              <w:right w:val="nil"/>
            </w:tcBorders>
            <w:vAlign w:val="center"/>
          </w:tcPr>
          <w:p w14:paraId="2327119B">
            <w:pPr>
              <w:pStyle w:val="16"/>
              <w:spacing w:before="31" w:after="31"/>
              <w:ind w:firstLine="0" w:firstLineChars="0"/>
              <w:jc w:val="left"/>
              <w:rPr>
                <w:rFonts w:cs="Times New Roman"/>
                <w:sz w:val="21"/>
                <w:szCs w:val="21"/>
              </w:rPr>
            </w:pPr>
            <w:r>
              <w:rPr>
                <w:rFonts w:hint="eastAsia"/>
                <w:szCs w:val="24"/>
              </w:rPr>
              <w:t>Gear shaft tooth failure in loader rear axle reducer</w:t>
            </w:r>
          </w:p>
        </w:tc>
        <w:tc>
          <w:tcPr>
            <w:tcW w:w="236" w:type="dxa"/>
            <w:tcBorders>
              <w:top w:val="nil"/>
              <w:left w:val="nil"/>
              <w:bottom w:val="single" w:color="auto" w:sz="12" w:space="0"/>
              <w:right w:val="nil"/>
            </w:tcBorders>
            <w:vAlign w:val="center"/>
          </w:tcPr>
          <w:p w14:paraId="2CDB2221">
            <w:pPr>
              <w:pStyle w:val="16"/>
              <w:spacing w:before="31" w:after="31"/>
              <w:ind w:firstLine="0" w:firstLineChars="0"/>
              <w:jc w:val="center"/>
              <w:rPr>
                <w:rFonts w:cs="Times New Roman"/>
                <w:sz w:val="21"/>
                <w:szCs w:val="21"/>
              </w:rPr>
            </w:pPr>
          </w:p>
        </w:tc>
        <w:tc>
          <w:tcPr>
            <w:tcW w:w="1456" w:type="dxa"/>
            <w:tcBorders>
              <w:top w:val="nil"/>
              <w:left w:val="nil"/>
              <w:bottom w:val="single" w:color="auto" w:sz="12" w:space="0"/>
              <w:right w:val="nil"/>
            </w:tcBorders>
            <w:vAlign w:val="center"/>
          </w:tcPr>
          <w:p w14:paraId="6DB91604">
            <w:pPr>
              <w:pStyle w:val="16"/>
              <w:spacing w:before="31" w:after="31"/>
              <w:ind w:firstLine="0" w:firstLineChars="0"/>
              <w:jc w:val="center"/>
              <w:rPr>
                <w:rFonts w:cs="Times New Roman"/>
                <w:sz w:val="21"/>
                <w:szCs w:val="21"/>
              </w:rPr>
            </w:pPr>
            <w:r>
              <w:rPr>
                <w:rFonts w:cs="Times New Roman"/>
                <w:sz w:val="21"/>
                <w:szCs w:val="21"/>
              </w:rPr>
              <w:t>√</w:t>
            </w:r>
          </w:p>
        </w:tc>
        <w:tc>
          <w:tcPr>
            <w:tcW w:w="923" w:type="dxa"/>
            <w:tcBorders>
              <w:top w:val="nil"/>
              <w:left w:val="nil"/>
              <w:bottom w:val="single" w:color="auto" w:sz="12" w:space="0"/>
              <w:right w:val="nil"/>
            </w:tcBorders>
            <w:vAlign w:val="center"/>
          </w:tcPr>
          <w:p w14:paraId="708E82F9">
            <w:pPr>
              <w:pStyle w:val="16"/>
              <w:spacing w:before="31" w:after="31"/>
              <w:ind w:firstLine="0" w:firstLineChars="0"/>
              <w:jc w:val="center"/>
              <w:rPr>
                <w:rFonts w:cs="Times New Roman"/>
                <w:sz w:val="21"/>
                <w:szCs w:val="21"/>
              </w:rPr>
            </w:pPr>
          </w:p>
        </w:tc>
        <w:tc>
          <w:tcPr>
            <w:tcW w:w="2063" w:type="dxa"/>
            <w:gridSpan w:val="2"/>
            <w:tcBorders>
              <w:top w:val="nil"/>
              <w:left w:val="nil"/>
              <w:bottom w:val="single" w:color="auto" w:sz="12" w:space="0"/>
              <w:right w:val="nil"/>
            </w:tcBorders>
            <w:vAlign w:val="center"/>
          </w:tcPr>
          <w:p w14:paraId="26437D79">
            <w:pPr>
              <w:pStyle w:val="16"/>
              <w:spacing w:before="31" w:after="31"/>
              <w:ind w:firstLine="0" w:firstLineChars="0"/>
              <w:jc w:val="center"/>
              <w:rPr>
                <w:rFonts w:cs="Times New Roman"/>
                <w:sz w:val="21"/>
                <w:szCs w:val="21"/>
              </w:rPr>
            </w:pPr>
          </w:p>
        </w:tc>
      </w:tr>
    </w:tbl>
    <w:p w14:paraId="3C045265">
      <w:pPr>
        <w:pStyle w:val="16"/>
        <w:spacing w:before="31" w:after="31"/>
        <w:ind w:firstLine="480"/>
        <w:rPr>
          <w:szCs w:val="24"/>
        </w:rPr>
      </w:pPr>
      <w:r>
        <w:rPr>
          <w:szCs w:val="24"/>
        </w:rPr>
        <w:t>Table 9-6 Summary of Failure Causes in Investigated Cases Not Listed in the Report</w:t>
      </w:r>
    </w:p>
    <w:p w14:paraId="695ACA8A">
      <w:pPr>
        <w:pStyle w:val="16"/>
        <w:spacing w:before="468" w:beforeLines="150" w:after="156" w:afterLines="50"/>
        <w:ind w:firstLine="0" w:firstLineChars="0"/>
        <w:jc w:val="center"/>
        <w:rPr>
          <w:rFonts w:cs="Times New Roman"/>
          <w:b/>
          <w:sz w:val="21"/>
          <w:szCs w:val="21"/>
        </w:rPr>
      </w:pPr>
      <w:r>
        <w:rPr>
          <w:rFonts w:hint="eastAsia" w:cs="Times New Roman"/>
          <w:b/>
          <w:sz w:val="21"/>
          <w:szCs w:val="21"/>
        </w:rPr>
        <w:t>表</w:t>
      </w:r>
      <w:r>
        <w:rPr>
          <w:rFonts w:cs="Times New Roman"/>
          <w:b/>
          <w:sz w:val="21"/>
          <w:szCs w:val="21"/>
        </w:rPr>
        <w:t xml:space="preserve">9-6 </w:t>
      </w:r>
      <w:r>
        <w:rPr>
          <w:rFonts w:hint="eastAsia" w:cs="Times New Roman"/>
          <w:b/>
          <w:sz w:val="21"/>
          <w:szCs w:val="21"/>
        </w:rPr>
        <w:t>报告中未列出的调研案例失效原因总结</w:t>
      </w:r>
    </w:p>
    <w:tbl>
      <w:tblPr>
        <w:tblStyle w:val="9"/>
        <w:tblW w:w="0" w:type="auto"/>
        <w:jc w:val="center"/>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716"/>
        <w:gridCol w:w="1681"/>
        <w:gridCol w:w="1449"/>
        <w:gridCol w:w="1690"/>
        <w:gridCol w:w="923"/>
        <w:gridCol w:w="2063"/>
      </w:tblGrid>
      <w:tr w14:paraId="01E52011">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905" w:type="dxa"/>
            <w:vMerge w:val="restart"/>
            <w:tcBorders>
              <w:top w:val="single" w:color="auto" w:sz="12" w:space="0"/>
              <w:left w:val="nil"/>
              <w:bottom w:val="single" w:color="auto" w:sz="12" w:space="0"/>
              <w:right w:val="nil"/>
            </w:tcBorders>
            <w:vAlign w:val="center"/>
          </w:tcPr>
          <w:p w14:paraId="5B190C8D">
            <w:pPr>
              <w:pStyle w:val="16"/>
              <w:spacing w:before="31" w:after="31"/>
              <w:ind w:firstLine="0" w:firstLineChars="0"/>
              <w:jc w:val="center"/>
              <w:rPr>
                <w:rFonts w:cs="Times New Roman"/>
                <w:sz w:val="21"/>
                <w:szCs w:val="21"/>
              </w:rPr>
            </w:pPr>
            <w:r>
              <w:rPr>
                <w:szCs w:val="24"/>
              </w:rPr>
              <w:t>No.</w:t>
            </w:r>
            <w:r>
              <w:rPr>
                <w:szCs w:val="24"/>
              </w:rPr>
              <w:tab/>
            </w:r>
            <w:r>
              <w:rPr>
                <w:szCs w:val="24"/>
              </w:rPr>
              <w:t>Case</w:t>
            </w:r>
          </w:p>
        </w:tc>
        <w:tc>
          <w:tcPr>
            <w:tcW w:w="3888" w:type="dxa"/>
            <w:vMerge w:val="restart"/>
            <w:tcBorders>
              <w:top w:val="single" w:color="auto" w:sz="12" w:space="0"/>
              <w:left w:val="nil"/>
              <w:bottom w:val="single" w:color="auto" w:sz="12" w:space="0"/>
              <w:right w:val="nil"/>
            </w:tcBorders>
            <w:vAlign w:val="center"/>
          </w:tcPr>
          <w:p w14:paraId="6B035B7B">
            <w:pPr>
              <w:pStyle w:val="16"/>
              <w:spacing w:before="31" w:after="31"/>
              <w:ind w:firstLine="0" w:firstLineChars="0"/>
              <w:jc w:val="center"/>
              <w:rPr>
                <w:rFonts w:cs="Times New Roman"/>
                <w:sz w:val="21"/>
                <w:szCs w:val="21"/>
              </w:rPr>
            </w:pPr>
            <w:r>
              <w:rPr>
                <w:szCs w:val="24"/>
              </w:rPr>
              <w:t>Name</w:t>
            </w:r>
          </w:p>
        </w:tc>
        <w:tc>
          <w:tcPr>
            <w:tcW w:w="3252" w:type="dxa"/>
            <w:gridSpan w:val="4"/>
            <w:tcBorders>
              <w:top w:val="single" w:color="auto" w:sz="12" w:space="0"/>
              <w:left w:val="nil"/>
              <w:bottom w:val="single" w:color="auto" w:sz="12" w:space="0"/>
              <w:right w:val="nil"/>
            </w:tcBorders>
            <w:vAlign w:val="center"/>
          </w:tcPr>
          <w:p w14:paraId="4BD3C9AA">
            <w:pPr>
              <w:pStyle w:val="16"/>
              <w:spacing w:before="31" w:after="31"/>
              <w:ind w:firstLine="480"/>
              <w:rPr>
                <w:szCs w:val="24"/>
              </w:rPr>
            </w:pPr>
            <w:r>
              <w:rPr>
                <w:szCs w:val="24"/>
              </w:rPr>
              <w:tab/>
            </w:r>
            <w:r>
              <w:rPr>
                <w:szCs w:val="24"/>
              </w:rPr>
              <w:t>Failure Causes</w:t>
            </w:r>
          </w:p>
          <w:p w14:paraId="7AD96ADA">
            <w:pPr>
              <w:pStyle w:val="16"/>
              <w:spacing w:before="31" w:after="31"/>
              <w:ind w:firstLine="0" w:firstLineChars="0"/>
              <w:jc w:val="center"/>
              <w:rPr>
                <w:rFonts w:cs="Times New Roman"/>
                <w:sz w:val="21"/>
                <w:szCs w:val="21"/>
              </w:rPr>
            </w:pPr>
          </w:p>
        </w:tc>
      </w:tr>
      <w:tr w14:paraId="785243C5">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0" w:type="auto"/>
            <w:vMerge w:val="continue"/>
            <w:tcBorders>
              <w:top w:val="single" w:color="auto" w:sz="12" w:space="0"/>
              <w:left w:val="nil"/>
              <w:bottom w:val="single" w:color="auto" w:sz="12" w:space="0"/>
              <w:right w:val="nil"/>
            </w:tcBorders>
            <w:vAlign w:val="center"/>
          </w:tcPr>
          <w:p w14:paraId="4E0BCAD2">
            <w:pPr>
              <w:widowControl/>
              <w:spacing w:beforeAutospacing="1" w:afterAutospacing="1"/>
              <w:jc w:val="left"/>
              <w:rPr>
                <w:szCs w:val="21"/>
              </w:rPr>
            </w:pPr>
          </w:p>
        </w:tc>
        <w:tc>
          <w:tcPr>
            <w:tcW w:w="0" w:type="auto"/>
            <w:vMerge w:val="continue"/>
            <w:tcBorders>
              <w:top w:val="single" w:color="auto" w:sz="12" w:space="0"/>
              <w:left w:val="nil"/>
              <w:bottom w:val="single" w:color="auto" w:sz="12" w:space="0"/>
              <w:right w:val="nil"/>
            </w:tcBorders>
            <w:vAlign w:val="center"/>
          </w:tcPr>
          <w:p w14:paraId="3570BF4C">
            <w:pPr>
              <w:widowControl/>
              <w:spacing w:beforeAutospacing="1" w:afterAutospacing="1"/>
              <w:jc w:val="left"/>
              <w:rPr>
                <w:szCs w:val="21"/>
              </w:rPr>
            </w:pPr>
          </w:p>
        </w:tc>
        <w:tc>
          <w:tcPr>
            <w:tcW w:w="781" w:type="dxa"/>
            <w:tcBorders>
              <w:top w:val="single" w:color="auto" w:sz="12" w:space="0"/>
              <w:left w:val="nil"/>
              <w:bottom w:val="single" w:color="auto" w:sz="12" w:space="0"/>
              <w:right w:val="nil"/>
            </w:tcBorders>
            <w:vAlign w:val="center"/>
          </w:tcPr>
          <w:p w14:paraId="55BAC3AA">
            <w:pPr>
              <w:pStyle w:val="16"/>
              <w:spacing w:before="31" w:after="31"/>
              <w:ind w:firstLine="480"/>
              <w:rPr>
                <w:szCs w:val="24"/>
              </w:rPr>
            </w:pPr>
            <w:r>
              <w:rPr>
                <w:szCs w:val="24"/>
              </w:rPr>
              <w:t>Material</w:t>
            </w:r>
          </w:p>
          <w:p w14:paraId="3C5B71CA">
            <w:pPr>
              <w:pStyle w:val="16"/>
              <w:spacing w:before="31" w:after="31"/>
              <w:ind w:firstLine="0" w:firstLineChars="0"/>
              <w:jc w:val="center"/>
              <w:rPr>
                <w:rFonts w:cs="Times New Roman"/>
                <w:sz w:val="21"/>
                <w:szCs w:val="21"/>
              </w:rPr>
            </w:pPr>
            <w:r>
              <w:rPr>
                <w:szCs w:val="24"/>
              </w:rPr>
              <w:t>Itself</w:t>
            </w:r>
          </w:p>
        </w:tc>
        <w:tc>
          <w:tcPr>
            <w:tcW w:w="890" w:type="dxa"/>
            <w:tcBorders>
              <w:top w:val="single" w:color="auto" w:sz="12" w:space="0"/>
              <w:left w:val="nil"/>
              <w:bottom w:val="single" w:color="auto" w:sz="12" w:space="0"/>
              <w:right w:val="nil"/>
            </w:tcBorders>
            <w:vAlign w:val="center"/>
          </w:tcPr>
          <w:p w14:paraId="5A52C447">
            <w:pPr>
              <w:pStyle w:val="16"/>
              <w:spacing w:before="31" w:after="31"/>
              <w:ind w:firstLine="480"/>
              <w:rPr>
                <w:szCs w:val="24"/>
              </w:rPr>
            </w:pPr>
            <w:r>
              <w:rPr>
                <w:szCs w:val="24"/>
              </w:rPr>
              <w:t>Production</w:t>
            </w:r>
          </w:p>
          <w:p w14:paraId="16922CDF">
            <w:pPr>
              <w:pStyle w:val="16"/>
              <w:spacing w:before="31" w:after="31"/>
              <w:ind w:firstLine="0" w:firstLineChars="0"/>
              <w:jc w:val="center"/>
              <w:rPr>
                <w:rFonts w:cs="Times New Roman"/>
                <w:sz w:val="21"/>
                <w:szCs w:val="21"/>
              </w:rPr>
            </w:pPr>
            <w:r>
              <w:rPr>
                <w:szCs w:val="24"/>
              </w:rPr>
              <w:t>Construction</w:t>
            </w:r>
          </w:p>
        </w:tc>
        <w:tc>
          <w:tcPr>
            <w:tcW w:w="778" w:type="dxa"/>
            <w:tcBorders>
              <w:top w:val="single" w:color="auto" w:sz="12" w:space="0"/>
              <w:left w:val="nil"/>
              <w:bottom w:val="single" w:color="auto" w:sz="12" w:space="0"/>
              <w:right w:val="nil"/>
            </w:tcBorders>
            <w:vAlign w:val="center"/>
          </w:tcPr>
          <w:p w14:paraId="34EAEB5E">
            <w:pPr>
              <w:pStyle w:val="16"/>
              <w:spacing w:before="31" w:after="31"/>
              <w:ind w:firstLine="480"/>
              <w:rPr>
                <w:szCs w:val="24"/>
              </w:rPr>
            </w:pPr>
            <w:r>
              <w:rPr>
                <w:szCs w:val="24"/>
              </w:rPr>
              <w:tab/>
            </w:r>
          </w:p>
          <w:p w14:paraId="33544CF7">
            <w:pPr>
              <w:pStyle w:val="16"/>
              <w:spacing w:before="31" w:after="31"/>
              <w:ind w:firstLine="480"/>
              <w:rPr>
                <w:szCs w:val="24"/>
              </w:rPr>
            </w:pPr>
            <w:r>
              <w:rPr>
                <w:szCs w:val="24"/>
              </w:rPr>
              <w:tab/>
            </w:r>
            <w:r>
              <w:rPr>
                <w:szCs w:val="24"/>
              </w:rPr>
              <w:t>Design</w:t>
            </w:r>
          </w:p>
          <w:p w14:paraId="4D0A82C2">
            <w:pPr>
              <w:pStyle w:val="16"/>
              <w:spacing w:before="31" w:after="31"/>
              <w:ind w:firstLine="0" w:firstLineChars="0"/>
              <w:jc w:val="center"/>
              <w:rPr>
                <w:rFonts w:cs="Times New Roman"/>
                <w:sz w:val="21"/>
                <w:szCs w:val="21"/>
              </w:rPr>
            </w:pPr>
            <w:r>
              <w:rPr>
                <w:szCs w:val="24"/>
              </w:rPr>
              <w:t>Reason</w:t>
            </w:r>
          </w:p>
        </w:tc>
        <w:tc>
          <w:tcPr>
            <w:tcW w:w="803" w:type="dxa"/>
            <w:tcBorders>
              <w:top w:val="single" w:color="auto" w:sz="12" w:space="0"/>
              <w:left w:val="nil"/>
              <w:bottom w:val="single" w:color="auto" w:sz="12" w:space="0"/>
              <w:right w:val="nil"/>
            </w:tcBorders>
            <w:vAlign w:val="center"/>
          </w:tcPr>
          <w:p w14:paraId="2D137E3D">
            <w:pPr>
              <w:pStyle w:val="16"/>
              <w:spacing w:before="31" w:after="31"/>
              <w:ind w:firstLine="480"/>
              <w:rPr>
                <w:szCs w:val="24"/>
              </w:rPr>
            </w:pPr>
            <w:r>
              <w:rPr>
                <w:szCs w:val="24"/>
              </w:rPr>
              <w:t>Environmental</w:t>
            </w:r>
          </w:p>
          <w:p w14:paraId="5FDEACFF">
            <w:pPr>
              <w:pStyle w:val="16"/>
              <w:spacing w:before="31" w:after="31"/>
              <w:ind w:firstLine="480"/>
              <w:rPr>
                <w:szCs w:val="24"/>
              </w:rPr>
            </w:pPr>
            <w:r>
              <w:rPr>
                <w:szCs w:val="24"/>
              </w:rPr>
              <w:t>Factors</w:t>
            </w:r>
          </w:p>
          <w:p w14:paraId="723F0FE9">
            <w:pPr>
              <w:pStyle w:val="16"/>
              <w:spacing w:before="31" w:after="31"/>
              <w:ind w:firstLine="0" w:firstLineChars="0"/>
              <w:jc w:val="center"/>
              <w:rPr>
                <w:rFonts w:cs="Times New Roman"/>
                <w:sz w:val="21"/>
                <w:szCs w:val="21"/>
              </w:rPr>
            </w:pPr>
          </w:p>
        </w:tc>
      </w:tr>
      <w:tr w14:paraId="13A71585">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905" w:type="dxa"/>
            <w:tcBorders>
              <w:top w:val="single" w:color="auto" w:sz="12" w:space="0"/>
              <w:left w:val="nil"/>
              <w:bottom w:val="nil"/>
              <w:right w:val="nil"/>
            </w:tcBorders>
            <w:vAlign w:val="center"/>
          </w:tcPr>
          <w:p w14:paraId="06FECC97">
            <w:pPr>
              <w:pStyle w:val="16"/>
              <w:spacing w:before="31" w:after="31"/>
              <w:ind w:firstLine="0" w:firstLineChars="0"/>
              <w:jc w:val="center"/>
              <w:rPr>
                <w:rFonts w:cs="Times New Roman"/>
                <w:sz w:val="21"/>
                <w:szCs w:val="21"/>
              </w:rPr>
            </w:pPr>
            <w:r>
              <w:rPr>
                <w:rFonts w:cs="Times New Roman"/>
                <w:sz w:val="21"/>
                <w:szCs w:val="21"/>
              </w:rPr>
              <w:t>1</w:t>
            </w:r>
          </w:p>
        </w:tc>
        <w:tc>
          <w:tcPr>
            <w:tcW w:w="3888" w:type="dxa"/>
            <w:tcBorders>
              <w:top w:val="single" w:color="auto" w:sz="12" w:space="0"/>
              <w:left w:val="nil"/>
              <w:bottom w:val="nil"/>
              <w:right w:val="nil"/>
            </w:tcBorders>
            <w:vAlign w:val="center"/>
          </w:tcPr>
          <w:p w14:paraId="77FB5F3F">
            <w:pPr>
              <w:pStyle w:val="16"/>
              <w:spacing w:before="31" w:after="31"/>
              <w:ind w:firstLine="0" w:firstLineChars="0"/>
              <w:jc w:val="left"/>
              <w:rPr>
                <w:rFonts w:cs="Times New Roman"/>
                <w:sz w:val="21"/>
                <w:szCs w:val="21"/>
              </w:rPr>
            </w:pPr>
            <w:r>
              <w:rPr>
                <w:rFonts w:hint="eastAsia"/>
                <w:szCs w:val="24"/>
              </w:rPr>
              <w:t>Fracture failure of TXJ3 electric locomotive gear</w:t>
            </w:r>
          </w:p>
        </w:tc>
        <w:tc>
          <w:tcPr>
            <w:tcW w:w="781" w:type="dxa"/>
            <w:tcBorders>
              <w:top w:val="single" w:color="auto" w:sz="12" w:space="0"/>
              <w:left w:val="nil"/>
              <w:bottom w:val="nil"/>
              <w:right w:val="nil"/>
            </w:tcBorders>
            <w:vAlign w:val="center"/>
          </w:tcPr>
          <w:p w14:paraId="0181DC0B">
            <w:pPr>
              <w:spacing w:line="312" w:lineRule="auto"/>
              <w:jc w:val="center"/>
              <w:rPr>
                <w:szCs w:val="21"/>
              </w:rPr>
            </w:pPr>
            <w:r>
              <w:rPr>
                <w:szCs w:val="21"/>
              </w:rPr>
              <w:t>√</w:t>
            </w:r>
          </w:p>
        </w:tc>
        <w:tc>
          <w:tcPr>
            <w:tcW w:w="890" w:type="dxa"/>
            <w:tcBorders>
              <w:top w:val="single" w:color="auto" w:sz="12" w:space="0"/>
              <w:left w:val="nil"/>
              <w:bottom w:val="nil"/>
              <w:right w:val="nil"/>
            </w:tcBorders>
            <w:vAlign w:val="center"/>
          </w:tcPr>
          <w:p w14:paraId="6DE331B0">
            <w:pPr>
              <w:pStyle w:val="16"/>
              <w:spacing w:before="31" w:after="31"/>
              <w:ind w:firstLine="0" w:firstLineChars="0"/>
              <w:jc w:val="center"/>
              <w:rPr>
                <w:rFonts w:cs="Times New Roman"/>
                <w:sz w:val="21"/>
                <w:szCs w:val="21"/>
              </w:rPr>
            </w:pPr>
            <w:r>
              <w:rPr>
                <w:szCs w:val="21"/>
              </w:rPr>
              <w:t>√</w:t>
            </w:r>
          </w:p>
        </w:tc>
        <w:tc>
          <w:tcPr>
            <w:tcW w:w="778" w:type="dxa"/>
            <w:tcBorders>
              <w:top w:val="single" w:color="auto" w:sz="12" w:space="0"/>
              <w:left w:val="nil"/>
              <w:bottom w:val="nil"/>
              <w:right w:val="nil"/>
            </w:tcBorders>
            <w:vAlign w:val="center"/>
          </w:tcPr>
          <w:p w14:paraId="3FF626C6">
            <w:pPr>
              <w:pStyle w:val="16"/>
              <w:spacing w:before="31" w:after="31"/>
              <w:ind w:firstLine="0" w:firstLineChars="0"/>
              <w:jc w:val="center"/>
              <w:rPr>
                <w:rFonts w:cs="Times New Roman"/>
                <w:sz w:val="21"/>
                <w:szCs w:val="21"/>
              </w:rPr>
            </w:pPr>
          </w:p>
        </w:tc>
        <w:tc>
          <w:tcPr>
            <w:tcW w:w="803" w:type="dxa"/>
            <w:tcBorders>
              <w:top w:val="single" w:color="auto" w:sz="12" w:space="0"/>
              <w:left w:val="nil"/>
              <w:bottom w:val="nil"/>
              <w:right w:val="nil"/>
            </w:tcBorders>
            <w:vAlign w:val="center"/>
          </w:tcPr>
          <w:p w14:paraId="613A4648">
            <w:pPr>
              <w:pStyle w:val="16"/>
              <w:spacing w:before="31" w:after="31"/>
              <w:ind w:firstLine="0" w:firstLineChars="0"/>
              <w:jc w:val="center"/>
              <w:rPr>
                <w:rFonts w:cs="Times New Roman"/>
                <w:sz w:val="21"/>
                <w:szCs w:val="21"/>
              </w:rPr>
            </w:pPr>
          </w:p>
        </w:tc>
      </w:tr>
      <w:tr w14:paraId="239317B6">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905" w:type="dxa"/>
            <w:tcBorders>
              <w:top w:val="nil"/>
              <w:left w:val="nil"/>
              <w:bottom w:val="nil"/>
              <w:right w:val="nil"/>
            </w:tcBorders>
            <w:vAlign w:val="center"/>
          </w:tcPr>
          <w:p w14:paraId="0BF14F3C">
            <w:pPr>
              <w:pStyle w:val="16"/>
              <w:spacing w:before="31" w:after="31"/>
              <w:ind w:firstLine="0" w:firstLineChars="0"/>
              <w:jc w:val="center"/>
              <w:rPr>
                <w:rFonts w:cs="Times New Roman"/>
                <w:sz w:val="21"/>
                <w:szCs w:val="21"/>
              </w:rPr>
            </w:pPr>
            <w:r>
              <w:rPr>
                <w:rFonts w:cs="Times New Roman"/>
                <w:sz w:val="21"/>
                <w:szCs w:val="21"/>
              </w:rPr>
              <w:t>2</w:t>
            </w:r>
          </w:p>
        </w:tc>
        <w:tc>
          <w:tcPr>
            <w:tcW w:w="3888" w:type="dxa"/>
            <w:tcBorders>
              <w:top w:val="nil"/>
              <w:left w:val="nil"/>
              <w:bottom w:val="nil"/>
              <w:right w:val="nil"/>
            </w:tcBorders>
            <w:vAlign w:val="center"/>
          </w:tcPr>
          <w:p w14:paraId="437961F3">
            <w:pPr>
              <w:pStyle w:val="16"/>
              <w:spacing w:before="31" w:after="31"/>
              <w:ind w:firstLine="0" w:firstLineChars="0"/>
              <w:jc w:val="left"/>
              <w:rPr>
                <w:rFonts w:cs="Times New Roman"/>
                <w:sz w:val="21"/>
                <w:szCs w:val="21"/>
              </w:rPr>
            </w:pPr>
            <w:r>
              <w:rPr>
                <w:rFonts w:hint="eastAsia"/>
                <w:szCs w:val="24"/>
              </w:rPr>
              <w:t>Wear failure of ZL50 loader</w:t>
            </w:r>
          </w:p>
        </w:tc>
        <w:tc>
          <w:tcPr>
            <w:tcW w:w="781" w:type="dxa"/>
            <w:tcBorders>
              <w:top w:val="nil"/>
              <w:left w:val="nil"/>
              <w:bottom w:val="nil"/>
              <w:right w:val="nil"/>
            </w:tcBorders>
            <w:vAlign w:val="center"/>
          </w:tcPr>
          <w:p w14:paraId="22AF871D">
            <w:pPr>
              <w:pStyle w:val="16"/>
              <w:spacing w:before="31" w:after="31"/>
              <w:ind w:firstLine="0" w:firstLineChars="0"/>
              <w:jc w:val="center"/>
              <w:rPr>
                <w:rFonts w:cs="Times New Roman"/>
                <w:sz w:val="21"/>
                <w:szCs w:val="21"/>
              </w:rPr>
            </w:pPr>
            <w:r>
              <w:rPr>
                <w:rFonts w:cs="Times New Roman"/>
                <w:sz w:val="21"/>
                <w:szCs w:val="21"/>
              </w:rPr>
              <w:t>√</w:t>
            </w:r>
          </w:p>
        </w:tc>
        <w:tc>
          <w:tcPr>
            <w:tcW w:w="890" w:type="dxa"/>
            <w:tcBorders>
              <w:top w:val="nil"/>
              <w:left w:val="nil"/>
              <w:bottom w:val="nil"/>
              <w:right w:val="nil"/>
            </w:tcBorders>
            <w:vAlign w:val="center"/>
          </w:tcPr>
          <w:p w14:paraId="42DF2339">
            <w:pPr>
              <w:pStyle w:val="16"/>
              <w:spacing w:before="31" w:after="31"/>
              <w:ind w:firstLine="0" w:firstLineChars="0"/>
              <w:jc w:val="center"/>
              <w:rPr>
                <w:rFonts w:cs="Times New Roman"/>
                <w:sz w:val="21"/>
                <w:szCs w:val="21"/>
              </w:rPr>
            </w:pPr>
          </w:p>
        </w:tc>
        <w:tc>
          <w:tcPr>
            <w:tcW w:w="778" w:type="dxa"/>
            <w:tcBorders>
              <w:top w:val="nil"/>
              <w:left w:val="nil"/>
              <w:bottom w:val="nil"/>
              <w:right w:val="nil"/>
            </w:tcBorders>
            <w:vAlign w:val="center"/>
          </w:tcPr>
          <w:p w14:paraId="05572AAF">
            <w:pPr>
              <w:pStyle w:val="16"/>
              <w:spacing w:before="31" w:after="31"/>
              <w:ind w:firstLine="0" w:firstLineChars="0"/>
              <w:jc w:val="center"/>
              <w:rPr>
                <w:rFonts w:cs="Times New Roman"/>
                <w:sz w:val="21"/>
                <w:szCs w:val="21"/>
              </w:rPr>
            </w:pPr>
          </w:p>
        </w:tc>
        <w:tc>
          <w:tcPr>
            <w:tcW w:w="803" w:type="dxa"/>
            <w:tcBorders>
              <w:top w:val="nil"/>
              <w:left w:val="nil"/>
              <w:bottom w:val="nil"/>
              <w:right w:val="nil"/>
            </w:tcBorders>
            <w:vAlign w:val="center"/>
          </w:tcPr>
          <w:p w14:paraId="7C0D4167">
            <w:pPr>
              <w:pStyle w:val="16"/>
              <w:spacing w:before="31" w:after="31"/>
              <w:ind w:firstLine="0" w:firstLineChars="0"/>
              <w:jc w:val="center"/>
              <w:rPr>
                <w:rFonts w:cs="Times New Roman"/>
                <w:sz w:val="21"/>
                <w:szCs w:val="21"/>
              </w:rPr>
            </w:pPr>
          </w:p>
        </w:tc>
      </w:tr>
      <w:tr w14:paraId="4C8CE018">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347" w:hRule="atLeast"/>
          <w:jc w:val="center"/>
        </w:trPr>
        <w:tc>
          <w:tcPr>
            <w:tcW w:w="905" w:type="dxa"/>
            <w:tcBorders>
              <w:top w:val="nil"/>
              <w:left w:val="nil"/>
              <w:bottom w:val="single" w:color="auto" w:sz="12" w:space="0"/>
              <w:right w:val="nil"/>
            </w:tcBorders>
            <w:vAlign w:val="center"/>
          </w:tcPr>
          <w:p w14:paraId="5D016E5E">
            <w:pPr>
              <w:pStyle w:val="16"/>
              <w:spacing w:before="31" w:after="31"/>
              <w:ind w:firstLine="0" w:firstLineChars="0"/>
              <w:jc w:val="center"/>
              <w:rPr>
                <w:rFonts w:cs="Times New Roman"/>
                <w:sz w:val="21"/>
                <w:szCs w:val="21"/>
              </w:rPr>
            </w:pPr>
            <w:r>
              <w:rPr>
                <w:rFonts w:cs="Times New Roman"/>
                <w:sz w:val="21"/>
                <w:szCs w:val="21"/>
              </w:rPr>
              <w:t>3</w:t>
            </w:r>
          </w:p>
        </w:tc>
        <w:tc>
          <w:tcPr>
            <w:tcW w:w="3888" w:type="dxa"/>
            <w:tcBorders>
              <w:top w:val="nil"/>
              <w:left w:val="nil"/>
              <w:bottom w:val="single" w:color="auto" w:sz="12" w:space="0"/>
              <w:right w:val="nil"/>
            </w:tcBorders>
            <w:vAlign w:val="center"/>
          </w:tcPr>
          <w:p w14:paraId="1AF3F068">
            <w:pPr>
              <w:pStyle w:val="16"/>
              <w:spacing w:before="31" w:after="31"/>
              <w:ind w:firstLine="0" w:firstLineChars="0"/>
              <w:jc w:val="left"/>
              <w:rPr>
                <w:rFonts w:cs="Times New Roman"/>
                <w:sz w:val="21"/>
                <w:szCs w:val="21"/>
                <w:vertAlign w:val="superscript"/>
              </w:rPr>
            </w:pPr>
            <w:r>
              <w:rPr>
                <w:rFonts w:hint="eastAsia"/>
                <w:szCs w:val="24"/>
              </w:rPr>
              <w:t>Frictional part failure accident in the radial gate bottom hinge of the ship lock[10]</w:t>
            </w:r>
            <w:r>
              <w:rPr>
                <w:rFonts w:hint="eastAsia"/>
                <w:szCs w:val="24"/>
              </w:rPr>
              <w:tab/>
            </w:r>
          </w:p>
        </w:tc>
        <w:tc>
          <w:tcPr>
            <w:tcW w:w="781" w:type="dxa"/>
            <w:tcBorders>
              <w:top w:val="nil"/>
              <w:left w:val="nil"/>
              <w:bottom w:val="single" w:color="auto" w:sz="12" w:space="0"/>
              <w:right w:val="nil"/>
            </w:tcBorders>
            <w:vAlign w:val="center"/>
          </w:tcPr>
          <w:p w14:paraId="1B5A7A9C">
            <w:pPr>
              <w:pStyle w:val="16"/>
              <w:spacing w:before="31" w:after="31"/>
              <w:ind w:firstLine="0" w:firstLineChars="0"/>
              <w:jc w:val="center"/>
              <w:rPr>
                <w:rFonts w:cs="Times New Roman"/>
                <w:sz w:val="21"/>
                <w:szCs w:val="21"/>
              </w:rPr>
            </w:pPr>
          </w:p>
        </w:tc>
        <w:tc>
          <w:tcPr>
            <w:tcW w:w="890" w:type="dxa"/>
            <w:tcBorders>
              <w:top w:val="nil"/>
              <w:left w:val="nil"/>
              <w:bottom w:val="single" w:color="auto" w:sz="12" w:space="0"/>
              <w:right w:val="nil"/>
            </w:tcBorders>
            <w:vAlign w:val="center"/>
          </w:tcPr>
          <w:p w14:paraId="791E6851">
            <w:pPr>
              <w:pStyle w:val="16"/>
              <w:spacing w:before="31" w:after="31"/>
              <w:ind w:firstLine="0" w:firstLineChars="0"/>
              <w:jc w:val="center"/>
              <w:rPr>
                <w:rFonts w:cs="Times New Roman"/>
                <w:sz w:val="21"/>
                <w:szCs w:val="21"/>
              </w:rPr>
            </w:pPr>
          </w:p>
        </w:tc>
        <w:tc>
          <w:tcPr>
            <w:tcW w:w="778" w:type="dxa"/>
            <w:tcBorders>
              <w:top w:val="nil"/>
              <w:left w:val="nil"/>
              <w:bottom w:val="single" w:color="auto" w:sz="12" w:space="0"/>
              <w:right w:val="nil"/>
            </w:tcBorders>
            <w:vAlign w:val="center"/>
          </w:tcPr>
          <w:p w14:paraId="1E94EDBA">
            <w:pPr>
              <w:pStyle w:val="16"/>
              <w:spacing w:before="31" w:after="31"/>
              <w:ind w:firstLine="0" w:firstLineChars="0"/>
              <w:jc w:val="center"/>
              <w:rPr>
                <w:rFonts w:cs="Times New Roman"/>
                <w:sz w:val="21"/>
                <w:szCs w:val="21"/>
              </w:rPr>
            </w:pPr>
            <w:r>
              <w:rPr>
                <w:rFonts w:cs="Times New Roman"/>
                <w:sz w:val="21"/>
                <w:szCs w:val="21"/>
              </w:rPr>
              <w:t>√</w:t>
            </w:r>
          </w:p>
        </w:tc>
        <w:tc>
          <w:tcPr>
            <w:tcW w:w="803" w:type="dxa"/>
            <w:tcBorders>
              <w:top w:val="nil"/>
              <w:left w:val="nil"/>
              <w:bottom w:val="single" w:color="auto" w:sz="12" w:space="0"/>
              <w:right w:val="nil"/>
            </w:tcBorders>
            <w:vAlign w:val="center"/>
          </w:tcPr>
          <w:p w14:paraId="5270CD9D">
            <w:pPr>
              <w:pStyle w:val="16"/>
              <w:spacing w:before="31" w:after="31"/>
              <w:ind w:firstLine="0" w:firstLineChars="0"/>
              <w:jc w:val="center"/>
              <w:rPr>
                <w:rFonts w:cs="Times New Roman"/>
                <w:sz w:val="21"/>
                <w:szCs w:val="21"/>
              </w:rPr>
            </w:pPr>
          </w:p>
        </w:tc>
      </w:tr>
    </w:tbl>
    <w:p w14:paraId="3359AF28">
      <w:pPr>
        <w:pStyle w:val="16"/>
        <w:spacing w:before="31" w:after="31"/>
        <w:ind w:firstLine="0" w:firstLineChars="0"/>
        <w:rPr>
          <w:rFonts w:hint="eastAsia"/>
          <w:szCs w:val="24"/>
        </w:rPr>
      </w:pPr>
    </w:p>
    <w:p w14:paraId="12A168AD">
      <w:pPr>
        <w:pStyle w:val="16"/>
        <w:spacing w:before="31" w:after="31"/>
        <w:ind w:firstLine="0" w:firstLineChars="0"/>
        <w:rPr>
          <w:b/>
          <w:bCs/>
          <w:szCs w:val="24"/>
        </w:rPr>
      </w:pPr>
      <w:r>
        <w:rPr>
          <w:b/>
          <w:bCs/>
          <w:szCs w:val="24"/>
        </w:rPr>
        <w:t>9.3.2 Current Status of Failure Incident Investigation</w:t>
      </w:r>
    </w:p>
    <w:p w14:paraId="553971D7">
      <w:pPr>
        <w:pStyle w:val="16"/>
        <w:spacing w:before="31" w:after="31"/>
        <w:ind w:firstLine="480"/>
        <w:rPr>
          <w:szCs w:val="24"/>
        </w:rPr>
      </w:pPr>
      <w:r>
        <w:rPr>
          <w:szCs w:val="24"/>
        </w:rPr>
        <w:t>The basic content of failure analysis is to "clearly analyze the object, determine the failure mode, study the failure mechanism, determine the failure cause, and propose improvement measures." In general, most failure cases can effectively summarize and analyze the failure causes of components and propose effective preventive and improvement measures. The main methods of failure analysis in cases include: case and failure process description, case analysis (macro-micro fracture analysis, metallographic structure, hardness testing, chemical composition, service environment, operating methods, etc.), conclusions, and recommendations. These cases mainly analyze the macro and micro morphology of the failed components. They also analyze the component's material composition, mechanical properties, corrosion products, etc., judging the main reasons for component failure and proposing improvement measures based on specific failure reasons. In addition, for special equipment cases, a comprehensive analysis of the overall reasons for component failure is conducted from the perspectives of usage environment, actual operation, and production management. Through specific case investigations and analyses, it is found that many cases focus on the analysis of post-failure parameters and morphology, but there are still some issues in the analysis work.</w:t>
      </w:r>
    </w:p>
    <w:p w14:paraId="17D11967">
      <w:pPr>
        <w:pStyle w:val="16"/>
        <w:spacing w:before="31" w:after="31"/>
        <w:ind w:firstLine="480"/>
        <w:rPr>
          <w:szCs w:val="24"/>
        </w:rPr>
      </w:pPr>
    </w:p>
    <w:p w14:paraId="4BC84528">
      <w:pPr>
        <w:pStyle w:val="16"/>
        <w:spacing w:before="31" w:after="31"/>
        <w:ind w:firstLine="480"/>
        <w:rPr>
          <w:szCs w:val="24"/>
        </w:rPr>
      </w:pPr>
      <w:r>
        <w:rPr>
          <w:szCs w:val="24"/>
        </w:rPr>
        <w:t>(1) Case analysis mainly focuses on the specific characteristics and main failure modes of individual cases. For cases where component fractures occur due to fatigue fracture, stress corrosion cracking, etc., comprehensive macro and micro analyses of the component's microscopic morphology and fracture are conducted. For failures and accidents caused by human operational errors, specific analyses of the unreasonable operations are provided. For failures and accidents caused by incorrect detection equipment or methods, detailed analyses of the unreasonable factors are also given. As failure is a complex process involving multiple factors, these localized analyses capture the core contradictions of equipment failure but lack specific data on various relevant factors leading to key failures, making it difficult to systematically sort out and analyze the various relationships affecting equipment failure during service.</w:t>
      </w:r>
    </w:p>
    <w:p w14:paraId="5D11E6F9">
      <w:pPr>
        <w:pStyle w:val="16"/>
        <w:spacing w:before="31" w:after="31"/>
        <w:ind w:firstLine="480"/>
        <w:rPr>
          <w:szCs w:val="24"/>
        </w:rPr>
      </w:pPr>
    </w:p>
    <w:p w14:paraId="12D6B753">
      <w:pPr>
        <w:pStyle w:val="16"/>
        <w:spacing w:before="31" w:after="31"/>
        <w:ind w:firstLine="480"/>
        <w:rPr>
          <w:szCs w:val="24"/>
        </w:rPr>
      </w:pPr>
      <w:r>
        <w:rPr>
          <w:szCs w:val="24"/>
        </w:rPr>
        <w:t>(2) Failure is closely related to the service environment. Most cases only provide specific locations of service, lacking a systematic description and analysis of the service environment, which is not conducive to a comprehensive and accurate understanding of the equipment's service environment.</w:t>
      </w:r>
    </w:p>
    <w:p w14:paraId="5243AEF6">
      <w:pPr>
        <w:pStyle w:val="16"/>
        <w:spacing w:before="31" w:after="31"/>
        <w:ind w:firstLine="480"/>
        <w:rPr>
          <w:szCs w:val="24"/>
        </w:rPr>
      </w:pPr>
    </w:p>
    <w:p w14:paraId="099BFBF9">
      <w:pPr>
        <w:pStyle w:val="16"/>
        <w:spacing w:before="31" w:after="31"/>
        <w:ind w:firstLine="480"/>
        <w:rPr>
          <w:szCs w:val="24"/>
        </w:rPr>
      </w:pPr>
      <w:r>
        <w:rPr>
          <w:szCs w:val="24"/>
        </w:rPr>
        <w:t>(3) For some special equipment, personnel's work status is a crucial factor affecting its service safety. In the analysis of personnel conditions, there is a lack of unified descriptions and standards.</w:t>
      </w:r>
    </w:p>
    <w:p w14:paraId="401E2273">
      <w:pPr>
        <w:pStyle w:val="16"/>
        <w:spacing w:before="31" w:after="31"/>
        <w:ind w:firstLine="480"/>
        <w:rPr>
          <w:szCs w:val="24"/>
        </w:rPr>
      </w:pPr>
    </w:p>
    <w:p w14:paraId="5F1C68F2">
      <w:pPr>
        <w:pStyle w:val="16"/>
        <w:spacing w:before="31" w:after="31"/>
        <w:ind w:firstLine="480"/>
        <w:rPr>
          <w:szCs w:val="24"/>
        </w:rPr>
      </w:pPr>
      <w:r>
        <w:rPr>
          <w:szCs w:val="24"/>
        </w:rPr>
        <w:t>(4) Due to the wide range of equipment involved in this field, the investigation work cannot cover all aspects of the field. Moreover, the investigation work relies mainly on public and written materials, and due to the gradual clarification and unification of the definition of the equipment manufacturing industry, there is a lack of unified and systematic investigation data.</w:t>
      </w:r>
    </w:p>
    <w:p w14:paraId="5FF2FD94">
      <w:pPr>
        <w:pStyle w:val="16"/>
        <w:spacing w:before="31" w:after="31"/>
        <w:ind w:firstLine="480"/>
        <w:rPr>
          <w:szCs w:val="24"/>
        </w:rPr>
      </w:pPr>
    </w:p>
    <w:p w14:paraId="5EF5A648">
      <w:pPr>
        <w:pStyle w:val="16"/>
        <w:spacing w:before="31" w:after="31"/>
        <w:ind w:firstLine="0" w:firstLineChars="0"/>
        <w:rPr>
          <w:szCs w:val="24"/>
        </w:rPr>
      </w:pPr>
      <w:r>
        <w:rPr>
          <w:szCs w:val="24"/>
        </w:rPr>
        <w:t>The purpose of the equipment manufacturing industry's engineering organization and material failure analysis is to identify the root causes of failures and formulate technical solutions or relevant technical standards to prevent similar failures, including design, material selection, production and manufacturing, usage, and maintenance throughout the entire lifecycle. Since there is a lack of a systematic description and analysis of the equipment's service lifecycle in the actual case analysis process, there is a lack of comprehensive references and guidance for refining safety technical solutions or relevant technical standards for key service processes of equipment. In the process of analyzing equipment failure cases, it is necessary to expand various service information of the equipment's lifecycle and conduct systematic analysis and research. This shift from post-failure analysis to preventive measures also requires a significant amount of work.</w:t>
      </w:r>
    </w:p>
    <w:p w14:paraId="0B6CB239">
      <w:pPr>
        <w:pStyle w:val="16"/>
        <w:spacing w:before="31" w:after="31"/>
        <w:ind w:firstLine="0" w:firstLineChars="0"/>
        <w:rPr>
          <w:szCs w:val="24"/>
        </w:rPr>
      </w:pPr>
    </w:p>
    <w:p w14:paraId="090EBF19">
      <w:pPr>
        <w:pStyle w:val="16"/>
        <w:spacing w:before="31" w:after="31"/>
        <w:ind w:firstLine="0" w:firstLineChars="0"/>
        <w:rPr>
          <w:b/>
          <w:bCs/>
          <w:szCs w:val="24"/>
        </w:rPr>
      </w:pPr>
      <w:r>
        <w:rPr>
          <w:b/>
          <w:bCs/>
          <w:szCs w:val="24"/>
        </w:rPr>
        <w:t>10. Hydraulic Engineering Failure Case Summary</w:t>
      </w:r>
    </w:p>
    <w:p w14:paraId="15C5E9DE">
      <w:pPr>
        <w:pStyle w:val="16"/>
        <w:spacing w:before="31" w:after="31"/>
        <w:ind w:firstLine="480"/>
        <w:rPr>
          <w:szCs w:val="24"/>
        </w:rPr>
      </w:pPr>
    </w:p>
    <w:p w14:paraId="64A99D92">
      <w:pPr>
        <w:pStyle w:val="16"/>
        <w:spacing w:before="31" w:after="31"/>
        <w:ind w:firstLine="480"/>
        <w:rPr>
          <w:szCs w:val="24"/>
        </w:rPr>
      </w:pPr>
      <w:r>
        <w:rPr>
          <w:szCs w:val="24"/>
        </w:rPr>
        <w:t>Over the past half century, China has constructed numerous hydraulic and hydroelectric projects, playing a significant role in flood control, power generation, irrigation, water supply, and navigation for the development of the national economy. Dams, as the main water-blocking structures, are crucial in forming reservoirs. China is a major dam construction country, with over 80,000 dam reservoirs, and a significant portion of them are high dams.</w:t>
      </w:r>
    </w:p>
    <w:p w14:paraId="5A0EE585">
      <w:pPr>
        <w:pStyle w:val="16"/>
        <w:spacing w:before="31" w:after="31"/>
        <w:ind w:firstLine="480"/>
        <w:rPr>
          <w:szCs w:val="24"/>
        </w:rPr>
      </w:pPr>
    </w:p>
    <w:p w14:paraId="08880659">
      <w:pPr>
        <w:pStyle w:val="16"/>
        <w:spacing w:before="31" w:after="31"/>
        <w:ind w:firstLine="480"/>
        <w:rPr>
          <w:szCs w:val="24"/>
        </w:rPr>
      </w:pPr>
      <w:r>
        <w:rPr>
          <w:szCs w:val="24"/>
        </w:rPr>
        <w:t>However, with the increasing number of new dams and the aging of existing dams, coupled with the rapid growth of populations and industrial facilities downstream of reservoirs, the risks associated with dams are becoming more significant. After years of operation, dams are continuously affected by harmful factors such as seepage, erosion, scouring, and freeze-thaw. They may also face damage from floods exceeding standards and earthquakes. The materials used in dam construction gradually age, reducing the dam's ability to withstand water and seepage pressures, significantly impacting the safety of dams. Especially for dams built in the 1960s-1970s, diseases are particularly severe, with issues such as cracks, erosion, freeze-thaw, temperature fatigue, and carbonation, with cracks being a major concern.</w:t>
      </w:r>
    </w:p>
    <w:p w14:paraId="65682E71">
      <w:pPr>
        <w:pStyle w:val="16"/>
        <w:spacing w:before="31" w:after="31"/>
        <w:ind w:firstLine="480"/>
        <w:rPr>
          <w:szCs w:val="24"/>
        </w:rPr>
      </w:pPr>
    </w:p>
    <w:p w14:paraId="68CA8209">
      <w:pPr>
        <w:pStyle w:val="16"/>
        <w:spacing w:before="31" w:after="31"/>
        <w:ind w:firstLine="480"/>
        <w:rPr>
          <w:szCs w:val="24"/>
        </w:rPr>
      </w:pPr>
      <w:r>
        <w:rPr>
          <w:szCs w:val="24"/>
        </w:rPr>
        <w:t>Once a dam failure occurs, it can cause serious losses to life and property downstream. Considering the widespread presence of dams in hydraulic engineering and their critical importance for safety, this project investigates various types of dams in the hydraulic and hydropower industry. The investigation focuses on cases where material failure leads to dam breaches, non-breaching accidents, and cases that pose a threat to dam safety.</w:t>
      </w:r>
    </w:p>
    <w:p w14:paraId="3BEB7D12">
      <w:pPr>
        <w:pStyle w:val="16"/>
        <w:spacing w:before="31" w:after="31"/>
        <w:ind w:firstLine="480"/>
        <w:rPr>
          <w:szCs w:val="24"/>
        </w:rPr>
      </w:pPr>
    </w:p>
    <w:p w14:paraId="5429E14C">
      <w:pPr>
        <w:pStyle w:val="16"/>
        <w:spacing w:before="31" w:after="31"/>
        <w:ind w:firstLine="480"/>
        <w:rPr>
          <w:szCs w:val="24"/>
        </w:rPr>
      </w:pPr>
      <w:r>
        <w:rPr>
          <w:szCs w:val="24"/>
        </w:rPr>
        <w:t>It is well-known that dams are a special type of structure with uniqueness demonstrated in three main aspects: 1) enormous investment and benefits, coupled with severe consequences of disasters after failures; 2) complexity in structure, boundary conditions, and operational environment; 3) empirical, uncertainty, and extensive involvement of design, construction, operation, and maintenance. Due to the destructive nature of dam failures, which often cannot be reproduced and have limited repetition, the on-site investigation of cases becomes challenging. Therefore, this project relies mainly on various literature sources for case investigation, as detailed in the results table in Section 10.</w:t>
      </w:r>
    </w:p>
    <w:p w14:paraId="65B4FE91">
      <w:pPr>
        <w:pStyle w:val="16"/>
        <w:spacing w:before="31" w:after="31"/>
        <w:ind w:firstLine="482"/>
        <w:jc w:val="center"/>
        <w:rPr>
          <w:b/>
          <w:bCs/>
          <w:szCs w:val="24"/>
        </w:rPr>
      </w:pPr>
    </w:p>
    <w:p w14:paraId="6B96F855">
      <w:pPr>
        <w:pStyle w:val="16"/>
        <w:spacing w:before="31" w:after="31"/>
        <w:ind w:firstLine="482"/>
        <w:jc w:val="center"/>
        <w:rPr>
          <w:b/>
          <w:bCs/>
          <w:szCs w:val="24"/>
        </w:rPr>
      </w:pPr>
      <w:r>
        <w:rPr>
          <w:b/>
          <w:bCs/>
          <w:szCs w:val="24"/>
        </w:rPr>
        <w:t>Table 10-1: Summary of Hydraulic Engineering Failure Case Investigations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7A6C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8622657">
            <w:pPr>
              <w:pStyle w:val="16"/>
              <w:spacing w:before="31" w:after="31"/>
              <w:ind w:firstLine="0" w:firstLineChars="0"/>
              <w:rPr>
                <w:szCs w:val="24"/>
              </w:rPr>
            </w:pPr>
            <w:r>
              <w:rPr>
                <w:szCs w:val="24"/>
              </w:rPr>
              <w:t>Achievements</w:t>
            </w:r>
          </w:p>
        </w:tc>
        <w:tc>
          <w:tcPr>
            <w:tcW w:w="2841" w:type="dxa"/>
          </w:tcPr>
          <w:p w14:paraId="0865A5FC">
            <w:pPr>
              <w:pStyle w:val="16"/>
              <w:spacing w:before="31" w:after="31"/>
              <w:ind w:firstLine="0" w:firstLineChars="0"/>
              <w:rPr>
                <w:szCs w:val="24"/>
              </w:rPr>
            </w:pPr>
            <w:r>
              <w:rPr>
                <w:szCs w:val="24"/>
              </w:rPr>
              <w:t>Hydraulic Engineering Industry</w:t>
            </w:r>
          </w:p>
        </w:tc>
        <w:tc>
          <w:tcPr>
            <w:tcW w:w="2841" w:type="dxa"/>
          </w:tcPr>
          <w:p w14:paraId="3E9D67E0">
            <w:pPr>
              <w:pStyle w:val="16"/>
              <w:spacing w:before="31" w:after="31"/>
              <w:ind w:firstLine="0" w:firstLineChars="0"/>
              <w:rPr>
                <w:szCs w:val="24"/>
              </w:rPr>
            </w:pPr>
            <w:r>
              <w:rPr>
                <w:szCs w:val="24"/>
              </w:rPr>
              <w:t>Total</w:t>
            </w:r>
          </w:p>
        </w:tc>
      </w:tr>
      <w:tr w14:paraId="16C12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324D3CE">
            <w:pPr>
              <w:pStyle w:val="16"/>
              <w:spacing w:before="31" w:after="31"/>
              <w:ind w:firstLine="0" w:firstLineChars="0"/>
              <w:rPr>
                <w:szCs w:val="24"/>
              </w:rPr>
            </w:pPr>
            <w:r>
              <w:rPr>
                <w:szCs w:val="24"/>
              </w:rPr>
              <w:t>Number of Cases</w:t>
            </w:r>
          </w:p>
        </w:tc>
        <w:tc>
          <w:tcPr>
            <w:tcW w:w="2841" w:type="dxa"/>
          </w:tcPr>
          <w:p w14:paraId="06DE5351">
            <w:pPr>
              <w:pStyle w:val="16"/>
              <w:spacing w:before="31" w:after="31"/>
              <w:ind w:firstLine="0" w:firstLineChars="0"/>
              <w:rPr>
                <w:szCs w:val="24"/>
              </w:rPr>
            </w:pPr>
            <w:r>
              <w:rPr>
                <w:szCs w:val="24"/>
              </w:rPr>
              <w:t>10</w:t>
            </w:r>
          </w:p>
        </w:tc>
        <w:tc>
          <w:tcPr>
            <w:tcW w:w="2841" w:type="dxa"/>
          </w:tcPr>
          <w:p w14:paraId="1A2EF6DC">
            <w:pPr>
              <w:pStyle w:val="16"/>
              <w:spacing w:before="31" w:after="31"/>
              <w:ind w:firstLine="0" w:firstLineChars="0"/>
              <w:rPr>
                <w:szCs w:val="24"/>
              </w:rPr>
            </w:pPr>
            <w:r>
              <w:rPr>
                <w:szCs w:val="24"/>
              </w:rPr>
              <w:t>10</w:t>
            </w:r>
          </w:p>
        </w:tc>
      </w:tr>
      <w:tr w14:paraId="41C81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AAB9087">
            <w:pPr>
              <w:pStyle w:val="16"/>
              <w:spacing w:before="31" w:after="31"/>
              <w:ind w:firstLine="0" w:firstLineChars="0"/>
              <w:rPr>
                <w:szCs w:val="24"/>
              </w:rPr>
            </w:pPr>
            <w:r>
              <w:rPr>
                <w:szCs w:val="24"/>
              </w:rPr>
              <w:t>Image Data</w:t>
            </w:r>
          </w:p>
        </w:tc>
        <w:tc>
          <w:tcPr>
            <w:tcW w:w="2841" w:type="dxa"/>
          </w:tcPr>
          <w:p w14:paraId="72D4360D">
            <w:pPr>
              <w:pStyle w:val="16"/>
              <w:spacing w:before="31" w:after="31"/>
              <w:ind w:firstLine="0" w:firstLineChars="0"/>
              <w:rPr>
                <w:szCs w:val="24"/>
              </w:rPr>
            </w:pPr>
            <w:r>
              <w:rPr>
                <w:szCs w:val="24"/>
              </w:rPr>
              <w:t>13</w:t>
            </w:r>
          </w:p>
        </w:tc>
        <w:tc>
          <w:tcPr>
            <w:tcW w:w="2841" w:type="dxa"/>
          </w:tcPr>
          <w:p w14:paraId="522A749A">
            <w:pPr>
              <w:pStyle w:val="16"/>
              <w:spacing w:before="31" w:after="31"/>
              <w:ind w:firstLine="0" w:firstLineChars="0"/>
              <w:rPr>
                <w:szCs w:val="24"/>
              </w:rPr>
            </w:pPr>
            <w:r>
              <w:rPr>
                <w:szCs w:val="24"/>
              </w:rPr>
              <w:t>13</w:t>
            </w:r>
          </w:p>
        </w:tc>
      </w:tr>
      <w:tr w14:paraId="7EEA3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41CD528">
            <w:pPr>
              <w:pStyle w:val="16"/>
              <w:spacing w:before="31" w:after="31"/>
              <w:ind w:firstLine="0" w:firstLineChars="0"/>
              <w:rPr>
                <w:szCs w:val="24"/>
              </w:rPr>
            </w:pPr>
            <w:r>
              <w:rPr>
                <w:szCs w:val="24"/>
              </w:rPr>
              <w:t>Number of References</w:t>
            </w:r>
          </w:p>
        </w:tc>
        <w:tc>
          <w:tcPr>
            <w:tcW w:w="2841" w:type="dxa"/>
          </w:tcPr>
          <w:p w14:paraId="512A3579">
            <w:pPr>
              <w:pStyle w:val="16"/>
              <w:spacing w:before="31" w:after="31"/>
              <w:ind w:firstLine="0" w:firstLineChars="0"/>
              <w:rPr>
                <w:szCs w:val="24"/>
              </w:rPr>
            </w:pPr>
            <w:r>
              <w:rPr>
                <w:szCs w:val="24"/>
              </w:rPr>
              <w:t>28</w:t>
            </w:r>
          </w:p>
        </w:tc>
        <w:tc>
          <w:tcPr>
            <w:tcW w:w="2841" w:type="dxa"/>
          </w:tcPr>
          <w:p w14:paraId="5B5249E8">
            <w:pPr>
              <w:pStyle w:val="16"/>
              <w:spacing w:before="31" w:after="31"/>
              <w:ind w:firstLine="0" w:firstLineChars="0"/>
              <w:rPr>
                <w:szCs w:val="24"/>
              </w:rPr>
            </w:pPr>
            <w:r>
              <w:rPr>
                <w:szCs w:val="24"/>
              </w:rPr>
              <w:t>28</w:t>
            </w:r>
          </w:p>
        </w:tc>
      </w:tr>
    </w:tbl>
    <w:p w14:paraId="4FF05C9C">
      <w:pPr>
        <w:pStyle w:val="16"/>
        <w:spacing w:before="31" w:after="31"/>
        <w:ind w:firstLine="0" w:firstLineChars="0"/>
        <w:rPr>
          <w:b/>
          <w:bCs/>
          <w:szCs w:val="24"/>
        </w:rPr>
      </w:pPr>
      <w:r>
        <w:rPr>
          <w:b/>
          <w:bCs/>
          <w:szCs w:val="24"/>
        </w:rPr>
        <w:t>10.1 Common Failure Locations</w:t>
      </w:r>
    </w:p>
    <w:p w14:paraId="531DADA1">
      <w:pPr>
        <w:pStyle w:val="16"/>
        <w:spacing w:before="31" w:after="31"/>
        <w:ind w:firstLine="480"/>
        <w:rPr>
          <w:szCs w:val="24"/>
        </w:rPr>
      </w:pPr>
      <w:r>
        <w:rPr>
          <w:szCs w:val="24"/>
        </w:rPr>
        <w:t>(1) Dam Body</w:t>
      </w:r>
    </w:p>
    <w:p w14:paraId="349AD4FA">
      <w:pPr>
        <w:pStyle w:val="16"/>
        <w:spacing w:before="31" w:after="31"/>
        <w:ind w:firstLine="480"/>
        <w:rPr>
          <w:szCs w:val="24"/>
        </w:rPr>
      </w:pPr>
      <w:r>
        <w:rPr>
          <w:szCs w:val="24"/>
        </w:rPr>
        <w:t>The water-blocking structure, such as a dam, is designed to block or restrain water flow, elevate or regulate upstream water levels. According to statistics from medium-sized reservoirs in China from 1954 to 2003, there have been 3,484 dam breaches, including 2 large reservoirs, 126 medium-sized reservoirs, 674 small (1) reservoirs, and 2,682 small (2) reservoirs. Besides dam breaches, numerous non-breaching incidents have occurred in China's dam reservoirs.</w:t>
      </w:r>
    </w:p>
    <w:p w14:paraId="32E94C58">
      <w:pPr>
        <w:pStyle w:val="16"/>
        <w:spacing w:before="31" w:after="31"/>
        <w:ind w:firstLine="480"/>
        <w:rPr>
          <w:szCs w:val="24"/>
        </w:rPr>
      </w:pPr>
    </w:p>
    <w:p w14:paraId="3B22976C">
      <w:pPr>
        <w:pStyle w:val="16"/>
        <w:spacing w:before="31" w:after="31"/>
        <w:ind w:firstLine="480"/>
        <w:rPr>
          <w:szCs w:val="24"/>
        </w:rPr>
      </w:pPr>
      <w:r>
        <w:rPr>
          <w:szCs w:val="24"/>
        </w:rPr>
        <w:t>Dam body failure is one of the main factors leading to dam breaches and non-breaching accidents. Common dam body failure modes include collapse, landslide, cracks, and leakage. Dam body landslides account for 3.3% of total dam breach accidents, while dam body collapses account for 0.45% of dam breach accidents. In non-breaching accidents, dam body cracks account for 14%, dam body leakage for 6.7%, dam body landslides for 5.3%, and collapses for 2.5%.</w:t>
      </w:r>
    </w:p>
    <w:p w14:paraId="3917E0B4">
      <w:pPr>
        <w:pStyle w:val="16"/>
        <w:spacing w:before="31" w:after="31"/>
        <w:ind w:firstLine="480"/>
        <w:rPr>
          <w:szCs w:val="24"/>
        </w:rPr>
      </w:pPr>
    </w:p>
    <w:p w14:paraId="64142464">
      <w:pPr>
        <w:pStyle w:val="16"/>
        <w:spacing w:before="31" w:after="31"/>
        <w:ind w:firstLine="480"/>
        <w:rPr>
          <w:szCs w:val="24"/>
        </w:rPr>
      </w:pPr>
      <w:r>
        <w:rPr>
          <w:szCs w:val="24"/>
        </w:rPr>
        <w:t>According to the results of the first round of regular inspections of 96 dams in hydropower stations by the power sector, dams built in the 1960s-1970s suffered severe diseases for various reasons. High concrete dams mainly suffer from diseases such as cracks, erosion, freeze-thaw, temperature fatigue, and carbonation, with cracks being particularly prevalent. Dam body cracks, affecting the integrity and durability of the dam body, account for 28.11% of disease-prone dams. Low-strength concrete, severe damage from freeze-thaw, and deep erosion or carbonation in the surface concrete layer have caused significant erosion accidents during flood discharge. Such failures account for 4.01% of disease-prone dams. The structural strength of the dam body does not meet requirements, resulting in excessive tensile and compressive stresses under the design load combination, accounting for 4.016% of disease-prone dams.</w:t>
      </w:r>
    </w:p>
    <w:p w14:paraId="73C509B6">
      <w:pPr>
        <w:pStyle w:val="16"/>
        <w:spacing w:before="31" w:after="31"/>
        <w:ind w:firstLine="480"/>
        <w:rPr>
          <w:szCs w:val="24"/>
        </w:rPr>
      </w:pPr>
    </w:p>
    <w:p w14:paraId="69126ED8">
      <w:pPr>
        <w:pStyle w:val="16"/>
        <w:spacing w:before="31" w:after="31"/>
        <w:ind w:firstLine="480"/>
        <w:rPr>
          <w:szCs w:val="24"/>
        </w:rPr>
      </w:pPr>
      <w:r>
        <w:rPr>
          <w:szCs w:val="24"/>
        </w:rPr>
        <w:t>(2) Spillway Structures</w:t>
      </w:r>
    </w:p>
    <w:p w14:paraId="03334BAF">
      <w:pPr>
        <w:pStyle w:val="16"/>
        <w:spacing w:before="31" w:after="31"/>
        <w:ind w:firstLine="480"/>
        <w:rPr>
          <w:szCs w:val="24"/>
        </w:rPr>
      </w:pPr>
      <w:r>
        <w:rPr>
          <w:szCs w:val="24"/>
        </w:rPr>
        <w:t>Spillway structures include overflow dams, spillways, flood tunnels, spillway holes, and spillway gates, generally made of concrete or reinforced concrete. They are essential hydraulic structures for ensuring the safety of hydraulic and hydroelectric hubs and their upstream and downstream areas.</w:t>
      </w:r>
    </w:p>
    <w:p w14:paraId="61EB2BAC">
      <w:pPr>
        <w:pStyle w:val="16"/>
        <w:spacing w:before="31" w:after="31"/>
        <w:ind w:firstLine="480"/>
        <w:rPr>
          <w:szCs w:val="24"/>
        </w:rPr>
      </w:pPr>
    </w:p>
    <w:p w14:paraId="15F7610C">
      <w:pPr>
        <w:pStyle w:val="16"/>
        <w:spacing w:before="31" w:after="31"/>
        <w:ind w:firstLine="480"/>
        <w:rPr>
          <w:szCs w:val="24"/>
        </w:rPr>
      </w:pPr>
      <w:r>
        <w:rPr>
          <w:szCs w:val="24"/>
        </w:rPr>
        <w:t>During overflow discharge, spillway structures are exposed to high-speed water flow and the effects of sediment, ice, and floating objects carried by the water. This exposure may lead to cavitation, abrasion, erosion, and other damage. Additionally, the structures may be affected by weathering factors such as dry-wet, hot-cold, freeze-thaw, expansion-contraction, and chemical changes.</w:t>
      </w:r>
    </w:p>
    <w:p w14:paraId="4E52C1A1">
      <w:pPr>
        <w:pStyle w:val="16"/>
        <w:spacing w:before="31" w:after="31"/>
        <w:ind w:firstLine="480"/>
        <w:rPr>
          <w:szCs w:val="24"/>
        </w:rPr>
      </w:pPr>
    </w:p>
    <w:p w14:paraId="57DB2723">
      <w:pPr>
        <w:pStyle w:val="16"/>
        <w:spacing w:before="31" w:after="31"/>
        <w:ind w:firstLine="480"/>
        <w:rPr>
          <w:szCs w:val="24"/>
        </w:rPr>
      </w:pPr>
      <w:r>
        <w:rPr>
          <w:szCs w:val="24"/>
        </w:rPr>
        <w:t>Erosion and cavitation damage to spillway structures are severe, with some dams experiencing erosion pits behind the dam that affect the stability of the dam body. Erosion failure of spillway structures accounts for 11.2% of non-breaching accidents, while cavitation damage accounts for 3.0%. According to the statistics of the first round of regular inspections of 96 dams in hydropower stations by the power sector, the failure of spillway structures accounts for 9.24%.</w:t>
      </w:r>
    </w:p>
    <w:p w14:paraId="0D7947E7">
      <w:pPr>
        <w:pStyle w:val="16"/>
        <w:spacing w:before="31" w:after="31"/>
        <w:ind w:firstLine="480"/>
        <w:rPr>
          <w:szCs w:val="24"/>
        </w:rPr>
      </w:pPr>
    </w:p>
    <w:p w14:paraId="00C828C3">
      <w:pPr>
        <w:pStyle w:val="16"/>
        <w:spacing w:before="31" w:after="31"/>
        <w:ind w:firstLine="480"/>
        <w:rPr>
          <w:szCs w:val="24"/>
        </w:rPr>
      </w:pPr>
      <w:r>
        <w:rPr>
          <w:szCs w:val="24"/>
        </w:rPr>
        <w:t>In dam breach accidents, failure of spillways accounts for 6.2%, failure of flood tunnels accounts for 0.15%, and failure of culverts accounts for 5.0%. Defects in water gate structures and opening-closing devices are significant, with some no longer able to block water or operate normally, affecting the safety of flood control. The proportion of failure in the grooves and opening-closing devices of spillway structures in disease-prone dams is 10.84%. In non-breaching accidents, the proportion of gate failure is 4.8%.</w:t>
      </w:r>
    </w:p>
    <w:p w14:paraId="20DD8C6F">
      <w:pPr>
        <w:pStyle w:val="16"/>
        <w:spacing w:before="31" w:after="31"/>
        <w:ind w:firstLine="0" w:firstLineChars="0"/>
        <w:rPr>
          <w:b/>
          <w:bCs/>
          <w:szCs w:val="24"/>
        </w:rPr>
      </w:pPr>
      <w:r>
        <w:rPr>
          <w:b/>
          <w:bCs/>
          <w:szCs w:val="24"/>
        </w:rPr>
        <w:t>10.2 Failure Cases</w:t>
      </w:r>
    </w:p>
    <w:p w14:paraId="64477F4B">
      <w:pPr>
        <w:pStyle w:val="16"/>
        <w:spacing w:before="31" w:after="31"/>
        <w:ind w:firstLine="0" w:firstLineChars="0"/>
        <w:rPr>
          <w:b/>
          <w:bCs/>
          <w:szCs w:val="24"/>
        </w:rPr>
      </w:pPr>
      <w:r>
        <w:rPr>
          <w:b/>
          <w:bCs/>
          <w:szCs w:val="24"/>
        </w:rPr>
        <w:t>10.2.1 Case 10-1: Flooding and Destruction of the Fullness Hydropower Station Dam Overflow Surface</w:t>
      </w:r>
    </w:p>
    <w:p w14:paraId="25EB5DD4">
      <w:pPr>
        <w:pStyle w:val="16"/>
        <w:spacing w:before="31" w:after="31"/>
        <w:ind w:firstLine="480"/>
        <w:rPr>
          <w:szCs w:val="24"/>
        </w:rPr>
      </w:pPr>
      <w:r>
        <w:rPr>
          <w:szCs w:val="24"/>
        </w:rPr>
        <w:t>(1) Case Name</w:t>
      </w:r>
    </w:p>
    <w:p w14:paraId="517B51FA">
      <w:pPr>
        <w:pStyle w:val="16"/>
        <w:spacing w:before="31" w:after="31"/>
        <w:ind w:firstLine="480"/>
        <w:rPr>
          <w:szCs w:val="24"/>
        </w:rPr>
      </w:pPr>
      <w:r>
        <w:rPr>
          <w:szCs w:val="24"/>
        </w:rPr>
        <w:t>Fullness Hydropower Station Dam Overflow Surface Destruction [4~10]</w:t>
      </w:r>
    </w:p>
    <w:p w14:paraId="0304B3FF">
      <w:pPr>
        <w:pStyle w:val="16"/>
        <w:spacing w:before="31" w:after="31"/>
        <w:ind w:firstLine="480"/>
        <w:rPr>
          <w:szCs w:val="24"/>
        </w:rPr>
      </w:pPr>
      <w:r>
        <w:rPr>
          <w:szCs w:val="24"/>
        </w:rPr>
        <w:t>(2) Description of Failure Process</w:t>
      </w:r>
    </w:p>
    <w:p w14:paraId="6679FEBF">
      <w:pPr>
        <w:pStyle w:val="16"/>
        <w:spacing w:before="31" w:after="31"/>
        <w:ind w:firstLine="480"/>
        <w:rPr>
          <w:szCs w:val="24"/>
        </w:rPr>
      </w:pPr>
      <w:r>
        <w:rPr>
          <w:szCs w:val="24"/>
        </w:rPr>
        <w:t>In 1986, a flood occurred in the Ersong River Basin. On August 7, during the dam's flood discharge, the overflow surface of dam sections 12-13 was destroyed, with an area of 1091 m2. The damage started with large chunks of concrete being lifted and washed away, followed by localized scouring. The washed away concrete amounted to 1917 m3, creating a crater 22m wide, 19m long, and 2-3m deep. The overflow surface suffered severe damage, and the gates were forced to close half an hour after the release began.</w:t>
      </w:r>
    </w:p>
    <w:p w14:paraId="712EDFAB">
      <w:pPr>
        <w:pStyle w:val="16"/>
        <w:spacing w:before="31" w:after="31"/>
        <w:ind w:firstLine="480"/>
        <w:rPr>
          <w:szCs w:val="24"/>
        </w:rPr>
      </w:pPr>
      <w:r>
        <w:rPr>
          <w:szCs w:val="24"/>
        </w:rPr>
        <w:t>(3) Dam in Service Environment</w:t>
      </w:r>
    </w:p>
    <w:p w14:paraId="2E47A4C0">
      <w:pPr>
        <w:pStyle w:val="16"/>
        <w:spacing w:before="31" w:after="31"/>
        <w:ind w:firstLine="480"/>
        <w:rPr>
          <w:szCs w:val="24"/>
        </w:rPr>
      </w:pPr>
      <w:r>
        <w:rPr>
          <w:szCs w:val="24"/>
        </w:rPr>
        <w:t>The project is located in a severe cold region with an average freezing period of 160 days per year. The freezing-thawing cycle counter determined the number of annual freezing-thawing cycles at various parts of the dam: 132 cycles on the upstream surface, 21 cycles on the downstream surface, 44 cycles on the dam's crest, and 258 cycles in the water level fluctuation zone of the tailwater gate pier. Temperature sensors were installed inside the dam to measure the temperature distribution, revealing a negative temperature zone about 7m deep at the dam crest and about 4m deep on the downstream surface. The water level in front of the dam fluctuated about 9m within the year, with a multi-year fluctuation of 19m and a maximum deviation of 36.3m.</w:t>
      </w:r>
    </w:p>
    <w:p w14:paraId="0D881685">
      <w:pPr>
        <w:pStyle w:val="16"/>
        <w:spacing w:before="31" w:after="31"/>
        <w:ind w:firstLine="480"/>
        <w:rPr>
          <w:szCs w:val="24"/>
        </w:rPr>
      </w:pPr>
      <w:r>
        <w:rPr>
          <w:szCs w:val="24"/>
        </w:rPr>
        <w:t>(4) Failure Locations</w:t>
      </w:r>
    </w:p>
    <w:p w14:paraId="38D4ABB5">
      <w:pPr>
        <w:pStyle w:val="16"/>
        <w:spacing w:before="31" w:after="31"/>
        <w:ind w:firstLine="480"/>
        <w:rPr>
          <w:szCs w:val="24"/>
        </w:rPr>
      </w:pPr>
      <w:r>
        <w:rPr>
          <w:szCs w:val="24"/>
        </w:rPr>
        <w:t>In 1981, about 40m3 of concrete was scoured during flood discharge, with a maximum scour depth of 50cm. Due to the timely closure of the gates, extensive erosion did not occur, but severe cracking was observed in some parts of the overflow surface, as shown in Figure 10-1.1. The crater formed during the erosion had a hard shell of concrete around 1m thick, underneath which was a layer of loosely damaged concrete. Wide parallel cracks were present on the dam surface, and the inner loose concrete on both sides of the crater was washed away, creating an inverted shape. The cavity below could accommodate a person, and steel reinforcements were exposed beneath the hard shell.</w:t>
      </w:r>
    </w:p>
    <w:p w14:paraId="51CC0BDB">
      <w:pPr>
        <w:pStyle w:val="16"/>
        <w:spacing w:before="31" w:after="31"/>
        <w:ind w:firstLine="480"/>
        <w:rPr>
          <w:szCs w:val="24"/>
        </w:rPr>
      </w:pPr>
    </w:p>
    <w:p w14:paraId="1BEFA6E1">
      <w:pPr>
        <w:pStyle w:val="16"/>
        <w:spacing w:before="31" w:after="31"/>
        <w:ind w:firstLine="480"/>
        <w:rPr>
          <w:szCs w:val="24"/>
        </w:rPr>
      </w:pPr>
      <w:r>
        <w:rPr>
          <w:szCs w:val="24"/>
        </w:rPr>
        <w:t>The Fullness Dam was built during the Japanese occupation period and, due to historical reasons, suffered from poor construction quality. The dam's internal structure generally had low-strength concrete, untreated horizontal construction joints, numerous cracks, and cavities, leading to severe water seepage and erosion of the concrete.</w:t>
      </w:r>
    </w:p>
    <w:p w14:paraId="53E1C2CE">
      <w:pPr>
        <w:pStyle w:val="16"/>
        <w:spacing w:before="31" w:after="31"/>
        <w:ind w:firstLine="480"/>
        <w:rPr>
          <w:szCs w:val="24"/>
        </w:rPr>
      </w:pPr>
    </w:p>
    <w:p w14:paraId="16FB341A">
      <w:pPr>
        <w:pStyle w:val="16"/>
        <w:spacing w:before="31" w:after="31"/>
        <w:ind w:firstLine="480"/>
        <w:rPr>
          <w:szCs w:val="24"/>
        </w:rPr>
      </w:pPr>
      <w:r>
        <w:rPr>
          <w:szCs w:val="24"/>
        </w:rPr>
        <w:t>Because the project was in a severe cold region, the dam's concrete suffered extensive freeze-thaw damage. Multiple investigations on freeze-thaw damage were conducted over the years. In 1950, an area of 460m2 above an elevation of 246m on the upstream surface experienced freeze-thaw damage. In 1963, the damaged area above an elevation of 238m amounted to 8,838m2, accounting for 30% of the surveyed area. Areas with concrete spalling deeper than 10cm covered 3,300m2, with a maximum depth of 80-100cm. The most severe damage occurred in the water level fluctuation zone between 248m and 260m. The downstream surface suffered 6,600m2 of damage, representing half of the surveyed area, with typical damage depths ranging from 20-40cm. Some areas had vegetation growth. In 1970, the damaged area on the upstream surface was 4,071.72m2, including 965.57m2 of honeycomb concrete and 27 deep holes with depths of 30-60cm. In 1984, at elevation 200m on overflow surface 18, steel reinforcements were exposed, and a crater 17cm deep was formed. At elevation 204-206m on overflow surface 14, steel reinforcements were washed away, forming a crater 30cm deep. In 1986, the downstream surface suffered damage covering an area of 13,000m2. The dam crest, barrier concrete, and upper inspection corridor concrete also exhibited widespread surface loosening and spalling.</w:t>
      </w:r>
    </w:p>
    <w:p w14:paraId="34C5EBA1">
      <w:pPr>
        <w:pStyle w:val="16"/>
        <w:spacing w:before="31" w:after="31"/>
        <w:ind w:firstLine="482"/>
        <w:jc w:val="center"/>
        <w:rPr>
          <w:b/>
          <w:bCs/>
          <w:szCs w:val="24"/>
        </w:rPr>
      </w:pPr>
      <w:r>
        <w:rPr>
          <w:b/>
          <w:bCs/>
          <w:szCs w:val="24"/>
        </w:rPr>
        <w:t>Figure 10-1.1: Damage to the Fullness Dam Overflow Surface [7]</w:t>
      </w:r>
    </w:p>
    <w:p w14:paraId="27ED54D5">
      <w:pPr>
        <w:pStyle w:val="16"/>
        <w:spacing w:before="31" w:after="31"/>
        <w:ind w:firstLine="480"/>
        <w:rPr>
          <w:szCs w:val="24"/>
        </w:rPr>
      </w:pPr>
    </w:p>
    <w:p w14:paraId="56DC44F2">
      <w:pPr>
        <w:pStyle w:val="16"/>
        <w:spacing w:before="31" w:after="31"/>
        <w:ind w:firstLine="480"/>
        <w:rPr>
          <w:szCs w:val="24"/>
        </w:rPr>
      </w:pPr>
      <w:r>
        <w:rPr>
          <w:szCs w:val="24"/>
        </w:rPr>
        <w:t>The Fullness Dam also suffered from deep frost heave damage. Water infiltrated the concrete through pores or cracks, and the expansion during freezing caused the components of the concrete to separate or the cracks to widen. Three forms of frost heave damage were identified: deep frost heave damage on the overflow surface, upward frost heave on the dam crest, and horizontal construction joint frost heave cracking. Deep concrete frost heave on the overflow surface resulted in layered cracks parallel to the overflow surface, with the lowest cracks being 112-215cm from the surface. These cracks generally raised the entire overflow surface, with sections 12-15 being the most severely affected, reaching a maximum elevation increase of 48cm, and the middle of the bulge breaking into 10mm cracks.</w:t>
      </w:r>
    </w:p>
    <w:p w14:paraId="5B4DE263">
      <w:pPr>
        <w:pStyle w:val="16"/>
        <w:spacing w:before="31" w:after="31"/>
        <w:ind w:firstLine="480"/>
        <w:rPr>
          <w:szCs w:val="24"/>
        </w:rPr>
      </w:pPr>
    </w:p>
    <w:p w14:paraId="55F2CE13">
      <w:pPr>
        <w:pStyle w:val="16"/>
        <w:spacing w:before="31" w:after="31"/>
        <w:ind w:firstLine="480"/>
        <w:rPr>
          <w:szCs w:val="24"/>
        </w:rPr>
      </w:pPr>
      <w:r>
        <w:rPr>
          <w:szCs w:val="24"/>
        </w:rPr>
        <w:t>(5) Analysis of Failure Causes</w:t>
      </w:r>
    </w:p>
    <w:p w14:paraId="5ED88E22">
      <w:pPr>
        <w:pStyle w:val="16"/>
        <w:spacing w:before="31" w:after="31"/>
        <w:ind w:firstLine="480"/>
        <w:rPr>
          <w:szCs w:val="24"/>
        </w:rPr>
      </w:pPr>
      <w:r>
        <w:rPr>
          <w:szCs w:val="24"/>
        </w:rPr>
        <w:t>The dam's poor construction quality, low concrete strength, and inherent deficiencies in stability and integrity were identified as serious inherent issues. Situated in the cold northeastern region, the dam had been in operation for over 50 years. Long-term weathering, freeze-thaw cycles, frost heave, water seepage, and erosion had severely deteriorated the dam, despite continuous maintenance efforts. Visible bulges and cracks were observed on the overflow surface during dam operation.</w:t>
      </w:r>
    </w:p>
    <w:p w14:paraId="34D1A963">
      <w:pPr>
        <w:pStyle w:val="16"/>
        <w:spacing w:before="31" w:after="31"/>
        <w:ind w:firstLine="480"/>
        <w:rPr>
          <w:szCs w:val="24"/>
        </w:rPr>
      </w:pPr>
    </w:p>
    <w:p w14:paraId="6A5BF82E">
      <w:pPr>
        <w:pStyle w:val="16"/>
        <w:spacing w:before="31" w:after="31"/>
        <w:ind w:firstLine="480"/>
        <w:rPr>
          <w:szCs w:val="24"/>
        </w:rPr>
      </w:pPr>
      <w:r>
        <w:rPr>
          <w:szCs w:val="24"/>
        </w:rPr>
        <w:t>The analysis concluded that the Fullness Dam's low-quality concrete and severe freeze-thaw damage were the main causes of the extensive damage during the overflow.</w:t>
      </w:r>
    </w:p>
    <w:p w14:paraId="654CE5E9">
      <w:pPr>
        <w:pStyle w:val="16"/>
        <w:spacing w:before="31" w:after="31"/>
        <w:ind w:firstLine="480"/>
        <w:rPr>
          <w:szCs w:val="24"/>
        </w:rPr>
      </w:pPr>
    </w:p>
    <w:p w14:paraId="521CF662">
      <w:pPr>
        <w:pStyle w:val="16"/>
        <w:spacing w:before="31" w:after="31"/>
        <w:ind w:firstLine="480"/>
        <w:rPr>
          <w:szCs w:val="24"/>
        </w:rPr>
      </w:pPr>
      <w:r>
        <w:rPr>
          <w:szCs w:val="24"/>
        </w:rPr>
        <w:t>(6) Impacts and Harms Caused</w:t>
      </w:r>
    </w:p>
    <w:p w14:paraId="3C24E62B">
      <w:pPr>
        <w:pStyle w:val="16"/>
        <w:spacing w:before="31" w:after="31"/>
        <w:ind w:firstLine="480"/>
        <w:rPr>
          <w:szCs w:val="24"/>
        </w:rPr>
      </w:pPr>
      <w:r>
        <w:rPr>
          <w:szCs w:val="24"/>
        </w:rPr>
        <w:t>The forced closure of the gates half an hour after the release posed a severe threat to the safe operation of the dam.</w:t>
      </w:r>
    </w:p>
    <w:p w14:paraId="6E9ECDEB">
      <w:pPr>
        <w:pStyle w:val="16"/>
        <w:spacing w:before="31" w:after="31"/>
        <w:ind w:firstLine="480"/>
        <w:rPr>
          <w:szCs w:val="24"/>
        </w:rPr>
      </w:pPr>
    </w:p>
    <w:p w14:paraId="5D4EA974">
      <w:pPr>
        <w:pStyle w:val="16"/>
        <w:spacing w:before="31" w:after="31"/>
        <w:ind w:firstLine="480"/>
        <w:rPr>
          <w:szCs w:val="24"/>
        </w:rPr>
      </w:pPr>
      <w:r>
        <w:rPr>
          <w:szCs w:val="24"/>
        </w:rPr>
        <w:t>(7) Conclusions and Improvement Measures</w:t>
      </w:r>
    </w:p>
    <w:p w14:paraId="2DC7B55D">
      <w:pPr>
        <w:pStyle w:val="16"/>
        <w:spacing w:before="31" w:after="31"/>
        <w:ind w:firstLine="480"/>
        <w:rPr>
          <w:szCs w:val="24"/>
        </w:rPr>
      </w:pPr>
      <w:r>
        <w:rPr>
          <w:szCs w:val="24"/>
        </w:rPr>
        <w:t>The analysis confirmed that the extensive damage to the Fullness Dam was primarily due to the poor quality of the concrete and severe freeze-thaw damage during the overflow. Emergency repairs were conducted on the overflow surface damaged in 1986, covering dam sections 12-14 at elevations 194-221m. Excavation depths ranged from 112-310cm. Reinforcement consisted of threaded steel bars with a diameter of 22mm and a length of 4m, inserted into old concrete to a depth of at least 115cm with a spacing of 50cm. Structural reinforcement included 20mm diameter steel bars with both longitudinal and transverse spacings of 25cm. To meet requirements for impact resistance, wear resistance, and frost resistance, the concrete strength class was set at C30, with a frost resistance class of D300.</w:t>
      </w:r>
    </w:p>
    <w:p w14:paraId="61856BAD">
      <w:pPr>
        <w:pStyle w:val="16"/>
        <w:spacing w:before="31" w:after="31"/>
        <w:ind w:firstLine="480"/>
        <w:rPr>
          <w:szCs w:val="24"/>
        </w:rPr>
      </w:pPr>
    </w:p>
    <w:p w14:paraId="5680C335">
      <w:pPr>
        <w:pStyle w:val="16"/>
        <w:spacing w:before="31" w:after="31"/>
        <w:ind w:firstLine="0" w:firstLineChars="0"/>
        <w:rPr>
          <w:b/>
          <w:bCs/>
          <w:szCs w:val="24"/>
        </w:rPr>
      </w:pPr>
      <w:r>
        <w:rPr>
          <w:b/>
          <w:bCs/>
          <w:szCs w:val="24"/>
        </w:rPr>
        <w:t>10.2.2 Case 10-2: Cracks in the Chen Village Hydropower Station Dam</w:t>
      </w:r>
    </w:p>
    <w:p w14:paraId="24CDAFA8">
      <w:pPr>
        <w:pStyle w:val="16"/>
        <w:spacing w:before="31" w:after="31"/>
        <w:ind w:firstLine="480"/>
        <w:rPr>
          <w:szCs w:val="24"/>
        </w:rPr>
      </w:pPr>
      <w:r>
        <w:rPr>
          <w:szCs w:val="24"/>
        </w:rPr>
        <w:t>(1) Case Name</w:t>
      </w:r>
    </w:p>
    <w:p w14:paraId="01D88CFD">
      <w:pPr>
        <w:pStyle w:val="16"/>
        <w:spacing w:before="31" w:after="31"/>
        <w:ind w:firstLine="480"/>
        <w:rPr>
          <w:szCs w:val="24"/>
        </w:rPr>
      </w:pPr>
      <w:r>
        <w:rPr>
          <w:szCs w:val="24"/>
        </w:rPr>
        <w:t>Chen Village Hydropower Station Dam Cracks [10-17]</w:t>
      </w:r>
    </w:p>
    <w:p w14:paraId="6BA567ED">
      <w:pPr>
        <w:pStyle w:val="16"/>
        <w:spacing w:before="31" w:after="31"/>
        <w:ind w:firstLine="480"/>
        <w:rPr>
          <w:szCs w:val="24"/>
        </w:rPr>
      </w:pPr>
      <w:r>
        <w:rPr>
          <w:szCs w:val="24"/>
        </w:rPr>
        <w:t>(2) Description of Failure Process</w:t>
      </w:r>
    </w:p>
    <w:p w14:paraId="4390DAC6">
      <w:pPr>
        <w:pStyle w:val="16"/>
        <w:spacing w:before="31" w:after="31"/>
        <w:ind w:firstLine="480"/>
        <w:rPr>
          <w:szCs w:val="24"/>
        </w:rPr>
      </w:pPr>
      <w:r>
        <w:rPr>
          <w:szCs w:val="24"/>
        </w:rPr>
        <w:t>In early 1972, horizontal cracks were discovered on the downstream face of the dam between elevations 80m and 105.5m, with the most significant cracks near elevation 105m (referred to as 105 cracks). These cracks spanned 5-28 dam blocks (</w:t>
      </w:r>
    </w:p>
    <w:p w14:paraId="2725A916">
      <w:pPr>
        <w:pStyle w:val="16"/>
        <w:spacing w:before="31" w:after="31"/>
        <w:ind w:firstLine="480"/>
        <w:rPr>
          <w:szCs w:val="24"/>
        </w:rPr>
      </w:pPr>
    </w:p>
    <w:p w14:paraId="6AD46B95">
      <w:pPr>
        <w:pStyle w:val="16"/>
        <w:spacing w:before="31" w:after="31"/>
        <w:ind w:firstLine="480"/>
        <w:rPr>
          <w:szCs w:val="24"/>
        </w:rPr>
      </w:pPr>
      <w:r>
        <w:rPr>
          <w:szCs w:val="24"/>
        </w:rPr>
        <w:t>Figure 9-2) and included 2-3 horizontal cracks in some blocks, with a total length of about 450m. The crack widths ranged from 0.1-0.5mm on the surface, reaching a maximum width of 7mm in some segments. Over time, the damage from these cracks became increasingly severe, becoming a major defect affecting the safe operation of the Chen Village arch dam.</w:t>
      </w:r>
    </w:p>
    <w:p w14:paraId="723034FA">
      <w:pPr>
        <w:pStyle w:val="16"/>
        <w:spacing w:before="31" w:after="31"/>
        <w:ind w:firstLine="480"/>
        <w:rPr>
          <w:szCs w:val="24"/>
        </w:rPr>
      </w:pPr>
    </w:p>
    <w:p w14:paraId="3E6D52C8">
      <w:pPr>
        <w:pStyle w:val="16"/>
        <w:spacing w:before="31" w:after="31"/>
        <w:ind w:firstLine="480"/>
        <w:rPr>
          <w:szCs w:val="24"/>
        </w:rPr>
      </w:pPr>
      <w:r>
        <w:rPr>
          <w:szCs w:val="24"/>
        </w:rPr>
        <w:t>(3) Dam in Service Environment</w:t>
      </w:r>
    </w:p>
    <w:p w14:paraId="030D9528">
      <w:pPr>
        <w:pStyle w:val="16"/>
        <w:spacing w:before="31" w:after="31"/>
        <w:ind w:firstLine="480"/>
        <w:rPr>
          <w:szCs w:val="24"/>
        </w:rPr>
      </w:pPr>
      <w:r>
        <w:rPr>
          <w:szCs w:val="24"/>
        </w:rPr>
        <w:t>Located in Jing County, Anhui Province, the project is a first-class engineering structure mainly for power generation, with additional benefits such as flood control, irrigation, navigation, and fish farming. The main components include a concrete gravity arch dam, spillways on the left and right of the dam crest, a middle spillway, bottom outlets, and a powerhouse behind the dam. The dam's maximum height is 76.3m, the crest width is 8m, the maximum base width is 53.2m, divided into 28 dam blocks, and the crest arc length is 419m. The upstream basin area is 2,800 km2, the design flood discharge is 10,600 m3/s, and the verified discharge is 14,400 m3/s. The normal reservoir water level is 119.0m, the design flood level is 122.2m, and the total reservoir capacity is 2.476 billion m3. The power station has three 50,000 kW units with a total capacity of 150,000 kW.</w:t>
      </w:r>
    </w:p>
    <w:p w14:paraId="3B1FD27C">
      <w:pPr>
        <w:pStyle w:val="16"/>
        <w:spacing w:before="31" w:after="31"/>
        <w:ind w:firstLine="480"/>
        <w:rPr>
          <w:szCs w:val="24"/>
        </w:rPr>
      </w:pPr>
    </w:p>
    <w:p w14:paraId="4EDAA64E">
      <w:pPr>
        <w:pStyle w:val="16"/>
        <w:spacing w:before="31" w:after="31"/>
        <w:ind w:firstLine="480"/>
        <w:rPr>
          <w:szCs w:val="24"/>
        </w:rPr>
      </w:pPr>
      <w:r>
        <w:rPr>
          <w:szCs w:val="24"/>
        </w:rPr>
        <w:t>(4) Failure Locations</w:t>
      </w:r>
    </w:p>
    <w:p w14:paraId="352AE537">
      <w:pPr>
        <w:pStyle w:val="16"/>
        <w:spacing w:before="31" w:after="31"/>
        <w:ind w:firstLine="480"/>
        <w:rPr>
          <w:szCs w:val="24"/>
        </w:rPr>
      </w:pPr>
      <w:r>
        <w:rPr>
          <w:szCs w:val="24"/>
        </w:rPr>
        <w:t>The horizontal cracks near elevation 105m on the downstream face of the dam, spanning over 300m, cross 24 dam blocks (see Figure 9-2.1), as depicted in Figure 9-2.2. Among them, the cracks in the riverbed dam block exceeded 5m in depth. Near elevation 111.5m on the downstream face, there were approximately horizontal cracks crossing 16 dam blocks, with a detected depth of about 12m. Additionally, near elevation 105m, vertical cracks were found in the inspection corridor and on the top of the dam, with depths exceeding 8m. Numerous intersecting cracks cut through the dam body's concrete, endangering the dam's overall integrity and stability. According to ultrasonic testing by the Nanjing Hydraulic Research Institute, the cracks extended about 5m into the dam body, almost penetrating the main dam blocks.</w:t>
      </w:r>
    </w:p>
    <w:p w14:paraId="54807A2E">
      <w:pPr>
        <w:pStyle w:val="16"/>
        <w:spacing w:before="31" w:after="31"/>
        <w:ind w:firstLine="482"/>
        <w:jc w:val="center"/>
        <w:rPr>
          <w:b/>
          <w:bCs/>
          <w:szCs w:val="24"/>
        </w:rPr>
      </w:pPr>
      <w:r>
        <w:rPr>
          <w:b/>
          <w:bCs/>
          <w:szCs w:val="24"/>
        </w:rPr>
        <w:t>Figure 9-2.1: Distribution of 105 Cracks on the Downstream Face of the Chen Village Arch Dam [8]</w:t>
      </w:r>
    </w:p>
    <w:p w14:paraId="1ABB48A5">
      <w:pPr>
        <w:pStyle w:val="16"/>
        <w:spacing w:before="31" w:after="31"/>
        <w:ind w:firstLine="482"/>
        <w:jc w:val="center"/>
        <w:rPr>
          <w:b/>
          <w:bCs/>
          <w:szCs w:val="24"/>
        </w:rPr>
      </w:pPr>
      <w:r>
        <w:rPr>
          <w:b/>
          <w:bCs/>
          <w:szCs w:val="24"/>
        </w:rPr>
        <w:t>Figure 9-2.2: Schematic Location of Horizontal Crack Opening in Dam Blocks [11]</w:t>
      </w:r>
    </w:p>
    <w:p w14:paraId="1DDE9C63">
      <w:pPr>
        <w:pStyle w:val="16"/>
        <w:spacing w:before="31" w:after="31"/>
        <w:ind w:firstLine="480"/>
        <w:rPr>
          <w:szCs w:val="24"/>
        </w:rPr>
      </w:pPr>
    </w:p>
    <w:p w14:paraId="00224F85">
      <w:pPr>
        <w:pStyle w:val="16"/>
        <w:spacing w:before="31" w:after="31"/>
        <w:ind w:firstLine="480"/>
        <w:rPr>
          <w:szCs w:val="24"/>
        </w:rPr>
      </w:pPr>
      <w:r>
        <w:rPr>
          <w:szCs w:val="24"/>
        </w:rPr>
        <w:t>The appearance of the 105 horizontal cracks is shown in Figure 9-2.3. In 1984, a method using ultrasonic drilling was employed to determine the penetration depth of the 105 cracks. When the depth of the direct measurement reached 6m for dam block 15, the first wave amplitude suddenly increased, indicating the disappearance of the 105 cracks. For dam block 12, even at a depth of 6m, the first wave amplitude remained small, indicating that the crack depth had exceeded 6m. The detection results for dam block 21 differed from other blocks. At a distance of about 1m from the dam face, the first wave amplitude was relatively large, suggesting the disappearance of the 105 cracks. However, as the detection depth increased, the first wave amplitude rapidly decreased until a depth below 5.5m, where the cracks had not disappeared. This indicated that, although dam block 21 had undergone epoxy grouting in 1972, the grout had only penetrated about 1m into the dam, providing poor results, consistent with core drilling examination.</w:t>
      </w:r>
    </w:p>
    <w:p w14:paraId="2E2BE18D">
      <w:pPr>
        <w:pStyle w:val="16"/>
        <w:spacing w:before="31" w:after="31"/>
        <w:ind w:firstLine="482"/>
        <w:jc w:val="center"/>
        <w:rPr>
          <w:b/>
          <w:bCs/>
          <w:szCs w:val="24"/>
        </w:rPr>
      </w:pPr>
      <w:r>
        <w:rPr>
          <w:b/>
          <w:bCs/>
          <w:szCs w:val="24"/>
        </w:rPr>
        <w:t>Figure 9-2.3: 105 Horizontal Cracks in the Chen Village Dam [7]</w:t>
      </w:r>
    </w:p>
    <w:p w14:paraId="6478A3C1">
      <w:pPr>
        <w:pStyle w:val="16"/>
        <w:spacing w:before="31" w:after="31"/>
        <w:ind w:firstLine="480"/>
        <w:rPr>
          <w:szCs w:val="24"/>
        </w:rPr>
      </w:pPr>
    </w:p>
    <w:p w14:paraId="032F1289">
      <w:pPr>
        <w:pStyle w:val="16"/>
        <w:spacing w:before="31" w:after="31"/>
        <w:ind w:firstLine="480"/>
        <w:rPr>
          <w:szCs w:val="24"/>
        </w:rPr>
      </w:pPr>
      <w:r>
        <w:rPr>
          <w:szCs w:val="24"/>
        </w:rPr>
        <w:t>Another longitudinal crack, originating from the top of the dam and extending downward, had its depth yet to be examined. If this crack extended to elevation 105m from the top, it might intersect with the horizontal crack at 105m or continue upward to the upstream face. Either scenario could lead to the segmentation of the dam body, compromising the overall integrity and stability of the dam and posing a threat to normal operation. Near elevation 111.5m on the downstream face, there were horizontal cracks crossing 16 dam blocks, with a detected depth of about 12m.</w:t>
      </w:r>
    </w:p>
    <w:p w14:paraId="3FE6C911">
      <w:pPr>
        <w:pStyle w:val="16"/>
        <w:spacing w:before="31" w:after="31"/>
        <w:ind w:firstLine="480"/>
        <w:rPr>
          <w:szCs w:val="24"/>
        </w:rPr>
      </w:pPr>
    </w:p>
    <w:p w14:paraId="13BC6CF8">
      <w:pPr>
        <w:pStyle w:val="16"/>
        <w:spacing w:before="31" w:after="31"/>
        <w:ind w:firstLine="480"/>
        <w:rPr>
          <w:szCs w:val="24"/>
        </w:rPr>
      </w:pPr>
      <w:r>
        <w:rPr>
          <w:szCs w:val="24"/>
        </w:rPr>
        <w:t>Numerous cracks were also found in the inspection corridor, numbering over 220, and the corridor was very damp. Chen Village Power Station had undertaken measures to address the identified cracks, such as injecting cement grout into the 105m horizontal crack in dam sections 14-20 and using epoxy mortar treatment in dam section 21. However, subsequent inspections indicated that the repair effects were not satisfactory, and the original cracks continued to develop.</w:t>
      </w:r>
    </w:p>
    <w:p w14:paraId="1C99F4E7">
      <w:pPr>
        <w:pStyle w:val="16"/>
        <w:spacing w:before="31" w:after="31"/>
        <w:ind w:firstLine="480"/>
        <w:rPr>
          <w:szCs w:val="24"/>
        </w:rPr>
      </w:pPr>
      <w:r>
        <w:rPr>
          <w:szCs w:val="24"/>
        </w:rPr>
        <w:t>(5) Failed Component Morphology:</w:t>
      </w:r>
    </w:p>
    <w:p w14:paraId="59550ABF">
      <w:pPr>
        <w:pStyle w:val="16"/>
        <w:spacing w:before="31" w:after="31"/>
        <w:ind w:firstLine="420" w:firstLineChars="0"/>
        <w:rPr>
          <w:szCs w:val="24"/>
        </w:rPr>
      </w:pPr>
      <w:r>
        <w:rPr>
          <w:szCs w:val="24"/>
        </w:rPr>
        <w:t>Null</w:t>
      </w:r>
    </w:p>
    <w:p w14:paraId="3EAD1DC4">
      <w:pPr>
        <w:pStyle w:val="16"/>
        <w:spacing w:before="31" w:after="31"/>
        <w:ind w:firstLine="480"/>
        <w:rPr>
          <w:szCs w:val="24"/>
        </w:rPr>
      </w:pPr>
    </w:p>
    <w:p w14:paraId="125BC079">
      <w:pPr>
        <w:pStyle w:val="16"/>
        <w:spacing w:before="31" w:after="31"/>
        <w:ind w:firstLine="480"/>
        <w:rPr>
          <w:szCs w:val="24"/>
        </w:rPr>
      </w:pPr>
      <w:r>
        <w:rPr>
          <w:szCs w:val="24"/>
        </w:rPr>
        <w:t>(6) Analysis of Failure Causes</w:t>
      </w:r>
    </w:p>
    <w:p w14:paraId="4B969F11">
      <w:pPr>
        <w:pStyle w:val="16"/>
        <w:spacing w:before="31" w:after="31"/>
        <w:ind w:firstLine="0" w:firstLineChars="0"/>
        <w:rPr>
          <w:szCs w:val="24"/>
        </w:rPr>
      </w:pPr>
      <w:r>
        <w:rPr>
          <w:szCs w:val="24"/>
        </w:rPr>
        <w:t>A comprehensive simulation of the entire process from construction to operation revealed several factors contributing to the dam's failure: (1) The concrete pouring layer of the Chen Village arch dam was relatively thick (6m), with limited temperature control measures. The maximum internal temperature values in each pouring layer were high, especially in concrete poured during the hot season, reaching temperatures of 48</w:t>
      </w:r>
    </w:p>
    <w:p w14:paraId="0846A646">
      <w:pPr>
        <w:pStyle w:val="16"/>
        <w:spacing w:before="31" w:after="31"/>
        <w:ind w:firstLine="480"/>
        <w:rPr>
          <w:rFonts w:hint="eastAsia"/>
          <w:szCs w:val="24"/>
        </w:rPr>
      </w:pPr>
      <w:r>
        <w:rPr>
          <w:rFonts w:hint="eastAsia"/>
          <w:szCs w:val="24"/>
        </w:rPr>
        <w:t>（5）Analysis of Failure Causes</w:t>
      </w:r>
    </w:p>
    <w:p w14:paraId="196585A7">
      <w:pPr>
        <w:pStyle w:val="16"/>
        <w:spacing w:before="31" w:after="31"/>
        <w:ind w:firstLine="480"/>
        <w:rPr>
          <w:szCs w:val="24"/>
        </w:rPr>
      </w:pPr>
      <w:r>
        <w:rPr>
          <w:szCs w:val="24"/>
        </w:rPr>
        <w:t>Simulation of the entire process from the construction phase to the operational phase of the dam revealed the following contributing factors to the dam's failure:</w:t>
      </w:r>
    </w:p>
    <w:p w14:paraId="66C51050">
      <w:pPr>
        <w:pStyle w:val="16"/>
        <w:spacing w:before="31" w:after="31"/>
        <w:ind w:firstLine="480"/>
        <w:rPr>
          <w:szCs w:val="24"/>
        </w:rPr>
      </w:pPr>
    </w:p>
    <w:p w14:paraId="310FB331">
      <w:pPr>
        <w:pStyle w:val="16"/>
        <w:spacing w:before="31" w:after="31"/>
        <w:ind w:firstLine="480"/>
        <w:rPr>
          <w:rFonts w:hint="eastAsia"/>
          <w:szCs w:val="24"/>
        </w:rPr>
      </w:pPr>
      <w:r>
        <w:rPr>
          <w:szCs w:val="24"/>
        </w:rPr>
        <w:t>1. **Thick Concrete Pouring Layer and Limited Temperature Control Measures:** The concrete pouring layer of the Chen Village arch dam was relatively thick (6m), and there were limited temperature control measures. The maximum internal temperature values in</w:t>
      </w:r>
      <w:r>
        <w:rPr>
          <w:rFonts w:hint="eastAsia"/>
          <w:szCs w:val="24"/>
        </w:rPr>
        <w:t xml:space="preserve"> each pouring layer were high, especially for concrete poured during the hot season, reaching temperatures of 48~52 ℃. The high temperature peaks resulted in higher temperature stresses within the dam body.</w:t>
      </w:r>
    </w:p>
    <w:p w14:paraId="425A2861">
      <w:pPr>
        <w:pStyle w:val="16"/>
        <w:spacing w:before="31" w:after="31"/>
        <w:ind w:firstLine="480"/>
        <w:rPr>
          <w:szCs w:val="24"/>
        </w:rPr>
      </w:pPr>
    </w:p>
    <w:p w14:paraId="17CBF951">
      <w:pPr>
        <w:pStyle w:val="16"/>
        <w:spacing w:before="31" w:after="31"/>
        <w:ind w:firstLine="480"/>
        <w:rPr>
          <w:szCs w:val="24"/>
        </w:rPr>
      </w:pPr>
      <w:r>
        <w:rPr>
          <w:szCs w:val="24"/>
        </w:rPr>
        <w:t>2. **Vertical Stress near 105m and 111.5m Elevation on the Downstream Face during Construction:** Vertical stresses of 1.2~1.5 MPa were generated near elevations 105m and 111.5m on the downstream face during the construction phase. The elevation of 105m marked the interface between the first and second-phase concrete, while the elevation of 111.5m marked the interface between two different numbered concretes. For many dam sections, these elevations coincided with the junctions of concrete pouring chambers. The regions near these elevations used lower-grade concretes (110 and 150), which had lower tensile strength. Under significant tensile stresses, the concrete was prone to delaminate along the weak planes, resulting in horizontal cracks distributed along the dam axis.</w:t>
      </w:r>
    </w:p>
    <w:p w14:paraId="0728575F">
      <w:pPr>
        <w:pStyle w:val="16"/>
        <w:spacing w:before="31" w:after="31"/>
        <w:ind w:firstLine="480"/>
        <w:rPr>
          <w:szCs w:val="24"/>
        </w:rPr>
      </w:pPr>
    </w:p>
    <w:p w14:paraId="31AC7ACE">
      <w:pPr>
        <w:pStyle w:val="16"/>
        <w:spacing w:before="31" w:after="31"/>
        <w:ind w:firstLine="480"/>
        <w:rPr>
          <w:szCs w:val="24"/>
        </w:rPr>
      </w:pPr>
      <w:r>
        <w:rPr>
          <w:szCs w:val="24"/>
        </w:rPr>
        <w:t>3. **Long Interval between First and Second-Phase Concrete Pouring:** The pouring interval between the first and second-phase concrete was long (6 years). Although measures such as leaving key slots and grouting were taken on the first-phase concrete before pouring the second-phase concrete, the large size of the pouring blocks and inadequate temperature control led to significant shrinkage stresses in the newly poured sloping concrete. This excessive tensile stress caused the concrete to delaminate along the bond surface of the first and second-phase concrete.</w:t>
      </w:r>
    </w:p>
    <w:p w14:paraId="40EFF984">
      <w:pPr>
        <w:pStyle w:val="16"/>
        <w:spacing w:before="31" w:after="31"/>
        <w:ind w:firstLine="480"/>
        <w:rPr>
          <w:szCs w:val="24"/>
        </w:rPr>
      </w:pPr>
    </w:p>
    <w:p w14:paraId="51441E22">
      <w:pPr>
        <w:pStyle w:val="16"/>
        <w:spacing w:before="31" w:after="31"/>
        <w:ind w:firstLine="480"/>
        <w:rPr>
          <w:szCs w:val="24"/>
        </w:rPr>
      </w:pPr>
      <w:r>
        <w:rPr>
          <w:szCs w:val="24"/>
        </w:rPr>
        <w:t>4. **Insufficient Cooling of Internal Concrete Temperature during Grouting for Arch Closure:** During the grouting for arch closure, the internal concrete temperature had not stabilized. As a result, the transverse joints gradually opened due to the repetitive effects of temperature changes. In the first winter after the completion of the main dam concrete pouring, more than 90% of the transverse joints had already opened.</w:t>
      </w:r>
    </w:p>
    <w:p w14:paraId="3D44EEBF">
      <w:pPr>
        <w:pStyle w:val="16"/>
        <w:spacing w:before="31" w:after="31"/>
        <w:ind w:firstLine="480"/>
        <w:rPr>
          <w:szCs w:val="24"/>
        </w:rPr>
      </w:pPr>
    </w:p>
    <w:p w14:paraId="1887DA8C">
      <w:pPr>
        <w:pStyle w:val="16"/>
        <w:spacing w:before="31" w:after="31"/>
        <w:ind w:firstLine="480"/>
        <w:rPr>
          <w:szCs w:val="24"/>
        </w:rPr>
      </w:pPr>
      <w:r>
        <w:rPr>
          <w:szCs w:val="24"/>
        </w:rPr>
        <w:t>The combination of a thick concrete pouring layer, inadequate temperature control during construction, significant vertical stresses during construction, long intervals between concrete pouring phases, and insufficient cooling during grouting for arch closure were identified as the main reasons for the formation of cracks in the dam body and the delamination of the first and second-phase concrete.</w:t>
      </w:r>
    </w:p>
    <w:p w14:paraId="2ED7F970">
      <w:pPr>
        <w:pStyle w:val="16"/>
        <w:spacing w:before="31" w:after="31"/>
        <w:ind w:firstLine="480"/>
        <w:rPr>
          <w:szCs w:val="24"/>
        </w:rPr>
      </w:pPr>
    </w:p>
    <w:p w14:paraId="2E890997">
      <w:pPr>
        <w:pStyle w:val="16"/>
        <w:spacing w:before="31" w:after="31"/>
        <w:ind w:firstLine="480"/>
        <w:rPr>
          <w:rFonts w:hint="eastAsia"/>
          <w:szCs w:val="24"/>
        </w:rPr>
      </w:pPr>
      <w:r>
        <w:rPr>
          <w:rFonts w:hint="eastAsia"/>
          <w:szCs w:val="24"/>
        </w:rPr>
        <w:t>(</w:t>
      </w:r>
      <w:r>
        <w:rPr>
          <w:szCs w:val="24"/>
        </w:rPr>
        <w:t>7</w:t>
      </w:r>
      <w:r>
        <w:rPr>
          <w:rFonts w:hint="eastAsia"/>
          <w:szCs w:val="24"/>
        </w:rPr>
        <w:t>)</w:t>
      </w:r>
      <w:r>
        <w:rPr>
          <w:kern w:val="0"/>
          <w:szCs w:val="24"/>
        </w:rPr>
        <w:t>Impact and Harm Caused</w:t>
      </w:r>
    </w:p>
    <w:p w14:paraId="5A41BFC5">
      <w:pPr>
        <w:pStyle w:val="16"/>
        <w:spacing w:before="31" w:after="31"/>
        <w:ind w:firstLine="480"/>
        <w:rPr>
          <w:szCs w:val="24"/>
        </w:rPr>
      </w:pPr>
      <w:r>
        <w:rPr>
          <w:szCs w:val="24"/>
        </w:rPr>
        <w:t>The horizontal cracks near elevation 105m on the downstream face of the Chen Village arch dam, along with vertical cracks on the dam crest, have significantly compromised the overall integrity and stability of the structure. The measured displacement at the dam crest was 3.2 times the calculated value, severely affecting the anti-overturning capacity of the dam body above elevation 105m and the overall action of the dam body in the arch direction. Additionally, the extensive leakage caused by these cracks has led to the occurrence and development of other issues such as seepage erosion, environmental water erosion, expansion of freeze-thaw damage, concrete carbonation, and steel corrosion. These issues, combined with the continuous formation of cracks, have created a vicious cycle, posing a significant threat to the durability of the Chen Village arch dam and compromising its safety.</w:t>
      </w:r>
    </w:p>
    <w:p w14:paraId="2766C135">
      <w:pPr>
        <w:pStyle w:val="16"/>
        <w:spacing w:before="31" w:after="31"/>
        <w:ind w:firstLine="480"/>
        <w:rPr>
          <w:szCs w:val="24"/>
        </w:rPr>
      </w:pPr>
    </w:p>
    <w:p w14:paraId="2C0EE386">
      <w:pPr>
        <w:pStyle w:val="16"/>
        <w:spacing w:before="31" w:after="31"/>
        <w:ind w:firstLine="480"/>
        <w:rPr>
          <w:rFonts w:hint="eastAsia"/>
          <w:szCs w:val="24"/>
        </w:rPr>
      </w:pPr>
      <w:r>
        <w:rPr>
          <w:rFonts w:hint="eastAsia"/>
          <w:szCs w:val="24"/>
        </w:rPr>
        <w:t>(</w:t>
      </w:r>
      <w:r>
        <w:rPr>
          <w:szCs w:val="24"/>
        </w:rPr>
        <w:t>8)</w:t>
      </w:r>
      <w:r>
        <w:rPr>
          <w:rFonts w:hint="eastAsia"/>
          <w:szCs w:val="24"/>
        </w:rPr>
        <w:t>Conclusions and Improvement Measures</w:t>
      </w:r>
    </w:p>
    <w:p w14:paraId="523B5A47">
      <w:pPr>
        <w:pStyle w:val="16"/>
        <w:spacing w:before="31" w:after="31"/>
        <w:ind w:firstLine="480"/>
        <w:rPr>
          <w:szCs w:val="24"/>
        </w:rPr>
      </w:pPr>
      <w:r>
        <w:rPr>
          <w:szCs w:val="24"/>
        </w:rPr>
        <w:t>The extended interval between the pouring of first and second-phase concrete and inadequate temperature control during construction, due to historical reasons and an emphasis on project speed, led to poor construction quality of the dam. This resulted in significant temperature stresses during the construction phase, which is the primary cause of cracks in the dam body and the delamination of the first and second-phase concrete.</w:t>
      </w:r>
    </w:p>
    <w:p w14:paraId="4A034463">
      <w:pPr>
        <w:pStyle w:val="16"/>
        <w:spacing w:before="31" w:after="31"/>
        <w:ind w:firstLine="480"/>
        <w:rPr>
          <w:szCs w:val="24"/>
        </w:rPr>
      </w:pPr>
    </w:p>
    <w:p w14:paraId="7A6367B2">
      <w:pPr>
        <w:pStyle w:val="16"/>
        <w:spacing w:before="31" w:after="31"/>
        <w:ind w:firstLine="480"/>
        <w:rPr>
          <w:szCs w:val="24"/>
        </w:rPr>
      </w:pPr>
      <w:r>
        <w:rPr>
          <w:szCs w:val="24"/>
        </w:rPr>
        <w:t>In response to the identified issues, various measures were attempted, including cement grouting, epoxy mortar treatment, and reinforcement insertion. However, these measures proved to be insufficient, and the cracks continued to develop.</w:t>
      </w:r>
    </w:p>
    <w:p w14:paraId="528E20C8">
      <w:pPr>
        <w:pStyle w:val="16"/>
        <w:spacing w:before="31" w:after="31"/>
        <w:ind w:firstLine="480"/>
        <w:rPr>
          <w:szCs w:val="24"/>
        </w:rPr>
      </w:pPr>
    </w:p>
    <w:p w14:paraId="759C0D51">
      <w:pPr>
        <w:pStyle w:val="16"/>
        <w:spacing w:before="31" w:after="31"/>
        <w:ind w:firstLine="0" w:firstLineChars="0"/>
        <w:rPr>
          <w:szCs w:val="24"/>
        </w:rPr>
      </w:pPr>
      <w:r>
        <w:rPr>
          <w:szCs w:val="24"/>
        </w:rPr>
        <w:t>The report emphasizes the need for careful consideration and comprehensive measures to address the significant threats posed by the cracks and associated damages to the Chen Village arch dam's safety and durability.</w:t>
      </w:r>
    </w:p>
    <w:p w14:paraId="22BC5D4C">
      <w:pPr>
        <w:pStyle w:val="16"/>
        <w:spacing w:before="31" w:after="31"/>
        <w:ind w:firstLine="0" w:firstLineChars="0"/>
        <w:rPr>
          <w:b/>
          <w:bCs/>
          <w:szCs w:val="24"/>
        </w:rPr>
      </w:pPr>
      <w:r>
        <w:rPr>
          <w:b/>
          <w:bCs/>
          <w:szCs w:val="24"/>
        </w:rPr>
        <w:t>10.2.3 Case 10-3: Cavitation Damage on Zhexi Power Station Spillway Dam</w:t>
      </w:r>
    </w:p>
    <w:p w14:paraId="2F53F1C5">
      <w:pPr>
        <w:pStyle w:val="16"/>
        <w:spacing w:before="31" w:after="31"/>
        <w:ind w:firstLine="480"/>
        <w:rPr>
          <w:szCs w:val="24"/>
        </w:rPr>
      </w:pPr>
      <w:r>
        <w:rPr>
          <w:szCs w:val="24"/>
        </w:rPr>
        <w:t>(1) Case Name</w:t>
      </w:r>
    </w:p>
    <w:p w14:paraId="426EDF25">
      <w:pPr>
        <w:pStyle w:val="16"/>
        <w:spacing w:before="31" w:after="31"/>
        <w:ind w:firstLine="480"/>
        <w:rPr>
          <w:szCs w:val="24"/>
        </w:rPr>
      </w:pPr>
      <w:r>
        <w:rPr>
          <w:szCs w:val="24"/>
        </w:rPr>
        <w:t>Cavitation Damage on Zhexi Power Station Spillway Dam [10]</w:t>
      </w:r>
    </w:p>
    <w:p w14:paraId="32735A58">
      <w:pPr>
        <w:pStyle w:val="16"/>
        <w:spacing w:before="31" w:after="31"/>
        <w:ind w:firstLine="480"/>
        <w:rPr>
          <w:szCs w:val="24"/>
        </w:rPr>
      </w:pPr>
      <w:r>
        <w:rPr>
          <w:szCs w:val="24"/>
        </w:rPr>
        <w:t>(2) Description of Failure Process</w:t>
      </w:r>
    </w:p>
    <w:p w14:paraId="0E5DBBE3">
      <w:pPr>
        <w:pStyle w:val="16"/>
        <w:spacing w:before="31" w:after="31"/>
        <w:ind w:firstLine="480"/>
        <w:rPr>
          <w:szCs w:val="24"/>
        </w:rPr>
      </w:pPr>
      <w:r>
        <w:rPr>
          <w:szCs w:val="24"/>
        </w:rPr>
        <w:t>In the flood season of 1962, with a maximum discharge of 6050m3/s and a single-width flow of 28~58m3/s, severe damage occurred to the rectangular differential nose sill of the dam after the 1962 flood season. Large concrete chunks were eroded, reinforcing bars were cut in rows, and the total eroded area was nearly 24 m2, with a maximum pit depth of 1.1 m.</w:t>
      </w:r>
    </w:p>
    <w:p w14:paraId="3CFDA5BE">
      <w:pPr>
        <w:pStyle w:val="16"/>
        <w:spacing w:before="31" w:after="31"/>
        <w:ind w:firstLine="480"/>
        <w:rPr>
          <w:szCs w:val="24"/>
        </w:rPr>
      </w:pPr>
      <w:r>
        <w:rPr>
          <w:szCs w:val="24"/>
        </w:rPr>
        <w:t>(3) Dam Operating Environment</w:t>
      </w:r>
    </w:p>
    <w:p w14:paraId="69CC3F4A">
      <w:pPr>
        <w:pStyle w:val="16"/>
        <w:spacing w:before="31" w:after="31"/>
        <w:ind w:firstLine="480"/>
        <w:rPr>
          <w:szCs w:val="24"/>
        </w:rPr>
      </w:pPr>
      <w:r>
        <w:rPr>
          <w:szCs w:val="24"/>
        </w:rPr>
        <w:t>The dam is a single-pier overflow-type head dam with a maximum height of 140 m. The spillway dam has 9 bays, each with a net width of 12 m, a pier thickness of 4 m, equipped with radial gates, and a spillway dam crest elevation of 153 m. It utilizes a rectangular differential sill for flow dissipation. The high sill is 4.6 m wide, 2.75 m high, with a reverse curve radius of 11 m, an exit angle of 40o, a design maximum discharge of 16,160 m3/s, and a measured maximum discharge of 10,400 m3/s. Water is discharged for approximately 10~20 days each year.</w:t>
      </w:r>
    </w:p>
    <w:p w14:paraId="5BA4EED8">
      <w:pPr>
        <w:pStyle w:val="16"/>
        <w:spacing w:before="31" w:after="31"/>
        <w:ind w:firstLine="480"/>
        <w:rPr>
          <w:szCs w:val="24"/>
        </w:rPr>
      </w:pPr>
      <w:r>
        <w:rPr>
          <w:szCs w:val="24"/>
        </w:rPr>
        <w:t>(4) Failure Location</w:t>
      </w:r>
    </w:p>
    <w:p w14:paraId="616BC310">
      <w:pPr>
        <w:pStyle w:val="16"/>
        <w:spacing w:before="31" w:after="31"/>
        <w:ind w:firstLine="480"/>
        <w:rPr>
          <w:szCs w:val="24"/>
        </w:rPr>
      </w:pPr>
      <w:r>
        <w:rPr>
          <w:szCs w:val="24"/>
        </w:rPr>
        <w:t>The failure occurred in the rectangular differential nose sill. After the flood, inspection of piers 1 to 6 and 24 side faces of the 12 high sills revealed that 23 faces suffered cavitation damage, with a total damaged area of 23.65 m2, exposing 208 rebars, 11 of which were sheared. The most severe damage was on the right side of section 3, with a pit depth of 1.1 m, an area of 2 m2, and 17 exposed rebars, 8 of which were sheared.</w:t>
      </w:r>
    </w:p>
    <w:p w14:paraId="7E271A8B">
      <w:pPr>
        <w:pStyle w:val="16"/>
        <w:spacing w:before="31" w:after="31"/>
        <w:ind w:firstLine="480"/>
        <w:rPr>
          <w:szCs w:val="24"/>
        </w:rPr>
      </w:pPr>
      <w:r>
        <w:rPr>
          <w:szCs w:val="24"/>
        </w:rPr>
        <w:t>(5) Analysis of Failure Causes</w:t>
      </w:r>
    </w:p>
    <w:p w14:paraId="3D324F9E">
      <w:pPr>
        <w:pStyle w:val="16"/>
        <w:spacing w:before="31" w:after="31"/>
        <w:ind w:firstLine="480"/>
        <w:rPr>
          <w:szCs w:val="24"/>
        </w:rPr>
      </w:pPr>
      <w:r>
        <w:rPr>
          <w:szCs w:val="24"/>
        </w:rPr>
        <w:t>The nose sill of Zhexi Dam is a typical case of cavitation damage. Model test data showed that cavitation occurs when the single-width flow is 16 m3/s and the maximum negative pressure is 1.8 m. With a maximum discharge of 6,050 m3/s and a single-width flow of 28~58 m3/s during spillage, cavitation is unavoidable.</w:t>
      </w:r>
    </w:p>
    <w:p w14:paraId="4E252375">
      <w:pPr>
        <w:pStyle w:val="16"/>
        <w:spacing w:before="31" w:after="31"/>
        <w:ind w:firstLine="480"/>
        <w:rPr>
          <w:szCs w:val="24"/>
        </w:rPr>
      </w:pPr>
      <w:r>
        <w:rPr>
          <w:szCs w:val="24"/>
        </w:rPr>
        <w:t>(6) Conclusion and Improvement Measures</w:t>
      </w:r>
    </w:p>
    <w:p w14:paraId="01CE2F27">
      <w:pPr>
        <w:pStyle w:val="16"/>
        <w:spacing w:before="31" w:after="31"/>
        <w:ind w:firstLine="480"/>
        <w:rPr>
          <w:szCs w:val="24"/>
        </w:rPr>
      </w:pPr>
      <w:r>
        <w:rPr>
          <w:szCs w:val="24"/>
        </w:rPr>
        <w:t>The nose sill of Zhexi Dam is a typical case of cavitation damage. In 1963, before the flood season, the rectangular sill was changed to a trapezoidal sill. The high sill's reverse curve radius, exit angle, and elevation remained unchanged, but the side slope was changed to a 2:1 lower sill, the reverse curve radius was changed to 15 m, the exit angle was increased from 15o to 20o, and the endpoint was raised by 1.15 m. During that year's flood season, with a single-width flow of only 14 m3/s due to low water levels, no cavitation occurred in the nose sill. In 1964, with a single-width flow of 40.2 m3/s, the trapezoidal nose sill suffered cavitation damage. In 1970, with a single-width flow of 113 m3/s, cavitation damage further developed.</w:t>
      </w:r>
    </w:p>
    <w:p w14:paraId="5DF39101">
      <w:pPr>
        <w:pStyle w:val="16"/>
        <w:spacing w:before="31" w:after="31"/>
        <w:ind w:firstLine="480"/>
        <w:rPr>
          <w:szCs w:val="24"/>
        </w:rPr>
      </w:pPr>
    </w:p>
    <w:p w14:paraId="640EC927">
      <w:pPr>
        <w:pStyle w:val="16"/>
        <w:spacing w:before="31" w:after="31"/>
        <w:ind w:firstLine="480"/>
        <w:rPr>
          <w:szCs w:val="24"/>
        </w:rPr>
      </w:pPr>
      <w:r>
        <w:rPr>
          <w:szCs w:val="24"/>
        </w:rPr>
        <w:t>To address the damage, rubber powder epoxy mortar and epoxy mortar with rubber sheet field tests were conducted after 1967. From 1973 to 1976, various materials, including shining green rock cast stone plates, silicon-manganese cast stone plates, epoxy mortar, furan mortar, high-grade concrete, high-grade mortar, steel plates, and rubber sheets, were tested on the nose sill. Compared to others, steel plates and cast stone plates from Dalian's shining green rock showed better resistance to cavitation, but they were ultimately washed away, making further comparisons difficult. The silicon-manganese cast stone plates that were not washed away showed a crumb-like residue. This indicates that solving the cavitation problem caused by high-speed water flow solely through material solutions is challenging.</w:t>
      </w:r>
    </w:p>
    <w:p w14:paraId="2647BC54">
      <w:pPr>
        <w:pStyle w:val="16"/>
        <w:spacing w:before="31" w:after="31"/>
        <w:ind w:firstLine="480"/>
        <w:rPr>
          <w:szCs w:val="24"/>
        </w:rPr>
      </w:pPr>
    </w:p>
    <w:p w14:paraId="2910B038">
      <w:pPr>
        <w:pStyle w:val="16"/>
        <w:spacing w:before="31" w:after="31"/>
        <w:ind w:firstLine="480"/>
        <w:rPr>
          <w:szCs w:val="24"/>
        </w:rPr>
      </w:pPr>
      <w:r>
        <w:rPr>
          <w:szCs w:val="24"/>
        </w:rPr>
        <w:t>In 1978, based on indoor test results, field shape tests were conducted on the two high sills of piers 9 and 10. Pier 9 was used to verify the erosion resistance of the side slope and tail slope, while Pier 10 was used to verify the erosion resistance of the angular difference. After the shape modification, a flow test with a single-width flow of 123 m3/s in 1979 showed no cavitation damage. No further repair measures have been taken on the nose sill since the modification. However, annual observations of the damage continue, and it was found that the cavitation damage tends to slow down after reaching a certain level. The cavitation damage observations for 1984 and 1985 are listed in Table 9-2.</w:t>
      </w:r>
    </w:p>
    <w:p w14:paraId="004515AF">
      <w:pPr>
        <w:pStyle w:val="16"/>
        <w:spacing w:before="31" w:after="31"/>
        <w:ind w:firstLine="480"/>
        <w:rPr>
          <w:szCs w:val="24"/>
        </w:rPr>
      </w:pPr>
    </w:p>
    <w:p w14:paraId="755D9D08">
      <w:pPr>
        <w:pStyle w:val="16"/>
        <w:spacing w:before="31" w:after="31"/>
        <w:ind w:firstLine="482"/>
        <w:jc w:val="center"/>
        <w:rPr>
          <w:b/>
          <w:bCs/>
          <w:szCs w:val="24"/>
        </w:rPr>
      </w:pPr>
      <w:r>
        <w:rPr>
          <w:b/>
          <w:bCs/>
          <w:szCs w:val="24"/>
        </w:rPr>
        <w:t>Table 9-2: Cavitation Damage Statistics for 1984 and 1985</w:t>
      </w:r>
    </w:p>
    <w:tbl>
      <w:tblPr>
        <w:tblStyle w:val="9"/>
        <w:tblW w:w="7887"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5"/>
        <w:gridCol w:w="1067"/>
        <w:gridCol w:w="621"/>
        <w:gridCol w:w="844"/>
        <w:gridCol w:w="732"/>
        <w:gridCol w:w="732"/>
        <w:gridCol w:w="621"/>
        <w:gridCol w:w="621"/>
        <w:gridCol w:w="732"/>
        <w:gridCol w:w="621"/>
        <w:gridCol w:w="621"/>
      </w:tblGrid>
      <w:tr w14:paraId="267CAC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jc w:val="center"/>
        </w:trPr>
        <w:tc>
          <w:tcPr>
            <w:tcW w:w="0" w:type="auto"/>
            <w:gridSpan w:val="2"/>
            <w:tcBorders>
              <w:top w:val="single" w:color="auto" w:sz="12" w:space="0"/>
              <w:left w:val="nil"/>
              <w:bottom w:val="single" w:color="auto" w:sz="12" w:space="0"/>
              <w:right w:val="nil"/>
            </w:tcBorders>
          </w:tcPr>
          <w:p w14:paraId="1D3AE28C">
            <w:pPr>
              <w:autoSpaceDE w:val="0"/>
              <w:autoSpaceDN w:val="0"/>
              <w:adjustRightInd w:val="0"/>
              <w:spacing w:line="312" w:lineRule="auto"/>
              <w:rPr>
                <w:kern w:val="0"/>
                <w:szCs w:val="21"/>
              </w:rPr>
            </w:pPr>
            <w:r>
              <w:t>Pier No.</w:t>
            </w:r>
          </w:p>
        </w:tc>
        <w:tc>
          <w:tcPr>
            <w:tcW w:w="0" w:type="auto"/>
            <w:tcBorders>
              <w:top w:val="single" w:color="auto" w:sz="12" w:space="0"/>
              <w:left w:val="nil"/>
              <w:bottom w:val="single" w:color="auto" w:sz="12" w:space="0"/>
              <w:right w:val="nil"/>
            </w:tcBorders>
          </w:tcPr>
          <w:p w14:paraId="7711DEA9">
            <w:pPr>
              <w:autoSpaceDE w:val="0"/>
              <w:autoSpaceDN w:val="0"/>
              <w:adjustRightInd w:val="0"/>
              <w:spacing w:line="312" w:lineRule="auto"/>
              <w:rPr>
                <w:kern w:val="0"/>
                <w:szCs w:val="21"/>
              </w:rPr>
            </w:pPr>
            <w:r>
              <w:rPr>
                <w:kern w:val="0"/>
                <w:szCs w:val="21"/>
              </w:rPr>
              <w:t>1</w:t>
            </w:r>
          </w:p>
        </w:tc>
        <w:tc>
          <w:tcPr>
            <w:tcW w:w="0" w:type="auto"/>
            <w:tcBorders>
              <w:top w:val="single" w:color="auto" w:sz="12" w:space="0"/>
              <w:left w:val="nil"/>
              <w:bottom w:val="single" w:color="auto" w:sz="12" w:space="0"/>
              <w:right w:val="nil"/>
            </w:tcBorders>
          </w:tcPr>
          <w:p w14:paraId="0397F661">
            <w:pPr>
              <w:autoSpaceDE w:val="0"/>
              <w:autoSpaceDN w:val="0"/>
              <w:adjustRightInd w:val="0"/>
              <w:spacing w:line="312" w:lineRule="auto"/>
              <w:rPr>
                <w:kern w:val="0"/>
                <w:szCs w:val="21"/>
              </w:rPr>
            </w:pPr>
            <w:r>
              <w:rPr>
                <w:kern w:val="0"/>
                <w:szCs w:val="21"/>
              </w:rPr>
              <w:t>2</w:t>
            </w:r>
          </w:p>
        </w:tc>
        <w:tc>
          <w:tcPr>
            <w:tcW w:w="0" w:type="auto"/>
            <w:tcBorders>
              <w:top w:val="single" w:color="auto" w:sz="12" w:space="0"/>
              <w:left w:val="nil"/>
              <w:bottom w:val="single" w:color="auto" w:sz="12" w:space="0"/>
              <w:right w:val="nil"/>
            </w:tcBorders>
          </w:tcPr>
          <w:p w14:paraId="77D399D0">
            <w:pPr>
              <w:autoSpaceDE w:val="0"/>
              <w:autoSpaceDN w:val="0"/>
              <w:adjustRightInd w:val="0"/>
              <w:spacing w:line="312" w:lineRule="auto"/>
              <w:rPr>
                <w:kern w:val="0"/>
                <w:szCs w:val="21"/>
              </w:rPr>
            </w:pPr>
            <w:r>
              <w:rPr>
                <w:kern w:val="0"/>
                <w:szCs w:val="21"/>
              </w:rPr>
              <w:t>3</w:t>
            </w:r>
          </w:p>
        </w:tc>
        <w:tc>
          <w:tcPr>
            <w:tcW w:w="0" w:type="auto"/>
            <w:tcBorders>
              <w:top w:val="single" w:color="auto" w:sz="12" w:space="0"/>
              <w:left w:val="nil"/>
              <w:bottom w:val="single" w:color="auto" w:sz="12" w:space="0"/>
              <w:right w:val="nil"/>
            </w:tcBorders>
          </w:tcPr>
          <w:p w14:paraId="0BC0B1B5">
            <w:pPr>
              <w:autoSpaceDE w:val="0"/>
              <w:autoSpaceDN w:val="0"/>
              <w:adjustRightInd w:val="0"/>
              <w:spacing w:line="312" w:lineRule="auto"/>
              <w:rPr>
                <w:kern w:val="0"/>
                <w:szCs w:val="21"/>
              </w:rPr>
            </w:pPr>
            <w:r>
              <w:rPr>
                <w:kern w:val="0"/>
                <w:szCs w:val="21"/>
              </w:rPr>
              <w:t>4</w:t>
            </w:r>
          </w:p>
        </w:tc>
        <w:tc>
          <w:tcPr>
            <w:tcW w:w="0" w:type="auto"/>
            <w:tcBorders>
              <w:top w:val="single" w:color="auto" w:sz="12" w:space="0"/>
              <w:left w:val="nil"/>
              <w:bottom w:val="single" w:color="auto" w:sz="12" w:space="0"/>
              <w:right w:val="nil"/>
            </w:tcBorders>
          </w:tcPr>
          <w:p w14:paraId="7A6E2B04">
            <w:pPr>
              <w:autoSpaceDE w:val="0"/>
              <w:autoSpaceDN w:val="0"/>
              <w:adjustRightInd w:val="0"/>
              <w:spacing w:line="312" w:lineRule="auto"/>
              <w:rPr>
                <w:kern w:val="0"/>
                <w:szCs w:val="21"/>
              </w:rPr>
            </w:pPr>
            <w:r>
              <w:rPr>
                <w:kern w:val="0"/>
                <w:szCs w:val="21"/>
              </w:rPr>
              <w:t>5</w:t>
            </w:r>
          </w:p>
        </w:tc>
        <w:tc>
          <w:tcPr>
            <w:tcW w:w="0" w:type="auto"/>
            <w:tcBorders>
              <w:top w:val="single" w:color="auto" w:sz="12" w:space="0"/>
              <w:left w:val="nil"/>
              <w:bottom w:val="single" w:color="auto" w:sz="12" w:space="0"/>
              <w:right w:val="nil"/>
            </w:tcBorders>
          </w:tcPr>
          <w:p w14:paraId="6F75367B">
            <w:pPr>
              <w:autoSpaceDE w:val="0"/>
              <w:autoSpaceDN w:val="0"/>
              <w:adjustRightInd w:val="0"/>
              <w:spacing w:line="312" w:lineRule="auto"/>
              <w:rPr>
                <w:kern w:val="0"/>
                <w:szCs w:val="21"/>
              </w:rPr>
            </w:pPr>
            <w:r>
              <w:rPr>
                <w:kern w:val="0"/>
                <w:szCs w:val="21"/>
              </w:rPr>
              <w:t>6</w:t>
            </w:r>
          </w:p>
        </w:tc>
        <w:tc>
          <w:tcPr>
            <w:tcW w:w="0" w:type="auto"/>
            <w:tcBorders>
              <w:top w:val="single" w:color="auto" w:sz="12" w:space="0"/>
              <w:left w:val="nil"/>
              <w:bottom w:val="single" w:color="auto" w:sz="12" w:space="0"/>
              <w:right w:val="nil"/>
            </w:tcBorders>
          </w:tcPr>
          <w:p w14:paraId="7EB7FA9A">
            <w:pPr>
              <w:autoSpaceDE w:val="0"/>
              <w:autoSpaceDN w:val="0"/>
              <w:adjustRightInd w:val="0"/>
              <w:spacing w:line="312" w:lineRule="auto"/>
              <w:rPr>
                <w:kern w:val="0"/>
                <w:szCs w:val="21"/>
              </w:rPr>
            </w:pPr>
            <w:r>
              <w:rPr>
                <w:kern w:val="0"/>
                <w:szCs w:val="21"/>
              </w:rPr>
              <w:t>7</w:t>
            </w:r>
          </w:p>
        </w:tc>
        <w:tc>
          <w:tcPr>
            <w:tcW w:w="0" w:type="auto"/>
            <w:tcBorders>
              <w:top w:val="single" w:color="auto" w:sz="12" w:space="0"/>
              <w:left w:val="nil"/>
              <w:bottom w:val="single" w:color="auto" w:sz="12" w:space="0"/>
              <w:right w:val="nil"/>
            </w:tcBorders>
          </w:tcPr>
          <w:p w14:paraId="7315D1C4">
            <w:pPr>
              <w:autoSpaceDE w:val="0"/>
              <w:autoSpaceDN w:val="0"/>
              <w:adjustRightInd w:val="0"/>
              <w:spacing w:line="312" w:lineRule="auto"/>
              <w:rPr>
                <w:kern w:val="0"/>
                <w:szCs w:val="21"/>
              </w:rPr>
            </w:pPr>
            <w:r>
              <w:rPr>
                <w:kern w:val="0"/>
                <w:szCs w:val="21"/>
              </w:rPr>
              <w:t>8</w:t>
            </w:r>
          </w:p>
        </w:tc>
        <w:tc>
          <w:tcPr>
            <w:tcW w:w="0" w:type="auto"/>
            <w:tcBorders>
              <w:top w:val="single" w:color="auto" w:sz="12" w:space="0"/>
              <w:left w:val="nil"/>
              <w:bottom w:val="single" w:color="auto" w:sz="12" w:space="0"/>
              <w:right w:val="nil"/>
            </w:tcBorders>
          </w:tcPr>
          <w:p w14:paraId="271D34BB">
            <w:pPr>
              <w:autoSpaceDE w:val="0"/>
              <w:autoSpaceDN w:val="0"/>
              <w:adjustRightInd w:val="0"/>
              <w:spacing w:line="312" w:lineRule="auto"/>
              <w:rPr>
                <w:kern w:val="0"/>
                <w:szCs w:val="21"/>
              </w:rPr>
            </w:pPr>
            <w:r>
              <w:rPr>
                <w:kern w:val="0"/>
                <w:szCs w:val="21"/>
              </w:rPr>
              <w:t>9</w:t>
            </w:r>
          </w:p>
        </w:tc>
      </w:tr>
      <w:tr w14:paraId="25FC54B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3" w:hRule="atLeast"/>
          <w:jc w:val="center"/>
        </w:trPr>
        <w:tc>
          <w:tcPr>
            <w:tcW w:w="0" w:type="auto"/>
            <w:vMerge w:val="restart"/>
            <w:tcBorders>
              <w:top w:val="single" w:color="auto" w:sz="12" w:space="0"/>
              <w:left w:val="nil"/>
              <w:bottom w:val="nil"/>
              <w:right w:val="nil"/>
            </w:tcBorders>
            <w:vAlign w:val="center"/>
          </w:tcPr>
          <w:p w14:paraId="17EE7CF4">
            <w:pPr>
              <w:autoSpaceDE w:val="0"/>
              <w:autoSpaceDN w:val="0"/>
              <w:adjustRightInd w:val="0"/>
              <w:spacing w:line="312" w:lineRule="auto"/>
              <w:rPr>
                <w:kern w:val="0"/>
                <w:szCs w:val="21"/>
              </w:rPr>
            </w:pPr>
            <w:r>
              <w:rPr>
                <w:kern w:val="0"/>
                <w:szCs w:val="21"/>
              </w:rPr>
              <w:t>1984</w:t>
            </w:r>
          </w:p>
        </w:tc>
        <w:tc>
          <w:tcPr>
            <w:tcW w:w="0" w:type="auto"/>
            <w:tcBorders>
              <w:top w:val="single" w:color="auto" w:sz="12" w:space="0"/>
              <w:left w:val="nil"/>
              <w:bottom w:val="nil"/>
              <w:right w:val="nil"/>
            </w:tcBorders>
          </w:tcPr>
          <w:p w14:paraId="333C6373">
            <w:pPr>
              <w:autoSpaceDE w:val="0"/>
              <w:autoSpaceDN w:val="0"/>
              <w:adjustRightInd w:val="0"/>
              <w:spacing w:line="312" w:lineRule="auto"/>
              <w:rPr>
                <w:kern w:val="0"/>
                <w:szCs w:val="21"/>
              </w:rPr>
            </w:pPr>
            <w:r>
              <w:t>Area</w:t>
            </w:r>
            <w:r>
              <w:rPr>
                <w:kern w:val="0"/>
                <w:szCs w:val="21"/>
              </w:rPr>
              <w:t>/m</w:t>
            </w:r>
            <w:r>
              <w:rPr>
                <w:kern w:val="0"/>
                <w:szCs w:val="21"/>
                <w:vertAlign w:val="superscript"/>
              </w:rPr>
              <w:t>2</w:t>
            </w:r>
          </w:p>
        </w:tc>
        <w:tc>
          <w:tcPr>
            <w:tcW w:w="0" w:type="auto"/>
            <w:tcBorders>
              <w:top w:val="single" w:color="auto" w:sz="12" w:space="0"/>
              <w:left w:val="nil"/>
              <w:bottom w:val="nil"/>
              <w:right w:val="nil"/>
            </w:tcBorders>
          </w:tcPr>
          <w:p w14:paraId="2EBFFF35">
            <w:pPr>
              <w:autoSpaceDE w:val="0"/>
              <w:autoSpaceDN w:val="0"/>
              <w:adjustRightInd w:val="0"/>
              <w:spacing w:line="312" w:lineRule="auto"/>
              <w:rPr>
                <w:kern w:val="0"/>
                <w:szCs w:val="21"/>
              </w:rPr>
            </w:pPr>
            <w:r>
              <w:rPr>
                <w:kern w:val="0"/>
                <w:szCs w:val="21"/>
              </w:rPr>
              <w:t>1.4</w:t>
            </w:r>
          </w:p>
        </w:tc>
        <w:tc>
          <w:tcPr>
            <w:tcW w:w="0" w:type="auto"/>
            <w:tcBorders>
              <w:top w:val="single" w:color="auto" w:sz="12" w:space="0"/>
              <w:left w:val="nil"/>
              <w:bottom w:val="nil"/>
              <w:right w:val="nil"/>
            </w:tcBorders>
          </w:tcPr>
          <w:p w14:paraId="16AE5239">
            <w:pPr>
              <w:autoSpaceDE w:val="0"/>
              <w:autoSpaceDN w:val="0"/>
              <w:adjustRightInd w:val="0"/>
              <w:spacing w:line="312" w:lineRule="auto"/>
              <w:rPr>
                <w:kern w:val="0"/>
                <w:szCs w:val="21"/>
              </w:rPr>
            </w:pPr>
            <w:r>
              <w:rPr>
                <w:kern w:val="0"/>
                <w:szCs w:val="21"/>
              </w:rPr>
              <w:t>1.475</w:t>
            </w:r>
          </w:p>
        </w:tc>
        <w:tc>
          <w:tcPr>
            <w:tcW w:w="0" w:type="auto"/>
            <w:tcBorders>
              <w:top w:val="single" w:color="auto" w:sz="12" w:space="0"/>
              <w:left w:val="nil"/>
              <w:bottom w:val="nil"/>
              <w:right w:val="nil"/>
            </w:tcBorders>
          </w:tcPr>
          <w:p w14:paraId="38951080">
            <w:pPr>
              <w:autoSpaceDE w:val="0"/>
              <w:autoSpaceDN w:val="0"/>
              <w:adjustRightInd w:val="0"/>
              <w:spacing w:line="312" w:lineRule="auto"/>
              <w:rPr>
                <w:kern w:val="0"/>
                <w:szCs w:val="21"/>
              </w:rPr>
            </w:pPr>
            <w:r>
              <w:rPr>
                <w:kern w:val="0"/>
                <w:szCs w:val="21"/>
              </w:rPr>
              <w:t>1.685</w:t>
            </w:r>
          </w:p>
        </w:tc>
        <w:tc>
          <w:tcPr>
            <w:tcW w:w="0" w:type="auto"/>
            <w:tcBorders>
              <w:top w:val="single" w:color="auto" w:sz="12" w:space="0"/>
              <w:left w:val="nil"/>
              <w:bottom w:val="nil"/>
              <w:right w:val="nil"/>
            </w:tcBorders>
          </w:tcPr>
          <w:p w14:paraId="49A6D664">
            <w:pPr>
              <w:autoSpaceDE w:val="0"/>
              <w:autoSpaceDN w:val="0"/>
              <w:adjustRightInd w:val="0"/>
              <w:spacing w:line="312" w:lineRule="auto"/>
              <w:rPr>
                <w:kern w:val="0"/>
                <w:szCs w:val="21"/>
              </w:rPr>
            </w:pPr>
            <w:r>
              <w:rPr>
                <w:kern w:val="0"/>
                <w:szCs w:val="21"/>
              </w:rPr>
              <w:t>1.855</w:t>
            </w:r>
          </w:p>
        </w:tc>
        <w:tc>
          <w:tcPr>
            <w:tcW w:w="0" w:type="auto"/>
            <w:tcBorders>
              <w:top w:val="single" w:color="auto" w:sz="12" w:space="0"/>
              <w:left w:val="nil"/>
              <w:bottom w:val="nil"/>
              <w:right w:val="nil"/>
            </w:tcBorders>
          </w:tcPr>
          <w:p w14:paraId="207B96A4">
            <w:pPr>
              <w:autoSpaceDE w:val="0"/>
              <w:autoSpaceDN w:val="0"/>
              <w:adjustRightInd w:val="0"/>
              <w:spacing w:line="312" w:lineRule="auto"/>
              <w:rPr>
                <w:kern w:val="0"/>
                <w:szCs w:val="21"/>
              </w:rPr>
            </w:pPr>
            <w:r>
              <w:rPr>
                <w:kern w:val="0"/>
                <w:szCs w:val="21"/>
              </w:rPr>
              <w:t>0.6</w:t>
            </w:r>
          </w:p>
        </w:tc>
        <w:tc>
          <w:tcPr>
            <w:tcW w:w="0" w:type="auto"/>
            <w:tcBorders>
              <w:top w:val="single" w:color="auto" w:sz="12" w:space="0"/>
              <w:left w:val="nil"/>
              <w:bottom w:val="nil"/>
              <w:right w:val="nil"/>
            </w:tcBorders>
          </w:tcPr>
          <w:p w14:paraId="404EE307">
            <w:pPr>
              <w:autoSpaceDE w:val="0"/>
              <w:autoSpaceDN w:val="0"/>
              <w:adjustRightInd w:val="0"/>
              <w:spacing w:line="312" w:lineRule="auto"/>
              <w:rPr>
                <w:kern w:val="0"/>
                <w:szCs w:val="21"/>
              </w:rPr>
            </w:pPr>
            <w:r>
              <w:rPr>
                <w:kern w:val="0"/>
                <w:szCs w:val="21"/>
              </w:rPr>
              <w:t>1.91</w:t>
            </w:r>
          </w:p>
        </w:tc>
        <w:tc>
          <w:tcPr>
            <w:tcW w:w="0" w:type="auto"/>
            <w:tcBorders>
              <w:top w:val="single" w:color="auto" w:sz="12" w:space="0"/>
              <w:left w:val="nil"/>
              <w:bottom w:val="nil"/>
              <w:right w:val="nil"/>
            </w:tcBorders>
          </w:tcPr>
          <w:p w14:paraId="2D684807">
            <w:pPr>
              <w:autoSpaceDE w:val="0"/>
              <w:autoSpaceDN w:val="0"/>
              <w:adjustRightInd w:val="0"/>
              <w:spacing w:line="312" w:lineRule="auto"/>
              <w:rPr>
                <w:kern w:val="0"/>
                <w:szCs w:val="21"/>
              </w:rPr>
            </w:pPr>
            <w:r>
              <w:rPr>
                <w:kern w:val="0"/>
                <w:szCs w:val="21"/>
              </w:rPr>
              <w:t>3.775</w:t>
            </w:r>
          </w:p>
        </w:tc>
        <w:tc>
          <w:tcPr>
            <w:tcW w:w="0" w:type="auto"/>
            <w:tcBorders>
              <w:top w:val="single" w:color="auto" w:sz="12" w:space="0"/>
              <w:left w:val="nil"/>
              <w:bottom w:val="nil"/>
              <w:right w:val="nil"/>
            </w:tcBorders>
          </w:tcPr>
          <w:p w14:paraId="14A00F22">
            <w:pPr>
              <w:autoSpaceDE w:val="0"/>
              <w:autoSpaceDN w:val="0"/>
              <w:adjustRightInd w:val="0"/>
              <w:spacing w:line="312" w:lineRule="auto"/>
              <w:rPr>
                <w:kern w:val="0"/>
                <w:szCs w:val="21"/>
              </w:rPr>
            </w:pPr>
            <w:r>
              <w:rPr>
                <w:kern w:val="0"/>
                <w:szCs w:val="21"/>
              </w:rPr>
              <w:t>1.6</w:t>
            </w:r>
          </w:p>
        </w:tc>
        <w:tc>
          <w:tcPr>
            <w:tcW w:w="0" w:type="auto"/>
            <w:tcBorders>
              <w:top w:val="single" w:color="auto" w:sz="12" w:space="0"/>
              <w:left w:val="nil"/>
              <w:bottom w:val="nil"/>
              <w:right w:val="nil"/>
            </w:tcBorders>
          </w:tcPr>
          <w:p w14:paraId="5B7155FB">
            <w:pPr>
              <w:autoSpaceDE w:val="0"/>
              <w:autoSpaceDN w:val="0"/>
              <w:adjustRightInd w:val="0"/>
              <w:spacing w:line="312" w:lineRule="auto"/>
              <w:rPr>
                <w:kern w:val="0"/>
                <w:szCs w:val="21"/>
              </w:rPr>
            </w:pPr>
            <w:r>
              <w:rPr>
                <w:kern w:val="0"/>
                <w:szCs w:val="21"/>
              </w:rPr>
              <w:t>0.73</w:t>
            </w:r>
          </w:p>
        </w:tc>
      </w:tr>
      <w:tr w14:paraId="754401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8" w:hRule="atLeast"/>
          <w:jc w:val="center"/>
        </w:trPr>
        <w:tc>
          <w:tcPr>
            <w:tcW w:w="0" w:type="auto"/>
            <w:vMerge w:val="continue"/>
            <w:tcBorders>
              <w:top w:val="single" w:color="auto" w:sz="12" w:space="0"/>
              <w:left w:val="nil"/>
              <w:bottom w:val="nil"/>
              <w:right w:val="nil"/>
            </w:tcBorders>
            <w:vAlign w:val="center"/>
          </w:tcPr>
          <w:p w14:paraId="5C4B358A">
            <w:pPr>
              <w:widowControl/>
              <w:jc w:val="left"/>
              <w:rPr>
                <w:kern w:val="0"/>
                <w:szCs w:val="21"/>
              </w:rPr>
            </w:pPr>
          </w:p>
        </w:tc>
        <w:tc>
          <w:tcPr>
            <w:tcW w:w="0" w:type="auto"/>
            <w:tcBorders>
              <w:top w:val="nil"/>
              <w:left w:val="nil"/>
              <w:bottom w:val="nil"/>
              <w:right w:val="nil"/>
            </w:tcBorders>
          </w:tcPr>
          <w:p w14:paraId="4C51E465">
            <w:pPr>
              <w:autoSpaceDE w:val="0"/>
              <w:autoSpaceDN w:val="0"/>
              <w:adjustRightInd w:val="0"/>
              <w:spacing w:line="312" w:lineRule="auto"/>
              <w:rPr>
                <w:kern w:val="0"/>
                <w:szCs w:val="21"/>
              </w:rPr>
            </w:pPr>
            <w:r>
              <w:t>Depth</w:t>
            </w:r>
            <w:r>
              <w:rPr>
                <w:kern w:val="0"/>
                <w:szCs w:val="21"/>
              </w:rPr>
              <w:t xml:space="preserve"> /m</w:t>
            </w:r>
          </w:p>
        </w:tc>
        <w:tc>
          <w:tcPr>
            <w:tcW w:w="0" w:type="auto"/>
            <w:tcBorders>
              <w:top w:val="nil"/>
              <w:left w:val="nil"/>
              <w:bottom w:val="nil"/>
              <w:right w:val="nil"/>
            </w:tcBorders>
          </w:tcPr>
          <w:p w14:paraId="7CB3DACB">
            <w:pPr>
              <w:autoSpaceDE w:val="0"/>
              <w:autoSpaceDN w:val="0"/>
              <w:adjustRightInd w:val="0"/>
              <w:spacing w:line="312" w:lineRule="auto"/>
              <w:rPr>
                <w:kern w:val="0"/>
                <w:szCs w:val="21"/>
              </w:rPr>
            </w:pPr>
            <w:r>
              <w:rPr>
                <w:kern w:val="0"/>
                <w:szCs w:val="21"/>
              </w:rPr>
              <w:t>0.17</w:t>
            </w:r>
          </w:p>
        </w:tc>
        <w:tc>
          <w:tcPr>
            <w:tcW w:w="0" w:type="auto"/>
            <w:tcBorders>
              <w:top w:val="nil"/>
              <w:left w:val="nil"/>
              <w:bottom w:val="nil"/>
              <w:right w:val="nil"/>
            </w:tcBorders>
          </w:tcPr>
          <w:p w14:paraId="1ADD915D">
            <w:pPr>
              <w:autoSpaceDE w:val="0"/>
              <w:autoSpaceDN w:val="0"/>
              <w:adjustRightInd w:val="0"/>
              <w:spacing w:line="312" w:lineRule="auto"/>
              <w:rPr>
                <w:kern w:val="0"/>
                <w:szCs w:val="21"/>
              </w:rPr>
            </w:pPr>
            <w:r>
              <w:rPr>
                <w:kern w:val="0"/>
                <w:szCs w:val="21"/>
              </w:rPr>
              <w:t>0.16</w:t>
            </w:r>
          </w:p>
        </w:tc>
        <w:tc>
          <w:tcPr>
            <w:tcW w:w="0" w:type="auto"/>
            <w:tcBorders>
              <w:top w:val="nil"/>
              <w:left w:val="nil"/>
              <w:bottom w:val="nil"/>
              <w:right w:val="nil"/>
            </w:tcBorders>
          </w:tcPr>
          <w:p w14:paraId="411E5AC0">
            <w:pPr>
              <w:autoSpaceDE w:val="0"/>
              <w:autoSpaceDN w:val="0"/>
              <w:adjustRightInd w:val="0"/>
              <w:spacing w:line="312" w:lineRule="auto"/>
              <w:rPr>
                <w:kern w:val="0"/>
                <w:szCs w:val="21"/>
              </w:rPr>
            </w:pPr>
            <w:r>
              <w:rPr>
                <w:kern w:val="0"/>
                <w:szCs w:val="21"/>
              </w:rPr>
              <w:t>0.075</w:t>
            </w:r>
          </w:p>
        </w:tc>
        <w:tc>
          <w:tcPr>
            <w:tcW w:w="0" w:type="auto"/>
            <w:tcBorders>
              <w:top w:val="nil"/>
              <w:left w:val="nil"/>
              <w:bottom w:val="nil"/>
              <w:right w:val="nil"/>
            </w:tcBorders>
          </w:tcPr>
          <w:p w14:paraId="448C59E8">
            <w:pPr>
              <w:autoSpaceDE w:val="0"/>
              <w:autoSpaceDN w:val="0"/>
              <w:adjustRightInd w:val="0"/>
              <w:spacing w:line="312" w:lineRule="auto"/>
              <w:rPr>
                <w:kern w:val="0"/>
                <w:szCs w:val="21"/>
              </w:rPr>
            </w:pPr>
            <w:r>
              <w:rPr>
                <w:kern w:val="0"/>
                <w:szCs w:val="21"/>
              </w:rPr>
              <w:t>0.26</w:t>
            </w:r>
          </w:p>
        </w:tc>
        <w:tc>
          <w:tcPr>
            <w:tcW w:w="0" w:type="auto"/>
            <w:tcBorders>
              <w:top w:val="nil"/>
              <w:left w:val="nil"/>
              <w:bottom w:val="nil"/>
              <w:right w:val="nil"/>
            </w:tcBorders>
          </w:tcPr>
          <w:p w14:paraId="5761F12C">
            <w:pPr>
              <w:autoSpaceDE w:val="0"/>
              <w:autoSpaceDN w:val="0"/>
              <w:adjustRightInd w:val="0"/>
              <w:spacing w:line="312" w:lineRule="auto"/>
              <w:rPr>
                <w:kern w:val="0"/>
                <w:szCs w:val="21"/>
              </w:rPr>
            </w:pPr>
            <w:r>
              <w:rPr>
                <w:kern w:val="0"/>
                <w:szCs w:val="21"/>
              </w:rPr>
              <w:t>0.09</w:t>
            </w:r>
          </w:p>
        </w:tc>
        <w:tc>
          <w:tcPr>
            <w:tcW w:w="0" w:type="auto"/>
            <w:tcBorders>
              <w:top w:val="nil"/>
              <w:left w:val="nil"/>
              <w:bottom w:val="nil"/>
              <w:right w:val="nil"/>
            </w:tcBorders>
          </w:tcPr>
          <w:p w14:paraId="636E014B">
            <w:pPr>
              <w:autoSpaceDE w:val="0"/>
              <w:autoSpaceDN w:val="0"/>
              <w:adjustRightInd w:val="0"/>
              <w:spacing w:line="312" w:lineRule="auto"/>
              <w:rPr>
                <w:kern w:val="0"/>
                <w:szCs w:val="21"/>
              </w:rPr>
            </w:pPr>
            <w:r>
              <w:rPr>
                <w:kern w:val="0"/>
                <w:szCs w:val="21"/>
              </w:rPr>
              <w:t>0.36</w:t>
            </w:r>
          </w:p>
        </w:tc>
        <w:tc>
          <w:tcPr>
            <w:tcW w:w="0" w:type="auto"/>
            <w:tcBorders>
              <w:top w:val="nil"/>
              <w:left w:val="nil"/>
              <w:bottom w:val="nil"/>
              <w:right w:val="nil"/>
            </w:tcBorders>
          </w:tcPr>
          <w:p w14:paraId="0E34920F">
            <w:pPr>
              <w:autoSpaceDE w:val="0"/>
              <w:autoSpaceDN w:val="0"/>
              <w:adjustRightInd w:val="0"/>
              <w:spacing w:line="312" w:lineRule="auto"/>
              <w:rPr>
                <w:kern w:val="0"/>
                <w:szCs w:val="21"/>
              </w:rPr>
            </w:pPr>
            <w:r>
              <w:rPr>
                <w:kern w:val="0"/>
                <w:szCs w:val="21"/>
              </w:rPr>
              <w:t>0.18</w:t>
            </w:r>
          </w:p>
        </w:tc>
        <w:tc>
          <w:tcPr>
            <w:tcW w:w="0" w:type="auto"/>
            <w:tcBorders>
              <w:top w:val="nil"/>
              <w:left w:val="nil"/>
              <w:bottom w:val="nil"/>
              <w:right w:val="nil"/>
            </w:tcBorders>
          </w:tcPr>
          <w:p w14:paraId="11D40DF0">
            <w:pPr>
              <w:autoSpaceDE w:val="0"/>
              <w:autoSpaceDN w:val="0"/>
              <w:adjustRightInd w:val="0"/>
              <w:spacing w:line="312" w:lineRule="auto"/>
              <w:rPr>
                <w:kern w:val="0"/>
                <w:szCs w:val="21"/>
              </w:rPr>
            </w:pPr>
            <w:r>
              <w:rPr>
                <w:kern w:val="0"/>
                <w:szCs w:val="21"/>
              </w:rPr>
              <w:t>0.17</w:t>
            </w:r>
          </w:p>
        </w:tc>
        <w:tc>
          <w:tcPr>
            <w:tcW w:w="0" w:type="auto"/>
            <w:tcBorders>
              <w:top w:val="nil"/>
              <w:left w:val="nil"/>
              <w:bottom w:val="nil"/>
              <w:right w:val="nil"/>
            </w:tcBorders>
          </w:tcPr>
          <w:p w14:paraId="0F27646A">
            <w:pPr>
              <w:autoSpaceDE w:val="0"/>
              <w:autoSpaceDN w:val="0"/>
              <w:adjustRightInd w:val="0"/>
              <w:spacing w:line="312" w:lineRule="auto"/>
              <w:rPr>
                <w:kern w:val="0"/>
                <w:szCs w:val="21"/>
              </w:rPr>
            </w:pPr>
            <w:r>
              <w:rPr>
                <w:kern w:val="0"/>
                <w:szCs w:val="21"/>
              </w:rPr>
              <w:t>0.06</w:t>
            </w:r>
          </w:p>
        </w:tc>
      </w:tr>
      <w:tr w14:paraId="64E5B9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3" w:hRule="atLeast"/>
          <w:jc w:val="center"/>
        </w:trPr>
        <w:tc>
          <w:tcPr>
            <w:tcW w:w="0" w:type="auto"/>
            <w:vMerge w:val="restart"/>
            <w:tcBorders>
              <w:top w:val="nil"/>
              <w:left w:val="nil"/>
              <w:bottom w:val="single" w:color="auto" w:sz="12" w:space="0"/>
              <w:right w:val="nil"/>
            </w:tcBorders>
            <w:vAlign w:val="center"/>
          </w:tcPr>
          <w:p w14:paraId="4CEC7242">
            <w:pPr>
              <w:autoSpaceDE w:val="0"/>
              <w:autoSpaceDN w:val="0"/>
              <w:adjustRightInd w:val="0"/>
              <w:spacing w:line="312" w:lineRule="auto"/>
              <w:rPr>
                <w:kern w:val="0"/>
                <w:szCs w:val="21"/>
              </w:rPr>
            </w:pPr>
            <w:r>
              <w:rPr>
                <w:kern w:val="0"/>
                <w:szCs w:val="21"/>
              </w:rPr>
              <w:t>1985</w:t>
            </w:r>
          </w:p>
        </w:tc>
        <w:tc>
          <w:tcPr>
            <w:tcW w:w="0" w:type="auto"/>
            <w:tcBorders>
              <w:top w:val="nil"/>
              <w:left w:val="nil"/>
              <w:bottom w:val="nil"/>
              <w:right w:val="nil"/>
            </w:tcBorders>
          </w:tcPr>
          <w:p w14:paraId="25E82006">
            <w:pPr>
              <w:autoSpaceDE w:val="0"/>
              <w:autoSpaceDN w:val="0"/>
              <w:adjustRightInd w:val="0"/>
              <w:spacing w:line="312" w:lineRule="auto"/>
              <w:rPr>
                <w:kern w:val="0"/>
                <w:szCs w:val="21"/>
              </w:rPr>
            </w:pPr>
            <w:r>
              <w:t>Area</w:t>
            </w:r>
            <w:r>
              <w:rPr>
                <w:kern w:val="0"/>
                <w:szCs w:val="21"/>
              </w:rPr>
              <w:t xml:space="preserve"> /m</w:t>
            </w:r>
            <w:r>
              <w:rPr>
                <w:kern w:val="0"/>
                <w:szCs w:val="21"/>
                <w:vertAlign w:val="superscript"/>
              </w:rPr>
              <w:t>2</w:t>
            </w:r>
          </w:p>
        </w:tc>
        <w:tc>
          <w:tcPr>
            <w:tcW w:w="0" w:type="auto"/>
            <w:tcBorders>
              <w:top w:val="nil"/>
              <w:left w:val="nil"/>
              <w:bottom w:val="nil"/>
              <w:right w:val="nil"/>
            </w:tcBorders>
          </w:tcPr>
          <w:p w14:paraId="55215C0C">
            <w:pPr>
              <w:autoSpaceDE w:val="0"/>
              <w:autoSpaceDN w:val="0"/>
              <w:adjustRightInd w:val="0"/>
              <w:spacing w:line="312" w:lineRule="auto"/>
              <w:rPr>
                <w:kern w:val="0"/>
                <w:szCs w:val="21"/>
              </w:rPr>
            </w:pPr>
            <w:r>
              <w:rPr>
                <w:kern w:val="0"/>
                <w:szCs w:val="21"/>
              </w:rPr>
              <w:t>1.43</w:t>
            </w:r>
          </w:p>
        </w:tc>
        <w:tc>
          <w:tcPr>
            <w:tcW w:w="0" w:type="auto"/>
            <w:tcBorders>
              <w:top w:val="nil"/>
              <w:left w:val="nil"/>
              <w:bottom w:val="nil"/>
              <w:right w:val="nil"/>
            </w:tcBorders>
          </w:tcPr>
          <w:p w14:paraId="7BD51857">
            <w:pPr>
              <w:autoSpaceDE w:val="0"/>
              <w:autoSpaceDN w:val="0"/>
              <w:adjustRightInd w:val="0"/>
              <w:spacing w:line="312" w:lineRule="auto"/>
              <w:rPr>
                <w:kern w:val="0"/>
                <w:szCs w:val="21"/>
              </w:rPr>
            </w:pPr>
            <w:r>
              <w:rPr>
                <w:kern w:val="0"/>
                <w:szCs w:val="21"/>
              </w:rPr>
              <w:t>0.1536</w:t>
            </w:r>
          </w:p>
        </w:tc>
        <w:tc>
          <w:tcPr>
            <w:tcW w:w="0" w:type="auto"/>
            <w:tcBorders>
              <w:top w:val="nil"/>
              <w:left w:val="nil"/>
              <w:bottom w:val="nil"/>
              <w:right w:val="nil"/>
            </w:tcBorders>
          </w:tcPr>
          <w:p w14:paraId="3913B598">
            <w:pPr>
              <w:autoSpaceDE w:val="0"/>
              <w:autoSpaceDN w:val="0"/>
              <w:adjustRightInd w:val="0"/>
              <w:spacing w:line="312" w:lineRule="auto"/>
              <w:rPr>
                <w:kern w:val="0"/>
                <w:szCs w:val="21"/>
              </w:rPr>
            </w:pPr>
            <w:r>
              <w:rPr>
                <w:kern w:val="0"/>
                <w:szCs w:val="21"/>
              </w:rPr>
              <w:t>1.751</w:t>
            </w:r>
          </w:p>
        </w:tc>
        <w:tc>
          <w:tcPr>
            <w:tcW w:w="0" w:type="auto"/>
            <w:tcBorders>
              <w:top w:val="nil"/>
              <w:left w:val="nil"/>
              <w:bottom w:val="nil"/>
              <w:right w:val="nil"/>
            </w:tcBorders>
          </w:tcPr>
          <w:p w14:paraId="442A68F4">
            <w:pPr>
              <w:autoSpaceDE w:val="0"/>
              <w:autoSpaceDN w:val="0"/>
              <w:adjustRightInd w:val="0"/>
              <w:spacing w:line="312" w:lineRule="auto"/>
              <w:rPr>
                <w:rFonts w:ascii="宋体" w:hAnsi="宋体"/>
                <w:kern w:val="0"/>
                <w:szCs w:val="21"/>
              </w:rPr>
            </w:pPr>
            <w:r>
              <w:rPr>
                <w:rFonts w:hint="eastAsia" w:ascii="宋体" w:hAnsi="宋体"/>
                <w:kern w:val="0"/>
                <w:szCs w:val="21"/>
              </w:rPr>
              <w:t>-</w:t>
            </w:r>
          </w:p>
        </w:tc>
        <w:tc>
          <w:tcPr>
            <w:tcW w:w="0" w:type="auto"/>
            <w:tcBorders>
              <w:top w:val="nil"/>
              <w:left w:val="nil"/>
              <w:bottom w:val="nil"/>
              <w:right w:val="nil"/>
            </w:tcBorders>
          </w:tcPr>
          <w:p w14:paraId="2A091F3A">
            <w:pPr>
              <w:autoSpaceDE w:val="0"/>
              <w:autoSpaceDN w:val="0"/>
              <w:adjustRightInd w:val="0"/>
              <w:spacing w:line="312" w:lineRule="auto"/>
              <w:rPr>
                <w:rFonts w:hint="eastAsia"/>
                <w:kern w:val="0"/>
                <w:szCs w:val="21"/>
              </w:rPr>
            </w:pPr>
            <w:r>
              <w:rPr>
                <w:kern w:val="0"/>
                <w:szCs w:val="21"/>
              </w:rPr>
              <w:t>0.6</w:t>
            </w:r>
          </w:p>
        </w:tc>
        <w:tc>
          <w:tcPr>
            <w:tcW w:w="0" w:type="auto"/>
            <w:tcBorders>
              <w:top w:val="nil"/>
              <w:left w:val="nil"/>
              <w:bottom w:val="nil"/>
              <w:right w:val="nil"/>
            </w:tcBorders>
          </w:tcPr>
          <w:p w14:paraId="3AFFAB98">
            <w:pPr>
              <w:autoSpaceDE w:val="0"/>
              <w:autoSpaceDN w:val="0"/>
              <w:adjustRightInd w:val="0"/>
              <w:spacing w:line="312" w:lineRule="auto"/>
              <w:rPr>
                <w:kern w:val="0"/>
                <w:szCs w:val="21"/>
              </w:rPr>
            </w:pPr>
            <w:r>
              <w:rPr>
                <w:kern w:val="0"/>
                <w:szCs w:val="21"/>
              </w:rPr>
              <w:t>1.91</w:t>
            </w:r>
          </w:p>
        </w:tc>
        <w:tc>
          <w:tcPr>
            <w:tcW w:w="0" w:type="auto"/>
            <w:tcBorders>
              <w:top w:val="nil"/>
              <w:left w:val="nil"/>
              <w:bottom w:val="nil"/>
              <w:right w:val="nil"/>
            </w:tcBorders>
          </w:tcPr>
          <w:p w14:paraId="7D66B08B">
            <w:pPr>
              <w:autoSpaceDE w:val="0"/>
              <w:autoSpaceDN w:val="0"/>
              <w:adjustRightInd w:val="0"/>
              <w:spacing w:line="312" w:lineRule="auto"/>
              <w:rPr>
                <w:kern w:val="0"/>
                <w:szCs w:val="21"/>
              </w:rPr>
            </w:pPr>
            <w:r>
              <w:rPr>
                <w:kern w:val="0"/>
                <w:szCs w:val="21"/>
              </w:rPr>
              <w:t>3.775</w:t>
            </w:r>
          </w:p>
        </w:tc>
        <w:tc>
          <w:tcPr>
            <w:tcW w:w="0" w:type="auto"/>
            <w:tcBorders>
              <w:top w:val="nil"/>
              <w:left w:val="nil"/>
              <w:bottom w:val="nil"/>
              <w:right w:val="nil"/>
            </w:tcBorders>
          </w:tcPr>
          <w:p w14:paraId="678FCBE4">
            <w:pPr>
              <w:autoSpaceDE w:val="0"/>
              <w:autoSpaceDN w:val="0"/>
              <w:adjustRightInd w:val="0"/>
              <w:spacing w:line="312" w:lineRule="auto"/>
              <w:rPr>
                <w:kern w:val="0"/>
                <w:szCs w:val="21"/>
              </w:rPr>
            </w:pPr>
            <w:r>
              <w:rPr>
                <w:kern w:val="0"/>
                <w:szCs w:val="21"/>
              </w:rPr>
              <w:t>1.6</w:t>
            </w:r>
          </w:p>
        </w:tc>
        <w:tc>
          <w:tcPr>
            <w:tcW w:w="0" w:type="auto"/>
            <w:tcBorders>
              <w:top w:val="nil"/>
              <w:left w:val="nil"/>
              <w:bottom w:val="nil"/>
              <w:right w:val="nil"/>
            </w:tcBorders>
          </w:tcPr>
          <w:p w14:paraId="128DCC5D">
            <w:pPr>
              <w:autoSpaceDE w:val="0"/>
              <w:autoSpaceDN w:val="0"/>
              <w:adjustRightInd w:val="0"/>
              <w:spacing w:line="312" w:lineRule="auto"/>
              <w:rPr>
                <w:kern w:val="0"/>
                <w:szCs w:val="21"/>
              </w:rPr>
            </w:pPr>
            <w:r>
              <w:rPr>
                <w:kern w:val="0"/>
                <w:szCs w:val="21"/>
              </w:rPr>
              <w:t>0.73</w:t>
            </w:r>
          </w:p>
        </w:tc>
      </w:tr>
      <w:tr w14:paraId="4C768E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8" w:hRule="atLeast"/>
          <w:jc w:val="center"/>
        </w:trPr>
        <w:tc>
          <w:tcPr>
            <w:tcW w:w="0" w:type="auto"/>
            <w:vMerge w:val="continue"/>
            <w:tcBorders>
              <w:top w:val="nil"/>
              <w:left w:val="nil"/>
              <w:bottom w:val="single" w:color="auto" w:sz="12" w:space="0"/>
              <w:right w:val="nil"/>
            </w:tcBorders>
            <w:vAlign w:val="center"/>
          </w:tcPr>
          <w:p w14:paraId="5C156873">
            <w:pPr>
              <w:widowControl/>
              <w:jc w:val="left"/>
              <w:rPr>
                <w:kern w:val="0"/>
                <w:szCs w:val="21"/>
              </w:rPr>
            </w:pPr>
          </w:p>
        </w:tc>
        <w:tc>
          <w:tcPr>
            <w:tcW w:w="0" w:type="auto"/>
            <w:tcBorders>
              <w:top w:val="nil"/>
              <w:left w:val="nil"/>
              <w:bottom w:val="single" w:color="auto" w:sz="12" w:space="0"/>
              <w:right w:val="nil"/>
            </w:tcBorders>
          </w:tcPr>
          <w:p w14:paraId="3C54FD76">
            <w:pPr>
              <w:autoSpaceDE w:val="0"/>
              <w:autoSpaceDN w:val="0"/>
              <w:adjustRightInd w:val="0"/>
              <w:spacing w:line="312" w:lineRule="auto"/>
              <w:rPr>
                <w:kern w:val="0"/>
                <w:szCs w:val="21"/>
              </w:rPr>
            </w:pPr>
            <w:r>
              <w:t>Depth</w:t>
            </w:r>
            <w:r>
              <w:rPr>
                <w:kern w:val="0"/>
                <w:szCs w:val="21"/>
              </w:rPr>
              <w:t xml:space="preserve"> /m</w:t>
            </w:r>
          </w:p>
        </w:tc>
        <w:tc>
          <w:tcPr>
            <w:tcW w:w="0" w:type="auto"/>
            <w:tcBorders>
              <w:top w:val="nil"/>
              <w:left w:val="nil"/>
              <w:bottom w:val="single" w:color="auto" w:sz="12" w:space="0"/>
              <w:right w:val="nil"/>
            </w:tcBorders>
          </w:tcPr>
          <w:p w14:paraId="238C711C">
            <w:pPr>
              <w:autoSpaceDE w:val="0"/>
              <w:autoSpaceDN w:val="0"/>
              <w:adjustRightInd w:val="0"/>
              <w:spacing w:line="312" w:lineRule="auto"/>
              <w:rPr>
                <w:kern w:val="0"/>
                <w:szCs w:val="21"/>
              </w:rPr>
            </w:pPr>
            <w:r>
              <w:rPr>
                <w:kern w:val="0"/>
                <w:szCs w:val="21"/>
              </w:rPr>
              <w:t>0.2</w:t>
            </w:r>
          </w:p>
        </w:tc>
        <w:tc>
          <w:tcPr>
            <w:tcW w:w="0" w:type="auto"/>
            <w:tcBorders>
              <w:top w:val="nil"/>
              <w:left w:val="nil"/>
              <w:bottom w:val="single" w:color="auto" w:sz="12" w:space="0"/>
              <w:right w:val="nil"/>
            </w:tcBorders>
          </w:tcPr>
          <w:p w14:paraId="5DDBFF75">
            <w:pPr>
              <w:autoSpaceDE w:val="0"/>
              <w:autoSpaceDN w:val="0"/>
              <w:adjustRightInd w:val="0"/>
              <w:spacing w:line="312" w:lineRule="auto"/>
              <w:rPr>
                <w:rFonts w:ascii="宋体" w:hAnsi="宋体"/>
                <w:kern w:val="0"/>
                <w:szCs w:val="21"/>
              </w:rPr>
            </w:pPr>
            <w:r>
              <w:rPr>
                <w:rFonts w:hint="eastAsia" w:ascii="宋体" w:hAnsi="宋体"/>
                <w:kern w:val="0"/>
                <w:szCs w:val="21"/>
              </w:rPr>
              <w:t>-</w:t>
            </w:r>
          </w:p>
        </w:tc>
        <w:tc>
          <w:tcPr>
            <w:tcW w:w="0" w:type="auto"/>
            <w:tcBorders>
              <w:top w:val="nil"/>
              <w:left w:val="nil"/>
              <w:bottom w:val="single" w:color="auto" w:sz="12" w:space="0"/>
              <w:right w:val="nil"/>
            </w:tcBorders>
          </w:tcPr>
          <w:p w14:paraId="5BE425DC">
            <w:pPr>
              <w:autoSpaceDE w:val="0"/>
              <w:autoSpaceDN w:val="0"/>
              <w:adjustRightInd w:val="0"/>
              <w:spacing w:line="312" w:lineRule="auto"/>
              <w:rPr>
                <w:rFonts w:hint="eastAsia"/>
                <w:kern w:val="0"/>
                <w:szCs w:val="21"/>
              </w:rPr>
            </w:pPr>
            <w:r>
              <w:rPr>
                <w:kern w:val="0"/>
                <w:szCs w:val="21"/>
              </w:rPr>
              <w:t>0.075</w:t>
            </w:r>
          </w:p>
        </w:tc>
        <w:tc>
          <w:tcPr>
            <w:tcW w:w="0" w:type="auto"/>
            <w:tcBorders>
              <w:top w:val="nil"/>
              <w:left w:val="nil"/>
              <w:bottom w:val="single" w:color="auto" w:sz="12" w:space="0"/>
              <w:right w:val="nil"/>
            </w:tcBorders>
          </w:tcPr>
          <w:p w14:paraId="5A8D5A83">
            <w:pPr>
              <w:autoSpaceDE w:val="0"/>
              <w:autoSpaceDN w:val="0"/>
              <w:adjustRightInd w:val="0"/>
              <w:spacing w:line="312" w:lineRule="auto"/>
              <w:rPr>
                <w:rFonts w:ascii="宋体" w:hAnsi="宋体"/>
                <w:kern w:val="0"/>
                <w:szCs w:val="21"/>
              </w:rPr>
            </w:pPr>
            <w:r>
              <w:rPr>
                <w:rFonts w:hint="eastAsia" w:ascii="宋体" w:hAnsi="宋体"/>
                <w:kern w:val="0"/>
                <w:szCs w:val="21"/>
              </w:rPr>
              <w:t>-</w:t>
            </w:r>
          </w:p>
        </w:tc>
        <w:tc>
          <w:tcPr>
            <w:tcW w:w="0" w:type="auto"/>
            <w:tcBorders>
              <w:top w:val="nil"/>
              <w:left w:val="nil"/>
              <w:bottom w:val="single" w:color="auto" w:sz="12" w:space="0"/>
              <w:right w:val="nil"/>
            </w:tcBorders>
          </w:tcPr>
          <w:p w14:paraId="7BD63B83">
            <w:pPr>
              <w:autoSpaceDE w:val="0"/>
              <w:autoSpaceDN w:val="0"/>
              <w:adjustRightInd w:val="0"/>
              <w:spacing w:line="312" w:lineRule="auto"/>
              <w:rPr>
                <w:rFonts w:hint="eastAsia"/>
                <w:kern w:val="0"/>
                <w:szCs w:val="21"/>
              </w:rPr>
            </w:pPr>
            <w:r>
              <w:rPr>
                <w:kern w:val="0"/>
                <w:szCs w:val="21"/>
              </w:rPr>
              <w:t>0.09</w:t>
            </w:r>
          </w:p>
        </w:tc>
        <w:tc>
          <w:tcPr>
            <w:tcW w:w="0" w:type="auto"/>
            <w:tcBorders>
              <w:top w:val="nil"/>
              <w:left w:val="nil"/>
              <w:bottom w:val="single" w:color="auto" w:sz="12" w:space="0"/>
              <w:right w:val="nil"/>
            </w:tcBorders>
          </w:tcPr>
          <w:p w14:paraId="64B60E51">
            <w:pPr>
              <w:autoSpaceDE w:val="0"/>
              <w:autoSpaceDN w:val="0"/>
              <w:adjustRightInd w:val="0"/>
              <w:spacing w:line="312" w:lineRule="auto"/>
              <w:rPr>
                <w:kern w:val="0"/>
                <w:szCs w:val="21"/>
              </w:rPr>
            </w:pPr>
            <w:r>
              <w:rPr>
                <w:kern w:val="0"/>
                <w:szCs w:val="21"/>
              </w:rPr>
              <w:t>0.36</w:t>
            </w:r>
          </w:p>
        </w:tc>
        <w:tc>
          <w:tcPr>
            <w:tcW w:w="0" w:type="auto"/>
            <w:tcBorders>
              <w:top w:val="nil"/>
              <w:left w:val="nil"/>
              <w:bottom w:val="single" w:color="auto" w:sz="12" w:space="0"/>
              <w:right w:val="nil"/>
            </w:tcBorders>
          </w:tcPr>
          <w:p w14:paraId="375031D6">
            <w:pPr>
              <w:autoSpaceDE w:val="0"/>
              <w:autoSpaceDN w:val="0"/>
              <w:adjustRightInd w:val="0"/>
              <w:spacing w:line="312" w:lineRule="auto"/>
              <w:rPr>
                <w:kern w:val="0"/>
                <w:szCs w:val="21"/>
              </w:rPr>
            </w:pPr>
            <w:r>
              <w:rPr>
                <w:kern w:val="0"/>
                <w:szCs w:val="21"/>
              </w:rPr>
              <w:t>0.18</w:t>
            </w:r>
          </w:p>
        </w:tc>
        <w:tc>
          <w:tcPr>
            <w:tcW w:w="0" w:type="auto"/>
            <w:tcBorders>
              <w:top w:val="nil"/>
              <w:left w:val="nil"/>
              <w:bottom w:val="single" w:color="auto" w:sz="12" w:space="0"/>
              <w:right w:val="nil"/>
            </w:tcBorders>
          </w:tcPr>
          <w:p w14:paraId="1A94B49D">
            <w:pPr>
              <w:autoSpaceDE w:val="0"/>
              <w:autoSpaceDN w:val="0"/>
              <w:adjustRightInd w:val="0"/>
              <w:spacing w:line="312" w:lineRule="auto"/>
              <w:rPr>
                <w:kern w:val="0"/>
                <w:szCs w:val="21"/>
              </w:rPr>
            </w:pPr>
            <w:r>
              <w:rPr>
                <w:kern w:val="0"/>
                <w:szCs w:val="21"/>
              </w:rPr>
              <w:t>0.17</w:t>
            </w:r>
          </w:p>
        </w:tc>
        <w:tc>
          <w:tcPr>
            <w:tcW w:w="0" w:type="auto"/>
            <w:tcBorders>
              <w:top w:val="nil"/>
              <w:left w:val="nil"/>
              <w:bottom w:val="single" w:color="auto" w:sz="12" w:space="0"/>
              <w:right w:val="nil"/>
            </w:tcBorders>
          </w:tcPr>
          <w:p w14:paraId="55E1A4A7">
            <w:pPr>
              <w:autoSpaceDE w:val="0"/>
              <w:autoSpaceDN w:val="0"/>
              <w:adjustRightInd w:val="0"/>
              <w:spacing w:line="312" w:lineRule="auto"/>
              <w:rPr>
                <w:kern w:val="0"/>
                <w:szCs w:val="21"/>
              </w:rPr>
            </w:pPr>
            <w:r>
              <w:rPr>
                <w:kern w:val="0"/>
                <w:szCs w:val="21"/>
              </w:rPr>
              <w:t>0.06</w:t>
            </w:r>
          </w:p>
        </w:tc>
      </w:tr>
    </w:tbl>
    <w:p w14:paraId="6CF77210">
      <w:pPr>
        <w:pStyle w:val="16"/>
        <w:spacing w:before="31" w:after="31"/>
        <w:ind w:firstLine="0" w:firstLineChars="0"/>
        <w:rPr>
          <w:b/>
          <w:bCs/>
          <w:szCs w:val="24"/>
        </w:rPr>
      </w:pPr>
      <w:r>
        <w:rPr>
          <w:b/>
          <w:bCs/>
          <w:szCs w:val="24"/>
        </w:rPr>
        <w:t>10.2.4 Case 10-4: Erosion Damage on the First Level Energy Dissipation Pool Protection Slope of Yanguxia Hydropower Station Overflow Dam</w:t>
      </w:r>
    </w:p>
    <w:p w14:paraId="6BDFC0A7">
      <w:pPr>
        <w:pStyle w:val="16"/>
        <w:spacing w:before="31" w:after="31"/>
        <w:ind w:firstLine="0" w:firstLineChars="0"/>
        <w:rPr>
          <w:szCs w:val="24"/>
        </w:rPr>
      </w:pPr>
      <w:r>
        <w:rPr>
          <w:szCs w:val="24"/>
        </w:rPr>
        <w:t>(1) Case Name</w:t>
      </w:r>
    </w:p>
    <w:p w14:paraId="01EEB5CA">
      <w:pPr>
        <w:pStyle w:val="16"/>
        <w:spacing w:before="31" w:after="31"/>
        <w:ind w:firstLine="480"/>
        <w:rPr>
          <w:szCs w:val="24"/>
        </w:rPr>
      </w:pPr>
      <w:r>
        <w:rPr>
          <w:szCs w:val="24"/>
        </w:rPr>
        <w:t>Erosion Damage on the First Level Energy Dissipation Pool Protection Slope of Yanguxia Hydropower Station Overflow Dam [18]</w:t>
      </w:r>
    </w:p>
    <w:p w14:paraId="01EEDBE9">
      <w:pPr>
        <w:pStyle w:val="16"/>
        <w:spacing w:before="31" w:after="31"/>
        <w:ind w:firstLine="0" w:firstLineChars="0"/>
        <w:rPr>
          <w:szCs w:val="24"/>
        </w:rPr>
      </w:pPr>
      <w:r>
        <w:rPr>
          <w:szCs w:val="24"/>
        </w:rPr>
        <w:t>(2) Failure Process Description:</w:t>
      </w:r>
    </w:p>
    <w:p w14:paraId="27CEE5C4">
      <w:pPr>
        <w:pStyle w:val="16"/>
        <w:spacing w:before="31" w:after="31"/>
        <w:ind w:firstLine="480"/>
        <w:rPr>
          <w:szCs w:val="24"/>
        </w:rPr>
      </w:pPr>
      <w:r>
        <w:rPr>
          <w:szCs w:val="24"/>
        </w:rPr>
        <w:t>On September 14, 1981, the Longyangxia Reservoir experienced the largest flood since the availability of measured hydrological data in 1934. Despite regulation by Longyangxia and Liujiagou Reservoirs, the peak flow into the Yanguxia Reservoir still reached 5,230 m3/s. The protection slope of the first-level energy dissipation pool segments I~III suffered damage due to the prolonged overflow, lasting 131 days.</w:t>
      </w:r>
    </w:p>
    <w:p w14:paraId="7D093AC4">
      <w:pPr>
        <w:pStyle w:val="16"/>
        <w:spacing w:before="31" w:after="31"/>
        <w:ind w:firstLine="0" w:firstLineChars="0"/>
        <w:rPr>
          <w:szCs w:val="24"/>
        </w:rPr>
      </w:pPr>
      <w:r>
        <w:rPr>
          <w:szCs w:val="24"/>
        </w:rPr>
        <w:t>(3) Service Environment:</w:t>
      </w:r>
    </w:p>
    <w:p w14:paraId="19275C21">
      <w:pPr>
        <w:pStyle w:val="16"/>
        <w:spacing w:before="31" w:after="31"/>
        <w:ind w:firstLine="480"/>
        <w:rPr>
          <w:szCs w:val="24"/>
        </w:rPr>
      </w:pPr>
      <w:r>
        <w:rPr>
          <w:szCs w:val="24"/>
        </w:rPr>
        <w:t>The Yanguxia Hydropower Station is located in Yongjing County, Gansu Province, 70 km from Lanzhou City. It is the earliest large-scale water conservancy project built primarily for power generation, with additional</w:t>
      </w:r>
    </w:p>
    <w:p w14:paraId="16061297">
      <w:pPr>
        <w:pStyle w:val="16"/>
        <w:spacing w:before="31" w:after="31"/>
        <w:ind w:firstLine="480"/>
        <w:rPr>
          <w:szCs w:val="24"/>
        </w:rPr>
      </w:pPr>
    </w:p>
    <w:p w14:paraId="0203F1F7">
      <w:pPr>
        <w:pStyle w:val="16"/>
        <w:spacing w:before="31" w:after="31"/>
        <w:ind w:firstLine="480"/>
        <w:rPr>
          <w:szCs w:val="24"/>
        </w:rPr>
      </w:pPr>
      <w:r>
        <w:rPr>
          <w:szCs w:val="24"/>
        </w:rPr>
        <w:t xml:space="preserve"> irrigation benefits, on the main stream of the Yellow River. The design irrigation area is 0.3 million hectares. The reservoir has a total capacity of 279 million m3, a hydropower station installed capacity of 352,000 kW, and an annual power generation of 2.28 billion kWh. On September 14, 1981, the Longyangxia Reservoir experienced the largest flood since 1934, despite regulation by Longyangxia and Liujiagou Reservoirs. The peak flow into the Yanguxia Reservoir still reached 5,230 m3/s, and the overflow lasted for 131 days.</w:t>
      </w:r>
    </w:p>
    <w:p w14:paraId="6C6652AA">
      <w:pPr>
        <w:pStyle w:val="16"/>
        <w:spacing w:before="31" w:after="31"/>
        <w:ind w:firstLine="0" w:firstLineChars="0"/>
        <w:rPr>
          <w:szCs w:val="24"/>
        </w:rPr>
      </w:pPr>
      <w:r>
        <w:rPr>
          <w:szCs w:val="24"/>
        </w:rPr>
        <w:t>(4) Failure Location</w:t>
      </w:r>
    </w:p>
    <w:p w14:paraId="2C7E3DF8">
      <w:pPr>
        <w:pStyle w:val="16"/>
        <w:spacing w:before="31" w:after="31"/>
        <w:ind w:firstLine="480"/>
        <w:rPr>
          <w:szCs w:val="24"/>
        </w:rPr>
      </w:pPr>
      <w:r>
        <w:rPr>
          <w:szCs w:val="24"/>
        </w:rPr>
        <w:t>The first-level energy dissipation pool has a total length of 89.12 m, with 12 gaps spaced 3.00 m apart and a width of 3.00 m at the location of 0+051.98 m~0+057.105 m below. Energy dissipation piers and toe piers are arranged at this location. The toe pier is located 0.52 m from the starting point of the protection slope, with a rectangular water-catching nose sill 2.00 m high, 3.00 m wide, a reverse curve radius of 9.57 m, and its arrangement corresponds one-to-one with the energy dissipation piers.</w:t>
      </w:r>
    </w:p>
    <w:p w14:paraId="021C2764">
      <w:pPr>
        <w:pStyle w:val="16"/>
        <w:spacing w:before="31" w:after="31"/>
        <w:ind w:firstLine="480"/>
        <w:rPr>
          <w:szCs w:val="24"/>
        </w:rPr>
      </w:pPr>
      <w:r>
        <w:rPr>
          <w:szCs w:val="24"/>
        </w:rPr>
        <w:t>The first-level energy dissipation pool was completed in May 1963. After the power station was put into operation, multiple underwater inspections and measurements revealed severe cavitation damage to the protection slope, energy dissipation piers, toe piers, and erosion damage to the downstream riverbed of the second dam. The energy dissipation piers and toe piers (hereinafter referred to as energy dissipation works) only underwent a constant-pressure hydraulic model test, lacking experience in whether cavitation damage would occur; later, even after changing the energy dissipation piers to a trapezoidal shape and adding toe piers, the problem was not resolved, and the damage intensified. In 1967, a decompression hydraulic model test was conducted to verify that the cavitation damage was caused by two horseshoe-shaped vortexes behind the piers.</w:t>
      </w:r>
    </w:p>
    <w:p w14:paraId="0D1FE812">
      <w:pPr>
        <w:pStyle w:val="16"/>
        <w:spacing w:before="31" w:after="31"/>
        <w:ind w:firstLine="480"/>
        <w:rPr>
          <w:szCs w:val="24"/>
        </w:rPr>
      </w:pPr>
      <w:r>
        <w:rPr>
          <w:szCs w:val="24"/>
        </w:rPr>
        <w:t>Despite continuous improvement and reinforcement measures over the years, cavitation damage near the toe of the spillway dam could not be effectively resolved. Due to the lack of better solutions at the time, in the winters of 1968 and 1970, the energy dissipation works were removed twice, and the construction of the second-level energy dissipation pool was completed in April 1973. The second-level energy dissipation pool has a total length of 35.26 m. To prevent erosion, a 4.00 m deep toothed wall (for segments I~IV) and a 9.00 m deep toothed wall (for segment V) are set below the energy dissipation threshold (Figure 9-4.1).</w:t>
      </w:r>
    </w:p>
    <w:p w14:paraId="1C16AB9F">
      <w:pPr>
        <w:pStyle w:val="16"/>
        <w:spacing w:before="31" w:after="31"/>
        <w:ind w:firstLine="480"/>
        <w:rPr>
          <w:szCs w:val="24"/>
        </w:rPr>
      </w:pPr>
      <w:r>
        <w:rPr>
          <w:szCs w:val="24"/>
        </w:rPr>
        <w:t>The flood in this case caused most of the protection plates in segments I-III from 0+063.00 m to 0+107.70 m to be washed away, exposing the bedrock in the downstream slope (Figure 9-4.2). The damaged area is approximately 2,000 m2, with depths ranging from 1.00 m to 2.50 m, and the total erosion volume (including bedrock) is about 2,600 m3. The anchor bars embedded in the bedrock during construction were also carried away by the water flow. The remaining protection plates that were not washed away generally have severe rough surfaces, with some reinforcing bars exposed. The protection plates in segments IV-V suffered only minor damage in localized areas along the reverse curve of the spillway dam, with an area of approximately 17 m2 and a depth of 0.30 m. The main guide wall and the second dam also suffered severe wear and tear due to the impact of eroded concrete blocks, stones, and reinforcing bars.</w:t>
      </w:r>
    </w:p>
    <w:p w14:paraId="2CC2BC42">
      <w:pPr>
        <w:pStyle w:val="16"/>
        <w:spacing w:before="31" w:after="31"/>
        <w:ind w:firstLine="480"/>
        <w:rPr>
          <w:szCs w:val="24"/>
        </w:rPr>
      </w:pPr>
    </w:p>
    <w:p w14:paraId="7EFC465E">
      <w:pPr>
        <w:pStyle w:val="16"/>
        <w:spacing w:before="31" w:after="31"/>
        <w:ind w:firstLine="482"/>
        <w:jc w:val="center"/>
        <w:rPr>
          <w:b/>
          <w:bCs/>
          <w:szCs w:val="24"/>
        </w:rPr>
      </w:pPr>
      <w:r>
        <w:rPr>
          <w:b/>
          <w:bCs/>
          <w:szCs w:val="24"/>
        </w:rPr>
        <w:t>Figure 9-4.1: Damage to the first-level energy dissipation pool [17]</w:t>
      </w:r>
    </w:p>
    <w:p w14:paraId="2F248194">
      <w:pPr>
        <w:pStyle w:val="16"/>
        <w:spacing w:before="31" w:after="31"/>
        <w:ind w:firstLine="482"/>
        <w:jc w:val="center"/>
        <w:rPr>
          <w:b/>
          <w:bCs/>
          <w:szCs w:val="24"/>
        </w:rPr>
      </w:pPr>
    </w:p>
    <w:p w14:paraId="60355B53">
      <w:pPr>
        <w:pStyle w:val="16"/>
        <w:spacing w:before="31" w:after="31"/>
        <w:ind w:firstLine="482"/>
        <w:jc w:val="center"/>
        <w:rPr>
          <w:b/>
          <w:bCs/>
          <w:szCs w:val="24"/>
        </w:rPr>
      </w:pPr>
      <w:r>
        <w:rPr>
          <w:b/>
          <w:bCs/>
          <w:szCs w:val="24"/>
        </w:rPr>
        <w:t>Figure 9-4.2: Topography map of erosion in segments I~III of the first-level energy dissipation pool [17]</w:t>
      </w:r>
    </w:p>
    <w:p w14:paraId="5AE0288E">
      <w:pPr>
        <w:pStyle w:val="16"/>
        <w:spacing w:before="31" w:after="31"/>
        <w:ind w:firstLine="0" w:firstLineChars="0"/>
        <w:rPr>
          <w:szCs w:val="24"/>
        </w:rPr>
      </w:pPr>
      <w:r>
        <w:rPr>
          <w:szCs w:val="24"/>
        </w:rPr>
        <w:t>(5) Failed Component Morphology:</w:t>
      </w:r>
    </w:p>
    <w:p w14:paraId="6480C0CD">
      <w:pPr>
        <w:pStyle w:val="16"/>
        <w:spacing w:before="31" w:after="31"/>
        <w:ind w:firstLine="420" w:firstLineChars="0"/>
        <w:rPr>
          <w:szCs w:val="24"/>
        </w:rPr>
      </w:pPr>
      <w:r>
        <w:rPr>
          <w:szCs w:val="24"/>
        </w:rPr>
        <w:t>Null</w:t>
      </w:r>
    </w:p>
    <w:p w14:paraId="79FD5DA2">
      <w:pPr>
        <w:pStyle w:val="16"/>
        <w:spacing w:before="31" w:after="31"/>
        <w:ind w:firstLine="480"/>
        <w:rPr>
          <w:szCs w:val="24"/>
        </w:rPr>
      </w:pPr>
    </w:p>
    <w:p w14:paraId="07FE11EE">
      <w:pPr>
        <w:pStyle w:val="16"/>
        <w:spacing w:before="31" w:after="31"/>
        <w:ind w:firstLine="0" w:firstLineChars="0"/>
        <w:rPr>
          <w:szCs w:val="24"/>
        </w:rPr>
      </w:pPr>
      <w:r>
        <w:rPr>
          <w:szCs w:val="24"/>
        </w:rPr>
        <w:t>(6) Analysis of Failure Causes</w:t>
      </w:r>
    </w:p>
    <w:p w14:paraId="39029786">
      <w:pPr>
        <w:pStyle w:val="16"/>
        <w:spacing w:before="31" w:after="31"/>
        <w:ind w:firstLine="480"/>
        <w:rPr>
          <w:szCs w:val="24"/>
        </w:rPr>
      </w:pPr>
      <w:r>
        <w:rPr>
          <w:szCs w:val="24"/>
        </w:rPr>
        <w:t>Design Aspects:</w:t>
      </w:r>
    </w:p>
    <w:p w14:paraId="337BD522">
      <w:pPr>
        <w:pStyle w:val="16"/>
        <w:spacing w:before="31" w:after="31"/>
        <w:ind w:firstLine="480"/>
        <w:rPr>
          <w:szCs w:val="24"/>
        </w:rPr>
      </w:pPr>
      <w:r>
        <w:rPr>
          <w:szCs w:val="24"/>
        </w:rPr>
        <w:t>(1) Insufficient length of the energy dissipation pool, resulting in insufficient dissipation, causing an increase in effective buoyancy force and inadequate thickness of the protection plates.</w:t>
      </w:r>
    </w:p>
    <w:p w14:paraId="30AC50F2">
      <w:pPr>
        <w:pStyle w:val="16"/>
        <w:spacing w:before="31" w:after="31"/>
        <w:ind w:firstLine="480"/>
        <w:rPr>
          <w:szCs w:val="24"/>
        </w:rPr>
      </w:pPr>
      <w:r>
        <w:rPr>
          <w:szCs w:val="24"/>
        </w:rPr>
        <w:t>(2) A horizontal joint at 0+074.90 m below the protection plates was designed as a vertical joint, and all expansion joints were not waterproofed, which is unfavorable for preventing dynamic water pressure damage.</w:t>
      </w:r>
    </w:p>
    <w:p w14:paraId="5DAA145A">
      <w:pPr>
        <w:pStyle w:val="16"/>
        <w:spacing w:before="31" w:after="31"/>
        <w:ind w:firstLine="480"/>
        <w:rPr>
          <w:szCs w:val="24"/>
        </w:rPr>
      </w:pPr>
      <w:r>
        <w:rPr>
          <w:szCs w:val="24"/>
        </w:rPr>
        <w:t>(3) The spacing of steel reinforcement on the surface of the protection plates is only 0.5×0.5 m, which is not conducive to abrasion resistance. The concrete used is C20 second-grade flowable concrete, which is also unsuitable for abrasion resistance.</w:t>
      </w:r>
    </w:p>
    <w:p w14:paraId="60DBA2A0">
      <w:pPr>
        <w:pStyle w:val="16"/>
        <w:spacing w:before="31" w:after="31"/>
        <w:ind w:firstLine="480"/>
        <w:rPr>
          <w:szCs w:val="24"/>
        </w:rPr>
      </w:pPr>
    </w:p>
    <w:p w14:paraId="64FABD79">
      <w:pPr>
        <w:pStyle w:val="16"/>
        <w:spacing w:before="31" w:after="31"/>
        <w:ind w:firstLine="480"/>
        <w:rPr>
          <w:szCs w:val="24"/>
        </w:rPr>
      </w:pPr>
      <w:r>
        <w:rPr>
          <w:szCs w:val="24"/>
        </w:rPr>
        <w:t>Construction Aspects:</w:t>
      </w:r>
    </w:p>
    <w:p w14:paraId="0243B3A3">
      <w:pPr>
        <w:pStyle w:val="16"/>
        <w:spacing w:before="31" w:after="31"/>
        <w:ind w:firstLine="480"/>
        <w:rPr>
          <w:szCs w:val="24"/>
        </w:rPr>
      </w:pPr>
      <w:r>
        <w:rPr>
          <w:szCs w:val="24"/>
        </w:rPr>
        <w:t>(1) Poor quality of concrete construction, manifested by honeycombing, cold joints, poor compaction, localized concrete leakage, and the presence of coarse aggregates and debris in some areas.</w:t>
      </w:r>
    </w:p>
    <w:p w14:paraId="7A4F1E2C">
      <w:pPr>
        <w:pStyle w:val="16"/>
        <w:spacing w:before="31" w:after="31"/>
        <w:ind w:firstLine="480"/>
        <w:rPr>
          <w:szCs w:val="24"/>
        </w:rPr>
      </w:pPr>
      <w:r>
        <w:rPr>
          <w:szCs w:val="24"/>
        </w:rPr>
        <w:t>(2) Measurement results from the excavation of the foundation pit showed local under-excavation, resulting in insufficient thickness of the protection plates (some areas had excavation elevations higher than 1,575.50 m).</w:t>
      </w:r>
    </w:p>
    <w:p w14:paraId="48457366">
      <w:pPr>
        <w:pStyle w:val="16"/>
        <w:spacing w:before="31" w:after="31"/>
        <w:ind w:firstLine="480"/>
        <w:rPr>
          <w:szCs w:val="24"/>
        </w:rPr>
      </w:pPr>
      <w:r>
        <w:rPr>
          <w:szCs w:val="24"/>
        </w:rPr>
        <w:t>(3) During the construction of the protection plates, due to a shortage of national building materials, many fieldstones were embedded in the full section of the protection plates, with some areas showing piled stones.</w:t>
      </w:r>
    </w:p>
    <w:p w14:paraId="2B68F2BD">
      <w:pPr>
        <w:pStyle w:val="16"/>
        <w:spacing w:before="31" w:after="31"/>
        <w:ind w:firstLine="480"/>
        <w:rPr>
          <w:szCs w:val="24"/>
        </w:rPr>
      </w:pPr>
      <w:r>
        <w:rPr>
          <w:szCs w:val="24"/>
        </w:rPr>
        <w:t>(4) Excavation of residual concrete revealed the use of square steel reinforcement in some areas of the surface steel reinforcement network of the protection plates, which is highly unfavorable for resisting pulsating water flow.</w:t>
      </w:r>
    </w:p>
    <w:p w14:paraId="7434F89A">
      <w:pPr>
        <w:pStyle w:val="16"/>
        <w:spacing w:before="31" w:after="31"/>
        <w:ind w:firstLine="480"/>
        <w:rPr>
          <w:szCs w:val="24"/>
        </w:rPr>
      </w:pPr>
    </w:p>
    <w:p w14:paraId="2F3211C6">
      <w:pPr>
        <w:pStyle w:val="16"/>
        <w:spacing w:before="31" w:after="31"/>
        <w:ind w:firstLine="480"/>
        <w:rPr>
          <w:szCs w:val="24"/>
        </w:rPr>
      </w:pPr>
      <w:r>
        <w:rPr>
          <w:szCs w:val="24"/>
        </w:rPr>
        <w:t>Management Aspects:</w:t>
      </w:r>
    </w:p>
    <w:p w14:paraId="2EE0AD13">
      <w:pPr>
        <w:pStyle w:val="16"/>
        <w:spacing w:before="31" w:after="31"/>
        <w:ind w:firstLine="480"/>
        <w:rPr>
          <w:szCs w:val="24"/>
        </w:rPr>
      </w:pPr>
      <w:r>
        <w:rPr>
          <w:szCs w:val="24"/>
        </w:rPr>
        <w:t>(1) After March 1976, only underwater inspections were used to inspect the first-level energy dissipation pool, which inevitably led to errors in inspection and may have allowed some locally damaged areas to gradually worsen without timely repair.</w:t>
      </w:r>
    </w:p>
    <w:p w14:paraId="7C5C8B10">
      <w:pPr>
        <w:pStyle w:val="16"/>
        <w:spacing w:before="31" w:after="31"/>
        <w:ind w:firstLine="480"/>
        <w:rPr>
          <w:szCs w:val="24"/>
        </w:rPr>
      </w:pPr>
      <w:r>
        <w:rPr>
          <w:szCs w:val="24"/>
        </w:rPr>
        <w:t>(2) After removing the original energy dissipation works on the protection plates, the dissipation capacity was weakened. Only the protection plates in segments IV~V were reinforced after removing the energy dissipation works. Although the insufficient dissipation problem had been detected early and confirmed by the water engineering model test of the Northwest Agricultural College's Xi'an Hydraulic Laboratory in 1971, the temporary relief of the dissipation safety issue of the first-level energy dissipation pool after removing the energy dissipation works (without encountering major floods) created a false impression. As a result, attention was focused solely on improving the dissipation and erosion prevention engineering of the second dam, overlooking the reinforcement of the pool.</w:t>
      </w:r>
    </w:p>
    <w:p w14:paraId="4C80C85E">
      <w:pPr>
        <w:pStyle w:val="16"/>
        <w:spacing w:before="31" w:after="31"/>
        <w:ind w:firstLine="0" w:firstLineChars="0"/>
        <w:rPr>
          <w:szCs w:val="24"/>
        </w:rPr>
      </w:pPr>
      <w:r>
        <w:rPr>
          <w:szCs w:val="24"/>
        </w:rPr>
        <w:t>(7) Impact and Harm Caused</w:t>
      </w:r>
    </w:p>
    <w:p w14:paraId="054FEADD">
      <w:pPr>
        <w:pStyle w:val="16"/>
        <w:spacing w:before="31" w:after="31"/>
        <w:ind w:firstLine="420" w:firstLineChars="0"/>
        <w:rPr>
          <w:rFonts w:hint="eastAsia"/>
          <w:szCs w:val="24"/>
        </w:rPr>
      </w:pPr>
      <w:r>
        <w:rPr>
          <w:szCs w:val="24"/>
        </w:rPr>
        <w:t>Null</w:t>
      </w:r>
    </w:p>
    <w:p w14:paraId="65F1D21C">
      <w:pPr>
        <w:pStyle w:val="16"/>
        <w:spacing w:before="31" w:after="31"/>
        <w:ind w:firstLine="0" w:firstLineChars="0"/>
        <w:rPr>
          <w:szCs w:val="24"/>
        </w:rPr>
      </w:pPr>
      <w:r>
        <w:rPr>
          <w:szCs w:val="24"/>
        </w:rPr>
        <w:t>(8) Conclusion and Improvement Measures</w:t>
      </w:r>
    </w:p>
    <w:p w14:paraId="0916745C">
      <w:pPr>
        <w:pStyle w:val="16"/>
        <w:spacing w:before="31" w:after="31"/>
        <w:ind w:firstLine="480"/>
        <w:rPr>
          <w:szCs w:val="24"/>
        </w:rPr>
      </w:pPr>
      <w:r>
        <w:rPr>
          <w:szCs w:val="24"/>
        </w:rPr>
        <w:t>Insufficient dissipation in the energy dissipation pool, unreasonable design and material selection for protection plate structures, and inadequate expansion joint arrangements were the direct causes of the protection plate damage.</w:t>
      </w:r>
    </w:p>
    <w:p w14:paraId="0AD4136B">
      <w:pPr>
        <w:pStyle w:val="16"/>
        <w:spacing w:before="31" w:after="31"/>
        <w:ind w:firstLine="480"/>
        <w:rPr>
          <w:szCs w:val="24"/>
        </w:rPr>
      </w:pPr>
      <w:r>
        <w:rPr>
          <w:szCs w:val="24"/>
        </w:rPr>
        <w:t>According to the reasons for the failure of the protection plates, a row of saddle rebar was laid at an elevation of 1,576.90 m, two rows of anchor bars were laid at the lower part of the elevation 0+054.40 m elevation surface, and two copper strips were set for waterproofing. Misalignment towards the upstream was also introduced. To meet the needs of abrasion resistance and impact resistance, the top 0.40 m</w:t>
      </w:r>
    </w:p>
    <w:p w14:paraId="6593D593">
      <w:pPr>
        <w:pStyle w:val="16"/>
        <w:spacing w:before="31" w:after="31"/>
        <w:ind w:firstLine="480"/>
        <w:rPr>
          <w:szCs w:val="24"/>
        </w:rPr>
      </w:pPr>
    </w:p>
    <w:p w14:paraId="21FC26F9">
      <w:pPr>
        <w:pStyle w:val="16"/>
        <w:spacing w:before="31" w:after="31"/>
        <w:ind w:firstLine="0" w:firstLineChars="0"/>
        <w:rPr>
          <w:b/>
          <w:bCs/>
          <w:szCs w:val="24"/>
        </w:rPr>
      </w:pPr>
      <w:r>
        <w:rPr>
          <w:b/>
          <w:bCs/>
          <w:szCs w:val="24"/>
        </w:rPr>
        <w:t>10.2.5 Case 10-5: Erosion and Damage of the Liu Jia Gorge Flood Discharge Tunnel</w:t>
      </w:r>
    </w:p>
    <w:p w14:paraId="1F0E335D">
      <w:pPr>
        <w:pStyle w:val="16"/>
        <w:spacing w:before="31" w:after="31"/>
        <w:ind w:firstLine="480"/>
        <w:rPr>
          <w:szCs w:val="24"/>
        </w:rPr>
      </w:pPr>
      <w:r>
        <w:rPr>
          <w:szCs w:val="24"/>
        </w:rPr>
        <w:t>(1) Case Name</w:t>
      </w:r>
    </w:p>
    <w:p w14:paraId="7ED52BAE">
      <w:pPr>
        <w:pStyle w:val="16"/>
        <w:spacing w:before="31" w:after="31"/>
        <w:ind w:firstLine="480"/>
        <w:rPr>
          <w:szCs w:val="24"/>
        </w:rPr>
      </w:pPr>
      <w:r>
        <w:rPr>
          <w:szCs w:val="24"/>
        </w:rPr>
        <w:t>Erosion and Damage of the Liu Jia Gorge Flood Discharge Tunnel [10, 19]</w:t>
      </w:r>
    </w:p>
    <w:p w14:paraId="52F9BB8E">
      <w:pPr>
        <w:pStyle w:val="16"/>
        <w:spacing w:before="31" w:after="31"/>
        <w:ind w:firstLine="480"/>
        <w:rPr>
          <w:szCs w:val="24"/>
        </w:rPr>
      </w:pPr>
    </w:p>
    <w:p w14:paraId="519D0E7A">
      <w:pPr>
        <w:pStyle w:val="16"/>
        <w:spacing w:before="31" w:after="31"/>
        <w:ind w:firstLine="480"/>
        <w:rPr>
          <w:szCs w:val="24"/>
        </w:rPr>
      </w:pPr>
      <w:r>
        <w:rPr>
          <w:szCs w:val="24"/>
        </w:rPr>
        <w:t xml:space="preserve">(2) </w:t>
      </w:r>
      <w:r>
        <w:rPr>
          <w:kern w:val="0"/>
          <w:szCs w:val="24"/>
        </w:rPr>
        <w:t>Failure Process Description</w:t>
      </w:r>
    </w:p>
    <w:p w14:paraId="11413AA3">
      <w:pPr>
        <w:pStyle w:val="16"/>
        <w:spacing w:before="31" w:after="31"/>
        <w:ind w:firstLine="480"/>
        <w:rPr>
          <w:szCs w:val="24"/>
        </w:rPr>
      </w:pPr>
      <w:r>
        <w:rPr>
          <w:szCs w:val="24"/>
        </w:rPr>
        <w:t>The flood discharge tunnel was reconstructed in 1972 and officially put into operation in May of the same year. After running for a total of 315 hours until May 25, water flow receding was observed at the tunnel outlet, causing a change from a protruding flow at the original nose weir to a gentle flow. The air intake at the inlet tower gate increased sharply, accompanied by a roaring sound inside the tunnel. An explosion sound was heard from the control room, prompting an immediate closure of the gate for inspection. Severe cavitation damage was discovered at the far end of the tunnel invert.</w:t>
      </w:r>
    </w:p>
    <w:p w14:paraId="0E732A4D">
      <w:pPr>
        <w:pStyle w:val="16"/>
        <w:spacing w:before="31" w:after="31"/>
        <w:ind w:firstLine="480"/>
        <w:rPr>
          <w:szCs w:val="24"/>
        </w:rPr>
      </w:pPr>
    </w:p>
    <w:p w14:paraId="732A9074">
      <w:pPr>
        <w:pStyle w:val="16"/>
        <w:spacing w:before="31" w:after="31"/>
        <w:ind w:firstLine="480"/>
        <w:rPr>
          <w:szCs w:val="24"/>
        </w:rPr>
      </w:pPr>
      <w:r>
        <w:rPr>
          <w:szCs w:val="24"/>
        </w:rPr>
        <w:t xml:space="preserve">(3) </w:t>
      </w:r>
      <w:r>
        <w:rPr>
          <w:kern w:val="0"/>
          <w:szCs w:val="24"/>
        </w:rPr>
        <w:t>Service Environment</w:t>
      </w:r>
    </w:p>
    <w:p w14:paraId="42F4B318">
      <w:pPr>
        <w:pStyle w:val="16"/>
        <w:spacing w:before="31" w:after="31"/>
        <w:ind w:firstLine="480"/>
        <w:rPr>
          <w:szCs w:val="24"/>
        </w:rPr>
      </w:pPr>
      <w:r>
        <w:rPr>
          <w:szCs w:val="24"/>
        </w:rPr>
        <w:t>At the normal high water level of 1,735m, the maximum discharge is 2,146m³/s, and the maximum flow velocity is 45m/s. At normal reservoir levels, the discharge is 2,140m³/s, with a maximum flow velocity of 40-45m/s in the invert section and 40m/s at the outlet nose weir. The flood discharge tunnel is located on the right side of the main dam, passing through the lower part of the concrete auxiliary dam on the right bank. It has a length of 529.5m, with a twisted-type spillway nose weir at the outlet. The tunnel was reconstructed from a diversion tunnel during the period from July 1966 to October 1968, with a maximum flow rate of 3,320m³/s during construction. The tunnel experienced three major damages during its operation from 1966 to the completion of reconstruction in 1972.</w:t>
      </w:r>
    </w:p>
    <w:p w14:paraId="40876A6C">
      <w:pPr>
        <w:pStyle w:val="16"/>
        <w:spacing w:before="31" w:after="31"/>
        <w:ind w:firstLine="480"/>
        <w:rPr>
          <w:szCs w:val="24"/>
        </w:rPr>
      </w:pPr>
    </w:p>
    <w:p w14:paraId="260A8EBF">
      <w:pPr>
        <w:pStyle w:val="16"/>
        <w:spacing w:before="31" w:after="31"/>
        <w:ind w:firstLine="480"/>
        <w:rPr>
          <w:szCs w:val="24"/>
        </w:rPr>
      </w:pPr>
      <w:r>
        <w:rPr>
          <w:szCs w:val="24"/>
        </w:rPr>
        <w:t>(4) Location of Failure</w:t>
      </w:r>
    </w:p>
    <w:p w14:paraId="7E13033C">
      <w:pPr>
        <w:pStyle w:val="16"/>
        <w:spacing w:before="31" w:after="31"/>
        <w:ind w:firstLine="480"/>
        <w:rPr>
          <w:szCs w:val="24"/>
        </w:rPr>
      </w:pPr>
      <w:r>
        <w:rPr>
          <w:szCs w:val="24"/>
        </w:rPr>
        <w:t>Between station points 0+176.19m to 0+184.47m, there are three conical pits with depths ranging from 0.5m to 1.0m. Between station points 0+184.97m to 0+207m, there is a large pit with a width extending across the entire invert (113m), a length of about 23m, a maximum depth of 4.8m, and damage to the bedrock. In the segment between station points 0+207m and 0+397m (190m length), most of the 30cm thick reinforced concrete invert added later was eroded, with some reinforcement bent to the sides or pulled out. Additionally, most of the Ф28mm anchor bars in the old concrete were either pulled out or sheared.</w:t>
      </w:r>
    </w:p>
    <w:p w14:paraId="615CD626">
      <w:pPr>
        <w:pStyle w:val="16"/>
        <w:spacing w:before="31" w:after="31"/>
        <w:ind w:firstLine="480"/>
        <w:rPr>
          <w:szCs w:val="24"/>
        </w:rPr>
      </w:pPr>
      <w:r>
        <w:rPr>
          <w:szCs w:val="24"/>
        </w:rPr>
        <w:t>(5) Failed Component Morphology:</w:t>
      </w:r>
    </w:p>
    <w:p w14:paraId="419056AE">
      <w:pPr>
        <w:pStyle w:val="16"/>
        <w:spacing w:before="31" w:after="31"/>
        <w:ind w:firstLine="480"/>
        <w:rPr>
          <w:szCs w:val="24"/>
        </w:rPr>
      </w:pPr>
      <w:r>
        <w:rPr>
          <w:szCs w:val="24"/>
        </w:rPr>
        <w:t>Null</w:t>
      </w:r>
    </w:p>
    <w:p w14:paraId="213E8DA9">
      <w:pPr>
        <w:pStyle w:val="16"/>
        <w:spacing w:before="31" w:after="31"/>
        <w:ind w:firstLine="480"/>
        <w:rPr>
          <w:szCs w:val="24"/>
        </w:rPr>
      </w:pPr>
      <w:r>
        <w:rPr>
          <w:szCs w:val="24"/>
        </w:rPr>
        <w:t>(6) Failure Cause Analysis</w:t>
      </w:r>
    </w:p>
    <w:p w14:paraId="41E0C7EC">
      <w:pPr>
        <w:pStyle w:val="16"/>
        <w:spacing w:before="31" w:after="31"/>
        <w:ind w:firstLine="480"/>
        <w:rPr>
          <w:szCs w:val="24"/>
        </w:rPr>
      </w:pPr>
      <w:r>
        <w:rPr>
          <w:rFonts w:hint="eastAsia"/>
          <w:szCs w:val="24"/>
        </w:rPr>
        <w:t>N</w:t>
      </w:r>
      <w:r>
        <w:rPr>
          <w:szCs w:val="24"/>
        </w:rPr>
        <w:t>ull</w:t>
      </w:r>
    </w:p>
    <w:p w14:paraId="774D250E">
      <w:pPr>
        <w:pStyle w:val="16"/>
        <w:spacing w:before="31" w:after="31"/>
        <w:ind w:firstLine="480"/>
        <w:rPr>
          <w:szCs w:val="24"/>
        </w:rPr>
      </w:pPr>
      <w:r>
        <w:rPr>
          <w:szCs w:val="24"/>
        </w:rPr>
        <w:t xml:space="preserve">(7) </w:t>
      </w:r>
      <w:r>
        <w:rPr>
          <w:kern w:val="0"/>
          <w:szCs w:val="24"/>
        </w:rPr>
        <w:t>Impact and Harm Caused</w:t>
      </w:r>
    </w:p>
    <w:p w14:paraId="654A4BF0">
      <w:pPr>
        <w:pStyle w:val="16"/>
        <w:spacing w:before="31" w:after="31"/>
        <w:ind w:firstLine="480"/>
        <w:rPr>
          <w:rFonts w:hint="eastAsia"/>
          <w:szCs w:val="24"/>
        </w:rPr>
      </w:pPr>
      <w:r>
        <w:rPr>
          <w:szCs w:val="24"/>
        </w:rPr>
        <w:t>After the repair of the flood discharge tunnel, during two experimental water releases, it was observed that when water was released at a flow rate of 2,088m³/s in September 1978, after 3.4 hours, water reached the opposite bank of the river near the 330kV substation. A significant amount of water entered the outlet tunnel, prompting an immediate gate closure. At this point, a section of the riverbank road had been eroded by 40 meters. While the damage was relatively light, the ability to withstand a prolonged period of water flow remained uncertain. The tunnel has been restricted in use but has not been utilized for many years.</w:t>
      </w:r>
    </w:p>
    <w:p w14:paraId="6E5034D0">
      <w:pPr>
        <w:pStyle w:val="16"/>
        <w:spacing w:before="31" w:after="31"/>
        <w:ind w:firstLine="480"/>
        <w:rPr>
          <w:szCs w:val="24"/>
        </w:rPr>
      </w:pPr>
      <w:r>
        <w:rPr>
          <w:szCs w:val="24"/>
        </w:rPr>
        <w:t>(8) Conclusion and Improvement Measures</w:t>
      </w:r>
    </w:p>
    <w:p w14:paraId="16070EB8">
      <w:pPr>
        <w:pStyle w:val="16"/>
        <w:spacing w:before="31" w:after="31"/>
        <w:ind w:firstLine="480"/>
        <w:rPr>
          <w:szCs w:val="24"/>
        </w:rPr>
      </w:pPr>
      <w:r>
        <w:rPr>
          <w:szCs w:val="24"/>
        </w:rPr>
        <w:t>Between 1973 and 1975, the flood discharge tunnel underwent another round of repairs. The section between station points 0+176m to 0+400m was excavated, and new concrete was poured. The invert was reinforced with double-layered steel bars, and all vertical and horizontal joints were equipped with keyways and plastic waterstops. Drainage holes were added to the sidewalls, and strict control was maintained over the smoothness of the concrete surface. Defective areas on the eroded panels, such as misalignment and small cavities, were all repaired with epoxy mortar. The concrete used was Grade 300 at the bottom, Grade 200 at the top, and Grade 250 at the outlet. Quality assurance tests revealed a coefficient of variation (Cv) of 0.115 and a strength assurance rate (P) of 98.9% for Grade 300 concrete, and Cv of 0.109 and P of 99.9% for Grade 200 concrete.</w:t>
      </w:r>
    </w:p>
    <w:p w14:paraId="27CC65C3">
      <w:pPr>
        <w:pStyle w:val="16"/>
        <w:spacing w:before="31" w:after="31"/>
        <w:ind w:firstLine="480"/>
        <w:rPr>
          <w:szCs w:val="24"/>
        </w:rPr>
      </w:pPr>
    </w:p>
    <w:p w14:paraId="72467F5E">
      <w:pPr>
        <w:pStyle w:val="16"/>
        <w:spacing w:before="31" w:after="31"/>
        <w:ind w:firstLine="0" w:firstLineChars="0"/>
        <w:rPr>
          <w:b/>
          <w:bCs/>
          <w:szCs w:val="24"/>
        </w:rPr>
      </w:pPr>
      <w:r>
        <w:rPr>
          <w:b/>
          <w:bCs/>
          <w:szCs w:val="24"/>
        </w:rPr>
        <w:t>10.2.6 Case 10-6: Erosion and Cavitation Damage of Liujiagorge Spillway Gates</w:t>
      </w:r>
    </w:p>
    <w:p w14:paraId="159126FF">
      <w:pPr>
        <w:pStyle w:val="16"/>
        <w:spacing w:before="31" w:after="31"/>
        <w:ind w:firstLine="482"/>
        <w:rPr>
          <w:b/>
          <w:bCs/>
          <w:szCs w:val="24"/>
        </w:rPr>
      </w:pPr>
    </w:p>
    <w:p w14:paraId="7C91C333">
      <w:pPr>
        <w:pStyle w:val="16"/>
        <w:spacing w:before="31" w:after="31"/>
        <w:ind w:firstLine="480"/>
        <w:rPr>
          <w:szCs w:val="24"/>
        </w:rPr>
      </w:pPr>
      <w:r>
        <w:rPr>
          <w:szCs w:val="24"/>
        </w:rPr>
        <w:t>(1) Case Name:</w:t>
      </w:r>
    </w:p>
    <w:p w14:paraId="7EFA6F10">
      <w:pPr>
        <w:pStyle w:val="16"/>
        <w:spacing w:before="31" w:after="31"/>
        <w:ind w:firstLine="480"/>
        <w:rPr>
          <w:szCs w:val="24"/>
        </w:rPr>
      </w:pPr>
      <w:r>
        <w:rPr>
          <w:szCs w:val="24"/>
        </w:rPr>
        <w:t>Erosion and Cavitation Damage of Liujiagorge Spillway [20-23]</w:t>
      </w:r>
    </w:p>
    <w:p w14:paraId="6883BC9C">
      <w:pPr>
        <w:pStyle w:val="16"/>
        <w:spacing w:before="31" w:after="31"/>
        <w:ind w:firstLine="480"/>
        <w:rPr>
          <w:szCs w:val="24"/>
        </w:rPr>
      </w:pPr>
    </w:p>
    <w:p w14:paraId="20E799FF">
      <w:pPr>
        <w:pStyle w:val="16"/>
        <w:spacing w:before="31" w:after="31"/>
        <w:ind w:firstLine="480"/>
        <w:rPr>
          <w:szCs w:val="24"/>
        </w:rPr>
      </w:pPr>
      <w:r>
        <w:rPr>
          <w:szCs w:val="24"/>
        </w:rPr>
        <w:t>(2) Failure Process Description:</w:t>
      </w:r>
    </w:p>
    <w:p w14:paraId="700B7FA2">
      <w:pPr>
        <w:pStyle w:val="16"/>
        <w:spacing w:before="31" w:after="31"/>
        <w:ind w:firstLine="480"/>
        <w:rPr>
          <w:szCs w:val="24"/>
        </w:rPr>
      </w:pPr>
      <w:r>
        <w:rPr>
          <w:szCs w:val="24"/>
        </w:rPr>
        <w:t>The Liujiagorge hydropower station has a concrete gravity dam with a maximum height of 147m and a normal water level of 1,735.0m. The spillway is located in the left bank within the VIII dam section, consisting of two parallel rectangular openings separated by a 4m thick central pier. The spillway's primary functions include flood discharge, sediment flushing, irrigation, and reservoir emptying.</w:t>
      </w:r>
    </w:p>
    <w:p w14:paraId="042C6C4E">
      <w:pPr>
        <w:pStyle w:val="16"/>
        <w:spacing w:before="31" w:after="31"/>
        <w:ind w:firstLine="480"/>
        <w:rPr>
          <w:szCs w:val="24"/>
        </w:rPr>
      </w:pPr>
    </w:p>
    <w:p w14:paraId="3743A8F4">
      <w:pPr>
        <w:pStyle w:val="16"/>
        <w:spacing w:before="31" w:after="31"/>
        <w:ind w:firstLine="480"/>
        <w:rPr>
          <w:szCs w:val="24"/>
        </w:rPr>
      </w:pPr>
      <w:r>
        <w:rPr>
          <w:szCs w:val="24"/>
        </w:rPr>
        <w:t>The spillway, operational since 1969, initially discharged clear water. After 1977, due to sediment accumulation from the Tao River, the spillway's role shifted to sediment flushing. In the 30 years from 1969 to 1998, the first opening (left) was operated 365 times, with a discharge of 28.5 billion cubic meters and sediment flushing of 7.1 million tons. The second opening (right) was operated 796 times, with a discharge of 56.5 billion cubic meters and sediment flushing of 59.92 million tons.</w:t>
      </w:r>
    </w:p>
    <w:p w14:paraId="39B57075">
      <w:pPr>
        <w:pStyle w:val="16"/>
        <w:spacing w:before="31" w:after="31"/>
        <w:ind w:firstLine="480"/>
        <w:rPr>
          <w:szCs w:val="24"/>
        </w:rPr>
      </w:pPr>
    </w:p>
    <w:p w14:paraId="00A80DDA">
      <w:pPr>
        <w:pStyle w:val="16"/>
        <w:spacing w:before="31" w:after="31"/>
        <w:ind w:firstLine="480"/>
        <w:rPr>
          <w:szCs w:val="24"/>
        </w:rPr>
      </w:pPr>
      <w:r>
        <w:rPr>
          <w:szCs w:val="24"/>
        </w:rPr>
        <w:t>During a comprehensive inspection in 1998, severe erosion damage was discovered at the water inlet of the second opening.</w:t>
      </w:r>
    </w:p>
    <w:p w14:paraId="4A281366">
      <w:pPr>
        <w:pStyle w:val="16"/>
        <w:spacing w:before="31" w:after="31"/>
        <w:ind w:firstLine="480"/>
        <w:rPr>
          <w:szCs w:val="24"/>
        </w:rPr>
      </w:pPr>
    </w:p>
    <w:p w14:paraId="7E7D1A87">
      <w:pPr>
        <w:pStyle w:val="16"/>
        <w:spacing w:before="31" w:after="31"/>
        <w:ind w:firstLine="480"/>
        <w:rPr>
          <w:szCs w:val="24"/>
        </w:rPr>
      </w:pPr>
      <w:r>
        <w:rPr>
          <w:szCs w:val="24"/>
        </w:rPr>
        <w:t xml:space="preserve">(3) </w:t>
      </w:r>
      <w:r>
        <w:rPr>
          <w:kern w:val="0"/>
          <w:szCs w:val="24"/>
        </w:rPr>
        <w:t>Service Environment:</w:t>
      </w:r>
    </w:p>
    <w:p w14:paraId="206F969F">
      <w:pPr>
        <w:pStyle w:val="16"/>
        <w:spacing w:before="31" w:after="31"/>
        <w:ind w:firstLine="480"/>
        <w:rPr>
          <w:szCs w:val="24"/>
        </w:rPr>
      </w:pPr>
      <w:r>
        <w:rPr>
          <w:szCs w:val="24"/>
        </w:rPr>
        <w:t>The spillway, located in the VIII dam section, is 240m long and consists of two deep holes and an open channel within the dam. The spillway operates at high flow velocities, with maximum average flow speeds of 25.3m/s at the inspection gate and 31.0m/s at the working gate.</w:t>
      </w:r>
    </w:p>
    <w:p w14:paraId="73F202B0">
      <w:pPr>
        <w:pStyle w:val="16"/>
        <w:spacing w:before="31" w:after="31"/>
        <w:ind w:firstLine="480"/>
        <w:rPr>
          <w:szCs w:val="24"/>
        </w:rPr>
      </w:pPr>
    </w:p>
    <w:p w14:paraId="265E0B3B">
      <w:pPr>
        <w:pStyle w:val="16"/>
        <w:spacing w:before="31" w:after="31"/>
        <w:ind w:firstLine="480"/>
        <w:rPr>
          <w:szCs w:val="24"/>
        </w:rPr>
      </w:pPr>
      <w:r>
        <w:rPr>
          <w:szCs w:val="24"/>
        </w:rPr>
        <w:t>(4) Failure Locations:</w:t>
      </w:r>
    </w:p>
    <w:p w14:paraId="00E1A27D">
      <w:pPr>
        <w:pStyle w:val="16"/>
        <w:spacing w:before="31" w:after="31"/>
        <w:ind w:firstLine="480"/>
        <w:rPr>
          <w:szCs w:val="24"/>
        </w:rPr>
      </w:pPr>
      <w:r>
        <w:rPr>
          <w:szCs w:val="24"/>
        </w:rPr>
        <w:t>Significant erosion and damage were observed in various areas, including the bottom plate, maintenance gate slots, and working gate slots. Steel lining in the gate slots exhibited widespread erosion, forming holes up to 70% empty underneath. Concrete erosion, steel exposure, and damage to the mid-pier were also noted.</w:t>
      </w:r>
    </w:p>
    <w:p w14:paraId="51F062DF">
      <w:pPr>
        <w:pStyle w:val="16"/>
        <w:spacing w:before="31" w:after="31"/>
        <w:ind w:firstLine="480"/>
        <w:rPr>
          <w:szCs w:val="24"/>
        </w:rPr>
      </w:pPr>
      <w:r>
        <w:rPr>
          <w:szCs w:val="24"/>
        </w:rPr>
        <w:t>(5) Failed Component Morphology:</w:t>
      </w:r>
    </w:p>
    <w:p w14:paraId="0E0DECB7">
      <w:pPr>
        <w:pStyle w:val="16"/>
        <w:spacing w:before="31" w:after="31"/>
        <w:ind w:firstLine="480"/>
        <w:rPr>
          <w:szCs w:val="24"/>
        </w:rPr>
      </w:pPr>
      <w:r>
        <w:rPr>
          <w:szCs w:val="24"/>
        </w:rPr>
        <w:t>Null</w:t>
      </w:r>
    </w:p>
    <w:p w14:paraId="6B2356E5">
      <w:pPr>
        <w:pStyle w:val="16"/>
        <w:spacing w:before="31" w:after="31"/>
        <w:ind w:firstLine="480"/>
        <w:rPr>
          <w:szCs w:val="24"/>
        </w:rPr>
      </w:pPr>
    </w:p>
    <w:p w14:paraId="45C985F4">
      <w:pPr>
        <w:pStyle w:val="16"/>
        <w:spacing w:before="31" w:after="31"/>
        <w:ind w:firstLine="480"/>
        <w:rPr>
          <w:szCs w:val="24"/>
        </w:rPr>
      </w:pPr>
      <w:r>
        <w:rPr>
          <w:szCs w:val="24"/>
        </w:rPr>
        <w:t>(6) Failure Cause Analysis:</w:t>
      </w:r>
    </w:p>
    <w:p w14:paraId="5F24C345">
      <w:pPr>
        <w:pStyle w:val="16"/>
        <w:spacing w:before="31" w:after="31"/>
        <w:ind w:firstLine="480"/>
        <w:rPr>
          <w:szCs w:val="24"/>
        </w:rPr>
      </w:pPr>
      <w:r>
        <w:rPr>
          <w:szCs w:val="24"/>
        </w:rPr>
        <w:t>The erosion and cavitation damage were primarily attributed to the spillway's prolonged operation, high sediment flushing, and elevated flow velocities. Sediment discharge contained particles exceeding 0.05mm in diameter, contributing to erosion and damage.</w:t>
      </w:r>
    </w:p>
    <w:p w14:paraId="206421E8">
      <w:pPr>
        <w:pStyle w:val="16"/>
        <w:spacing w:before="31" w:after="31"/>
        <w:ind w:firstLine="480"/>
        <w:rPr>
          <w:szCs w:val="24"/>
        </w:rPr>
      </w:pPr>
    </w:p>
    <w:p w14:paraId="3C759414">
      <w:pPr>
        <w:pStyle w:val="16"/>
        <w:spacing w:before="31" w:after="31"/>
        <w:ind w:firstLine="480"/>
        <w:rPr>
          <w:szCs w:val="24"/>
        </w:rPr>
      </w:pPr>
      <w:r>
        <w:rPr>
          <w:szCs w:val="24"/>
        </w:rPr>
        <w:t>The severity of erosion and damage in the second opening was linked to its higher sediment flushing requirements and greater discharge. The study showed a direct correlation between sediment discharge volume and the extent of erosion damage.</w:t>
      </w:r>
    </w:p>
    <w:p w14:paraId="05BE9218">
      <w:pPr>
        <w:pStyle w:val="16"/>
        <w:spacing w:before="31" w:after="31"/>
        <w:ind w:firstLine="480"/>
        <w:rPr>
          <w:szCs w:val="24"/>
        </w:rPr>
      </w:pPr>
    </w:p>
    <w:p w14:paraId="7AF7597D">
      <w:pPr>
        <w:pStyle w:val="16"/>
        <w:spacing w:before="31" w:after="31"/>
        <w:ind w:firstLine="480"/>
        <w:rPr>
          <w:szCs w:val="24"/>
        </w:rPr>
      </w:pPr>
      <w:r>
        <w:rPr>
          <w:szCs w:val="24"/>
        </w:rPr>
        <w:t xml:space="preserve">(6) </w:t>
      </w:r>
      <w:r>
        <w:rPr>
          <w:kern w:val="0"/>
          <w:szCs w:val="24"/>
        </w:rPr>
        <w:t>Impact and Harm Caused</w:t>
      </w:r>
    </w:p>
    <w:p w14:paraId="7E310824">
      <w:pPr>
        <w:pStyle w:val="16"/>
        <w:spacing w:before="31" w:after="31"/>
        <w:ind w:firstLine="480"/>
        <w:rPr>
          <w:szCs w:val="24"/>
        </w:rPr>
      </w:pPr>
      <w:r>
        <w:rPr>
          <w:szCs w:val="24"/>
        </w:rPr>
        <w:t>The erosion and damage in the second opening reached a critical state. Continued operation posed a risk of sudden failure, potentially causing a catastrophic incident. The exposed concrete in the bottom plate could accelerate erosion, endangering the observation corridor located just 2.0m below and posing a significant threat to the dam's safety.</w:t>
      </w:r>
    </w:p>
    <w:p w14:paraId="3A125779">
      <w:pPr>
        <w:pStyle w:val="16"/>
        <w:spacing w:before="31" w:after="31"/>
        <w:ind w:firstLine="480"/>
        <w:rPr>
          <w:szCs w:val="24"/>
        </w:rPr>
      </w:pPr>
    </w:p>
    <w:p w14:paraId="6CB28350">
      <w:pPr>
        <w:pStyle w:val="16"/>
        <w:spacing w:before="31" w:after="31"/>
        <w:ind w:firstLine="480"/>
        <w:rPr>
          <w:szCs w:val="24"/>
        </w:rPr>
      </w:pPr>
      <w:r>
        <w:rPr>
          <w:szCs w:val="24"/>
        </w:rPr>
        <w:t>(8) Conclusion and Remedial Measures:</w:t>
      </w:r>
    </w:p>
    <w:p w14:paraId="17648369">
      <w:pPr>
        <w:pStyle w:val="16"/>
        <w:spacing w:before="31" w:after="31"/>
        <w:ind w:firstLine="480"/>
        <w:rPr>
          <w:szCs w:val="24"/>
        </w:rPr>
      </w:pPr>
      <w:r>
        <w:rPr>
          <w:szCs w:val="24"/>
        </w:rPr>
        <w:t>The erosion process began gradually with sediment wear, progressing to cavitation damage. The critical state of erosion in the second opening necessitated urgent repair. A two-phase repair plan was proposed, involving sealing the maintenance gate, forming a dry working environment, and repairing the steel lining and main rail in the maintenance gate slot during the first phase. The second phase focused on repairing the maintenance gate slot and the upstream inlet segment.</w:t>
      </w:r>
    </w:p>
    <w:p w14:paraId="061203A1">
      <w:pPr>
        <w:pStyle w:val="16"/>
        <w:spacing w:before="31" w:after="31"/>
        <w:ind w:firstLine="480"/>
        <w:rPr>
          <w:szCs w:val="24"/>
        </w:rPr>
      </w:pPr>
    </w:p>
    <w:p w14:paraId="7C21D89A">
      <w:pPr>
        <w:pStyle w:val="16"/>
        <w:spacing w:before="31" w:after="31"/>
        <w:ind w:firstLine="480"/>
        <w:rPr>
          <w:szCs w:val="24"/>
        </w:rPr>
      </w:pPr>
      <w:r>
        <w:rPr>
          <w:szCs w:val="24"/>
        </w:rPr>
        <w:t>Reinforcement and repair measures were outlined, including the repair of the steel lining by welding, application of epoxy mortar for erosion-prone areas, and reinforcement of concrete structures.</w:t>
      </w:r>
    </w:p>
    <w:p w14:paraId="397F9716">
      <w:pPr>
        <w:pStyle w:val="16"/>
        <w:spacing w:before="31" w:after="31"/>
        <w:ind w:firstLine="480"/>
        <w:rPr>
          <w:szCs w:val="24"/>
        </w:rPr>
      </w:pPr>
    </w:p>
    <w:p w14:paraId="6ED40CAB">
      <w:pPr>
        <w:pStyle w:val="16"/>
        <w:spacing w:before="31" w:after="31"/>
        <w:ind w:firstLine="0" w:firstLineChars="0"/>
        <w:rPr>
          <w:b/>
          <w:bCs/>
          <w:szCs w:val="24"/>
        </w:rPr>
      </w:pPr>
      <w:r>
        <w:rPr>
          <w:b/>
          <w:bCs/>
          <w:szCs w:val="24"/>
        </w:rPr>
        <w:t>10.2.7 Case 10-7: Cracking and Displacement of Lushui River Hydropower Dam</w:t>
      </w:r>
    </w:p>
    <w:p w14:paraId="57F6E89E">
      <w:pPr>
        <w:pStyle w:val="16"/>
        <w:spacing w:before="31" w:after="31"/>
        <w:ind w:firstLine="480"/>
        <w:rPr>
          <w:szCs w:val="24"/>
        </w:rPr>
      </w:pPr>
    </w:p>
    <w:p w14:paraId="3646CFD6">
      <w:pPr>
        <w:pStyle w:val="16"/>
        <w:spacing w:before="31" w:after="31"/>
        <w:ind w:firstLine="480"/>
        <w:rPr>
          <w:szCs w:val="24"/>
        </w:rPr>
      </w:pPr>
      <w:r>
        <w:rPr>
          <w:szCs w:val="24"/>
        </w:rPr>
        <w:t>(1) Case Name:</w:t>
      </w:r>
    </w:p>
    <w:p w14:paraId="55A027CC">
      <w:pPr>
        <w:pStyle w:val="16"/>
        <w:spacing w:before="31" w:after="31"/>
        <w:ind w:firstLine="480"/>
        <w:rPr>
          <w:szCs w:val="24"/>
        </w:rPr>
      </w:pPr>
      <w:r>
        <w:rPr>
          <w:szCs w:val="24"/>
        </w:rPr>
        <w:t>Cracking and Displacement of Lushui River Hydropower Dam [24]</w:t>
      </w:r>
    </w:p>
    <w:p w14:paraId="7C239BE4">
      <w:pPr>
        <w:pStyle w:val="16"/>
        <w:spacing w:before="31" w:after="31"/>
        <w:ind w:firstLine="480"/>
        <w:rPr>
          <w:szCs w:val="24"/>
        </w:rPr>
      </w:pPr>
    </w:p>
    <w:p w14:paraId="7D207169">
      <w:pPr>
        <w:pStyle w:val="16"/>
        <w:spacing w:before="31" w:after="31"/>
        <w:ind w:firstLine="480"/>
        <w:rPr>
          <w:szCs w:val="24"/>
        </w:rPr>
      </w:pPr>
      <w:r>
        <w:rPr>
          <w:szCs w:val="24"/>
        </w:rPr>
        <w:t>(2) Failure Process Description:</w:t>
      </w:r>
    </w:p>
    <w:p w14:paraId="60ABC573">
      <w:pPr>
        <w:pStyle w:val="16"/>
        <w:spacing w:before="31" w:after="31"/>
        <w:ind w:firstLine="480"/>
        <w:rPr>
          <w:szCs w:val="24"/>
        </w:rPr>
      </w:pPr>
      <w:r>
        <w:rPr>
          <w:szCs w:val="24"/>
        </w:rPr>
        <w:t>On the night of September 11, 1971, heavy rainfall downstream led to a significant flood, carrying debris and floating objects to the upstream dam of the Sanjiu River Hydropower Station. The flood blocked the bottom holes, causing a rapid rise in water levels to 478.7m and exerting additional pressure on the dam. Opening the downstream water control gate to discharge 330m3/s led to cracking and displacement of the upstream dam.</w:t>
      </w:r>
    </w:p>
    <w:p w14:paraId="38C2B3CE">
      <w:pPr>
        <w:pStyle w:val="16"/>
        <w:spacing w:before="31" w:after="31"/>
        <w:ind w:firstLine="480"/>
        <w:rPr>
          <w:szCs w:val="24"/>
        </w:rPr>
      </w:pPr>
    </w:p>
    <w:p w14:paraId="2078B650">
      <w:pPr>
        <w:pStyle w:val="16"/>
        <w:spacing w:before="31" w:after="31"/>
        <w:ind w:firstLine="480"/>
        <w:rPr>
          <w:szCs w:val="24"/>
        </w:rPr>
      </w:pPr>
      <w:r>
        <w:rPr>
          <w:szCs w:val="24"/>
        </w:rPr>
        <w:t xml:space="preserve">(3) </w:t>
      </w:r>
      <w:r>
        <w:rPr>
          <w:kern w:val="0"/>
          <w:szCs w:val="24"/>
        </w:rPr>
        <w:t>Service Environment:</w:t>
      </w:r>
    </w:p>
    <w:p w14:paraId="51F6D1AF">
      <w:pPr>
        <w:pStyle w:val="16"/>
        <w:spacing w:before="31" w:after="31"/>
        <w:ind w:firstLine="480"/>
        <w:rPr>
          <w:szCs w:val="24"/>
        </w:rPr>
      </w:pPr>
      <w:r>
        <w:rPr>
          <w:szCs w:val="24"/>
        </w:rPr>
        <w:t>The upstream dam is a overflow-type concrete gravity dam with a maximum height of 13m. It consists of two sections divided by a spillway gate. The overflow section, 46m in total length, has seven spillway weirs with different widths. The spillway crest elevations range from 473m to 477.2m. The dam also features a 2×2m square bottom hole at an elevation of 467m, equipped with a flat gate for flow regulation.</w:t>
      </w:r>
    </w:p>
    <w:p w14:paraId="04D71060">
      <w:pPr>
        <w:pStyle w:val="16"/>
        <w:spacing w:before="31" w:after="31"/>
        <w:ind w:firstLine="480"/>
        <w:rPr>
          <w:szCs w:val="24"/>
        </w:rPr>
      </w:pPr>
    </w:p>
    <w:p w14:paraId="499BF8A2">
      <w:pPr>
        <w:pStyle w:val="16"/>
        <w:spacing w:before="31" w:after="31"/>
        <w:ind w:firstLine="480"/>
        <w:rPr>
          <w:szCs w:val="24"/>
        </w:rPr>
      </w:pPr>
      <w:r>
        <w:rPr>
          <w:szCs w:val="24"/>
        </w:rPr>
        <w:t>(4) Failure Locations:</w:t>
      </w:r>
    </w:p>
    <w:p w14:paraId="7F9E3CCF">
      <w:pPr>
        <w:pStyle w:val="16"/>
        <w:spacing w:before="31" w:after="31"/>
        <w:ind w:firstLine="480"/>
        <w:rPr>
          <w:szCs w:val="24"/>
        </w:rPr>
      </w:pPr>
      <w:r>
        <w:rPr>
          <w:szCs w:val="24"/>
        </w:rPr>
        <w:t>The first and second sections of the right dam had moved 20mm downstream, with upstream and downstream surface subsidence of approximately 6mm and 15mm, respectively. Four cracks appeared, with one causing significant leakage on the downstream side.</w:t>
      </w:r>
    </w:p>
    <w:p w14:paraId="539298C2">
      <w:pPr>
        <w:pStyle w:val="16"/>
        <w:spacing w:before="31" w:after="31"/>
        <w:ind w:firstLine="480"/>
        <w:rPr>
          <w:szCs w:val="24"/>
        </w:rPr>
      </w:pPr>
      <w:r>
        <w:rPr>
          <w:szCs w:val="24"/>
        </w:rPr>
        <w:t>(5) Failed Component Morphology:</w:t>
      </w:r>
    </w:p>
    <w:p w14:paraId="39FB1D93">
      <w:pPr>
        <w:pStyle w:val="16"/>
        <w:spacing w:before="31" w:after="31"/>
        <w:ind w:firstLine="480"/>
        <w:rPr>
          <w:szCs w:val="24"/>
        </w:rPr>
      </w:pPr>
      <w:r>
        <w:rPr>
          <w:szCs w:val="24"/>
        </w:rPr>
        <w:t>Null</w:t>
      </w:r>
    </w:p>
    <w:p w14:paraId="748FC8DB">
      <w:pPr>
        <w:pStyle w:val="16"/>
        <w:spacing w:before="31" w:after="31"/>
        <w:ind w:firstLine="480"/>
        <w:rPr>
          <w:szCs w:val="24"/>
        </w:rPr>
      </w:pPr>
    </w:p>
    <w:p w14:paraId="4B197CE8">
      <w:pPr>
        <w:pStyle w:val="16"/>
        <w:spacing w:before="31" w:after="31"/>
        <w:ind w:firstLine="480"/>
        <w:rPr>
          <w:szCs w:val="24"/>
        </w:rPr>
      </w:pPr>
      <w:r>
        <w:rPr>
          <w:szCs w:val="24"/>
        </w:rPr>
        <w:t>(6) Failure Cause Analysis:</w:t>
      </w:r>
    </w:p>
    <w:p w14:paraId="2BD9BA28">
      <w:pPr>
        <w:pStyle w:val="16"/>
        <w:spacing w:before="31" w:after="31"/>
        <w:ind w:firstLine="480"/>
        <w:rPr>
          <w:szCs w:val="24"/>
        </w:rPr>
      </w:pPr>
      <w:r>
        <w:rPr>
          <w:szCs w:val="24"/>
        </w:rPr>
        <w:t>The primary cause was the closure of the floodgate during the 1971 flood, preventing debris from the Sanjiu River Hydropower Station excavation from being flushed away. This increased sediment pressure and blocked the bottom holes, raising upstream water levels. The subsequent opening of the water control gate caused a rapid decrease in internal reservoir levels, creating a 9.14m (design allowed 3m) difference between upstream and downstream water levels.</w:t>
      </w:r>
    </w:p>
    <w:p w14:paraId="5AC75D42">
      <w:pPr>
        <w:pStyle w:val="16"/>
        <w:spacing w:before="31" w:after="31"/>
        <w:ind w:firstLine="480"/>
        <w:rPr>
          <w:szCs w:val="24"/>
        </w:rPr>
      </w:pPr>
    </w:p>
    <w:p w14:paraId="2D5186D1">
      <w:pPr>
        <w:pStyle w:val="16"/>
        <w:spacing w:before="31" w:after="31"/>
        <w:ind w:firstLine="480"/>
        <w:rPr>
          <w:szCs w:val="24"/>
        </w:rPr>
      </w:pPr>
      <w:r>
        <w:rPr>
          <w:szCs w:val="24"/>
        </w:rPr>
        <w:t>Additionally, the downstream protective apron was destroyed, exposing the dam toe and intensifying the accident.</w:t>
      </w:r>
    </w:p>
    <w:p w14:paraId="13641836">
      <w:pPr>
        <w:pStyle w:val="16"/>
        <w:spacing w:before="31" w:after="31"/>
        <w:ind w:firstLine="480"/>
        <w:rPr>
          <w:szCs w:val="24"/>
        </w:rPr>
      </w:pPr>
      <w:r>
        <w:rPr>
          <w:szCs w:val="24"/>
        </w:rPr>
        <w:t>(7) Impact and Harm Caused</w:t>
      </w:r>
    </w:p>
    <w:p w14:paraId="02018AE4">
      <w:pPr>
        <w:pStyle w:val="16"/>
        <w:spacing w:before="31" w:after="31"/>
        <w:ind w:firstLine="480"/>
        <w:rPr>
          <w:szCs w:val="24"/>
        </w:rPr>
      </w:pPr>
      <w:r>
        <w:rPr>
          <w:szCs w:val="24"/>
        </w:rPr>
        <w:t>Null</w:t>
      </w:r>
    </w:p>
    <w:p w14:paraId="2BADD199">
      <w:pPr>
        <w:pStyle w:val="16"/>
        <w:spacing w:before="31" w:after="31"/>
        <w:ind w:firstLine="480"/>
        <w:rPr>
          <w:szCs w:val="24"/>
        </w:rPr>
      </w:pPr>
    </w:p>
    <w:p w14:paraId="464EB3F9">
      <w:pPr>
        <w:pStyle w:val="16"/>
        <w:spacing w:before="31" w:after="31"/>
        <w:ind w:firstLine="480"/>
        <w:rPr>
          <w:szCs w:val="24"/>
        </w:rPr>
      </w:pPr>
      <w:r>
        <w:rPr>
          <w:szCs w:val="24"/>
        </w:rPr>
        <w:t>(8) Conclusion and Remedial Measures:</w:t>
      </w:r>
    </w:p>
    <w:p w14:paraId="7746D5FD">
      <w:pPr>
        <w:pStyle w:val="16"/>
        <w:spacing w:before="31" w:after="31"/>
        <w:ind w:firstLine="480"/>
        <w:rPr>
          <w:szCs w:val="24"/>
        </w:rPr>
      </w:pPr>
      <w:r>
        <w:rPr>
          <w:szCs w:val="24"/>
        </w:rPr>
        <w:t>Mismanagement led to an excessive water level difference of over 3.0m, three times the allowable limit, causing cracking and displacement. Subsequent measures involved reinforcement and control of operational conditions, including strict monitoring of upstream and downstream water level differences to ensure they did not exceed 1.0m, with occasional short-term allowances up to 3.0m. These measures aimed to secure the safe operation of the power station.</w:t>
      </w:r>
    </w:p>
    <w:p w14:paraId="3C342D07">
      <w:pPr>
        <w:pStyle w:val="16"/>
        <w:spacing w:before="31" w:after="31"/>
        <w:ind w:firstLine="0" w:firstLineChars="0"/>
        <w:rPr>
          <w:b/>
          <w:bCs/>
          <w:szCs w:val="24"/>
        </w:rPr>
      </w:pPr>
      <w:r>
        <w:rPr>
          <w:b/>
          <w:bCs/>
          <w:szCs w:val="24"/>
        </w:rPr>
        <w:t>10.2.8 Case 10-8 Cracking and Displacement of Yudong Reservoir Dam</w:t>
      </w:r>
    </w:p>
    <w:p w14:paraId="38B0387D">
      <w:pPr>
        <w:pStyle w:val="16"/>
        <w:spacing w:before="31" w:after="31"/>
        <w:ind w:firstLine="480"/>
        <w:rPr>
          <w:szCs w:val="24"/>
        </w:rPr>
      </w:pPr>
      <w:r>
        <w:rPr>
          <w:szCs w:val="24"/>
        </w:rPr>
        <w:t>(1) Case Name</w:t>
      </w:r>
    </w:p>
    <w:p w14:paraId="5B73F02C">
      <w:pPr>
        <w:pStyle w:val="16"/>
        <w:spacing w:before="31" w:after="31"/>
        <w:ind w:firstLine="480"/>
        <w:rPr>
          <w:szCs w:val="24"/>
        </w:rPr>
      </w:pPr>
      <w:r>
        <w:rPr>
          <w:szCs w:val="24"/>
        </w:rPr>
        <w:t>Cracking and Displacement of Yudong Reservoir Dam [25]</w:t>
      </w:r>
    </w:p>
    <w:p w14:paraId="09D19CE2">
      <w:pPr>
        <w:pStyle w:val="16"/>
        <w:spacing w:before="31" w:after="31"/>
        <w:ind w:firstLine="480"/>
        <w:rPr>
          <w:szCs w:val="24"/>
        </w:rPr>
      </w:pPr>
      <w:r>
        <w:rPr>
          <w:szCs w:val="24"/>
        </w:rPr>
        <w:t>(2)</w:t>
      </w:r>
      <w:r>
        <w:rPr>
          <w:kern w:val="0"/>
          <w:szCs w:val="24"/>
        </w:rPr>
        <w:t xml:space="preserve"> Failure Process Description</w:t>
      </w:r>
    </w:p>
    <w:p w14:paraId="497C35DC">
      <w:pPr>
        <w:pStyle w:val="16"/>
        <w:spacing w:before="31" w:after="31"/>
        <w:ind w:firstLine="480"/>
        <w:rPr>
          <w:szCs w:val="24"/>
        </w:rPr>
      </w:pPr>
      <w:r>
        <w:rPr>
          <w:szCs w:val="24"/>
        </w:rPr>
        <w:t>At the end of June 2008, influenced by Typhoon "Fung-Wong," the rainfall in the Yudong Reservoir area reached 373mm, and the reservoir water level rose to 550.10m. A bulging phenomenon appeared near the dam face at an elevation of 530m downstream of the dam (Figure 9-11). Three obvious horizontally penetrating cracks appeared between elevations 538m and 541m on the upstream dam face. The dam top exhibited significant downstream displacement, reaching a maximum of 40mm. Multiple longitudinal cracks appeared on both non-overflow dam faces, with cracks at the upstream face (elevation 539m) and downstream face (elevation 535m) penetrating through. The overflow dam face panel slipped and displaced from the dam body, causing damage as shown in Figure 9-8.1.</w:t>
      </w:r>
    </w:p>
    <w:p w14:paraId="38EE8F57">
      <w:pPr>
        <w:pStyle w:val="16"/>
        <w:spacing w:before="31" w:after="31"/>
        <w:ind w:firstLine="482"/>
        <w:jc w:val="center"/>
        <w:rPr>
          <w:b/>
          <w:bCs/>
          <w:szCs w:val="24"/>
        </w:rPr>
      </w:pPr>
      <w:r>
        <w:rPr>
          <w:b/>
          <w:bCs/>
          <w:szCs w:val="24"/>
        </w:rPr>
        <w:t>Figure 9-8.1 Dam face downstream bulging failure [22]</w:t>
      </w:r>
    </w:p>
    <w:p w14:paraId="1D8E8355">
      <w:pPr>
        <w:pStyle w:val="16"/>
        <w:spacing w:before="31" w:after="31"/>
        <w:ind w:firstLine="480"/>
        <w:rPr>
          <w:szCs w:val="24"/>
        </w:rPr>
      </w:pPr>
      <w:r>
        <w:rPr>
          <w:szCs w:val="24"/>
        </w:rPr>
        <w:t>(3) Service Environment:</w:t>
      </w:r>
    </w:p>
    <w:p w14:paraId="7F510361">
      <w:pPr>
        <w:pStyle w:val="16"/>
        <w:spacing w:before="31" w:after="31"/>
        <w:ind w:firstLine="480"/>
        <w:rPr>
          <w:szCs w:val="24"/>
        </w:rPr>
      </w:pPr>
      <w:r>
        <w:rPr>
          <w:szCs w:val="24"/>
        </w:rPr>
        <w:t>Null</w:t>
      </w:r>
    </w:p>
    <w:p w14:paraId="32FDCA9B">
      <w:pPr>
        <w:pStyle w:val="16"/>
        <w:spacing w:before="31" w:after="31"/>
        <w:ind w:firstLine="480"/>
        <w:rPr>
          <w:szCs w:val="24"/>
        </w:rPr>
      </w:pPr>
      <w:r>
        <w:rPr>
          <w:szCs w:val="24"/>
        </w:rPr>
        <w:t>(4) Failure Locations</w:t>
      </w:r>
    </w:p>
    <w:p w14:paraId="4D527985">
      <w:pPr>
        <w:pStyle w:val="16"/>
        <w:spacing w:before="31" w:after="31"/>
        <w:ind w:firstLine="480"/>
        <w:rPr>
          <w:szCs w:val="24"/>
        </w:rPr>
      </w:pPr>
      <w:r>
        <w:rPr>
          <w:szCs w:val="24"/>
        </w:rPr>
        <w:t>The Yudong Reservoir dam has a top width of 23m, with a spillway width of 25m in the middle of the dam, utilizing spillway energy dissipation. The normal water level is 549.70m (the elevation of the spillway weir), the design flood level for a once-in-50-years event is 551.29m, and the design flood level for a once-in-500-years event is 551.49m. The dam adopts a concrete anti-seepage core wall.</w:t>
      </w:r>
    </w:p>
    <w:p w14:paraId="39FC4D31">
      <w:pPr>
        <w:pStyle w:val="16"/>
        <w:spacing w:before="31" w:after="31"/>
        <w:ind w:firstLine="480"/>
        <w:rPr>
          <w:szCs w:val="24"/>
        </w:rPr>
      </w:pPr>
      <w:r>
        <w:rPr>
          <w:szCs w:val="24"/>
        </w:rPr>
        <w:t>(5) Failed Component Morphology:</w:t>
      </w:r>
    </w:p>
    <w:p w14:paraId="1F2A20D4">
      <w:pPr>
        <w:pStyle w:val="16"/>
        <w:spacing w:before="31" w:after="31"/>
        <w:ind w:firstLine="480"/>
        <w:rPr>
          <w:szCs w:val="24"/>
        </w:rPr>
      </w:pPr>
      <w:r>
        <w:rPr>
          <w:szCs w:val="24"/>
        </w:rPr>
        <w:t>Null</w:t>
      </w:r>
    </w:p>
    <w:p w14:paraId="700CBBA7">
      <w:pPr>
        <w:pStyle w:val="16"/>
        <w:spacing w:before="31" w:after="31"/>
        <w:ind w:firstLine="480"/>
        <w:rPr>
          <w:szCs w:val="24"/>
        </w:rPr>
      </w:pPr>
    </w:p>
    <w:p w14:paraId="3387FBCA">
      <w:pPr>
        <w:pStyle w:val="16"/>
        <w:spacing w:before="31" w:after="31"/>
        <w:ind w:firstLine="480"/>
        <w:rPr>
          <w:szCs w:val="24"/>
        </w:rPr>
      </w:pPr>
      <w:r>
        <w:rPr>
          <w:szCs w:val="24"/>
        </w:rPr>
        <w:t>(6) Analysis of Failure Causes</w:t>
      </w:r>
    </w:p>
    <w:p w14:paraId="02D3539F">
      <w:pPr>
        <w:pStyle w:val="16"/>
        <w:spacing w:before="31" w:after="31"/>
        <w:ind w:firstLine="480"/>
        <w:rPr>
          <w:szCs w:val="24"/>
        </w:rPr>
      </w:pPr>
      <w:r>
        <w:rPr>
          <w:szCs w:val="24"/>
        </w:rPr>
        <w:t>Based on test results, it can be concluded that the failure of the dam was due to insufficient strength of the masonry at an elevation of 530m downstream of the dam, which was first crushed under the conditions of the "Fung-Wong" flood. This led to significant deformation, causing the dam to overturn and fail downstream. The maximum downstream displacement of the dam top reached 40cm, and obvious horizontal penetrating cracks occurred between elevations 538m and 541m on the upstream dam slope.</w:t>
      </w:r>
    </w:p>
    <w:p w14:paraId="003BA912">
      <w:pPr>
        <w:pStyle w:val="16"/>
        <w:spacing w:before="31" w:after="31"/>
        <w:ind w:firstLine="480"/>
        <w:rPr>
          <w:szCs w:val="24"/>
        </w:rPr>
      </w:pPr>
    </w:p>
    <w:p w14:paraId="0BD1D4C3">
      <w:pPr>
        <w:pStyle w:val="16"/>
        <w:spacing w:before="31" w:after="31"/>
        <w:ind w:firstLine="480"/>
        <w:rPr>
          <w:szCs w:val="24"/>
        </w:rPr>
      </w:pPr>
      <w:r>
        <w:rPr>
          <w:szCs w:val="24"/>
        </w:rPr>
        <w:t xml:space="preserve">(7) </w:t>
      </w:r>
      <w:r>
        <w:rPr>
          <w:kern w:val="0"/>
          <w:szCs w:val="24"/>
        </w:rPr>
        <w:t>Impact and Harm Caused</w:t>
      </w:r>
    </w:p>
    <w:p w14:paraId="0BDBF050">
      <w:pPr>
        <w:pStyle w:val="16"/>
        <w:spacing w:before="31" w:after="31"/>
        <w:ind w:firstLine="480"/>
        <w:rPr>
          <w:szCs w:val="24"/>
        </w:rPr>
      </w:pPr>
      <w:r>
        <w:rPr>
          <w:szCs w:val="24"/>
        </w:rPr>
        <w:t>After the accident, the dam was in a high-risk critical state, endangering the safety of over 20,000 people in a downstream town. It was necessary to excavate and dismantle the dam to increase the drainage capacity and reduce the risk of high water level operation. After the dam damage occurred, a 20m deep and 15m wide overflow channel was excavated on the left bank of the dam to increase flood discharge capacity. Subsequently, controlled blasting was carried out to remove the remaining dam body.</w:t>
      </w:r>
    </w:p>
    <w:p w14:paraId="0F9EEE7D">
      <w:pPr>
        <w:pStyle w:val="16"/>
        <w:spacing w:before="31" w:after="31"/>
        <w:ind w:firstLine="480"/>
        <w:rPr>
          <w:szCs w:val="24"/>
        </w:rPr>
      </w:pPr>
    </w:p>
    <w:p w14:paraId="5F2FE3BB">
      <w:pPr>
        <w:pStyle w:val="16"/>
        <w:spacing w:before="31" w:after="31"/>
        <w:ind w:firstLine="480"/>
        <w:rPr>
          <w:szCs w:val="24"/>
        </w:rPr>
      </w:pPr>
      <w:r>
        <w:rPr>
          <w:szCs w:val="24"/>
        </w:rPr>
        <w:t>(8) Conclusion and Improvement Measures</w:t>
      </w:r>
    </w:p>
    <w:p w14:paraId="4B40781E">
      <w:pPr>
        <w:pStyle w:val="16"/>
        <w:spacing w:before="31" w:after="31"/>
        <w:ind w:firstLine="480"/>
        <w:rPr>
          <w:szCs w:val="24"/>
        </w:rPr>
      </w:pPr>
      <w:r>
        <w:rPr>
          <w:szCs w:val="24"/>
        </w:rPr>
        <w:t>The construction quality of the Yudong Reservoir dam's mortar masonry was substandard, with indicators such as masonry density, mortar fullness, mortar strength, and the size of masonry stones not meeting specifications or design requirements. The main cause of the dam failure was the low strength of the dam's mortar masonry. Under the "Fung-Wong" water level conditions, the dam at an elevation of 530m downstream was first crushed, leading to significant deformation and overturning of the dam top. After the accident, the dam was in a high-risk critical state, and timely excavation and removal of the dam body to increase drainage capacity and reduce the risk of high water level operation were necessary.</w:t>
      </w:r>
    </w:p>
    <w:p w14:paraId="034CE20E">
      <w:pPr>
        <w:pStyle w:val="16"/>
        <w:spacing w:before="31" w:after="31"/>
        <w:ind w:firstLine="480"/>
        <w:rPr>
          <w:szCs w:val="24"/>
        </w:rPr>
      </w:pPr>
    </w:p>
    <w:p w14:paraId="3788EDAE">
      <w:pPr>
        <w:pStyle w:val="16"/>
        <w:spacing w:before="31" w:after="31"/>
        <w:ind w:firstLine="0" w:firstLineChars="0"/>
        <w:rPr>
          <w:b/>
          <w:bCs/>
          <w:szCs w:val="24"/>
        </w:rPr>
      </w:pPr>
      <w:r>
        <w:rPr>
          <w:b/>
          <w:bCs/>
          <w:szCs w:val="24"/>
        </w:rPr>
        <w:t>10.2.9 Case 10-9 Dam Failure of Gouhou Reservoir</w:t>
      </w:r>
    </w:p>
    <w:p w14:paraId="1B1307B4">
      <w:pPr>
        <w:pStyle w:val="16"/>
        <w:spacing w:before="31" w:after="31"/>
        <w:ind w:firstLine="480"/>
        <w:rPr>
          <w:szCs w:val="24"/>
        </w:rPr>
      </w:pPr>
      <w:r>
        <w:rPr>
          <w:szCs w:val="24"/>
        </w:rPr>
        <w:t>(1) Case Name</w:t>
      </w:r>
    </w:p>
    <w:p w14:paraId="441B468D">
      <w:pPr>
        <w:pStyle w:val="16"/>
        <w:spacing w:before="31" w:after="31"/>
        <w:ind w:firstLine="480"/>
        <w:rPr>
          <w:szCs w:val="24"/>
        </w:rPr>
      </w:pPr>
      <w:r>
        <w:rPr>
          <w:szCs w:val="24"/>
        </w:rPr>
        <w:t>Gouhou Reservoir Dam Failure [26]</w:t>
      </w:r>
    </w:p>
    <w:p w14:paraId="656E77F8">
      <w:pPr>
        <w:pStyle w:val="16"/>
        <w:spacing w:before="31" w:after="31"/>
        <w:ind w:firstLine="480"/>
        <w:rPr>
          <w:szCs w:val="24"/>
        </w:rPr>
      </w:pPr>
      <w:r>
        <w:rPr>
          <w:szCs w:val="24"/>
        </w:rPr>
        <w:t xml:space="preserve">(2) </w:t>
      </w:r>
      <w:r>
        <w:rPr>
          <w:kern w:val="0"/>
          <w:szCs w:val="24"/>
        </w:rPr>
        <w:t>Failure Process Description</w:t>
      </w:r>
    </w:p>
    <w:p w14:paraId="59FD62BF">
      <w:pPr>
        <w:pStyle w:val="16"/>
        <w:spacing w:before="31" w:after="31"/>
        <w:ind w:firstLine="480"/>
        <w:rPr>
          <w:szCs w:val="24"/>
        </w:rPr>
      </w:pPr>
      <w:r>
        <w:rPr>
          <w:szCs w:val="24"/>
        </w:rPr>
        <w:t>From the completion of the reservoir in October 1990 until the dam collapse, the reservoir had been operated with four water storage cycles. Before the collapse, the water level had been continuously running for 43 days between 3,261m and 3,277m. On the day of the collapse, around noon, the measured water level was 3,277m. Around 21:00, the reservoir duty officer in the control room suddenly heard a thunderous noise from the dam area. Subsequently, a loud rushing water and rolling stones sound was heard, and sparks from stones rolling on the dam were seen. Shortly afterward, a significant water flow sound from the dam was heard downstream, and the sound became louder until around 22:40 when the dam collapsed. Around 23:45, the flood reached a location 13 kilometers downstream, where 30,000 people lived in the town of Qabqa.</w:t>
      </w:r>
    </w:p>
    <w:p w14:paraId="68C22AAD">
      <w:pPr>
        <w:pStyle w:val="16"/>
        <w:spacing w:before="31" w:after="31"/>
        <w:ind w:firstLine="480"/>
        <w:rPr>
          <w:szCs w:val="24"/>
        </w:rPr>
      </w:pPr>
    </w:p>
    <w:p w14:paraId="7BEC2143">
      <w:pPr>
        <w:pStyle w:val="16"/>
        <w:spacing w:before="31" w:after="31"/>
        <w:ind w:firstLine="480"/>
        <w:rPr>
          <w:szCs w:val="24"/>
        </w:rPr>
      </w:pPr>
      <w:r>
        <w:rPr>
          <w:szCs w:val="24"/>
        </w:rPr>
        <w:t>(3)</w:t>
      </w:r>
      <w:r>
        <w:rPr>
          <w:kern w:val="0"/>
          <w:szCs w:val="24"/>
        </w:rPr>
        <w:t xml:space="preserve"> Service Environment:</w:t>
      </w:r>
    </w:p>
    <w:p w14:paraId="2CC4EF31">
      <w:pPr>
        <w:pStyle w:val="16"/>
        <w:spacing w:before="31" w:after="31"/>
        <w:ind w:firstLine="480"/>
        <w:rPr>
          <w:szCs w:val="24"/>
        </w:rPr>
      </w:pPr>
      <w:r>
        <w:rPr>
          <w:szCs w:val="24"/>
        </w:rPr>
        <w:t>Gouhou Reservoir is located in Qabqa Town, Gonghe County, Qinghai Province. It is an irrigation and water supply hub with a sand and gravel rockfill dam, classified as a fourth-class small project. The dam controls a watershed area of 198km2, with an average annual flow of 0.4m3/s in the Qabqa River, in a dry plateau region. The main structures include a sand and gravel reinforced concrete panel dam with a height of 71m, a top length of 265m, a width of 7m, upstream slope 1:1.6, downstream slope 1:1.5, and normal and design water levels both at 3,278m. The spillway structure is a left bank water conveyance tunnel with a length of 390m. The total reservoir capacity is 3.3 million m3.</w:t>
      </w:r>
    </w:p>
    <w:p w14:paraId="1A18FB5A">
      <w:pPr>
        <w:pStyle w:val="16"/>
        <w:spacing w:before="31" w:after="31"/>
        <w:ind w:firstLine="480"/>
        <w:rPr>
          <w:szCs w:val="24"/>
        </w:rPr>
      </w:pPr>
    </w:p>
    <w:p w14:paraId="4F45E5CE">
      <w:pPr>
        <w:pStyle w:val="16"/>
        <w:spacing w:before="31" w:after="31"/>
        <w:ind w:firstLine="480"/>
        <w:rPr>
          <w:rFonts w:hint="eastAsia"/>
          <w:szCs w:val="24"/>
        </w:rPr>
      </w:pPr>
      <w:r>
        <w:rPr>
          <w:szCs w:val="24"/>
        </w:rPr>
        <w:t>(4) Failure Locations</w:t>
      </w:r>
    </w:p>
    <w:p w14:paraId="0C26FB33">
      <w:pPr>
        <w:pStyle w:val="16"/>
        <w:spacing w:before="31" w:after="31"/>
        <w:ind w:firstLine="480"/>
        <w:rPr>
          <w:szCs w:val="24"/>
        </w:rPr>
      </w:pPr>
      <w:r>
        <w:rPr>
          <w:szCs w:val="24"/>
        </w:rPr>
        <w:t>See Figures 9-9.1 and 9-9.2 for the locations of the dam failure.</w:t>
      </w:r>
    </w:p>
    <w:p w14:paraId="315A7B1F">
      <w:pPr>
        <w:pStyle w:val="16"/>
        <w:spacing w:before="31" w:after="31"/>
        <w:ind w:firstLine="480"/>
        <w:rPr>
          <w:szCs w:val="24"/>
        </w:rPr>
      </w:pPr>
      <w:r>
        <w:rPr>
          <w:szCs w:val="24"/>
        </w:rPr>
        <w:t>(5) Failed Component Morphology:</w:t>
      </w:r>
    </w:p>
    <w:p w14:paraId="77322C73">
      <w:pPr>
        <w:pStyle w:val="16"/>
        <w:spacing w:before="31" w:after="31"/>
        <w:ind w:firstLine="480"/>
        <w:rPr>
          <w:szCs w:val="24"/>
        </w:rPr>
      </w:pPr>
      <w:r>
        <w:rPr>
          <w:szCs w:val="24"/>
        </w:rPr>
        <w:t>Null</w:t>
      </w:r>
    </w:p>
    <w:p w14:paraId="4E7F99A9">
      <w:pPr>
        <w:pStyle w:val="16"/>
        <w:spacing w:before="31" w:after="31"/>
        <w:ind w:firstLine="480"/>
        <w:rPr>
          <w:szCs w:val="24"/>
        </w:rPr>
      </w:pPr>
    </w:p>
    <w:p w14:paraId="1036C2D6">
      <w:pPr>
        <w:pStyle w:val="16"/>
        <w:spacing w:before="31" w:after="31"/>
        <w:ind w:firstLine="480"/>
        <w:rPr>
          <w:szCs w:val="24"/>
        </w:rPr>
      </w:pPr>
      <w:r>
        <w:rPr>
          <w:szCs w:val="24"/>
        </w:rPr>
        <w:t>(6) Analysis of Failure Causes</w:t>
      </w:r>
    </w:p>
    <w:p w14:paraId="1FDD4870">
      <w:pPr>
        <w:pStyle w:val="16"/>
        <w:spacing w:before="31" w:after="31"/>
        <w:ind w:firstLine="480"/>
        <w:rPr>
          <w:szCs w:val="24"/>
        </w:rPr>
      </w:pPr>
      <w:r>
        <w:rPr>
          <w:szCs w:val="24"/>
        </w:rPr>
        <w:t>According to relevant data on the Gouhou Reservoir dam failure, the main cause of the dam failure was the leakage of the reinforced concrete panel. Factors causing panel leakage include: (1) Concrete panels with penetrating honeycombs. (2) Poor connection between the water stop and concrete in some areas between panel joints, and some have even fallen off. (3) Horizontal joints between the upstream horizontal waterstop plate and the panel have only one rubber strip for waterproofing, and some areas are not embedded in the concrete. (4) Cracks occurred in the horizontal waterstop plate on the upstream side after construction. Later, a simple surface treatment method of applying sand mortar was used, which did not achieve the desired leak-blocking effect.</w:t>
      </w:r>
    </w:p>
    <w:p w14:paraId="0730A91D">
      <w:pPr>
        <w:pStyle w:val="16"/>
        <w:spacing w:before="31" w:after="31"/>
        <w:ind w:firstLine="480"/>
        <w:rPr>
          <w:szCs w:val="24"/>
        </w:rPr>
      </w:pPr>
      <w:r>
        <w:rPr>
          <w:szCs w:val="24"/>
        </w:rPr>
        <w:t>The Shaanxi Water Resources and Electric Power Civil Engineering Survey and Design Institute found that the lack of drainage in the dam body, coupled with the poor permeability of the selected dam fill material, resulted in poor drainage of the dam body. The saturation of the infiltrated line gradually increased, leading to the collapse of the dam. Severe quality problems during reservoir construction and design defects in the dam body left fatal hidden dangers for the dam collapse. From the cross-section of the dam body design, although four zones are designated, they are not distinct, and the dam is effectively a "homogeneous" sand and gravel rockfill dam. The average particle size of small particles in the gravel is less than , and the content of particles smaller than is , resulting in insufficient permeability of the fill material. After many days of high water level operation, the water leakage from the panel increased, and since there was no drainage set in the dam body,</w:t>
      </w:r>
    </w:p>
    <w:p w14:paraId="1FB5C0A3">
      <w:pPr>
        <w:pStyle w:val="16"/>
        <w:spacing w:before="31" w:after="31"/>
        <w:ind w:firstLine="480"/>
        <w:rPr>
          <w:szCs w:val="24"/>
        </w:rPr>
      </w:pPr>
      <w:r>
        <w:rPr>
          <w:szCs w:val="24"/>
        </w:rPr>
        <w:t>the infiltrated water could not be discharged, gradually saturating the dam body and raising the infiltration line. This reduced the strength and stability of the dam body. According to calculations, in the part of the dam body with the worst stability, the upper part of the dam, the stability safety factor is already less than 1. Therefore, landslides occurred first in the upper part of the dam, and as the flood eroded the dam, the range rapidly expanded. This caused the concrete panel to fracture due to the loss of support, and the water quickly surged out, causing the dam to collapse.</w:t>
      </w:r>
    </w:p>
    <w:p w14:paraId="54815960">
      <w:pPr>
        <w:pStyle w:val="16"/>
        <w:spacing w:before="31" w:after="31"/>
        <w:ind w:firstLine="482"/>
        <w:jc w:val="center"/>
        <w:rPr>
          <w:b/>
          <w:bCs/>
          <w:szCs w:val="24"/>
        </w:rPr>
      </w:pPr>
      <w:r>
        <w:rPr>
          <w:b/>
          <w:bCs/>
          <w:szCs w:val="24"/>
        </w:rPr>
        <w:t>Figure 9-9.1 Dam cross-section [27]</w:t>
      </w:r>
    </w:p>
    <w:p w14:paraId="50D1A136">
      <w:pPr>
        <w:pStyle w:val="16"/>
        <w:spacing w:before="31" w:after="31"/>
        <w:ind w:firstLine="482"/>
        <w:jc w:val="center"/>
        <w:rPr>
          <w:b/>
          <w:bCs/>
          <w:szCs w:val="24"/>
        </w:rPr>
      </w:pPr>
      <w:r>
        <w:rPr>
          <w:b/>
          <w:bCs/>
          <w:szCs w:val="24"/>
        </w:rPr>
        <w:t>Figure 9-9.2 Buildings destroyed by the flood of Gouhou Reservoir [27]</w:t>
      </w:r>
    </w:p>
    <w:p w14:paraId="1522719B">
      <w:pPr>
        <w:pStyle w:val="16"/>
        <w:spacing w:before="31" w:after="31"/>
        <w:ind w:firstLine="480"/>
        <w:rPr>
          <w:szCs w:val="24"/>
        </w:rPr>
      </w:pPr>
    </w:p>
    <w:p w14:paraId="656D0ABE">
      <w:pPr>
        <w:pStyle w:val="16"/>
        <w:spacing w:before="31" w:after="31"/>
        <w:ind w:firstLine="480"/>
        <w:rPr>
          <w:szCs w:val="24"/>
        </w:rPr>
      </w:pPr>
      <w:r>
        <w:rPr>
          <w:szCs w:val="24"/>
        </w:rPr>
        <w:t xml:space="preserve">(7) </w:t>
      </w:r>
      <w:r>
        <w:rPr>
          <w:kern w:val="0"/>
          <w:szCs w:val="24"/>
        </w:rPr>
        <w:t>Impact and Harm Caused</w:t>
      </w:r>
    </w:p>
    <w:p w14:paraId="23420726">
      <w:pPr>
        <w:pStyle w:val="16"/>
        <w:spacing w:before="31" w:after="31"/>
        <w:ind w:firstLine="480"/>
        <w:rPr>
          <w:szCs w:val="24"/>
        </w:rPr>
      </w:pPr>
      <w:r>
        <w:rPr>
          <w:szCs w:val="24"/>
        </w:rPr>
        <w:t>As the dam collapsed late at night, the concentrated release of floodwaters exceeded the defense standards by more than 5 times, causing a massive and catastrophic loss. Verified casualties included 285 bodies, with 40 people still missing. Thirteen units suffered destructive disasters, affecting 521 households and 2,837 people, destroying or severely damaging 2,932 houses. Agricultural land covering 13,700 mu was damaged, and 35 kilometers of water supply pipelines for humans and animals were destroyed. Waterworks structures, including 405, were damaged, along with 26.3 kilometers of roads, 50 kilometers of agricultural irrigation channels, over 10 kilometers of power transmission lines, and three bridges. The water supply system for 12,000 residents in the western area of Qabqa Town was completely destroyed, resulting in a direct economic loss of 153 million yuan.</w:t>
      </w:r>
    </w:p>
    <w:p w14:paraId="3718F467">
      <w:pPr>
        <w:pStyle w:val="16"/>
        <w:spacing w:before="31" w:after="31"/>
        <w:ind w:firstLine="480"/>
        <w:rPr>
          <w:szCs w:val="24"/>
        </w:rPr>
      </w:pPr>
    </w:p>
    <w:p w14:paraId="5364E4B7">
      <w:pPr>
        <w:pStyle w:val="16"/>
        <w:spacing w:before="31" w:after="31"/>
        <w:ind w:firstLine="480"/>
        <w:rPr>
          <w:szCs w:val="24"/>
        </w:rPr>
      </w:pPr>
      <w:r>
        <w:rPr>
          <w:szCs w:val="24"/>
        </w:rPr>
        <w:t>(8) Conclusion and Improvement Measures</w:t>
      </w:r>
    </w:p>
    <w:p w14:paraId="48E693E7">
      <w:pPr>
        <w:pStyle w:val="16"/>
        <w:spacing w:before="31" w:after="31"/>
        <w:ind w:firstLine="480"/>
        <w:rPr>
          <w:szCs w:val="24"/>
        </w:rPr>
      </w:pPr>
      <w:r>
        <w:rPr>
          <w:szCs w:val="24"/>
        </w:rPr>
        <w:t>Serious quality problems during reservoir construction and design defects in the dam body were the main reasons for the dam collapse, leaving fatal hidden dangers for the reservoir.</w:t>
      </w:r>
    </w:p>
    <w:p w14:paraId="45DD22FD">
      <w:pPr>
        <w:pStyle w:val="16"/>
        <w:spacing w:before="31" w:after="31"/>
        <w:ind w:firstLine="0" w:firstLineChars="0"/>
        <w:rPr>
          <w:b/>
          <w:bCs/>
          <w:szCs w:val="24"/>
        </w:rPr>
      </w:pPr>
      <w:r>
        <w:rPr>
          <w:b/>
          <w:bCs/>
          <w:szCs w:val="24"/>
        </w:rPr>
        <w:t>10.2.10 Case 10-10: Sulfate Erosion of Bapanxia Dam</w:t>
      </w:r>
    </w:p>
    <w:p w14:paraId="00689EE0">
      <w:pPr>
        <w:pStyle w:val="16"/>
        <w:spacing w:before="31" w:after="31"/>
        <w:ind w:firstLine="480"/>
        <w:rPr>
          <w:szCs w:val="24"/>
        </w:rPr>
      </w:pPr>
      <w:r>
        <w:rPr>
          <w:szCs w:val="24"/>
        </w:rPr>
        <w:t>(1) Case Name</w:t>
      </w:r>
    </w:p>
    <w:p w14:paraId="48A39F50">
      <w:pPr>
        <w:pStyle w:val="16"/>
        <w:spacing w:before="31" w:after="31"/>
        <w:ind w:firstLine="480"/>
        <w:rPr>
          <w:szCs w:val="24"/>
        </w:rPr>
      </w:pPr>
      <w:r>
        <w:rPr>
          <w:szCs w:val="24"/>
        </w:rPr>
        <w:t>Sulfate Erosion of Bapanxia Dam [10, 28]</w:t>
      </w:r>
    </w:p>
    <w:p w14:paraId="482392C9">
      <w:pPr>
        <w:pStyle w:val="16"/>
        <w:spacing w:before="31" w:after="31"/>
        <w:ind w:firstLine="480"/>
        <w:rPr>
          <w:szCs w:val="24"/>
        </w:rPr>
      </w:pPr>
    </w:p>
    <w:p w14:paraId="17C2FF44">
      <w:pPr>
        <w:pStyle w:val="16"/>
        <w:spacing w:before="31" w:after="31"/>
        <w:ind w:firstLine="480"/>
        <w:rPr>
          <w:szCs w:val="24"/>
        </w:rPr>
      </w:pPr>
      <w:r>
        <w:rPr>
          <w:szCs w:val="24"/>
        </w:rPr>
        <w:t>(2)</w:t>
      </w:r>
      <w:r>
        <w:rPr>
          <w:kern w:val="0"/>
          <w:szCs w:val="24"/>
        </w:rPr>
        <w:t xml:space="preserve"> Failure Process Description</w:t>
      </w:r>
    </w:p>
    <w:p w14:paraId="2EC789CD">
      <w:pPr>
        <w:pStyle w:val="16"/>
        <w:spacing w:before="31" w:after="31"/>
        <w:ind w:firstLine="480"/>
        <w:rPr>
          <w:szCs w:val="24"/>
        </w:rPr>
      </w:pPr>
      <w:r>
        <w:rPr>
          <w:szCs w:val="24"/>
        </w:rPr>
        <w:t>Since the Bapanxia Hydropower Station started operation, issues such as high sulfate content in groundwater causing erosion of concrete, leakage in the right auxiliary dam foundation, softening and liquefaction of the dam foundation rock mass, and excessive uplift pressure in the foundation of Units 3 and 4 have been observed. The measured seepage pressure coefficient in the original underground curtain was 0.40, exceeding the design requirement of 0.30, indicating possible erosion damage to the curtain. Additionally, concrete near the measurement pipes in the dam's foundation corridor and some parts of the corridor's concrete floor have cracked and collapsed. Metal structures such as drainage pipes and measurement pipes have also suffered severe corrosion.</w:t>
      </w:r>
    </w:p>
    <w:p w14:paraId="37FE5CDB">
      <w:pPr>
        <w:pStyle w:val="16"/>
        <w:spacing w:before="31" w:after="31"/>
        <w:ind w:firstLine="480"/>
        <w:rPr>
          <w:szCs w:val="24"/>
        </w:rPr>
      </w:pPr>
    </w:p>
    <w:p w14:paraId="343D202A">
      <w:pPr>
        <w:pStyle w:val="16"/>
        <w:spacing w:before="31" w:after="31"/>
        <w:ind w:firstLine="480"/>
        <w:rPr>
          <w:szCs w:val="24"/>
        </w:rPr>
      </w:pPr>
      <w:r>
        <w:rPr>
          <w:szCs w:val="24"/>
        </w:rPr>
        <w:t>(3) Service Environment</w:t>
      </w:r>
    </w:p>
    <w:p w14:paraId="2807C699">
      <w:pPr>
        <w:pStyle w:val="16"/>
        <w:spacing w:before="31" w:after="31"/>
        <w:ind w:firstLine="480"/>
        <w:rPr>
          <w:szCs w:val="24"/>
        </w:rPr>
      </w:pPr>
      <w:r>
        <w:rPr>
          <w:szCs w:val="24"/>
        </w:rPr>
        <w:t>The Bapanxia Hydropower Station is located on the main stream of the Yellow River, approximately 52 km from Lanzhou City. The main structures include the diversion dam, riverbed power plant, and sand discharge structures, with a total of 23 dam segments, a maximum dam height of 33m, and a dam length of 396m. The dam is a concrete gravity dam.</w:t>
      </w:r>
    </w:p>
    <w:p w14:paraId="4D5A9F2B">
      <w:pPr>
        <w:pStyle w:val="16"/>
        <w:spacing w:before="31" w:after="31"/>
        <w:ind w:firstLine="480"/>
        <w:rPr>
          <w:szCs w:val="24"/>
        </w:rPr>
      </w:pPr>
    </w:p>
    <w:p w14:paraId="28990851">
      <w:pPr>
        <w:pStyle w:val="16"/>
        <w:spacing w:before="31" w:after="31"/>
        <w:ind w:firstLine="480"/>
        <w:rPr>
          <w:szCs w:val="24"/>
        </w:rPr>
      </w:pPr>
      <w:r>
        <w:rPr>
          <w:szCs w:val="24"/>
        </w:rPr>
        <w:t>The sulfate ion content in groundwater in the Panxia area is above 2000mg/L, reaching as high as 12300mg/L at the left bank summit. The hydropower station was constructed during the Cultural Revolution, and water quality analysis was conducted during dam design and construction, as shown in Table 9-3.</w:t>
      </w:r>
    </w:p>
    <w:p w14:paraId="11E0E126">
      <w:pPr>
        <w:pStyle w:val="16"/>
        <w:spacing w:before="31" w:after="31"/>
        <w:ind w:firstLine="480"/>
        <w:rPr>
          <w:szCs w:val="24"/>
        </w:rPr>
      </w:pPr>
    </w:p>
    <w:p w14:paraId="7B2A1A7C">
      <w:pPr>
        <w:pStyle w:val="16"/>
        <w:spacing w:before="31" w:after="31"/>
        <w:ind w:firstLine="482"/>
        <w:jc w:val="center"/>
        <w:rPr>
          <w:b/>
          <w:bCs/>
          <w:szCs w:val="24"/>
        </w:rPr>
      </w:pPr>
      <w:r>
        <w:rPr>
          <w:b/>
          <w:bCs/>
          <w:szCs w:val="24"/>
        </w:rPr>
        <w:t>Table 9-3 Groundwater Sulfate and Chloride Ion Analysis [10]</w:t>
      </w:r>
    </w:p>
    <w:p w14:paraId="19470348">
      <w:pPr>
        <w:pStyle w:val="16"/>
        <w:spacing w:before="31" w:after="31"/>
        <w:ind w:firstLine="480"/>
        <w:jc w:val="center"/>
        <w:rPr>
          <w:szCs w:val="24"/>
        </w:rPr>
      </w:pPr>
      <w:r>
        <w:rPr>
          <w:szCs w:val="24"/>
        </w:rPr>
        <w:t>Sampling Location  | SO42- (mg/L) | Cl- (mg/L) | pH</w:t>
      </w:r>
    </w:p>
    <w:p w14:paraId="54559AED">
      <w:pPr>
        <w:pStyle w:val="16"/>
        <w:spacing w:before="31" w:after="31"/>
        <w:ind w:firstLine="480"/>
        <w:jc w:val="center"/>
        <w:rPr>
          <w:szCs w:val="24"/>
        </w:rPr>
      </w:pPr>
      <w:r>
        <w:rPr>
          <w:szCs w:val="24"/>
        </w:rPr>
        <w:t>River Water (Upstream) | 48.28 | 46.58 | 8.33</w:t>
      </w:r>
    </w:p>
    <w:p w14:paraId="732551A8">
      <w:pPr>
        <w:pStyle w:val="16"/>
        <w:spacing w:before="31" w:after="31"/>
        <w:ind w:firstLine="480"/>
        <w:jc w:val="center"/>
        <w:rPr>
          <w:szCs w:val="24"/>
        </w:rPr>
      </w:pPr>
      <w:r>
        <w:rPr>
          <w:szCs w:val="24"/>
        </w:rPr>
        <w:t>Hole 42 (Right Bank Summit) | 3320.45 | 3773.06 | 7.32</w:t>
      </w:r>
    </w:p>
    <w:p w14:paraId="79BA98E2">
      <w:pPr>
        <w:pStyle w:val="16"/>
        <w:spacing w:before="31" w:after="31"/>
        <w:ind w:firstLine="480"/>
        <w:jc w:val="center"/>
        <w:rPr>
          <w:szCs w:val="24"/>
        </w:rPr>
      </w:pPr>
      <w:r>
        <w:rPr>
          <w:szCs w:val="24"/>
        </w:rPr>
        <w:t>Hole 43 (Right Bank Summit) | 3952.00 | 3541.18 | 7.71</w:t>
      </w:r>
    </w:p>
    <w:p w14:paraId="068803E0">
      <w:pPr>
        <w:pStyle w:val="16"/>
        <w:spacing w:before="31" w:after="31"/>
        <w:ind w:firstLine="480"/>
        <w:jc w:val="center"/>
        <w:rPr>
          <w:szCs w:val="24"/>
        </w:rPr>
      </w:pPr>
      <w:r>
        <w:rPr>
          <w:szCs w:val="24"/>
        </w:rPr>
        <w:t>B13 Hole (Right Side of Corridor) | 2483.90 | 984.79 | 7.86</w:t>
      </w:r>
    </w:p>
    <w:p w14:paraId="2B095FE6">
      <w:pPr>
        <w:pStyle w:val="16"/>
        <w:spacing w:before="31" w:after="31"/>
        <w:ind w:firstLine="480"/>
        <w:jc w:val="center"/>
        <w:rPr>
          <w:szCs w:val="24"/>
        </w:rPr>
      </w:pPr>
      <w:r>
        <w:rPr>
          <w:szCs w:val="24"/>
        </w:rPr>
        <w:t>B32 Hole (Left Side of Corridor) | 3506.02 | 15240.39 | 9.56</w:t>
      </w:r>
    </w:p>
    <w:p w14:paraId="21B0C4E3">
      <w:pPr>
        <w:pStyle w:val="16"/>
        <w:spacing w:before="31" w:after="31"/>
        <w:ind w:firstLine="480"/>
        <w:rPr>
          <w:szCs w:val="24"/>
        </w:rPr>
      </w:pPr>
    </w:p>
    <w:p w14:paraId="157DF323">
      <w:pPr>
        <w:pStyle w:val="16"/>
        <w:spacing w:before="31" w:after="31"/>
        <w:ind w:firstLine="480"/>
        <w:rPr>
          <w:szCs w:val="24"/>
        </w:rPr>
      </w:pPr>
      <w:r>
        <w:rPr>
          <w:szCs w:val="24"/>
        </w:rPr>
        <w:t>(4) Locations of Failure</w:t>
      </w:r>
    </w:p>
    <w:p w14:paraId="1BE541CF">
      <w:pPr>
        <w:pStyle w:val="16"/>
        <w:spacing w:before="31" w:after="31"/>
        <w:ind w:firstLine="480"/>
        <w:rPr>
          <w:szCs w:val="24"/>
        </w:rPr>
      </w:pPr>
      <w:r>
        <w:rPr>
          <w:szCs w:val="24"/>
        </w:rPr>
        <w:t>Currently, due to sulfate erosion in the groundwater of the dam foundation corridor, concrete near the measurement pipes and some parts of the corridor's concrete floor have cracked and collapsed. The left bank summit groundwater flow into the dam's top not only erodes the concrete but also causes severe erosion of the dam's top gate machine steel rails. The penetration of groundwater also led to corrosion damage in the lower part of the main power plant's concrete wall. The corrosion morphology of failure sites is shown in Figures 9-10.1 to 9-10.3.</w:t>
      </w:r>
    </w:p>
    <w:p w14:paraId="223832C6">
      <w:pPr>
        <w:pStyle w:val="16"/>
        <w:spacing w:before="31" w:after="31"/>
        <w:ind w:firstLine="482"/>
        <w:jc w:val="center"/>
        <w:rPr>
          <w:b/>
          <w:bCs/>
          <w:szCs w:val="24"/>
        </w:rPr>
      </w:pPr>
      <w:r>
        <w:rPr>
          <w:b/>
          <w:bCs/>
          <w:szCs w:val="24"/>
        </w:rPr>
        <w:t>Figure 9-10.1: Sulfate erosion, cracking, and peeling of concrete around the drainage ditch in the dam foundation corridor [10]</w:t>
      </w:r>
    </w:p>
    <w:p w14:paraId="715B7622">
      <w:pPr>
        <w:pStyle w:val="16"/>
        <w:spacing w:before="31" w:after="31"/>
        <w:ind w:firstLine="482"/>
        <w:jc w:val="center"/>
        <w:rPr>
          <w:b/>
          <w:bCs/>
          <w:szCs w:val="24"/>
        </w:rPr>
      </w:pPr>
      <w:r>
        <w:rPr>
          <w:b/>
          <w:bCs/>
          <w:szCs w:val="24"/>
        </w:rPr>
        <w:t>Figure 9-10.2: Sulfate erosion, cracking, and loosening of concrete steps near the measurement pipe in the dam foundation corridor [10]</w:t>
      </w:r>
    </w:p>
    <w:p w14:paraId="3074BFDF">
      <w:pPr>
        <w:pStyle w:val="16"/>
        <w:spacing w:before="31" w:after="31"/>
        <w:ind w:firstLine="482"/>
        <w:jc w:val="center"/>
        <w:rPr>
          <w:b/>
          <w:bCs/>
          <w:szCs w:val="24"/>
        </w:rPr>
      </w:pPr>
      <w:bookmarkStart w:id="10" w:name="_GoBack"/>
      <w:bookmarkEnd w:id="10"/>
      <w:r>
        <w:rPr>
          <w:b/>
          <w:bCs/>
          <w:szCs w:val="24"/>
        </w:rPr>
        <w:t>Figure 9-10.3: Groundwater flowing into the left dam head causing severe rusting of the steel rails [10]</w:t>
      </w:r>
    </w:p>
    <w:p w14:paraId="0CA924B6">
      <w:pPr>
        <w:pStyle w:val="16"/>
        <w:spacing w:before="31" w:after="31"/>
        <w:ind w:firstLine="480"/>
        <w:rPr>
          <w:szCs w:val="24"/>
        </w:rPr>
      </w:pPr>
      <w:r>
        <w:rPr>
          <w:szCs w:val="24"/>
        </w:rPr>
        <w:t>(5) Failed Component Morphology:</w:t>
      </w:r>
    </w:p>
    <w:p w14:paraId="4FF20161">
      <w:pPr>
        <w:pStyle w:val="16"/>
        <w:spacing w:before="31" w:after="31"/>
        <w:ind w:firstLine="420" w:firstLineChars="0"/>
        <w:rPr>
          <w:szCs w:val="24"/>
        </w:rPr>
      </w:pPr>
      <w:r>
        <w:rPr>
          <w:szCs w:val="24"/>
        </w:rPr>
        <w:t>Null</w:t>
      </w:r>
    </w:p>
    <w:p w14:paraId="09F18B75">
      <w:pPr>
        <w:pStyle w:val="16"/>
        <w:spacing w:before="31" w:after="31"/>
        <w:ind w:firstLine="480"/>
        <w:rPr>
          <w:szCs w:val="24"/>
        </w:rPr>
      </w:pPr>
    </w:p>
    <w:p w14:paraId="127FB8E2">
      <w:pPr>
        <w:pStyle w:val="16"/>
        <w:spacing w:before="31" w:after="31"/>
        <w:ind w:firstLine="480"/>
        <w:rPr>
          <w:szCs w:val="24"/>
        </w:rPr>
      </w:pPr>
      <w:r>
        <w:rPr>
          <w:szCs w:val="24"/>
        </w:rPr>
        <w:t>(6) Analysis of Failure Causes</w:t>
      </w:r>
    </w:p>
    <w:p w14:paraId="48E4847A">
      <w:pPr>
        <w:pStyle w:val="16"/>
        <w:spacing w:before="31" w:after="31"/>
        <w:ind w:firstLine="480"/>
        <w:rPr>
          <w:szCs w:val="24"/>
        </w:rPr>
      </w:pPr>
      <w:r>
        <w:rPr>
          <w:szCs w:val="24"/>
        </w:rPr>
        <w:t>Table 9-4 summarizes the main hydrochemical characteristics of groundwater on both sides of the dam site in the surrounding areas over the past 10 years (1988-2004).</w:t>
      </w:r>
    </w:p>
    <w:p w14:paraId="01BB1603">
      <w:pPr>
        <w:pStyle w:val="16"/>
        <w:spacing w:before="31" w:after="31"/>
        <w:ind w:firstLine="480"/>
        <w:rPr>
          <w:szCs w:val="24"/>
        </w:rPr>
      </w:pPr>
    </w:p>
    <w:p w14:paraId="014834D4">
      <w:pPr>
        <w:pStyle w:val="16"/>
        <w:spacing w:before="31" w:after="31"/>
        <w:ind w:firstLine="482"/>
        <w:jc w:val="center"/>
        <w:rPr>
          <w:b/>
          <w:bCs/>
          <w:szCs w:val="24"/>
        </w:rPr>
      </w:pPr>
      <w:r>
        <w:rPr>
          <w:b/>
          <w:bCs/>
          <w:szCs w:val="24"/>
        </w:rPr>
        <w:t>Table 9-4: Major Water Quality Indicators of Left and Right Bank Slope Groundwater [28]</w:t>
      </w:r>
    </w:p>
    <w:tbl>
      <w:tblPr>
        <w:tblStyle w:val="9"/>
        <w:tblW w:w="820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6"/>
        <w:gridCol w:w="1103"/>
        <w:gridCol w:w="737"/>
        <w:gridCol w:w="983"/>
        <w:gridCol w:w="990"/>
        <w:gridCol w:w="1157"/>
        <w:gridCol w:w="1105"/>
        <w:gridCol w:w="775"/>
      </w:tblGrid>
      <w:tr w14:paraId="3390B5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2" w:type="dxa"/>
            <w:tcBorders>
              <w:top w:val="single" w:color="auto" w:sz="12" w:space="0"/>
              <w:left w:val="nil"/>
              <w:bottom w:val="single" w:color="auto" w:sz="12" w:space="0"/>
              <w:right w:val="nil"/>
            </w:tcBorders>
            <w:vAlign w:val="center"/>
          </w:tcPr>
          <w:p w14:paraId="06613F23">
            <w:pPr>
              <w:widowControl/>
              <w:spacing w:line="312" w:lineRule="auto"/>
              <w:rPr>
                <w:spacing w:val="8"/>
                <w:szCs w:val="21"/>
              </w:rPr>
            </w:pPr>
            <w:r>
              <w:t>Sampling Location</w:t>
            </w:r>
          </w:p>
        </w:tc>
        <w:tc>
          <w:tcPr>
            <w:tcW w:w="236" w:type="dxa"/>
            <w:tcBorders>
              <w:top w:val="single" w:color="auto" w:sz="12" w:space="0"/>
              <w:left w:val="nil"/>
              <w:bottom w:val="single" w:color="auto" w:sz="12" w:space="0"/>
              <w:right w:val="nil"/>
            </w:tcBorders>
            <w:vAlign w:val="center"/>
          </w:tcPr>
          <w:p w14:paraId="66C4C89A">
            <w:pPr>
              <w:widowControl/>
              <w:spacing w:line="312" w:lineRule="auto"/>
              <w:rPr>
                <w:spacing w:val="8"/>
                <w:szCs w:val="21"/>
              </w:rPr>
            </w:pPr>
            <w:r>
              <w:t>Sampling Frequency</w:t>
            </w:r>
          </w:p>
        </w:tc>
        <w:tc>
          <w:tcPr>
            <w:tcW w:w="765" w:type="dxa"/>
            <w:tcBorders>
              <w:top w:val="single" w:color="auto" w:sz="12" w:space="0"/>
              <w:left w:val="nil"/>
              <w:bottom w:val="single" w:color="auto" w:sz="12" w:space="0"/>
              <w:right w:val="nil"/>
            </w:tcBorders>
            <w:vAlign w:val="center"/>
          </w:tcPr>
          <w:p w14:paraId="2650BCD3">
            <w:pPr>
              <w:widowControl/>
              <w:spacing w:line="312" w:lineRule="auto"/>
              <w:rPr>
                <w:spacing w:val="8"/>
                <w:szCs w:val="21"/>
              </w:rPr>
            </w:pPr>
            <w:r>
              <w:rPr>
                <w:spacing w:val="8"/>
                <w:szCs w:val="21"/>
              </w:rPr>
              <w:t>pH</w:t>
            </w:r>
          </w:p>
        </w:tc>
        <w:tc>
          <w:tcPr>
            <w:tcW w:w="1033" w:type="dxa"/>
            <w:tcBorders>
              <w:top w:val="single" w:color="auto" w:sz="12" w:space="0"/>
              <w:left w:val="nil"/>
              <w:bottom w:val="single" w:color="auto" w:sz="12" w:space="0"/>
              <w:right w:val="nil"/>
            </w:tcBorders>
          </w:tcPr>
          <w:p w14:paraId="0268AE51">
            <w:pPr>
              <w:widowControl/>
              <w:spacing w:line="312" w:lineRule="auto"/>
              <w:rPr>
                <w:spacing w:val="8"/>
                <w:szCs w:val="21"/>
                <w:vertAlign w:val="superscript"/>
              </w:rPr>
            </w:pPr>
            <w:r>
              <w:rPr>
                <w:spacing w:val="8"/>
                <w:szCs w:val="21"/>
              </w:rPr>
              <w:t>Ca</w:t>
            </w:r>
            <w:r>
              <w:rPr>
                <w:spacing w:val="8"/>
                <w:szCs w:val="21"/>
                <w:vertAlign w:val="superscript"/>
              </w:rPr>
              <w:t>2+</w:t>
            </w:r>
          </w:p>
          <w:p w14:paraId="04F40DBB">
            <w:pPr>
              <w:widowControl/>
              <w:spacing w:line="312" w:lineRule="auto"/>
              <w:rPr>
                <w:spacing w:val="8"/>
                <w:szCs w:val="21"/>
              </w:rPr>
            </w:pPr>
            <w:r>
              <w:rPr>
                <w:spacing w:val="8"/>
                <w:szCs w:val="21"/>
              </w:rPr>
              <w:t>/mg·L</w:t>
            </w:r>
            <w:r>
              <w:rPr>
                <w:spacing w:val="8"/>
                <w:szCs w:val="21"/>
                <w:vertAlign w:val="superscript"/>
              </w:rPr>
              <w:t>-1</w:t>
            </w:r>
          </w:p>
        </w:tc>
        <w:tc>
          <w:tcPr>
            <w:tcW w:w="1051" w:type="dxa"/>
            <w:tcBorders>
              <w:top w:val="single" w:color="auto" w:sz="12" w:space="0"/>
              <w:left w:val="nil"/>
              <w:bottom w:val="single" w:color="auto" w:sz="12" w:space="0"/>
              <w:right w:val="nil"/>
            </w:tcBorders>
          </w:tcPr>
          <w:p w14:paraId="21BF6A2C">
            <w:pPr>
              <w:widowControl/>
              <w:spacing w:line="312" w:lineRule="auto"/>
              <w:rPr>
                <w:spacing w:val="8"/>
                <w:szCs w:val="21"/>
                <w:vertAlign w:val="superscript"/>
              </w:rPr>
            </w:pPr>
            <w:r>
              <w:rPr>
                <w:spacing w:val="8"/>
                <w:szCs w:val="21"/>
              </w:rPr>
              <w:t>SO</w:t>
            </w:r>
            <w:r>
              <w:rPr>
                <w:spacing w:val="8"/>
                <w:szCs w:val="21"/>
                <w:vertAlign w:val="subscript"/>
              </w:rPr>
              <w:t>4</w:t>
            </w:r>
            <w:r>
              <w:rPr>
                <w:spacing w:val="8"/>
                <w:szCs w:val="21"/>
                <w:vertAlign w:val="superscript"/>
              </w:rPr>
              <w:t>2-</w:t>
            </w:r>
          </w:p>
          <w:p w14:paraId="4758DD09">
            <w:pPr>
              <w:widowControl/>
              <w:spacing w:line="312" w:lineRule="auto"/>
              <w:rPr>
                <w:spacing w:val="8"/>
                <w:szCs w:val="21"/>
              </w:rPr>
            </w:pPr>
            <w:r>
              <w:rPr>
                <w:spacing w:val="8"/>
                <w:szCs w:val="21"/>
              </w:rPr>
              <w:t>/mg·L</w:t>
            </w:r>
            <w:r>
              <w:rPr>
                <w:spacing w:val="8"/>
                <w:szCs w:val="21"/>
                <w:vertAlign w:val="superscript"/>
              </w:rPr>
              <w:t>-1</w:t>
            </w:r>
          </w:p>
        </w:tc>
        <w:tc>
          <w:tcPr>
            <w:tcW w:w="1173" w:type="dxa"/>
            <w:tcBorders>
              <w:top w:val="single" w:color="auto" w:sz="12" w:space="0"/>
              <w:left w:val="nil"/>
              <w:bottom w:val="single" w:color="auto" w:sz="12" w:space="0"/>
              <w:right w:val="nil"/>
            </w:tcBorders>
          </w:tcPr>
          <w:p w14:paraId="0EB59492">
            <w:pPr>
              <w:widowControl/>
              <w:spacing w:line="312" w:lineRule="auto"/>
              <w:rPr>
                <w:spacing w:val="8"/>
                <w:szCs w:val="21"/>
              </w:rPr>
            </w:pPr>
            <w:r>
              <w:t>Alkalinity</w:t>
            </w:r>
            <w:r>
              <w:rPr>
                <w:spacing w:val="8"/>
                <w:szCs w:val="21"/>
              </w:rPr>
              <w:t xml:space="preserve"> /mmol·L</w:t>
            </w:r>
            <w:r>
              <w:rPr>
                <w:spacing w:val="8"/>
                <w:szCs w:val="21"/>
                <w:vertAlign w:val="superscript"/>
              </w:rPr>
              <w:t>-1</w:t>
            </w:r>
          </w:p>
        </w:tc>
        <w:tc>
          <w:tcPr>
            <w:tcW w:w="1169" w:type="dxa"/>
            <w:tcBorders>
              <w:top w:val="single" w:color="auto" w:sz="12" w:space="0"/>
              <w:left w:val="nil"/>
              <w:bottom w:val="single" w:color="auto" w:sz="12" w:space="0"/>
              <w:right w:val="nil"/>
            </w:tcBorders>
          </w:tcPr>
          <w:p w14:paraId="1DA626D6">
            <w:pPr>
              <w:widowControl/>
              <w:spacing w:line="312" w:lineRule="auto"/>
              <w:rPr>
                <w:spacing w:val="8"/>
                <w:szCs w:val="21"/>
              </w:rPr>
            </w:pPr>
            <w:r>
              <w:t>Hardness</w:t>
            </w:r>
            <w:r>
              <w:rPr>
                <w:spacing w:val="8"/>
                <w:szCs w:val="21"/>
              </w:rPr>
              <w:t xml:space="preserve"> mg·L</w:t>
            </w:r>
            <w:r>
              <w:rPr>
                <w:spacing w:val="8"/>
                <w:szCs w:val="21"/>
                <w:vertAlign w:val="superscript"/>
              </w:rPr>
              <w:t>-1</w:t>
            </w:r>
          </w:p>
        </w:tc>
        <w:tc>
          <w:tcPr>
            <w:tcW w:w="837" w:type="dxa"/>
            <w:tcBorders>
              <w:top w:val="single" w:color="auto" w:sz="12" w:space="0"/>
              <w:left w:val="nil"/>
              <w:bottom w:val="single" w:color="auto" w:sz="12" w:space="0"/>
              <w:right w:val="nil"/>
            </w:tcBorders>
          </w:tcPr>
          <w:p w14:paraId="0A2CAA73">
            <w:pPr>
              <w:widowControl/>
              <w:spacing w:line="312" w:lineRule="auto"/>
              <w:rPr>
                <w:spacing w:val="8"/>
                <w:szCs w:val="21"/>
              </w:rPr>
            </w:pPr>
            <w:r>
              <w:rPr>
                <w:spacing w:val="8"/>
                <w:szCs w:val="21"/>
              </w:rPr>
              <w:t>TDS</w:t>
            </w:r>
          </w:p>
          <w:p w14:paraId="6E93B4EC">
            <w:pPr>
              <w:widowControl/>
              <w:spacing w:line="312" w:lineRule="auto"/>
              <w:rPr>
                <w:spacing w:val="8"/>
                <w:szCs w:val="21"/>
              </w:rPr>
            </w:pPr>
            <w:r>
              <w:rPr>
                <w:spacing w:val="8"/>
                <w:szCs w:val="21"/>
              </w:rPr>
              <w:t>/g·L</w:t>
            </w:r>
            <w:r>
              <w:rPr>
                <w:spacing w:val="8"/>
                <w:szCs w:val="21"/>
                <w:vertAlign w:val="superscript"/>
              </w:rPr>
              <w:t>-1</w:t>
            </w:r>
          </w:p>
        </w:tc>
      </w:tr>
      <w:tr w14:paraId="13CD74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2" w:type="dxa"/>
            <w:tcBorders>
              <w:top w:val="single" w:color="auto" w:sz="12" w:space="0"/>
              <w:left w:val="nil"/>
              <w:bottom w:val="nil"/>
              <w:right w:val="nil"/>
            </w:tcBorders>
          </w:tcPr>
          <w:p w14:paraId="51A0FAA0">
            <w:pPr>
              <w:widowControl/>
              <w:spacing w:line="312" w:lineRule="auto"/>
              <w:rPr>
                <w:spacing w:val="8"/>
                <w:szCs w:val="21"/>
              </w:rPr>
            </w:pPr>
            <w:r>
              <w:t>Left Bypass</w:t>
            </w:r>
            <w:r>
              <w:rPr>
                <w:spacing w:val="8"/>
                <w:szCs w:val="21"/>
              </w:rPr>
              <w:t xml:space="preserve"> 1</w:t>
            </w:r>
            <w:r>
              <w:rPr>
                <w:spacing w:val="8"/>
                <w:szCs w:val="21"/>
                <w:vertAlign w:val="superscript"/>
              </w:rPr>
              <w:t>#</w:t>
            </w:r>
          </w:p>
        </w:tc>
        <w:tc>
          <w:tcPr>
            <w:tcW w:w="236" w:type="dxa"/>
            <w:tcBorders>
              <w:top w:val="single" w:color="auto" w:sz="12" w:space="0"/>
              <w:left w:val="nil"/>
              <w:bottom w:val="nil"/>
              <w:right w:val="nil"/>
            </w:tcBorders>
          </w:tcPr>
          <w:p w14:paraId="27BBB3AD">
            <w:pPr>
              <w:widowControl/>
              <w:spacing w:line="312" w:lineRule="auto"/>
              <w:rPr>
                <w:spacing w:val="8"/>
                <w:szCs w:val="21"/>
              </w:rPr>
            </w:pPr>
            <w:r>
              <w:rPr>
                <w:spacing w:val="8"/>
                <w:szCs w:val="21"/>
              </w:rPr>
              <w:t>10</w:t>
            </w:r>
          </w:p>
        </w:tc>
        <w:tc>
          <w:tcPr>
            <w:tcW w:w="765" w:type="dxa"/>
            <w:tcBorders>
              <w:top w:val="single" w:color="auto" w:sz="12" w:space="0"/>
              <w:left w:val="nil"/>
              <w:bottom w:val="nil"/>
              <w:right w:val="nil"/>
            </w:tcBorders>
          </w:tcPr>
          <w:p w14:paraId="66E8CEBC">
            <w:pPr>
              <w:widowControl/>
              <w:spacing w:line="312" w:lineRule="auto"/>
              <w:rPr>
                <w:spacing w:val="8"/>
                <w:szCs w:val="21"/>
              </w:rPr>
            </w:pPr>
            <w:r>
              <w:rPr>
                <w:spacing w:val="8"/>
                <w:szCs w:val="21"/>
              </w:rPr>
              <w:t>7.90</w:t>
            </w:r>
          </w:p>
        </w:tc>
        <w:tc>
          <w:tcPr>
            <w:tcW w:w="1033" w:type="dxa"/>
            <w:tcBorders>
              <w:top w:val="single" w:color="auto" w:sz="12" w:space="0"/>
              <w:left w:val="nil"/>
              <w:bottom w:val="nil"/>
              <w:right w:val="nil"/>
            </w:tcBorders>
          </w:tcPr>
          <w:p w14:paraId="0C4FE8CD">
            <w:pPr>
              <w:widowControl/>
              <w:spacing w:line="312" w:lineRule="auto"/>
              <w:rPr>
                <w:spacing w:val="8"/>
                <w:szCs w:val="21"/>
              </w:rPr>
            </w:pPr>
            <w:r>
              <w:rPr>
                <w:spacing w:val="8"/>
                <w:szCs w:val="21"/>
              </w:rPr>
              <w:t>700.82</w:t>
            </w:r>
          </w:p>
        </w:tc>
        <w:tc>
          <w:tcPr>
            <w:tcW w:w="1051" w:type="dxa"/>
            <w:tcBorders>
              <w:top w:val="single" w:color="auto" w:sz="12" w:space="0"/>
              <w:left w:val="nil"/>
              <w:bottom w:val="nil"/>
              <w:right w:val="nil"/>
            </w:tcBorders>
          </w:tcPr>
          <w:p w14:paraId="70A2C687">
            <w:pPr>
              <w:widowControl/>
              <w:spacing w:line="312" w:lineRule="auto"/>
              <w:rPr>
                <w:spacing w:val="8"/>
                <w:szCs w:val="21"/>
              </w:rPr>
            </w:pPr>
            <w:r>
              <w:rPr>
                <w:spacing w:val="8"/>
                <w:szCs w:val="21"/>
              </w:rPr>
              <w:t>4806.85</w:t>
            </w:r>
          </w:p>
        </w:tc>
        <w:tc>
          <w:tcPr>
            <w:tcW w:w="1173" w:type="dxa"/>
            <w:tcBorders>
              <w:top w:val="single" w:color="auto" w:sz="12" w:space="0"/>
              <w:left w:val="nil"/>
              <w:bottom w:val="nil"/>
              <w:right w:val="nil"/>
            </w:tcBorders>
          </w:tcPr>
          <w:p w14:paraId="2FA722E1">
            <w:pPr>
              <w:widowControl/>
              <w:spacing w:line="312" w:lineRule="auto"/>
              <w:rPr>
                <w:spacing w:val="8"/>
                <w:szCs w:val="21"/>
              </w:rPr>
            </w:pPr>
            <w:r>
              <w:rPr>
                <w:spacing w:val="8"/>
                <w:szCs w:val="21"/>
              </w:rPr>
              <w:t>3.72</w:t>
            </w:r>
          </w:p>
        </w:tc>
        <w:tc>
          <w:tcPr>
            <w:tcW w:w="1169" w:type="dxa"/>
            <w:tcBorders>
              <w:top w:val="single" w:color="auto" w:sz="12" w:space="0"/>
              <w:left w:val="nil"/>
              <w:bottom w:val="nil"/>
              <w:right w:val="nil"/>
            </w:tcBorders>
          </w:tcPr>
          <w:p w14:paraId="39F1D2B4">
            <w:pPr>
              <w:widowControl/>
              <w:spacing w:line="312" w:lineRule="auto"/>
              <w:rPr>
                <w:spacing w:val="8"/>
                <w:szCs w:val="21"/>
              </w:rPr>
            </w:pPr>
            <w:r>
              <w:rPr>
                <w:spacing w:val="8"/>
                <w:szCs w:val="21"/>
              </w:rPr>
              <w:t>6334.84</w:t>
            </w:r>
          </w:p>
        </w:tc>
        <w:tc>
          <w:tcPr>
            <w:tcW w:w="837" w:type="dxa"/>
            <w:tcBorders>
              <w:top w:val="single" w:color="auto" w:sz="12" w:space="0"/>
              <w:left w:val="nil"/>
              <w:bottom w:val="nil"/>
              <w:right w:val="nil"/>
            </w:tcBorders>
          </w:tcPr>
          <w:p w14:paraId="0D2D0961">
            <w:pPr>
              <w:widowControl/>
              <w:spacing w:line="312" w:lineRule="auto"/>
              <w:rPr>
                <w:spacing w:val="8"/>
                <w:szCs w:val="21"/>
              </w:rPr>
            </w:pPr>
            <w:r>
              <w:rPr>
                <w:spacing w:val="8"/>
                <w:szCs w:val="21"/>
              </w:rPr>
              <w:t>32.43</w:t>
            </w:r>
          </w:p>
        </w:tc>
      </w:tr>
      <w:tr w14:paraId="1164FD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2" w:type="dxa"/>
            <w:tcBorders>
              <w:top w:val="nil"/>
              <w:left w:val="nil"/>
              <w:bottom w:val="nil"/>
              <w:right w:val="nil"/>
            </w:tcBorders>
          </w:tcPr>
          <w:p w14:paraId="4BF6722C">
            <w:pPr>
              <w:widowControl/>
              <w:spacing w:line="312" w:lineRule="auto"/>
              <w:rPr>
                <w:spacing w:val="8"/>
                <w:szCs w:val="21"/>
              </w:rPr>
            </w:pPr>
            <w:r>
              <w:t>Left Bypass</w:t>
            </w:r>
            <w:r>
              <w:rPr>
                <w:spacing w:val="8"/>
                <w:szCs w:val="21"/>
              </w:rPr>
              <w:t xml:space="preserve"> 2</w:t>
            </w:r>
            <w:r>
              <w:rPr>
                <w:spacing w:val="8"/>
                <w:szCs w:val="21"/>
                <w:vertAlign w:val="superscript"/>
              </w:rPr>
              <w:t>#</w:t>
            </w:r>
          </w:p>
        </w:tc>
        <w:tc>
          <w:tcPr>
            <w:tcW w:w="236" w:type="dxa"/>
            <w:tcBorders>
              <w:top w:val="nil"/>
              <w:left w:val="nil"/>
              <w:bottom w:val="nil"/>
              <w:right w:val="nil"/>
            </w:tcBorders>
          </w:tcPr>
          <w:p w14:paraId="4886E005">
            <w:pPr>
              <w:widowControl/>
              <w:spacing w:line="312" w:lineRule="auto"/>
              <w:rPr>
                <w:spacing w:val="8"/>
                <w:szCs w:val="21"/>
              </w:rPr>
            </w:pPr>
            <w:r>
              <w:rPr>
                <w:spacing w:val="8"/>
                <w:szCs w:val="21"/>
              </w:rPr>
              <w:t>14</w:t>
            </w:r>
          </w:p>
        </w:tc>
        <w:tc>
          <w:tcPr>
            <w:tcW w:w="765" w:type="dxa"/>
            <w:tcBorders>
              <w:top w:val="nil"/>
              <w:left w:val="nil"/>
              <w:bottom w:val="nil"/>
              <w:right w:val="nil"/>
            </w:tcBorders>
          </w:tcPr>
          <w:p w14:paraId="794CF814">
            <w:pPr>
              <w:widowControl/>
              <w:spacing w:line="312" w:lineRule="auto"/>
              <w:rPr>
                <w:spacing w:val="8"/>
                <w:szCs w:val="21"/>
              </w:rPr>
            </w:pPr>
            <w:r>
              <w:rPr>
                <w:spacing w:val="8"/>
                <w:szCs w:val="21"/>
              </w:rPr>
              <w:t>7.58</w:t>
            </w:r>
          </w:p>
        </w:tc>
        <w:tc>
          <w:tcPr>
            <w:tcW w:w="1033" w:type="dxa"/>
            <w:tcBorders>
              <w:top w:val="nil"/>
              <w:left w:val="nil"/>
              <w:bottom w:val="nil"/>
              <w:right w:val="nil"/>
            </w:tcBorders>
          </w:tcPr>
          <w:p w14:paraId="18D6166C">
            <w:pPr>
              <w:widowControl/>
              <w:spacing w:line="312" w:lineRule="auto"/>
              <w:rPr>
                <w:spacing w:val="8"/>
                <w:szCs w:val="21"/>
              </w:rPr>
            </w:pPr>
            <w:r>
              <w:rPr>
                <w:spacing w:val="8"/>
                <w:szCs w:val="21"/>
              </w:rPr>
              <w:t>580.9</w:t>
            </w:r>
          </w:p>
        </w:tc>
        <w:tc>
          <w:tcPr>
            <w:tcW w:w="1051" w:type="dxa"/>
            <w:tcBorders>
              <w:top w:val="nil"/>
              <w:left w:val="nil"/>
              <w:bottom w:val="nil"/>
              <w:right w:val="nil"/>
            </w:tcBorders>
          </w:tcPr>
          <w:p w14:paraId="6826EA26">
            <w:pPr>
              <w:widowControl/>
              <w:spacing w:line="312" w:lineRule="auto"/>
              <w:rPr>
                <w:spacing w:val="8"/>
                <w:szCs w:val="21"/>
              </w:rPr>
            </w:pPr>
            <w:r>
              <w:rPr>
                <w:spacing w:val="8"/>
                <w:szCs w:val="21"/>
              </w:rPr>
              <w:t>8941.06</w:t>
            </w:r>
          </w:p>
        </w:tc>
        <w:tc>
          <w:tcPr>
            <w:tcW w:w="1173" w:type="dxa"/>
            <w:tcBorders>
              <w:top w:val="nil"/>
              <w:left w:val="nil"/>
              <w:bottom w:val="nil"/>
              <w:right w:val="nil"/>
            </w:tcBorders>
          </w:tcPr>
          <w:p w14:paraId="37F1A77F">
            <w:pPr>
              <w:widowControl/>
              <w:spacing w:line="312" w:lineRule="auto"/>
              <w:rPr>
                <w:spacing w:val="8"/>
                <w:szCs w:val="21"/>
              </w:rPr>
            </w:pPr>
            <w:r>
              <w:rPr>
                <w:spacing w:val="8"/>
                <w:szCs w:val="21"/>
              </w:rPr>
              <w:t>4.16</w:t>
            </w:r>
          </w:p>
        </w:tc>
        <w:tc>
          <w:tcPr>
            <w:tcW w:w="1169" w:type="dxa"/>
            <w:tcBorders>
              <w:top w:val="nil"/>
              <w:left w:val="nil"/>
              <w:bottom w:val="nil"/>
              <w:right w:val="nil"/>
            </w:tcBorders>
          </w:tcPr>
          <w:p w14:paraId="4CB377FF">
            <w:pPr>
              <w:widowControl/>
              <w:spacing w:line="312" w:lineRule="auto"/>
              <w:rPr>
                <w:spacing w:val="8"/>
                <w:szCs w:val="21"/>
              </w:rPr>
            </w:pPr>
            <w:r>
              <w:rPr>
                <w:spacing w:val="8"/>
                <w:szCs w:val="21"/>
              </w:rPr>
              <w:t>3903.18</w:t>
            </w:r>
          </w:p>
        </w:tc>
        <w:tc>
          <w:tcPr>
            <w:tcW w:w="837" w:type="dxa"/>
            <w:tcBorders>
              <w:top w:val="nil"/>
              <w:left w:val="nil"/>
              <w:bottom w:val="nil"/>
              <w:right w:val="nil"/>
            </w:tcBorders>
          </w:tcPr>
          <w:p w14:paraId="1C0F48B5">
            <w:pPr>
              <w:widowControl/>
              <w:spacing w:line="312" w:lineRule="auto"/>
              <w:rPr>
                <w:spacing w:val="8"/>
                <w:szCs w:val="21"/>
              </w:rPr>
            </w:pPr>
            <w:r>
              <w:rPr>
                <w:spacing w:val="8"/>
                <w:szCs w:val="21"/>
              </w:rPr>
              <w:t>24.69</w:t>
            </w:r>
          </w:p>
        </w:tc>
      </w:tr>
      <w:tr w14:paraId="2DD89A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2" w:type="dxa"/>
            <w:tcBorders>
              <w:top w:val="nil"/>
              <w:left w:val="nil"/>
              <w:bottom w:val="nil"/>
              <w:right w:val="nil"/>
            </w:tcBorders>
          </w:tcPr>
          <w:p w14:paraId="6A6893B5">
            <w:pPr>
              <w:widowControl/>
              <w:spacing w:line="312" w:lineRule="auto"/>
              <w:rPr>
                <w:spacing w:val="8"/>
                <w:szCs w:val="21"/>
              </w:rPr>
            </w:pPr>
            <w:r>
              <w:t>Left Bypass</w:t>
            </w:r>
            <w:r>
              <w:rPr>
                <w:spacing w:val="8"/>
                <w:szCs w:val="21"/>
              </w:rPr>
              <w:t xml:space="preserve"> 3</w:t>
            </w:r>
            <w:r>
              <w:rPr>
                <w:spacing w:val="8"/>
                <w:szCs w:val="21"/>
                <w:vertAlign w:val="superscript"/>
              </w:rPr>
              <w:t>#</w:t>
            </w:r>
          </w:p>
        </w:tc>
        <w:tc>
          <w:tcPr>
            <w:tcW w:w="236" w:type="dxa"/>
            <w:tcBorders>
              <w:top w:val="nil"/>
              <w:left w:val="nil"/>
              <w:bottom w:val="nil"/>
              <w:right w:val="nil"/>
            </w:tcBorders>
          </w:tcPr>
          <w:p w14:paraId="48F76D7B">
            <w:pPr>
              <w:widowControl/>
              <w:spacing w:line="312" w:lineRule="auto"/>
              <w:rPr>
                <w:spacing w:val="8"/>
                <w:szCs w:val="21"/>
              </w:rPr>
            </w:pPr>
            <w:r>
              <w:rPr>
                <w:spacing w:val="8"/>
                <w:szCs w:val="21"/>
              </w:rPr>
              <w:t>13</w:t>
            </w:r>
          </w:p>
        </w:tc>
        <w:tc>
          <w:tcPr>
            <w:tcW w:w="765" w:type="dxa"/>
            <w:tcBorders>
              <w:top w:val="nil"/>
              <w:left w:val="nil"/>
              <w:bottom w:val="nil"/>
              <w:right w:val="nil"/>
            </w:tcBorders>
          </w:tcPr>
          <w:p w14:paraId="572FE2A5">
            <w:pPr>
              <w:widowControl/>
              <w:spacing w:line="312" w:lineRule="auto"/>
              <w:rPr>
                <w:spacing w:val="8"/>
                <w:szCs w:val="21"/>
              </w:rPr>
            </w:pPr>
            <w:r>
              <w:rPr>
                <w:spacing w:val="8"/>
                <w:szCs w:val="21"/>
              </w:rPr>
              <w:t>8.30</w:t>
            </w:r>
          </w:p>
        </w:tc>
        <w:tc>
          <w:tcPr>
            <w:tcW w:w="1033" w:type="dxa"/>
            <w:tcBorders>
              <w:top w:val="nil"/>
              <w:left w:val="nil"/>
              <w:bottom w:val="nil"/>
              <w:right w:val="nil"/>
            </w:tcBorders>
          </w:tcPr>
          <w:p w14:paraId="6316C169">
            <w:pPr>
              <w:widowControl/>
              <w:spacing w:line="312" w:lineRule="auto"/>
              <w:rPr>
                <w:spacing w:val="8"/>
                <w:szCs w:val="21"/>
              </w:rPr>
            </w:pPr>
            <w:r>
              <w:rPr>
                <w:spacing w:val="8"/>
                <w:szCs w:val="21"/>
              </w:rPr>
              <w:t>985.19</w:t>
            </w:r>
          </w:p>
        </w:tc>
        <w:tc>
          <w:tcPr>
            <w:tcW w:w="1051" w:type="dxa"/>
            <w:tcBorders>
              <w:top w:val="nil"/>
              <w:left w:val="nil"/>
              <w:bottom w:val="nil"/>
              <w:right w:val="nil"/>
            </w:tcBorders>
          </w:tcPr>
          <w:p w14:paraId="7B06C171">
            <w:pPr>
              <w:widowControl/>
              <w:spacing w:line="312" w:lineRule="auto"/>
              <w:rPr>
                <w:spacing w:val="8"/>
                <w:szCs w:val="21"/>
              </w:rPr>
            </w:pPr>
            <w:r>
              <w:rPr>
                <w:spacing w:val="8"/>
                <w:szCs w:val="21"/>
              </w:rPr>
              <w:t>5802.79</w:t>
            </w:r>
          </w:p>
        </w:tc>
        <w:tc>
          <w:tcPr>
            <w:tcW w:w="1173" w:type="dxa"/>
            <w:tcBorders>
              <w:top w:val="nil"/>
              <w:left w:val="nil"/>
              <w:bottom w:val="nil"/>
              <w:right w:val="nil"/>
            </w:tcBorders>
          </w:tcPr>
          <w:p w14:paraId="4D380642">
            <w:pPr>
              <w:widowControl/>
              <w:spacing w:line="312" w:lineRule="auto"/>
              <w:rPr>
                <w:spacing w:val="8"/>
                <w:szCs w:val="21"/>
              </w:rPr>
            </w:pPr>
            <w:r>
              <w:rPr>
                <w:spacing w:val="8"/>
                <w:szCs w:val="21"/>
              </w:rPr>
              <w:t>1.38</w:t>
            </w:r>
          </w:p>
        </w:tc>
        <w:tc>
          <w:tcPr>
            <w:tcW w:w="1169" w:type="dxa"/>
            <w:tcBorders>
              <w:top w:val="nil"/>
              <w:left w:val="nil"/>
              <w:bottom w:val="nil"/>
              <w:right w:val="nil"/>
            </w:tcBorders>
          </w:tcPr>
          <w:p w14:paraId="7954F5B4">
            <w:pPr>
              <w:widowControl/>
              <w:spacing w:line="312" w:lineRule="auto"/>
              <w:rPr>
                <w:spacing w:val="8"/>
                <w:szCs w:val="21"/>
              </w:rPr>
            </w:pPr>
            <w:r>
              <w:rPr>
                <w:spacing w:val="8"/>
                <w:szCs w:val="21"/>
              </w:rPr>
              <w:t>10152.59</w:t>
            </w:r>
          </w:p>
        </w:tc>
        <w:tc>
          <w:tcPr>
            <w:tcW w:w="837" w:type="dxa"/>
            <w:tcBorders>
              <w:top w:val="nil"/>
              <w:left w:val="nil"/>
              <w:bottom w:val="nil"/>
              <w:right w:val="nil"/>
            </w:tcBorders>
          </w:tcPr>
          <w:p w14:paraId="4B62F187">
            <w:pPr>
              <w:widowControl/>
              <w:spacing w:line="312" w:lineRule="auto"/>
              <w:rPr>
                <w:spacing w:val="8"/>
                <w:szCs w:val="21"/>
              </w:rPr>
            </w:pPr>
            <w:r>
              <w:rPr>
                <w:spacing w:val="8"/>
                <w:szCs w:val="21"/>
              </w:rPr>
              <w:t>74.56</w:t>
            </w:r>
          </w:p>
        </w:tc>
      </w:tr>
      <w:tr w14:paraId="6ECCE2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2" w:type="dxa"/>
            <w:tcBorders>
              <w:top w:val="nil"/>
              <w:left w:val="nil"/>
              <w:bottom w:val="nil"/>
              <w:right w:val="nil"/>
            </w:tcBorders>
          </w:tcPr>
          <w:p w14:paraId="69B33930">
            <w:pPr>
              <w:widowControl/>
              <w:spacing w:line="312" w:lineRule="auto"/>
              <w:rPr>
                <w:spacing w:val="8"/>
                <w:szCs w:val="21"/>
              </w:rPr>
            </w:pPr>
            <w:r>
              <w:t>Left Bypass</w:t>
            </w:r>
            <w:r>
              <w:rPr>
                <w:spacing w:val="8"/>
                <w:szCs w:val="21"/>
              </w:rPr>
              <w:t xml:space="preserve"> 5#</w:t>
            </w:r>
          </w:p>
        </w:tc>
        <w:tc>
          <w:tcPr>
            <w:tcW w:w="236" w:type="dxa"/>
            <w:tcBorders>
              <w:top w:val="nil"/>
              <w:left w:val="nil"/>
              <w:bottom w:val="nil"/>
              <w:right w:val="nil"/>
            </w:tcBorders>
          </w:tcPr>
          <w:p w14:paraId="1BA5CBD1">
            <w:pPr>
              <w:widowControl/>
              <w:spacing w:line="312" w:lineRule="auto"/>
              <w:rPr>
                <w:spacing w:val="8"/>
                <w:szCs w:val="21"/>
              </w:rPr>
            </w:pPr>
            <w:r>
              <w:rPr>
                <w:spacing w:val="8"/>
                <w:szCs w:val="21"/>
              </w:rPr>
              <w:t>43</w:t>
            </w:r>
          </w:p>
        </w:tc>
        <w:tc>
          <w:tcPr>
            <w:tcW w:w="765" w:type="dxa"/>
            <w:tcBorders>
              <w:top w:val="nil"/>
              <w:left w:val="nil"/>
              <w:bottom w:val="nil"/>
              <w:right w:val="nil"/>
            </w:tcBorders>
          </w:tcPr>
          <w:p w14:paraId="4288E18C">
            <w:pPr>
              <w:widowControl/>
              <w:spacing w:line="312" w:lineRule="auto"/>
              <w:rPr>
                <w:spacing w:val="8"/>
                <w:szCs w:val="21"/>
              </w:rPr>
            </w:pPr>
            <w:r>
              <w:rPr>
                <w:spacing w:val="8"/>
                <w:szCs w:val="21"/>
              </w:rPr>
              <w:t>7.67</w:t>
            </w:r>
          </w:p>
        </w:tc>
        <w:tc>
          <w:tcPr>
            <w:tcW w:w="1033" w:type="dxa"/>
            <w:tcBorders>
              <w:top w:val="nil"/>
              <w:left w:val="nil"/>
              <w:bottom w:val="nil"/>
              <w:right w:val="nil"/>
            </w:tcBorders>
          </w:tcPr>
          <w:p w14:paraId="1841A2C9">
            <w:pPr>
              <w:widowControl/>
              <w:spacing w:line="312" w:lineRule="auto"/>
              <w:rPr>
                <w:spacing w:val="8"/>
                <w:szCs w:val="21"/>
              </w:rPr>
            </w:pPr>
            <w:r>
              <w:rPr>
                <w:spacing w:val="8"/>
                <w:szCs w:val="21"/>
              </w:rPr>
              <w:t>1007.63</w:t>
            </w:r>
          </w:p>
        </w:tc>
        <w:tc>
          <w:tcPr>
            <w:tcW w:w="1051" w:type="dxa"/>
            <w:tcBorders>
              <w:top w:val="nil"/>
              <w:left w:val="nil"/>
              <w:bottom w:val="nil"/>
              <w:right w:val="nil"/>
            </w:tcBorders>
          </w:tcPr>
          <w:p w14:paraId="290EB437">
            <w:pPr>
              <w:widowControl/>
              <w:spacing w:line="312" w:lineRule="auto"/>
              <w:rPr>
                <w:spacing w:val="8"/>
                <w:szCs w:val="21"/>
              </w:rPr>
            </w:pPr>
            <w:r>
              <w:rPr>
                <w:spacing w:val="8"/>
                <w:szCs w:val="21"/>
              </w:rPr>
              <w:t>8132.51</w:t>
            </w:r>
          </w:p>
        </w:tc>
        <w:tc>
          <w:tcPr>
            <w:tcW w:w="1173" w:type="dxa"/>
            <w:tcBorders>
              <w:top w:val="nil"/>
              <w:left w:val="nil"/>
              <w:bottom w:val="nil"/>
              <w:right w:val="nil"/>
            </w:tcBorders>
          </w:tcPr>
          <w:p w14:paraId="3424687D">
            <w:pPr>
              <w:widowControl/>
              <w:spacing w:line="312" w:lineRule="auto"/>
              <w:rPr>
                <w:spacing w:val="8"/>
                <w:szCs w:val="21"/>
              </w:rPr>
            </w:pPr>
            <w:r>
              <w:rPr>
                <w:spacing w:val="8"/>
                <w:szCs w:val="21"/>
              </w:rPr>
              <w:t>1.52</w:t>
            </w:r>
          </w:p>
        </w:tc>
        <w:tc>
          <w:tcPr>
            <w:tcW w:w="1169" w:type="dxa"/>
            <w:tcBorders>
              <w:top w:val="nil"/>
              <w:left w:val="nil"/>
              <w:bottom w:val="nil"/>
              <w:right w:val="nil"/>
            </w:tcBorders>
          </w:tcPr>
          <w:p w14:paraId="73C95A53">
            <w:pPr>
              <w:widowControl/>
              <w:spacing w:line="312" w:lineRule="auto"/>
              <w:rPr>
                <w:spacing w:val="8"/>
                <w:szCs w:val="21"/>
              </w:rPr>
            </w:pPr>
            <w:r>
              <w:rPr>
                <w:spacing w:val="8"/>
                <w:szCs w:val="21"/>
              </w:rPr>
              <w:t>6491.48</w:t>
            </w:r>
          </w:p>
        </w:tc>
        <w:tc>
          <w:tcPr>
            <w:tcW w:w="837" w:type="dxa"/>
            <w:tcBorders>
              <w:top w:val="nil"/>
              <w:left w:val="nil"/>
              <w:bottom w:val="nil"/>
              <w:right w:val="nil"/>
            </w:tcBorders>
          </w:tcPr>
          <w:p w14:paraId="0E9B16F8">
            <w:pPr>
              <w:widowControl/>
              <w:spacing w:line="312" w:lineRule="auto"/>
              <w:rPr>
                <w:spacing w:val="8"/>
                <w:szCs w:val="21"/>
              </w:rPr>
            </w:pPr>
            <w:r>
              <w:rPr>
                <w:spacing w:val="8"/>
                <w:szCs w:val="21"/>
              </w:rPr>
              <w:t>57.01</w:t>
            </w:r>
          </w:p>
        </w:tc>
      </w:tr>
      <w:tr w14:paraId="026710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2" w:type="dxa"/>
            <w:tcBorders>
              <w:top w:val="nil"/>
              <w:left w:val="nil"/>
              <w:bottom w:val="nil"/>
              <w:right w:val="nil"/>
            </w:tcBorders>
          </w:tcPr>
          <w:p w14:paraId="4518B5D0">
            <w:pPr>
              <w:widowControl/>
              <w:spacing w:line="312" w:lineRule="auto"/>
              <w:rPr>
                <w:spacing w:val="8"/>
                <w:szCs w:val="21"/>
              </w:rPr>
            </w:pPr>
            <w:r>
              <w:t>Right Bypass</w:t>
            </w:r>
            <w:r>
              <w:rPr>
                <w:spacing w:val="8"/>
                <w:szCs w:val="21"/>
              </w:rPr>
              <w:t xml:space="preserve"> 3#</w:t>
            </w:r>
          </w:p>
        </w:tc>
        <w:tc>
          <w:tcPr>
            <w:tcW w:w="236" w:type="dxa"/>
            <w:tcBorders>
              <w:top w:val="nil"/>
              <w:left w:val="nil"/>
              <w:bottom w:val="nil"/>
              <w:right w:val="nil"/>
            </w:tcBorders>
          </w:tcPr>
          <w:p w14:paraId="6003CA99">
            <w:pPr>
              <w:widowControl/>
              <w:spacing w:line="312" w:lineRule="auto"/>
              <w:rPr>
                <w:spacing w:val="8"/>
                <w:szCs w:val="21"/>
              </w:rPr>
            </w:pPr>
            <w:r>
              <w:rPr>
                <w:spacing w:val="8"/>
                <w:szCs w:val="21"/>
              </w:rPr>
              <w:t>55</w:t>
            </w:r>
          </w:p>
        </w:tc>
        <w:tc>
          <w:tcPr>
            <w:tcW w:w="765" w:type="dxa"/>
            <w:tcBorders>
              <w:top w:val="nil"/>
              <w:left w:val="nil"/>
              <w:bottom w:val="nil"/>
              <w:right w:val="nil"/>
            </w:tcBorders>
          </w:tcPr>
          <w:p w14:paraId="0C8027DA">
            <w:pPr>
              <w:widowControl/>
              <w:spacing w:line="312" w:lineRule="auto"/>
              <w:rPr>
                <w:spacing w:val="8"/>
                <w:szCs w:val="21"/>
              </w:rPr>
            </w:pPr>
            <w:r>
              <w:rPr>
                <w:spacing w:val="8"/>
                <w:szCs w:val="21"/>
              </w:rPr>
              <w:t>11.51</w:t>
            </w:r>
          </w:p>
        </w:tc>
        <w:tc>
          <w:tcPr>
            <w:tcW w:w="1033" w:type="dxa"/>
            <w:tcBorders>
              <w:top w:val="nil"/>
              <w:left w:val="nil"/>
              <w:bottom w:val="nil"/>
              <w:right w:val="nil"/>
            </w:tcBorders>
          </w:tcPr>
          <w:p w14:paraId="2B8588A0">
            <w:pPr>
              <w:widowControl/>
              <w:spacing w:line="312" w:lineRule="auto"/>
              <w:rPr>
                <w:spacing w:val="8"/>
                <w:szCs w:val="21"/>
              </w:rPr>
            </w:pPr>
            <w:r>
              <w:rPr>
                <w:spacing w:val="8"/>
                <w:szCs w:val="21"/>
              </w:rPr>
              <w:t>51.82</w:t>
            </w:r>
          </w:p>
        </w:tc>
        <w:tc>
          <w:tcPr>
            <w:tcW w:w="1051" w:type="dxa"/>
            <w:tcBorders>
              <w:top w:val="nil"/>
              <w:left w:val="nil"/>
              <w:bottom w:val="nil"/>
              <w:right w:val="nil"/>
            </w:tcBorders>
          </w:tcPr>
          <w:p w14:paraId="3CD71EF8">
            <w:pPr>
              <w:widowControl/>
              <w:spacing w:line="312" w:lineRule="auto"/>
              <w:rPr>
                <w:spacing w:val="8"/>
                <w:szCs w:val="21"/>
              </w:rPr>
            </w:pPr>
            <w:r>
              <w:rPr>
                <w:spacing w:val="8"/>
                <w:szCs w:val="21"/>
              </w:rPr>
              <w:t>586.70</w:t>
            </w:r>
          </w:p>
        </w:tc>
        <w:tc>
          <w:tcPr>
            <w:tcW w:w="1173" w:type="dxa"/>
            <w:tcBorders>
              <w:top w:val="nil"/>
              <w:left w:val="nil"/>
              <w:bottom w:val="nil"/>
              <w:right w:val="nil"/>
            </w:tcBorders>
          </w:tcPr>
          <w:p w14:paraId="23CBD674">
            <w:pPr>
              <w:widowControl/>
              <w:spacing w:line="312" w:lineRule="auto"/>
              <w:rPr>
                <w:spacing w:val="8"/>
                <w:szCs w:val="21"/>
              </w:rPr>
            </w:pPr>
            <w:r>
              <w:rPr>
                <w:spacing w:val="8"/>
                <w:szCs w:val="21"/>
              </w:rPr>
              <w:t>0.82</w:t>
            </w:r>
          </w:p>
        </w:tc>
        <w:tc>
          <w:tcPr>
            <w:tcW w:w="1169" w:type="dxa"/>
            <w:tcBorders>
              <w:top w:val="nil"/>
              <w:left w:val="nil"/>
              <w:bottom w:val="nil"/>
              <w:right w:val="nil"/>
            </w:tcBorders>
          </w:tcPr>
          <w:p w14:paraId="5DEEE91F">
            <w:pPr>
              <w:widowControl/>
              <w:spacing w:line="312" w:lineRule="auto"/>
              <w:rPr>
                <w:spacing w:val="8"/>
                <w:szCs w:val="21"/>
              </w:rPr>
            </w:pPr>
            <w:r>
              <w:rPr>
                <w:spacing w:val="8"/>
                <w:szCs w:val="21"/>
              </w:rPr>
              <w:t>143.65</w:t>
            </w:r>
          </w:p>
        </w:tc>
        <w:tc>
          <w:tcPr>
            <w:tcW w:w="837" w:type="dxa"/>
            <w:tcBorders>
              <w:top w:val="nil"/>
              <w:left w:val="nil"/>
              <w:bottom w:val="nil"/>
              <w:right w:val="nil"/>
            </w:tcBorders>
          </w:tcPr>
          <w:p w14:paraId="317220F4">
            <w:pPr>
              <w:widowControl/>
              <w:spacing w:line="312" w:lineRule="auto"/>
              <w:rPr>
                <w:spacing w:val="8"/>
                <w:szCs w:val="21"/>
              </w:rPr>
            </w:pPr>
            <w:r>
              <w:rPr>
                <w:spacing w:val="8"/>
                <w:szCs w:val="21"/>
              </w:rPr>
              <w:t>1.42</w:t>
            </w:r>
          </w:p>
        </w:tc>
      </w:tr>
      <w:tr w14:paraId="2D9E9C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2" w:type="dxa"/>
            <w:tcBorders>
              <w:top w:val="nil"/>
              <w:left w:val="nil"/>
              <w:bottom w:val="nil"/>
              <w:right w:val="nil"/>
            </w:tcBorders>
          </w:tcPr>
          <w:p w14:paraId="46F2B7E1">
            <w:pPr>
              <w:widowControl/>
              <w:spacing w:line="312" w:lineRule="auto"/>
              <w:rPr>
                <w:spacing w:val="8"/>
                <w:szCs w:val="21"/>
              </w:rPr>
            </w:pPr>
            <w:r>
              <w:t>Right Bypass</w:t>
            </w:r>
            <w:r>
              <w:rPr>
                <w:spacing w:val="8"/>
                <w:szCs w:val="21"/>
              </w:rPr>
              <w:t xml:space="preserve"> 2#</w:t>
            </w:r>
          </w:p>
        </w:tc>
        <w:tc>
          <w:tcPr>
            <w:tcW w:w="236" w:type="dxa"/>
            <w:tcBorders>
              <w:top w:val="nil"/>
              <w:left w:val="nil"/>
              <w:bottom w:val="nil"/>
              <w:right w:val="nil"/>
            </w:tcBorders>
          </w:tcPr>
          <w:p w14:paraId="68851798">
            <w:pPr>
              <w:widowControl/>
              <w:spacing w:line="312" w:lineRule="auto"/>
              <w:rPr>
                <w:spacing w:val="8"/>
                <w:szCs w:val="21"/>
              </w:rPr>
            </w:pPr>
            <w:r>
              <w:rPr>
                <w:spacing w:val="8"/>
                <w:szCs w:val="21"/>
              </w:rPr>
              <w:t>55</w:t>
            </w:r>
          </w:p>
        </w:tc>
        <w:tc>
          <w:tcPr>
            <w:tcW w:w="765" w:type="dxa"/>
            <w:tcBorders>
              <w:top w:val="nil"/>
              <w:left w:val="nil"/>
              <w:bottom w:val="nil"/>
              <w:right w:val="nil"/>
            </w:tcBorders>
          </w:tcPr>
          <w:p w14:paraId="54E6FF6E">
            <w:pPr>
              <w:widowControl/>
              <w:spacing w:line="312" w:lineRule="auto"/>
              <w:rPr>
                <w:spacing w:val="8"/>
                <w:szCs w:val="21"/>
              </w:rPr>
            </w:pPr>
            <w:r>
              <w:rPr>
                <w:spacing w:val="8"/>
                <w:szCs w:val="21"/>
              </w:rPr>
              <w:t>8.16</w:t>
            </w:r>
          </w:p>
        </w:tc>
        <w:tc>
          <w:tcPr>
            <w:tcW w:w="1033" w:type="dxa"/>
            <w:tcBorders>
              <w:top w:val="nil"/>
              <w:left w:val="nil"/>
              <w:bottom w:val="nil"/>
              <w:right w:val="nil"/>
            </w:tcBorders>
          </w:tcPr>
          <w:p w14:paraId="3CE1F74D">
            <w:pPr>
              <w:widowControl/>
              <w:spacing w:line="312" w:lineRule="auto"/>
              <w:rPr>
                <w:spacing w:val="8"/>
                <w:szCs w:val="21"/>
              </w:rPr>
            </w:pPr>
            <w:r>
              <w:rPr>
                <w:spacing w:val="8"/>
                <w:szCs w:val="21"/>
              </w:rPr>
              <w:t>63.06</w:t>
            </w:r>
          </w:p>
        </w:tc>
        <w:tc>
          <w:tcPr>
            <w:tcW w:w="1051" w:type="dxa"/>
            <w:tcBorders>
              <w:top w:val="nil"/>
              <w:left w:val="nil"/>
              <w:bottom w:val="nil"/>
              <w:right w:val="nil"/>
            </w:tcBorders>
          </w:tcPr>
          <w:p w14:paraId="43D924BB">
            <w:pPr>
              <w:widowControl/>
              <w:spacing w:line="312" w:lineRule="auto"/>
              <w:rPr>
                <w:spacing w:val="8"/>
                <w:szCs w:val="21"/>
              </w:rPr>
            </w:pPr>
            <w:r>
              <w:rPr>
                <w:spacing w:val="8"/>
                <w:szCs w:val="21"/>
              </w:rPr>
              <w:t>561.58</w:t>
            </w:r>
          </w:p>
        </w:tc>
        <w:tc>
          <w:tcPr>
            <w:tcW w:w="1173" w:type="dxa"/>
            <w:tcBorders>
              <w:top w:val="nil"/>
              <w:left w:val="nil"/>
              <w:bottom w:val="nil"/>
              <w:right w:val="nil"/>
            </w:tcBorders>
          </w:tcPr>
          <w:p w14:paraId="7C62F904">
            <w:pPr>
              <w:widowControl/>
              <w:spacing w:line="312" w:lineRule="auto"/>
              <w:rPr>
                <w:spacing w:val="8"/>
                <w:szCs w:val="21"/>
              </w:rPr>
            </w:pPr>
            <w:r>
              <w:rPr>
                <w:spacing w:val="8"/>
                <w:szCs w:val="21"/>
              </w:rPr>
              <w:t>5.80</w:t>
            </w:r>
          </w:p>
        </w:tc>
        <w:tc>
          <w:tcPr>
            <w:tcW w:w="1169" w:type="dxa"/>
            <w:tcBorders>
              <w:top w:val="nil"/>
              <w:left w:val="nil"/>
              <w:bottom w:val="nil"/>
              <w:right w:val="nil"/>
            </w:tcBorders>
          </w:tcPr>
          <w:p w14:paraId="7BF7FB8C">
            <w:pPr>
              <w:widowControl/>
              <w:spacing w:line="312" w:lineRule="auto"/>
              <w:rPr>
                <w:spacing w:val="8"/>
                <w:szCs w:val="21"/>
              </w:rPr>
            </w:pPr>
            <w:r>
              <w:rPr>
                <w:spacing w:val="8"/>
                <w:szCs w:val="21"/>
              </w:rPr>
              <w:t>243.33</w:t>
            </w:r>
          </w:p>
        </w:tc>
        <w:tc>
          <w:tcPr>
            <w:tcW w:w="837" w:type="dxa"/>
            <w:tcBorders>
              <w:top w:val="nil"/>
              <w:left w:val="nil"/>
              <w:bottom w:val="nil"/>
              <w:right w:val="nil"/>
            </w:tcBorders>
          </w:tcPr>
          <w:p w14:paraId="737A15AE">
            <w:pPr>
              <w:widowControl/>
              <w:spacing w:line="312" w:lineRule="auto"/>
              <w:rPr>
                <w:spacing w:val="8"/>
                <w:szCs w:val="21"/>
              </w:rPr>
            </w:pPr>
            <w:r>
              <w:rPr>
                <w:spacing w:val="8"/>
                <w:szCs w:val="21"/>
              </w:rPr>
              <w:t>1.41</w:t>
            </w:r>
          </w:p>
        </w:tc>
      </w:tr>
      <w:tr w14:paraId="2ED5DC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2" w:type="dxa"/>
            <w:tcBorders>
              <w:top w:val="nil"/>
              <w:left w:val="nil"/>
              <w:bottom w:val="nil"/>
              <w:right w:val="nil"/>
            </w:tcBorders>
          </w:tcPr>
          <w:p w14:paraId="38EFC11F">
            <w:pPr>
              <w:widowControl/>
              <w:spacing w:line="312" w:lineRule="auto"/>
              <w:rPr>
                <w:spacing w:val="-20"/>
                <w:szCs w:val="21"/>
              </w:rPr>
            </w:pPr>
            <w:r>
              <w:t>Right Cable Trench</w:t>
            </w:r>
          </w:p>
        </w:tc>
        <w:tc>
          <w:tcPr>
            <w:tcW w:w="236" w:type="dxa"/>
            <w:tcBorders>
              <w:top w:val="nil"/>
              <w:left w:val="nil"/>
              <w:bottom w:val="nil"/>
              <w:right w:val="nil"/>
            </w:tcBorders>
          </w:tcPr>
          <w:p w14:paraId="60D0A085">
            <w:pPr>
              <w:widowControl/>
              <w:spacing w:line="312" w:lineRule="auto"/>
              <w:rPr>
                <w:spacing w:val="8"/>
                <w:szCs w:val="21"/>
              </w:rPr>
            </w:pPr>
            <w:r>
              <w:rPr>
                <w:spacing w:val="8"/>
                <w:szCs w:val="21"/>
              </w:rPr>
              <w:t>55</w:t>
            </w:r>
          </w:p>
        </w:tc>
        <w:tc>
          <w:tcPr>
            <w:tcW w:w="765" w:type="dxa"/>
            <w:tcBorders>
              <w:top w:val="nil"/>
              <w:left w:val="nil"/>
              <w:bottom w:val="nil"/>
              <w:right w:val="nil"/>
            </w:tcBorders>
          </w:tcPr>
          <w:p w14:paraId="3EAAFB7D">
            <w:pPr>
              <w:widowControl/>
              <w:spacing w:line="312" w:lineRule="auto"/>
              <w:rPr>
                <w:spacing w:val="8"/>
                <w:szCs w:val="21"/>
              </w:rPr>
            </w:pPr>
            <w:r>
              <w:rPr>
                <w:spacing w:val="8"/>
                <w:szCs w:val="21"/>
              </w:rPr>
              <w:t>7.87</w:t>
            </w:r>
          </w:p>
        </w:tc>
        <w:tc>
          <w:tcPr>
            <w:tcW w:w="1033" w:type="dxa"/>
            <w:tcBorders>
              <w:top w:val="nil"/>
              <w:left w:val="nil"/>
              <w:bottom w:val="nil"/>
              <w:right w:val="nil"/>
            </w:tcBorders>
          </w:tcPr>
          <w:p w14:paraId="407EB6D6">
            <w:pPr>
              <w:widowControl/>
              <w:spacing w:line="312" w:lineRule="auto"/>
              <w:rPr>
                <w:spacing w:val="8"/>
                <w:szCs w:val="21"/>
              </w:rPr>
            </w:pPr>
            <w:r>
              <w:rPr>
                <w:spacing w:val="8"/>
                <w:szCs w:val="21"/>
              </w:rPr>
              <w:t>191.09</w:t>
            </w:r>
          </w:p>
        </w:tc>
        <w:tc>
          <w:tcPr>
            <w:tcW w:w="1051" w:type="dxa"/>
            <w:tcBorders>
              <w:top w:val="nil"/>
              <w:left w:val="nil"/>
              <w:bottom w:val="nil"/>
              <w:right w:val="nil"/>
            </w:tcBorders>
          </w:tcPr>
          <w:p w14:paraId="58391412">
            <w:pPr>
              <w:widowControl/>
              <w:spacing w:line="312" w:lineRule="auto"/>
              <w:rPr>
                <w:spacing w:val="8"/>
                <w:szCs w:val="21"/>
              </w:rPr>
            </w:pPr>
            <w:r>
              <w:rPr>
                <w:spacing w:val="8"/>
                <w:szCs w:val="21"/>
              </w:rPr>
              <w:t>1442.36</w:t>
            </w:r>
          </w:p>
        </w:tc>
        <w:tc>
          <w:tcPr>
            <w:tcW w:w="1173" w:type="dxa"/>
            <w:tcBorders>
              <w:top w:val="nil"/>
              <w:left w:val="nil"/>
              <w:bottom w:val="nil"/>
              <w:right w:val="nil"/>
            </w:tcBorders>
          </w:tcPr>
          <w:p w14:paraId="20C3D8B3">
            <w:pPr>
              <w:widowControl/>
              <w:spacing w:line="312" w:lineRule="auto"/>
              <w:rPr>
                <w:spacing w:val="8"/>
                <w:szCs w:val="21"/>
              </w:rPr>
            </w:pPr>
            <w:r>
              <w:rPr>
                <w:spacing w:val="8"/>
                <w:szCs w:val="21"/>
              </w:rPr>
              <w:t>6.47</w:t>
            </w:r>
          </w:p>
        </w:tc>
        <w:tc>
          <w:tcPr>
            <w:tcW w:w="1169" w:type="dxa"/>
            <w:tcBorders>
              <w:top w:val="nil"/>
              <w:left w:val="nil"/>
              <w:bottom w:val="nil"/>
              <w:right w:val="nil"/>
            </w:tcBorders>
          </w:tcPr>
          <w:p w14:paraId="145CFC8F">
            <w:pPr>
              <w:widowControl/>
              <w:spacing w:line="312" w:lineRule="auto"/>
              <w:rPr>
                <w:spacing w:val="8"/>
                <w:szCs w:val="21"/>
              </w:rPr>
            </w:pPr>
            <w:r>
              <w:rPr>
                <w:spacing w:val="8"/>
                <w:szCs w:val="21"/>
              </w:rPr>
              <w:t>831.97</w:t>
            </w:r>
          </w:p>
        </w:tc>
        <w:tc>
          <w:tcPr>
            <w:tcW w:w="837" w:type="dxa"/>
            <w:tcBorders>
              <w:top w:val="nil"/>
              <w:left w:val="nil"/>
              <w:bottom w:val="nil"/>
              <w:right w:val="nil"/>
            </w:tcBorders>
          </w:tcPr>
          <w:p w14:paraId="4E51AFE6">
            <w:pPr>
              <w:widowControl/>
              <w:spacing w:line="312" w:lineRule="auto"/>
              <w:rPr>
                <w:spacing w:val="8"/>
                <w:szCs w:val="21"/>
              </w:rPr>
            </w:pPr>
            <w:r>
              <w:rPr>
                <w:spacing w:val="8"/>
                <w:szCs w:val="21"/>
              </w:rPr>
              <w:t>3.32</w:t>
            </w:r>
          </w:p>
        </w:tc>
      </w:tr>
      <w:tr w14:paraId="788AD5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2" w:type="dxa"/>
            <w:tcBorders>
              <w:top w:val="nil"/>
              <w:left w:val="nil"/>
              <w:bottom w:val="single" w:color="auto" w:sz="12" w:space="0"/>
              <w:right w:val="nil"/>
            </w:tcBorders>
          </w:tcPr>
          <w:p w14:paraId="5D65D6D9">
            <w:pPr>
              <w:widowControl/>
              <w:spacing w:line="312" w:lineRule="auto"/>
              <w:rPr>
                <w:spacing w:val="8"/>
                <w:szCs w:val="21"/>
              </w:rPr>
            </w:pPr>
            <w:r>
              <w:t>Right Bypass</w:t>
            </w:r>
            <w:r>
              <w:rPr>
                <w:spacing w:val="8"/>
                <w:szCs w:val="21"/>
              </w:rPr>
              <w:t xml:space="preserve"> 7#</w:t>
            </w:r>
          </w:p>
        </w:tc>
        <w:tc>
          <w:tcPr>
            <w:tcW w:w="236" w:type="dxa"/>
            <w:tcBorders>
              <w:top w:val="nil"/>
              <w:left w:val="nil"/>
              <w:bottom w:val="single" w:color="auto" w:sz="12" w:space="0"/>
              <w:right w:val="nil"/>
            </w:tcBorders>
          </w:tcPr>
          <w:p w14:paraId="26F01D6C">
            <w:pPr>
              <w:widowControl/>
              <w:spacing w:line="312" w:lineRule="auto"/>
              <w:rPr>
                <w:spacing w:val="8"/>
                <w:szCs w:val="21"/>
              </w:rPr>
            </w:pPr>
            <w:r>
              <w:rPr>
                <w:spacing w:val="8"/>
                <w:szCs w:val="21"/>
              </w:rPr>
              <w:t>10</w:t>
            </w:r>
          </w:p>
        </w:tc>
        <w:tc>
          <w:tcPr>
            <w:tcW w:w="765" w:type="dxa"/>
            <w:tcBorders>
              <w:top w:val="nil"/>
              <w:left w:val="nil"/>
              <w:bottom w:val="single" w:color="auto" w:sz="12" w:space="0"/>
              <w:right w:val="nil"/>
            </w:tcBorders>
          </w:tcPr>
          <w:p w14:paraId="64A582DC">
            <w:pPr>
              <w:widowControl/>
              <w:spacing w:line="312" w:lineRule="auto"/>
              <w:rPr>
                <w:spacing w:val="8"/>
                <w:szCs w:val="21"/>
              </w:rPr>
            </w:pPr>
            <w:r>
              <w:rPr>
                <w:spacing w:val="8"/>
                <w:szCs w:val="21"/>
              </w:rPr>
              <w:t>7.60</w:t>
            </w:r>
          </w:p>
        </w:tc>
        <w:tc>
          <w:tcPr>
            <w:tcW w:w="1033" w:type="dxa"/>
            <w:tcBorders>
              <w:top w:val="nil"/>
              <w:left w:val="nil"/>
              <w:bottom w:val="single" w:color="auto" w:sz="12" w:space="0"/>
              <w:right w:val="nil"/>
            </w:tcBorders>
          </w:tcPr>
          <w:p w14:paraId="3C9A2ED4">
            <w:pPr>
              <w:widowControl/>
              <w:spacing w:line="312" w:lineRule="auto"/>
              <w:rPr>
                <w:spacing w:val="8"/>
                <w:szCs w:val="21"/>
              </w:rPr>
            </w:pPr>
            <w:r>
              <w:rPr>
                <w:spacing w:val="8"/>
                <w:szCs w:val="21"/>
              </w:rPr>
              <w:t>146.06</w:t>
            </w:r>
          </w:p>
        </w:tc>
        <w:tc>
          <w:tcPr>
            <w:tcW w:w="1051" w:type="dxa"/>
            <w:tcBorders>
              <w:top w:val="nil"/>
              <w:left w:val="nil"/>
              <w:bottom w:val="single" w:color="auto" w:sz="12" w:space="0"/>
              <w:right w:val="nil"/>
            </w:tcBorders>
          </w:tcPr>
          <w:p w14:paraId="02034CFE">
            <w:pPr>
              <w:widowControl/>
              <w:spacing w:line="312" w:lineRule="auto"/>
              <w:rPr>
                <w:spacing w:val="8"/>
                <w:szCs w:val="21"/>
              </w:rPr>
            </w:pPr>
            <w:r>
              <w:rPr>
                <w:spacing w:val="8"/>
                <w:szCs w:val="21"/>
              </w:rPr>
              <w:t>1218.48</w:t>
            </w:r>
          </w:p>
        </w:tc>
        <w:tc>
          <w:tcPr>
            <w:tcW w:w="1173" w:type="dxa"/>
            <w:tcBorders>
              <w:top w:val="nil"/>
              <w:left w:val="nil"/>
              <w:bottom w:val="single" w:color="auto" w:sz="12" w:space="0"/>
              <w:right w:val="nil"/>
            </w:tcBorders>
          </w:tcPr>
          <w:p w14:paraId="53AD54CF">
            <w:pPr>
              <w:widowControl/>
              <w:spacing w:line="312" w:lineRule="auto"/>
              <w:rPr>
                <w:spacing w:val="8"/>
                <w:szCs w:val="21"/>
              </w:rPr>
            </w:pPr>
            <w:r>
              <w:rPr>
                <w:spacing w:val="8"/>
                <w:szCs w:val="21"/>
              </w:rPr>
              <w:t>4.55</w:t>
            </w:r>
          </w:p>
        </w:tc>
        <w:tc>
          <w:tcPr>
            <w:tcW w:w="1169" w:type="dxa"/>
            <w:tcBorders>
              <w:top w:val="nil"/>
              <w:left w:val="nil"/>
              <w:bottom w:val="single" w:color="auto" w:sz="12" w:space="0"/>
              <w:right w:val="nil"/>
            </w:tcBorders>
          </w:tcPr>
          <w:p w14:paraId="3B9B6D4E">
            <w:pPr>
              <w:widowControl/>
              <w:spacing w:line="312" w:lineRule="auto"/>
              <w:rPr>
                <w:spacing w:val="8"/>
                <w:szCs w:val="21"/>
              </w:rPr>
            </w:pPr>
            <w:r>
              <w:rPr>
                <w:spacing w:val="8"/>
                <w:szCs w:val="21"/>
              </w:rPr>
              <w:t>810.43</w:t>
            </w:r>
          </w:p>
        </w:tc>
        <w:tc>
          <w:tcPr>
            <w:tcW w:w="837" w:type="dxa"/>
            <w:tcBorders>
              <w:top w:val="nil"/>
              <w:left w:val="nil"/>
              <w:bottom w:val="single" w:color="auto" w:sz="12" w:space="0"/>
              <w:right w:val="nil"/>
            </w:tcBorders>
          </w:tcPr>
          <w:p w14:paraId="54BD2D97">
            <w:pPr>
              <w:widowControl/>
              <w:spacing w:line="312" w:lineRule="auto"/>
              <w:rPr>
                <w:spacing w:val="8"/>
                <w:szCs w:val="21"/>
              </w:rPr>
            </w:pPr>
            <w:r>
              <w:rPr>
                <w:spacing w:val="8"/>
                <w:szCs w:val="21"/>
              </w:rPr>
              <w:t>2.72</w:t>
            </w:r>
          </w:p>
        </w:tc>
      </w:tr>
    </w:tbl>
    <w:p w14:paraId="090C261A">
      <w:pPr>
        <w:pStyle w:val="16"/>
        <w:spacing w:before="31" w:after="31"/>
        <w:ind w:firstLine="482"/>
        <w:jc w:val="center"/>
        <w:rPr>
          <w:b/>
          <w:bCs/>
          <w:szCs w:val="24"/>
        </w:rPr>
      </w:pPr>
    </w:p>
    <w:p w14:paraId="4F9FB2EC">
      <w:pPr>
        <w:pStyle w:val="16"/>
        <w:spacing w:before="31" w:after="31"/>
        <w:ind w:firstLine="480"/>
        <w:rPr>
          <w:szCs w:val="24"/>
        </w:rPr>
      </w:pPr>
    </w:p>
    <w:p w14:paraId="37EEA95D">
      <w:pPr>
        <w:pStyle w:val="16"/>
        <w:spacing w:before="31" w:after="31"/>
        <w:ind w:firstLine="480"/>
        <w:rPr>
          <w:rFonts w:hint="eastAsia"/>
          <w:szCs w:val="24"/>
        </w:rPr>
      </w:pPr>
      <w:r>
        <w:rPr>
          <w:szCs w:val="24"/>
        </w:rPr>
        <w:t>After analyzing annual water quality data, it was found that in 1990, the sulfate ion content in groundwater on the left bank slope increased significantly, changing from 600-1500mg/L to 3000-8000mg/L. Groundwater, which was originally non-corrosive to sulfate, became weak to strongly corrosive. In the following years, this indicator remained generally stable in the range of 6000-10000mg/L, sometimes exceeding 10000mg/L, showing strong corrosiveness. The higher the sulfate ion concentration in environmental water and the higher the content of tricalcium aluminate in concrete, the more severe the damage from sulfate erosion.</w:t>
      </w:r>
    </w:p>
    <w:p w14:paraId="59E42BDA">
      <w:pPr>
        <w:pStyle w:val="16"/>
        <w:spacing w:before="31" w:after="31"/>
        <w:ind w:firstLine="480"/>
        <w:rPr>
          <w:szCs w:val="24"/>
        </w:rPr>
      </w:pPr>
      <w:r>
        <w:rPr>
          <w:szCs w:val="24"/>
        </w:rPr>
        <w:t>(7) Impact and Harm Caused</w:t>
      </w:r>
    </w:p>
    <w:p w14:paraId="703E65AA">
      <w:pPr>
        <w:pStyle w:val="16"/>
        <w:spacing w:before="31" w:after="31"/>
        <w:ind w:firstLine="480"/>
        <w:rPr>
          <w:szCs w:val="24"/>
        </w:rPr>
      </w:pPr>
      <w:r>
        <w:rPr>
          <w:szCs w:val="24"/>
        </w:rPr>
        <w:t>Due to the leap-like expansion process of sulfate damage to concrete, there may be a period of calm where the concrete volume does not change significantly. However, at some point, the concrete volume will suddenly expand, causing cracking. This is followed by a period of minimal volume change, brewing the potential for a second volume mutation. Although there is no major abnormal change in the dam macroscopically at present, the occurrence of a significant mutation at some point is unknown, posing a potential threat to the safe operation of the dam.</w:t>
      </w:r>
    </w:p>
    <w:p w14:paraId="24CF0F9D">
      <w:pPr>
        <w:pStyle w:val="16"/>
        <w:spacing w:before="31" w:after="31"/>
        <w:ind w:firstLine="480"/>
        <w:rPr>
          <w:szCs w:val="24"/>
        </w:rPr>
      </w:pPr>
    </w:p>
    <w:p w14:paraId="3696C065">
      <w:pPr>
        <w:pStyle w:val="16"/>
        <w:spacing w:before="31" w:after="31"/>
        <w:ind w:firstLine="480"/>
        <w:rPr>
          <w:szCs w:val="24"/>
        </w:rPr>
      </w:pPr>
      <w:r>
        <w:rPr>
          <w:szCs w:val="24"/>
        </w:rPr>
        <w:t>(8) Conclusion and Improvement Measures</w:t>
      </w:r>
    </w:p>
    <w:p w14:paraId="505FABAC">
      <w:pPr>
        <w:pStyle w:val="16"/>
        <w:spacing w:before="31" w:after="31"/>
        <w:ind w:firstLine="480"/>
        <w:rPr>
          <w:szCs w:val="24"/>
        </w:rPr>
      </w:pPr>
      <w:r>
        <w:rPr>
          <w:szCs w:val="24"/>
        </w:rPr>
        <w:t>Due to the high sulfate concentration in the groundwater of Bapanxia Hydropower Station, serious sulfate erosion has occurred in the concrete dam.</w:t>
      </w:r>
    </w:p>
    <w:p w14:paraId="0149BC2E">
      <w:pPr>
        <w:pStyle w:val="16"/>
        <w:spacing w:before="31" w:after="31"/>
        <w:ind w:firstLine="480"/>
        <w:rPr>
          <w:szCs w:val="24"/>
        </w:rPr>
      </w:pPr>
    </w:p>
    <w:p w14:paraId="04C4EA43">
      <w:pPr>
        <w:pStyle w:val="16"/>
        <w:spacing w:before="31" w:after="31"/>
        <w:ind w:firstLine="480"/>
        <w:rPr>
          <w:szCs w:val="24"/>
        </w:rPr>
      </w:pPr>
      <w:r>
        <w:rPr>
          <w:szCs w:val="24"/>
        </w:rPr>
        <w:t>To address the above issues, the following protective measures are proposed: 1) Strengthen the joints of different curtain bodies, such as re-grouting, eliminate weak seepage areas, and reduce the impact of high-mineralization groundwater on the left bank segment of the riverbed. 2) Since it is not</w:t>
      </w:r>
    </w:p>
    <w:p w14:paraId="115BACA3">
      <w:pPr>
        <w:pStyle w:val="16"/>
        <w:spacing w:before="31" w:after="31"/>
        <w:ind w:firstLine="480"/>
        <w:rPr>
          <w:szCs w:val="24"/>
        </w:rPr>
      </w:pPr>
    </w:p>
    <w:p w14:paraId="4C3B2D51">
      <w:pPr>
        <w:pStyle w:val="16"/>
        <w:spacing w:before="31" w:after="31"/>
        <w:ind w:firstLine="480"/>
        <w:rPr>
          <w:szCs w:val="24"/>
        </w:rPr>
      </w:pPr>
      <w:r>
        <w:rPr>
          <w:szCs w:val="24"/>
        </w:rPr>
        <w:t xml:space="preserve"> possible to completely cut off the groundwater supply route, strengthen the drainage system while reducing the collection, allowing high-mineralization groundwater to be smoothly discharged without causing accumulation. 3) Utilize reservoir water desalination to improve the drainage curtain's drainage function. If the drainage curtain can drain both the left bank groundwater and the reservoir water, the dilution effect of the reservoir water on the rock mass of the left bank slope will weaken. 4) Remove corroded concrete and reapply reinforced concrete with an added appropriate amount of fly ash. 5) Establish a sound groundwater quality monitoring system. Considering the layout of drainage curtains and impermeable curtains, improve the long-term monitoring network, conduct regular inspections and tests, and remedy any problems promptly.</w:t>
      </w:r>
    </w:p>
    <w:p w14:paraId="0F6F400D">
      <w:pPr>
        <w:pStyle w:val="16"/>
        <w:spacing w:before="31" w:after="31"/>
        <w:ind w:firstLine="480"/>
        <w:rPr>
          <w:szCs w:val="24"/>
        </w:rPr>
      </w:pPr>
    </w:p>
    <w:p w14:paraId="23CF5764">
      <w:pPr>
        <w:pStyle w:val="16"/>
        <w:spacing w:before="31" w:after="31"/>
        <w:ind w:firstLine="0" w:firstLineChars="0"/>
        <w:rPr>
          <w:b/>
          <w:bCs/>
          <w:szCs w:val="24"/>
        </w:rPr>
      </w:pPr>
      <w:r>
        <w:rPr>
          <w:b/>
          <w:bCs/>
          <w:szCs w:val="24"/>
        </w:rPr>
        <w:t>10.3 Summary</w:t>
      </w:r>
    </w:p>
    <w:p w14:paraId="2F3C98D4">
      <w:pPr>
        <w:pStyle w:val="16"/>
        <w:spacing w:before="31" w:after="31"/>
        <w:ind w:firstLine="0" w:firstLineChars="0"/>
        <w:rPr>
          <w:b/>
          <w:bCs/>
          <w:szCs w:val="24"/>
        </w:rPr>
      </w:pPr>
      <w:r>
        <w:rPr>
          <w:b/>
          <w:bCs/>
          <w:szCs w:val="24"/>
        </w:rPr>
        <w:t>10.3.1 Major Forms of Failure and Issues</w:t>
      </w:r>
    </w:p>
    <w:p w14:paraId="55155C0E">
      <w:pPr>
        <w:pStyle w:val="16"/>
        <w:spacing w:before="31" w:after="31"/>
        <w:ind w:firstLine="0" w:firstLineChars="0"/>
        <w:rPr>
          <w:szCs w:val="24"/>
        </w:rPr>
      </w:pPr>
      <w:r>
        <w:rPr>
          <w:szCs w:val="24"/>
        </w:rPr>
        <w:t>10.3.1.1 Major Forms of Failure</w:t>
      </w:r>
    </w:p>
    <w:p w14:paraId="2F797973">
      <w:pPr>
        <w:pStyle w:val="16"/>
        <w:spacing w:before="31" w:after="31"/>
        <w:ind w:firstLine="480"/>
        <w:rPr>
          <w:szCs w:val="24"/>
        </w:rPr>
      </w:pPr>
    </w:p>
    <w:p w14:paraId="62350DFD">
      <w:pPr>
        <w:pStyle w:val="16"/>
        <w:spacing w:before="31" w:after="31"/>
        <w:ind w:firstLine="480"/>
        <w:rPr>
          <w:szCs w:val="24"/>
        </w:rPr>
      </w:pPr>
      <w:r>
        <w:rPr>
          <w:szCs w:val="24"/>
        </w:rPr>
        <w:t>Based on investigations of various dam accidents in China's water resources and hydropower industry, as well as the statistical data and analysis of dam diseases causing accidents, material failure is identified as one of the major factors leading to accidents and posing a threat to the safe operation of dams. The main types of failures caused by material failures are: (1) dam body cracks; (2) dam body leakage; (3) aging of spillway structures, gates, and operating mechanisms due to wear, cavitation, and corrosion. The aging of concrete materials caused by environmental factors such as freeze-thaw cycles, erosion, and carbonation is a significant factor leading to dam cracking and leakage. Specific case investigations have categorized the causes of dam accidents, including material factors, production and construction, design factors, and environmental factors, as summarized in Table 10-3.</w:t>
      </w:r>
    </w:p>
    <w:p w14:paraId="7E932601">
      <w:pPr>
        <w:pStyle w:val="16"/>
        <w:spacing w:before="31" w:after="31"/>
        <w:ind w:firstLine="0" w:firstLineChars="0"/>
        <w:rPr>
          <w:szCs w:val="24"/>
        </w:rPr>
      </w:pPr>
      <w:r>
        <w:rPr>
          <w:szCs w:val="24"/>
        </w:rPr>
        <w:t>10.3.1.2 Existing Issues</w:t>
      </w:r>
    </w:p>
    <w:p w14:paraId="41ED675F">
      <w:pPr>
        <w:pStyle w:val="16"/>
        <w:spacing w:before="31" w:after="31"/>
        <w:ind w:firstLine="480"/>
        <w:rPr>
          <w:szCs w:val="24"/>
        </w:rPr>
      </w:pPr>
      <w:r>
        <w:rPr>
          <w:szCs w:val="24"/>
        </w:rPr>
        <w:t>Through investigations and analyses of failure incidents in the water resources industry, the main problems affecting the safe operation of dams are related to design standards and management practices. Insufficient and outdated design standards are identified as a major factor leading to improper designs. Early industry standards had lower requirements for safety and structural strength, resulting in inadequate flood resistance, insufficient flood discharge capacity, low stability safety factors, and structural strength that did not meet the requirements. Regarding material requirements, strength design was emphasized in the design process, but durability indicators were not fully adapted to the long-term safe operation of hydraulic structures. The quantitative design of durability indicators based on the safety operating life was not achieved.</w:t>
      </w:r>
    </w:p>
    <w:p w14:paraId="58A68263">
      <w:pPr>
        <w:pStyle w:val="16"/>
        <w:spacing w:before="31" w:after="31"/>
        <w:ind w:firstLine="480"/>
        <w:rPr>
          <w:szCs w:val="24"/>
        </w:rPr>
      </w:pPr>
      <w:r>
        <w:rPr>
          <w:szCs w:val="24"/>
        </w:rPr>
        <w:t>Management issues include: 1) outdated and severely damaged dam safety monitoring facilities, low measurement accuracy, poor reliability, and some dams lacking necessary monitoring items and facilities; 2) improper management of unmanned dams, over-filling, and inadequate maintenance and operation.</w:t>
      </w:r>
    </w:p>
    <w:p w14:paraId="06E4EE01">
      <w:pPr>
        <w:pStyle w:val="16"/>
        <w:spacing w:before="31" w:after="31"/>
        <w:ind w:firstLine="480"/>
        <w:rPr>
          <w:szCs w:val="24"/>
        </w:rPr>
      </w:pPr>
    </w:p>
    <w:p w14:paraId="178B4E45">
      <w:pPr>
        <w:pStyle w:val="16"/>
        <w:spacing w:before="31" w:after="31"/>
        <w:ind w:firstLine="482"/>
        <w:jc w:val="center"/>
        <w:rPr>
          <w:b/>
          <w:bCs/>
          <w:szCs w:val="24"/>
        </w:rPr>
      </w:pPr>
      <w:r>
        <w:rPr>
          <w:b/>
          <w:bCs/>
          <w:szCs w:val="24"/>
        </w:rPr>
        <w:t>Table 10-3 Summary of Failure Incidents in the Water Resources Engineering Industry</w:t>
      </w:r>
    </w:p>
    <w:p w14:paraId="2A1280CA">
      <w:pPr>
        <w:pStyle w:val="20"/>
        <w:spacing w:before="468" w:after="156"/>
        <w:rPr>
          <w:color w:val="000000"/>
        </w:rPr>
      </w:pPr>
      <w:r>
        <w:rPr>
          <w:rFonts w:hint="eastAsia"/>
          <w:color w:val="000000"/>
        </w:rPr>
        <w:t>表</w:t>
      </w:r>
      <w:r>
        <w:rPr>
          <w:color w:val="000000"/>
        </w:rPr>
        <w:t xml:space="preserve">10-3 </w:t>
      </w:r>
      <w:r>
        <w:rPr>
          <w:rFonts w:hint="eastAsia"/>
          <w:color w:val="000000"/>
        </w:rPr>
        <w:t>水利工程行业失效事故总结表</w:t>
      </w:r>
    </w:p>
    <w:tbl>
      <w:tblPr>
        <w:tblStyle w:val="9"/>
        <w:tblW w:w="1145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5"/>
        <w:gridCol w:w="5128"/>
        <w:gridCol w:w="1029"/>
        <w:gridCol w:w="1090"/>
        <w:gridCol w:w="366"/>
        <w:gridCol w:w="923"/>
        <w:gridCol w:w="1643"/>
      </w:tblGrid>
      <w:tr w14:paraId="53DEC2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3"/>
          <w:wAfter w:w="2932" w:type="dxa"/>
          <w:jc w:val="center"/>
        </w:trPr>
        <w:tc>
          <w:tcPr>
            <w:tcW w:w="1384" w:type="dxa"/>
            <w:vMerge w:val="restart"/>
            <w:tcBorders>
              <w:top w:val="single" w:color="auto" w:sz="12" w:space="0"/>
              <w:left w:val="nil"/>
              <w:bottom w:val="single" w:color="auto" w:sz="12" w:space="0"/>
              <w:right w:val="nil"/>
            </w:tcBorders>
            <w:vAlign w:val="center"/>
          </w:tcPr>
          <w:p w14:paraId="22E37CC2">
            <w:pPr>
              <w:pStyle w:val="16"/>
              <w:spacing w:before="31" w:after="31"/>
              <w:ind w:firstLine="0" w:firstLineChars="0"/>
              <w:jc w:val="center"/>
              <w:rPr>
                <w:rFonts w:cs="Times New Roman"/>
                <w:sz w:val="21"/>
                <w:szCs w:val="21"/>
              </w:rPr>
            </w:pPr>
            <w:r>
              <w:rPr>
                <w:szCs w:val="24"/>
              </w:rPr>
              <w:t>No.</w:t>
            </w:r>
          </w:p>
        </w:tc>
        <w:tc>
          <w:tcPr>
            <w:tcW w:w="5812" w:type="dxa"/>
            <w:vMerge w:val="restart"/>
            <w:tcBorders>
              <w:top w:val="single" w:color="auto" w:sz="12" w:space="0"/>
              <w:left w:val="nil"/>
              <w:bottom w:val="single" w:color="auto" w:sz="12" w:space="0"/>
              <w:right w:val="nil"/>
            </w:tcBorders>
            <w:vAlign w:val="center"/>
          </w:tcPr>
          <w:p w14:paraId="0C35DADF">
            <w:pPr>
              <w:pStyle w:val="16"/>
              <w:spacing w:before="31" w:after="31"/>
              <w:ind w:firstLine="480"/>
              <w:jc w:val="center"/>
              <w:rPr>
                <w:rFonts w:cs="Times New Roman"/>
                <w:sz w:val="21"/>
                <w:szCs w:val="21"/>
              </w:rPr>
            </w:pPr>
            <w:r>
              <w:rPr>
                <w:szCs w:val="24"/>
              </w:rPr>
              <w:t>Case Name</w:t>
            </w:r>
          </w:p>
        </w:tc>
        <w:tc>
          <w:tcPr>
            <w:tcW w:w="1326" w:type="dxa"/>
            <w:gridSpan w:val="2"/>
            <w:tcBorders>
              <w:top w:val="single" w:color="auto" w:sz="12" w:space="0"/>
              <w:left w:val="nil"/>
              <w:bottom w:val="single" w:color="auto" w:sz="12" w:space="0"/>
              <w:right w:val="nil"/>
            </w:tcBorders>
            <w:vAlign w:val="center"/>
          </w:tcPr>
          <w:p w14:paraId="091A5FED">
            <w:pPr>
              <w:pStyle w:val="16"/>
              <w:spacing w:before="31" w:after="31"/>
              <w:ind w:firstLine="0" w:firstLineChars="0"/>
              <w:jc w:val="center"/>
              <w:rPr>
                <w:rFonts w:cs="Times New Roman"/>
                <w:sz w:val="21"/>
                <w:szCs w:val="21"/>
              </w:rPr>
            </w:pPr>
            <w:r>
              <w:rPr>
                <w:szCs w:val="24"/>
              </w:rPr>
              <w:t>Causes of Failure</w:t>
            </w:r>
          </w:p>
        </w:tc>
      </w:tr>
      <w:tr w14:paraId="19BAE1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vMerge w:val="continue"/>
            <w:tcBorders>
              <w:top w:val="single" w:color="auto" w:sz="12" w:space="0"/>
              <w:left w:val="nil"/>
              <w:bottom w:val="single" w:color="auto" w:sz="12" w:space="0"/>
              <w:right w:val="nil"/>
            </w:tcBorders>
            <w:vAlign w:val="center"/>
          </w:tcPr>
          <w:p w14:paraId="23D63D7F">
            <w:pPr>
              <w:widowControl/>
              <w:spacing w:beforeAutospacing="1" w:afterAutospacing="1"/>
              <w:jc w:val="left"/>
              <w:rPr>
                <w:szCs w:val="21"/>
              </w:rPr>
            </w:pPr>
          </w:p>
        </w:tc>
        <w:tc>
          <w:tcPr>
            <w:tcW w:w="5812" w:type="dxa"/>
            <w:vMerge w:val="continue"/>
            <w:tcBorders>
              <w:top w:val="single" w:color="auto" w:sz="12" w:space="0"/>
              <w:left w:val="nil"/>
              <w:bottom w:val="single" w:color="auto" w:sz="12" w:space="0"/>
              <w:right w:val="nil"/>
            </w:tcBorders>
            <w:vAlign w:val="center"/>
          </w:tcPr>
          <w:p w14:paraId="6D01FFCF">
            <w:pPr>
              <w:widowControl/>
              <w:spacing w:beforeAutospacing="1" w:afterAutospacing="1"/>
              <w:jc w:val="left"/>
              <w:rPr>
                <w:szCs w:val="21"/>
              </w:rPr>
            </w:pPr>
          </w:p>
        </w:tc>
        <w:tc>
          <w:tcPr>
            <w:tcW w:w="236" w:type="dxa"/>
            <w:tcBorders>
              <w:top w:val="single" w:color="auto" w:sz="12" w:space="0"/>
              <w:left w:val="nil"/>
              <w:bottom w:val="single" w:color="auto" w:sz="12" w:space="0"/>
              <w:right w:val="nil"/>
            </w:tcBorders>
            <w:vAlign w:val="center"/>
          </w:tcPr>
          <w:p w14:paraId="00BF9DC4">
            <w:pPr>
              <w:pStyle w:val="16"/>
              <w:spacing w:before="31" w:after="31"/>
              <w:ind w:firstLine="0" w:firstLineChars="0"/>
              <w:jc w:val="center"/>
              <w:rPr>
                <w:rFonts w:cs="Times New Roman"/>
                <w:sz w:val="21"/>
                <w:szCs w:val="21"/>
              </w:rPr>
            </w:pPr>
            <w:r>
              <w:rPr>
                <w:szCs w:val="24"/>
              </w:rPr>
              <w:t>Material Itself</w:t>
            </w:r>
          </w:p>
        </w:tc>
        <w:tc>
          <w:tcPr>
            <w:tcW w:w="1456" w:type="dxa"/>
            <w:gridSpan w:val="2"/>
            <w:tcBorders>
              <w:top w:val="single" w:color="auto" w:sz="12" w:space="0"/>
              <w:left w:val="nil"/>
              <w:bottom w:val="single" w:color="auto" w:sz="12" w:space="0"/>
              <w:right w:val="nil"/>
            </w:tcBorders>
            <w:vAlign w:val="center"/>
          </w:tcPr>
          <w:p w14:paraId="52141B87">
            <w:pPr>
              <w:pStyle w:val="16"/>
              <w:spacing w:before="31" w:after="31"/>
              <w:ind w:firstLine="0" w:firstLineChars="0"/>
              <w:jc w:val="center"/>
              <w:rPr>
                <w:rFonts w:cs="Times New Roman"/>
                <w:sz w:val="21"/>
                <w:szCs w:val="21"/>
              </w:rPr>
            </w:pPr>
            <w:r>
              <w:rPr>
                <w:szCs w:val="24"/>
              </w:rPr>
              <w:t>Production and Construction</w:t>
            </w:r>
          </w:p>
        </w:tc>
        <w:tc>
          <w:tcPr>
            <w:tcW w:w="923" w:type="dxa"/>
            <w:tcBorders>
              <w:top w:val="single" w:color="auto" w:sz="12" w:space="0"/>
              <w:left w:val="nil"/>
              <w:bottom w:val="single" w:color="auto" w:sz="12" w:space="0"/>
              <w:right w:val="nil"/>
            </w:tcBorders>
            <w:vAlign w:val="center"/>
          </w:tcPr>
          <w:p w14:paraId="6870F424">
            <w:pPr>
              <w:pStyle w:val="16"/>
              <w:spacing w:before="31" w:after="31"/>
              <w:ind w:firstLine="0" w:firstLineChars="0"/>
              <w:jc w:val="center"/>
              <w:rPr>
                <w:rFonts w:cs="Times New Roman"/>
                <w:sz w:val="21"/>
                <w:szCs w:val="21"/>
              </w:rPr>
            </w:pPr>
            <w:r>
              <w:rPr>
                <w:szCs w:val="24"/>
              </w:rPr>
              <w:t>Design Factors</w:t>
            </w:r>
          </w:p>
        </w:tc>
        <w:tc>
          <w:tcPr>
            <w:tcW w:w="1643" w:type="dxa"/>
            <w:tcBorders>
              <w:top w:val="single" w:color="auto" w:sz="12" w:space="0"/>
              <w:left w:val="nil"/>
              <w:bottom w:val="single" w:color="auto" w:sz="12" w:space="0"/>
              <w:right w:val="nil"/>
            </w:tcBorders>
            <w:vAlign w:val="center"/>
          </w:tcPr>
          <w:p w14:paraId="5052F62C">
            <w:pPr>
              <w:pStyle w:val="16"/>
              <w:spacing w:before="31" w:after="31"/>
              <w:ind w:firstLine="0" w:firstLineChars="0"/>
              <w:jc w:val="center"/>
              <w:rPr>
                <w:rFonts w:cs="Times New Roman"/>
                <w:sz w:val="21"/>
                <w:szCs w:val="21"/>
              </w:rPr>
            </w:pPr>
            <w:r>
              <w:rPr>
                <w:szCs w:val="24"/>
              </w:rPr>
              <w:t>Environmental Factors</w:t>
            </w:r>
          </w:p>
        </w:tc>
      </w:tr>
      <w:tr w14:paraId="2F9774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tcBorders>
              <w:top w:val="single" w:color="auto" w:sz="12" w:space="0"/>
              <w:left w:val="nil"/>
              <w:bottom w:val="nil"/>
              <w:right w:val="nil"/>
            </w:tcBorders>
            <w:vAlign w:val="center"/>
          </w:tcPr>
          <w:p w14:paraId="3175844A">
            <w:pPr>
              <w:pStyle w:val="16"/>
              <w:spacing w:before="31" w:after="31"/>
              <w:ind w:firstLine="0" w:firstLineChars="0"/>
              <w:jc w:val="center"/>
              <w:rPr>
                <w:rFonts w:cs="Times New Roman"/>
                <w:sz w:val="21"/>
                <w:szCs w:val="21"/>
              </w:rPr>
            </w:pPr>
            <w:r>
              <w:rPr>
                <w:rFonts w:hint="eastAsia"/>
                <w:szCs w:val="24"/>
              </w:rPr>
              <w:t>Case</w:t>
            </w:r>
            <w:r>
              <w:rPr>
                <w:rFonts w:cs="Times New Roman"/>
                <w:sz w:val="21"/>
                <w:szCs w:val="21"/>
              </w:rPr>
              <w:t xml:space="preserve"> 10-1</w:t>
            </w:r>
          </w:p>
        </w:tc>
        <w:tc>
          <w:tcPr>
            <w:tcW w:w="5812" w:type="dxa"/>
            <w:tcBorders>
              <w:top w:val="single" w:color="auto" w:sz="12" w:space="0"/>
              <w:left w:val="nil"/>
              <w:bottom w:val="nil"/>
              <w:right w:val="nil"/>
            </w:tcBorders>
            <w:vAlign w:val="center"/>
          </w:tcPr>
          <w:p w14:paraId="0460C64E">
            <w:pPr>
              <w:pStyle w:val="16"/>
              <w:spacing w:before="31" w:after="31"/>
              <w:ind w:firstLine="0" w:firstLineChars="0"/>
              <w:jc w:val="left"/>
              <w:rPr>
                <w:rFonts w:cs="Times New Roman"/>
                <w:sz w:val="21"/>
                <w:szCs w:val="21"/>
              </w:rPr>
            </w:pPr>
            <w:r>
              <w:rPr>
                <w:rFonts w:hint="eastAsia"/>
                <w:szCs w:val="24"/>
              </w:rPr>
              <w:t>Fengman Hydropower Station Dam Overflow Face Erosion</w:t>
            </w:r>
          </w:p>
        </w:tc>
        <w:tc>
          <w:tcPr>
            <w:tcW w:w="236" w:type="dxa"/>
            <w:tcBorders>
              <w:top w:val="single" w:color="auto" w:sz="12" w:space="0"/>
              <w:left w:val="nil"/>
              <w:bottom w:val="nil"/>
              <w:right w:val="nil"/>
            </w:tcBorders>
            <w:vAlign w:val="center"/>
          </w:tcPr>
          <w:p w14:paraId="0FA45363">
            <w:pPr>
              <w:jc w:val="center"/>
            </w:pPr>
            <w:r>
              <w:t>√</w:t>
            </w:r>
          </w:p>
        </w:tc>
        <w:tc>
          <w:tcPr>
            <w:tcW w:w="1456" w:type="dxa"/>
            <w:gridSpan w:val="2"/>
            <w:tcBorders>
              <w:top w:val="single" w:color="auto" w:sz="12" w:space="0"/>
              <w:left w:val="nil"/>
              <w:bottom w:val="nil"/>
              <w:right w:val="nil"/>
            </w:tcBorders>
            <w:vAlign w:val="center"/>
          </w:tcPr>
          <w:p w14:paraId="2E1FC785">
            <w:pPr>
              <w:pStyle w:val="16"/>
              <w:spacing w:before="31" w:after="31"/>
              <w:ind w:firstLine="0" w:firstLineChars="0"/>
              <w:jc w:val="center"/>
              <w:rPr>
                <w:rFonts w:cs="Times New Roman"/>
                <w:sz w:val="21"/>
                <w:szCs w:val="21"/>
              </w:rPr>
            </w:pPr>
          </w:p>
        </w:tc>
        <w:tc>
          <w:tcPr>
            <w:tcW w:w="923" w:type="dxa"/>
            <w:tcBorders>
              <w:top w:val="single" w:color="auto" w:sz="12" w:space="0"/>
              <w:left w:val="nil"/>
              <w:bottom w:val="nil"/>
              <w:right w:val="nil"/>
            </w:tcBorders>
            <w:vAlign w:val="center"/>
          </w:tcPr>
          <w:p w14:paraId="143608E5">
            <w:pPr>
              <w:pStyle w:val="16"/>
              <w:spacing w:before="31" w:after="31"/>
              <w:ind w:firstLine="0" w:firstLineChars="0"/>
              <w:jc w:val="center"/>
              <w:rPr>
                <w:rFonts w:cs="Times New Roman"/>
                <w:sz w:val="21"/>
                <w:szCs w:val="21"/>
              </w:rPr>
            </w:pPr>
          </w:p>
        </w:tc>
        <w:tc>
          <w:tcPr>
            <w:tcW w:w="1643" w:type="dxa"/>
            <w:tcBorders>
              <w:top w:val="single" w:color="auto" w:sz="12" w:space="0"/>
              <w:left w:val="nil"/>
              <w:bottom w:val="nil"/>
              <w:right w:val="nil"/>
            </w:tcBorders>
            <w:vAlign w:val="center"/>
          </w:tcPr>
          <w:p w14:paraId="77FFE8EB">
            <w:pPr>
              <w:pStyle w:val="16"/>
              <w:spacing w:before="31" w:after="31"/>
              <w:ind w:firstLine="0" w:firstLineChars="0"/>
              <w:jc w:val="center"/>
              <w:rPr>
                <w:rFonts w:cs="Times New Roman"/>
                <w:sz w:val="21"/>
                <w:szCs w:val="21"/>
              </w:rPr>
            </w:pPr>
            <w:r>
              <w:rPr>
                <w:rFonts w:cs="Times New Roman"/>
              </w:rPr>
              <w:t>√</w:t>
            </w:r>
          </w:p>
        </w:tc>
      </w:tr>
      <w:tr w14:paraId="0FFD02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tcBorders>
              <w:top w:val="nil"/>
              <w:left w:val="nil"/>
              <w:bottom w:val="nil"/>
              <w:right w:val="nil"/>
            </w:tcBorders>
            <w:vAlign w:val="center"/>
          </w:tcPr>
          <w:p w14:paraId="6053EF9A">
            <w:pPr>
              <w:pStyle w:val="16"/>
              <w:spacing w:before="31" w:after="31"/>
              <w:ind w:firstLine="0" w:firstLineChars="0"/>
              <w:jc w:val="center"/>
              <w:rPr>
                <w:rFonts w:cs="Times New Roman"/>
                <w:sz w:val="21"/>
                <w:szCs w:val="21"/>
              </w:rPr>
            </w:pPr>
            <w:r>
              <w:rPr>
                <w:rFonts w:hint="eastAsia"/>
                <w:szCs w:val="24"/>
              </w:rPr>
              <w:t>Case</w:t>
            </w:r>
            <w:r>
              <w:rPr>
                <w:rFonts w:cs="Times New Roman"/>
                <w:sz w:val="21"/>
                <w:szCs w:val="21"/>
              </w:rPr>
              <w:t xml:space="preserve"> 10-2</w:t>
            </w:r>
          </w:p>
        </w:tc>
        <w:tc>
          <w:tcPr>
            <w:tcW w:w="5812" w:type="dxa"/>
            <w:tcBorders>
              <w:top w:val="nil"/>
              <w:left w:val="nil"/>
              <w:bottom w:val="nil"/>
              <w:right w:val="nil"/>
            </w:tcBorders>
            <w:vAlign w:val="center"/>
          </w:tcPr>
          <w:p w14:paraId="0F1BC8CE">
            <w:pPr>
              <w:pStyle w:val="16"/>
              <w:spacing w:before="31" w:after="31"/>
              <w:ind w:firstLine="0" w:firstLineChars="0"/>
              <w:jc w:val="left"/>
              <w:rPr>
                <w:rFonts w:cs="Times New Roman"/>
                <w:sz w:val="21"/>
                <w:szCs w:val="21"/>
              </w:rPr>
            </w:pPr>
            <w:r>
              <w:rPr>
                <w:rFonts w:hint="eastAsia"/>
                <w:szCs w:val="24"/>
              </w:rPr>
              <w:t>Chencun Hydropower Station Dam Body Cracks</w:t>
            </w:r>
          </w:p>
        </w:tc>
        <w:tc>
          <w:tcPr>
            <w:tcW w:w="236" w:type="dxa"/>
            <w:tcBorders>
              <w:top w:val="nil"/>
              <w:left w:val="nil"/>
              <w:bottom w:val="nil"/>
              <w:right w:val="nil"/>
            </w:tcBorders>
            <w:vAlign w:val="center"/>
          </w:tcPr>
          <w:p w14:paraId="37F342DB">
            <w:pPr>
              <w:pStyle w:val="16"/>
              <w:spacing w:before="31" w:after="31"/>
              <w:ind w:firstLine="0" w:firstLineChars="0"/>
              <w:jc w:val="center"/>
              <w:rPr>
                <w:rFonts w:cs="Times New Roman"/>
                <w:sz w:val="21"/>
                <w:szCs w:val="21"/>
              </w:rPr>
            </w:pPr>
          </w:p>
        </w:tc>
        <w:tc>
          <w:tcPr>
            <w:tcW w:w="1456" w:type="dxa"/>
            <w:gridSpan w:val="2"/>
            <w:tcBorders>
              <w:top w:val="nil"/>
              <w:left w:val="nil"/>
              <w:bottom w:val="nil"/>
              <w:right w:val="nil"/>
            </w:tcBorders>
            <w:vAlign w:val="center"/>
          </w:tcPr>
          <w:p w14:paraId="0A5891FF">
            <w:pPr>
              <w:pStyle w:val="16"/>
              <w:spacing w:before="31" w:after="31"/>
              <w:ind w:firstLine="0" w:firstLineChars="0"/>
              <w:jc w:val="center"/>
              <w:rPr>
                <w:rFonts w:cs="Times New Roman"/>
                <w:sz w:val="21"/>
                <w:szCs w:val="21"/>
              </w:rPr>
            </w:pPr>
            <w:r>
              <w:rPr>
                <w:rFonts w:cs="Times New Roman"/>
              </w:rPr>
              <w:t>√</w:t>
            </w:r>
          </w:p>
        </w:tc>
        <w:tc>
          <w:tcPr>
            <w:tcW w:w="923" w:type="dxa"/>
            <w:tcBorders>
              <w:top w:val="nil"/>
              <w:left w:val="nil"/>
              <w:bottom w:val="nil"/>
              <w:right w:val="nil"/>
            </w:tcBorders>
            <w:vAlign w:val="center"/>
          </w:tcPr>
          <w:p w14:paraId="02E58D3A">
            <w:pPr>
              <w:pStyle w:val="16"/>
              <w:spacing w:before="31" w:after="31"/>
              <w:ind w:firstLine="0" w:firstLineChars="0"/>
              <w:jc w:val="center"/>
              <w:rPr>
                <w:rFonts w:cs="Times New Roman"/>
                <w:sz w:val="21"/>
                <w:szCs w:val="21"/>
              </w:rPr>
            </w:pPr>
          </w:p>
        </w:tc>
        <w:tc>
          <w:tcPr>
            <w:tcW w:w="1643" w:type="dxa"/>
            <w:tcBorders>
              <w:top w:val="nil"/>
              <w:left w:val="nil"/>
              <w:bottom w:val="nil"/>
              <w:right w:val="nil"/>
            </w:tcBorders>
            <w:vAlign w:val="center"/>
          </w:tcPr>
          <w:p w14:paraId="3B679647">
            <w:pPr>
              <w:pStyle w:val="16"/>
              <w:spacing w:before="31" w:after="31"/>
              <w:ind w:firstLine="0" w:firstLineChars="0"/>
              <w:jc w:val="center"/>
              <w:rPr>
                <w:rFonts w:cs="Times New Roman"/>
                <w:sz w:val="21"/>
                <w:szCs w:val="21"/>
              </w:rPr>
            </w:pPr>
          </w:p>
        </w:tc>
      </w:tr>
      <w:tr w14:paraId="5CC005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tcBorders>
              <w:top w:val="nil"/>
              <w:left w:val="nil"/>
              <w:bottom w:val="nil"/>
              <w:right w:val="nil"/>
            </w:tcBorders>
            <w:vAlign w:val="center"/>
          </w:tcPr>
          <w:p w14:paraId="78459367">
            <w:pPr>
              <w:pStyle w:val="16"/>
              <w:spacing w:before="31" w:after="31"/>
              <w:ind w:firstLine="0" w:firstLineChars="0"/>
              <w:jc w:val="center"/>
              <w:rPr>
                <w:rFonts w:cs="Times New Roman"/>
                <w:sz w:val="21"/>
                <w:szCs w:val="21"/>
              </w:rPr>
            </w:pPr>
            <w:r>
              <w:rPr>
                <w:rFonts w:hint="eastAsia"/>
                <w:szCs w:val="24"/>
              </w:rPr>
              <w:t>Case</w:t>
            </w:r>
            <w:r>
              <w:rPr>
                <w:rFonts w:cs="Times New Roman"/>
                <w:sz w:val="21"/>
                <w:szCs w:val="21"/>
              </w:rPr>
              <w:t xml:space="preserve"> 10-3</w:t>
            </w:r>
          </w:p>
        </w:tc>
        <w:tc>
          <w:tcPr>
            <w:tcW w:w="5812" w:type="dxa"/>
            <w:tcBorders>
              <w:top w:val="nil"/>
              <w:left w:val="nil"/>
              <w:bottom w:val="nil"/>
              <w:right w:val="nil"/>
            </w:tcBorders>
            <w:vAlign w:val="center"/>
          </w:tcPr>
          <w:p w14:paraId="2034C3F7">
            <w:pPr>
              <w:pStyle w:val="16"/>
              <w:spacing w:before="31" w:after="31"/>
              <w:ind w:firstLine="0" w:firstLineChars="0"/>
              <w:jc w:val="left"/>
              <w:rPr>
                <w:rFonts w:cs="Times New Roman"/>
                <w:sz w:val="21"/>
                <w:szCs w:val="21"/>
              </w:rPr>
            </w:pPr>
            <w:r>
              <w:rPr>
                <w:rFonts w:hint="eastAsia"/>
                <w:szCs w:val="24"/>
              </w:rPr>
              <w:t>Zhexi Power Station Spillway Dam Cavitation Damage</w:t>
            </w:r>
          </w:p>
        </w:tc>
        <w:tc>
          <w:tcPr>
            <w:tcW w:w="236" w:type="dxa"/>
            <w:tcBorders>
              <w:top w:val="nil"/>
              <w:left w:val="nil"/>
              <w:bottom w:val="nil"/>
              <w:right w:val="nil"/>
            </w:tcBorders>
            <w:vAlign w:val="center"/>
          </w:tcPr>
          <w:p w14:paraId="234EA3CA">
            <w:pPr>
              <w:pStyle w:val="16"/>
              <w:spacing w:before="31" w:after="31"/>
              <w:ind w:firstLine="0" w:firstLineChars="0"/>
              <w:jc w:val="center"/>
              <w:rPr>
                <w:rFonts w:cs="Times New Roman"/>
                <w:sz w:val="21"/>
                <w:szCs w:val="21"/>
              </w:rPr>
            </w:pPr>
            <w:r>
              <w:rPr>
                <w:rFonts w:cs="Times New Roman"/>
              </w:rPr>
              <w:t>√</w:t>
            </w:r>
          </w:p>
        </w:tc>
        <w:tc>
          <w:tcPr>
            <w:tcW w:w="1456" w:type="dxa"/>
            <w:gridSpan w:val="2"/>
            <w:tcBorders>
              <w:top w:val="nil"/>
              <w:left w:val="nil"/>
              <w:bottom w:val="nil"/>
              <w:right w:val="nil"/>
            </w:tcBorders>
            <w:vAlign w:val="center"/>
          </w:tcPr>
          <w:p w14:paraId="1AEE33AF">
            <w:pPr>
              <w:pStyle w:val="16"/>
              <w:spacing w:before="31" w:after="31"/>
              <w:ind w:firstLine="0" w:firstLineChars="0"/>
              <w:jc w:val="center"/>
              <w:rPr>
                <w:rFonts w:cs="Times New Roman"/>
                <w:sz w:val="21"/>
                <w:szCs w:val="21"/>
              </w:rPr>
            </w:pPr>
          </w:p>
        </w:tc>
        <w:tc>
          <w:tcPr>
            <w:tcW w:w="923" w:type="dxa"/>
            <w:tcBorders>
              <w:top w:val="nil"/>
              <w:left w:val="nil"/>
              <w:bottom w:val="nil"/>
              <w:right w:val="nil"/>
            </w:tcBorders>
            <w:vAlign w:val="center"/>
          </w:tcPr>
          <w:p w14:paraId="3F417600">
            <w:pPr>
              <w:pStyle w:val="16"/>
              <w:spacing w:before="31" w:after="31"/>
              <w:ind w:firstLine="0" w:firstLineChars="0"/>
              <w:jc w:val="center"/>
              <w:rPr>
                <w:rFonts w:cs="Times New Roman"/>
                <w:sz w:val="21"/>
                <w:szCs w:val="21"/>
              </w:rPr>
            </w:pPr>
          </w:p>
        </w:tc>
        <w:tc>
          <w:tcPr>
            <w:tcW w:w="1643" w:type="dxa"/>
            <w:tcBorders>
              <w:top w:val="nil"/>
              <w:left w:val="nil"/>
              <w:bottom w:val="nil"/>
              <w:right w:val="nil"/>
            </w:tcBorders>
            <w:vAlign w:val="center"/>
          </w:tcPr>
          <w:p w14:paraId="4D58A508">
            <w:pPr>
              <w:pStyle w:val="16"/>
              <w:spacing w:before="31" w:after="31"/>
              <w:ind w:firstLine="0" w:firstLineChars="0"/>
              <w:jc w:val="center"/>
              <w:rPr>
                <w:rFonts w:cs="Times New Roman"/>
                <w:sz w:val="21"/>
                <w:szCs w:val="21"/>
              </w:rPr>
            </w:pPr>
          </w:p>
        </w:tc>
      </w:tr>
      <w:tr w14:paraId="7D9D7B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tcBorders>
              <w:top w:val="nil"/>
              <w:left w:val="nil"/>
              <w:bottom w:val="nil"/>
              <w:right w:val="nil"/>
            </w:tcBorders>
            <w:vAlign w:val="center"/>
          </w:tcPr>
          <w:p w14:paraId="4D95CD20">
            <w:pPr>
              <w:pStyle w:val="16"/>
              <w:spacing w:before="31" w:after="31"/>
              <w:ind w:firstLine="0" w:firstLineChars="0"/>
              <w:jc w:val="center"/>
              <w:rPr>
                <w:rFonts w:cs="Times New Roman"/>
                <w:sz w:val="21"/>
                <w:szCs w:val="21"/>
              </w:rPr>
            </w:pPr>
            <w:r>
              <w:rPr>
                <w:rFonts w:hint="eastAsia"/>
                <w:szCs w:val="24"/>
              </w:rPr>
              <w:t>Case</w:t>
            </w:r>
            <w:r>
              <w:rPr>
                <w:rFonts w:cs="Times New Roman"/>
                <w:sz w:val="21"/>
                <w:szCs w:val="21"/>
              </w:rPr>
              <w:t xml:space="preserve"> 10-4</w:t>
            </w:r>
          </w:p>
        </w:tc>
        <w:tc>
          <w:tcPr>
            <w:tcW w:w="5812" w:type="dxa"/>
            <w:tcBorders>
              <w:top w:val="nil"/>
              <w:left w:val="nil"/>
              <w:bottom w:val="nil"/>
              <w:right w:val="nil"/>
            </w:tcBorders>
            <w:vAlign w:val="center"/>
          </w:tcPr>
          <w:p w14:paraId="06EB27E9">
            <w:pPr>
              <w:pStyle w:val="16"/>
              <w:spacing w:before="31" w:after="31"/>
              <w:ind w:firstLine="0" w:firstLineChars="0"/>
              <w:jc w:val="left"/>
              <w:rPr>
                <w:rFonts w:cs="Times New Roman"/>
                <w:sz w:val="21"/>
                <w:szCs w:val="21"/>
              </w:rPr>
            </w:pPr>
            <w:r>
              <w:rPr>
                <w:rFonts w:hint="eastAsia"/>
                <w:szCs w:val="24"/>
              </w:rPr>
              <w:t>Yanguoxia Hydropower Station Spillway Energy Dissipation Pool Protection Slope Erosion Damage</w:t>
            </w:r>
          </w:p>
        </w:tc>
        <w:tc>
          <w:tcPr>
            <w:tcW w:w="236" w:type="dxa"/>
            <w:tcBorders>
              <w:top w:val="nil"/>
              <w:left w:val="nil"/>
              <w:bottom w:val="nil"/>
              <w:right w:val="nil"/>
            </w:tcBorders>
            <w:vAlign w:val="center"/>
          </w:tcPr>
          <w:p w14:paraId="0666BC9C">
            <w:pPr>
              <w:pStyle w:val="16"/>
              <w:spacing w:before="31" w:after="31"/>
              <w:ind w:firstLine="0" w:firstLineChars="0"/>
              <w:jc w:val="center"/>
              <w:rPr>
                <w:rFonts w:cs="Times New Roman"/>
                <w:sz w:val="21"/>
                <w:szCs w:val="21"/>
              </w:rPr>
            </w:pPr>
            <w:r>
              <w:rPr>
                <w:rFonts w:cs="Times New Roman"/>
              </w:rPr>
              <w:t>√</w:t>
            </w:r>
          </w:p>
        </w:tc>
        <w:tc>
          <w:tcPr>
            <w:tcW w:w="1456" w:type="dxa"/>
            <w:gridSpan w:val="2"/>
            <w:tcBorders>
              <w:top w:val="nil"/>
              <w:left w:val="nil"/>
              <w:bottom w:val="nil"/>
              <w:right w:val="nil"/>
            </w:tcBorders>
            <w:vAlign w:val="center"/>
          </w:tcPr>
          <w:p w14:paraId="2E5E7188">
            <w:pPr>
              <w:pStyle w:val="16"/>
              <w:spacing w:before="31" w:after="31"/>
              <w:ind w:firstLine="0" w:firstLineChars="0"/>
              <w:jc w:val="center"/>
              <w:rPr>
                <w:rFonts w:cs="Times New Roman"/>
                <w:sz w:val="21"/>
                <w:szCs w:val="21"/>
              </w:rPr>
            </w:pPr>
            <w:r>
              <w:rPr>
                <w:rFonts w:cs="Times New Roman"/>
              </w:rPr>
              <w:t>√</w:t>
            </w:r>
          </w:p>
        </w:tc>
        <w:tc>
          <w:tcPr>
            <w:tcW w:w="923" w:type="dxa"/>
            <w:tcBorders>
              <w:top w:val="nil"/>
              <w:left w:val="nil"/>
              <w:bottom w:val="nil"/>
              <w:right w:val="nil"/>
            </w:tcBorders>
            <w:vAlign w:val="center"/>
          </w:tcPr>
          <w:p w14:paraId="78364578">
            <w:pPr>
              <w:pStyle w:val="16"/>
              <w:spacing w:before="31" w:after="31"/>
              <w:ind w:firstLine="0" w:firstLineChars="0"/>
              <w:jc w:val="center"/>
              <w:rPr>
                <w:rFonts w:cs="Times New Roman"/>
                <w:sz w:val="21"/>
                <w:szCs w:val="21"/>
              </w:rPr>
            </w:pPr>
            <w:r>
              <w:rPr>
                <w:rFonts w:cs="Times New Roman"/>
              </w:rPr>
              <w:t>√</w:t>
            </w:r>
          </w:p>
        </w:tc>
        <w:tc>
          <w:tcPr>
            <w:tcW w:w="1643" w:type="dxa"/>
            <w:tcBorders>
              <w:top w:val="nil"/>
              <w:left w:val="nil"/>
              <w:bottom w:val="nil"/>
              <w:right w:val="nil"/>
            </w:tcBorders>
            <w:vAlign w:val="center"/>
          </w:tcPr>
          <w:p w14:paraId="55140F58">
            <w:pPr>
              <w:pStyle w:val="16"/>
              <w:spacing w:before="31" w:after="31"/>
              <w:ind w:firstLine="0" w:firstLineChars="0"/>
              <w:jc w:val="center"/>
              <w:rPr>
                <w:rFonts w:cs="Times New Roman"/>
                <w:sz w:val="21"/>
                <w:szCs w:val="21"/>
              </w:rPr>
            </w:pPr>
          </w:p>
        </w:tc>
      </w:tr>
      <w:tr w14:paraId="08C522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tcBorders>
              <w:top w:val="nil"/>
              <w:left w:val="nil"/>
              <w:bottom w:val="nil"/>
              <w:right w:val="nil"/>
            </w:tcBorders>
            <w:vAlign w:val="center"/>
          </w:tcPr>
          <w:p w14:paraId="1D962534">
            <w:pPr>
              <w:pStyle w:val="16"/>
              <w:spacing w:before="31" w:after="31"/>
              <w:ind w:firstLine="0" w:firstLineChars="0"/>
              <w:jc w:val="center"/>
              <w:rPr>
                <w:rFonts w:cs="Times New Roman"/>
                <w:sz w:val="21"/>
                <w:szCs w:val="21"/>
              </w:rPr>
            </w:pPr>
            <w:r>
              <w:rPr>
                <w:rFonts w:hint="eastAsia"/>
                <w:szCs w:val="24"/>
              </w:rPr>
              <w:t>Case</w:t>
            </w:r>
            <w:r>
              <w:rPr>
                <w:rFonts w:cs="Times New Roman"/>
                <w:sz w:val="21"/>
                <w:szCs w:val="21"/>
              </w:rPr>
              <w:t xml:space="preserve"> 10-5</w:t>
            </w:r>
          </w:p>
        </w:tc>
        <w:tc>
          <w:tcPr>
            <w:tcW w:w="5812" w:type="dxa"/>
            <w:tcBorders>
              <w:top w:val="nil"/>
              <w:left w:val="nil"/>
              <w:bottom w:val="nil"/>
              <w:right w:val="nil"/>
            </w:tcBorders>
            <w:vAlign w:val="center"/>
          </w:tcPr>
          <w:p w14:paraId="241DEC5F">
            <w:pPr>
              <w:pStyle w:val="16"/>
              <w:spacing w:before="31" w:after="31"/>
              <w:ind w:firstLine="0" w:firstLineChars="0"/>
              <w:jc w:val="left"/>
              <w:rPr>
                <w:rFonts w:cs="Times New Roman"/>
                <w:sz w:val="21"/>
                <w:szCs w:val="21"/>
              </w:rPr>
            </w:pPr>
            <w:r>
              <w:rPr>
                <w:rFonts w:hint="eastAsia"/>
                <w:szCs w:val="24"/>
              </w:rPr>
              <w:t>Liujiagou Flood Discharge Tunnel Erosion</w:t>
            </w:r>
          </w:p>
        </w:tc>
        <w:tc>
          <w:tcPr>
            <w:tcW w:w="236" w:type="dxa"/>
            <w:tcBorders>
              <w:top w:val="nil"/>
              <w:left w:val="nil"/>
              <w:bottom w:val="nil"/>
              <w:right w:val="nil"/>
            </w:tcBorders>
            <w:vAlign w:val="center"/>
          </w:tcPr>
          <w:p w14:paraId="2B01BFFF">
            <w:pPr>
              <w:pStyle w:val="16"/>
              <w:spacing w:before="31" w:after="31"/>
              <w:ind w:firstLine="0" w:firstLineChars="0"/>
              <w:jc w:val="center"/>
              <w:rPr>
                <w:rFonts w:cs="Times New Roman"/>
                <w:sz w:val="21"/>
                <w:szCs w:val="21"/>
              </w:rPr>
            </w:pPr>
            <w:r>
              <w:rPr>
                <w:rFonts w:cs="Times New Roman"/>
              </w:rPr>
              <w:t>√</w:t>
            </w:r>
          </w:p>
        </w:tc>
        <w:tc>
          <w:tcPr>
            <w:tcW w:w="1456" w:type="dxa"/>
            <w:gridSpan w:val="2"/>
            <w:tcBorders>
              <w:top w:val="nil"/>
              <w:left w:val="nil"/>
              <w:bottom w:val="nil"/>
              <w:right w:val="nil"/>
            </w:tcBorders>
            <w:vAlign w:val="center"/>
          </w:tcPr>
          <w:p w14:paraId="7D2F580C">
            <w:pPr>
              <w:pStyle w:val="16"/>
              <w:spacing w:before="31" w:after="31"/>
              <w:ind w:firstLine="0" w:firstLineChars="0"/>
              <w:jc w:val="center"/>
              <w:rPr>
                <w:rFonts w:cs="Times New Roman"/>
                <w:sz w:val="21"/>
                <w:szCs w:val="21"/>
              </w:rPr>
            </w:pPr>
          </w:p>
        </w:tc>
        <w:tc>
          <w:tcPr>
            <w:tcW w:w="923" w:type="dxa"/>
            <w:tcBorders>
              <w:top w:val="nil"/>
              <w:left w:val="nil"/>
              <w:bottom w:val="nil"/>
              <w:right w:val="nil"/>
            </w:tcBorders>
            <w:vAlign w:val="center"/>
          </w:tcPr>
          <w:p w14:paraId="1C51D054">
            <w:pPr>
              <w:pStyle w:val="16"/>
              <w:spacing w:before="31" w:after="31"/>
              <w:ind w:firstLine="0" w:firstLineChars="0"/>
              <w:jc w:val="center"/>
              <w:rPr>
                <w:rFonts w:cs="Times New Roman"/>
                <w:sz w:val="21"/>
                <w:szCs w:val="21"/>
              </w:rPr>
            </w:pPr>
          </w:p>
        </w:tc>
        <w:tc>
          <w:tcPr>
            <w:tcW w:w="1643" w:type="dxa"/>
            <w:tcBorders>
              <w:top w:val="nil"/>
              <w:left w:val="nil"/>
              <w:bottom w:val="nil"/>
              <w:right w:val="nil"/>
            </w:tcBorders>
            <w:vAlign w:val="center"/>
          </w:tcPr>
          <w:p w14:paraId="09B1E5AF">
            <w:pPr>
              <w:pStyle w:val="16"/>
              <w:spacing w:before="31" w:after="31"/>
              <w:ind w:firstLine="0" w:firstLineChars="0"/>
              <w:jc w:val="center"/>
              <w:rPr>
                <w:rFonts w:cs="Times New Roman"/>
                <w:sz w:val="21"/>
                <w:szCs w:val="21"/>
              </w:rPr>
            </w:pPr>
          </w:p>
        </w:tc>
      </w:tr>
      <w:tr w14:paraId="7ABD35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tcBorders>
              <w:top w:val="nil"/>
              <w:left w:val="nil"/>
              <w:bottom w:val="nil"/>
              <w:right w:val="nil"/>
            </w:tcBorders>
            <w:vAlign w:val="center"/>
          </w:tcPr>
          <w:p w14:paraId="0DD3C240">
            <w:pPr>
              <w:pStyle w:val="16"/>
              <w:spacing w:before="31" w:after="31"/>
              <w:ind w:firstLine="0" w:firstLineChars="0"/>
              <w:jc w:val="center"/>
              <w:rPr>
                <w:rFonts w:cs="Times New Roman"/>
                <w:sz w:val="21"/>
                <w:szCs w:val="21"/>
              </w:rPr>
            </w:pPr>
            <w:r>
              <w:rPr>
                <w:rFonts w:hint="eastAsia"/>
                <w:szCs w:val="24"/>
              </w:rPr>
              <w:t>Case</w:t>
            </w:r>
            <w:r>
              <w:rPr>
                <w:rFonts w:cs="Times New Roman"/>
                <w:sz w:val="21"/>
                <w:szCs w:val="21"/>
              </w:rPr>
              <w:t xml:space="preserve"> 10-6</w:t>
            </w:r>
          </w:p>
        </w:tc>
        <w:tc>
          <w:tcPr>
            <w:tcW w:w="5812" w:type="dxa"/>
            <w:tcBorders>
              <w:top w:val="nil"/>
              <w:left w:val="nil"/>
              <w:bottom w:val="nil"/>
              <w:right w:val="nil"/>
            </w:tcBorders>
            <w:vAlign w:val="center"/>
          </w:tcPr>
          <w:p w14:paraId="0FCFCD32">
            <w:pPr>
              <w:pStyle w:val="16"/>
              <w:spacing w:before="31" w:after="31"/>
              <w:ind w:firstLine="0" w:firstLineChars="0"/>
              <w:jc w:val="left"/>
              <w:rPr>
                <w:rFonts w:cs="Times New Roman"/>
                <w:sz w:val="21"/>
                <w:szCs w:val="21"/>
              </w:rPr>
            </w:pPr>
            <w:r>
              <w:rPr>
                <w:rFonts w:hint="eastAsia"/>
                <w:szCs w:val="24"/>
              </w:rPr>
              <w:t>Liujiagou Spillway Channel Erosion, Cavitation Damage</w:t>
            </w:r>
          </w:p>
        </w:tc>
        <w:tc>
          <w:tcPr>
            <w:tcW w:w="236" w:type="dxa"/>
            <w:tcBorders>
              <w:top w:val="nil"/>
              <w:left w:val="nil"/>
              <w:bottom w:val="nil"/>
              <w:right w:val="nil"/>
            </w:tcBorders>
            <w:vAlign w:val="center"/>
          </w:tcPr>
          <w:p w14:paraId="31FFB6A1">
            <w:pPr>
              <w:pStyle w:val="16"/>
              <w:spacing w:before="31" w:after="31"/>
              <w:ind w:firstLine="0" w:firstLineChars="0"/>
              <w:jc w:val="center"/>
              <w:rPr>
                <w:rFonts w:cs="Times New Roman"/>
                <w:sz w:val="21"/>
                <w:szCs w:val="21"/>
              </w:rPr>
            </w:pPr>
            <w:r>
              <w:rPr>
                <w:rFonts w:cs="Times New Roman"/>
              </w:rPr>
              <w:t>√</w:t>
            </w:r>
          </w:p>
        </w:tc>
        <w:tc>
          <w:tcPr>
            <w:tcW w:w="1456" w:type="dxa"/>
            <w:gridSpan w:val="2"/>
            <w:tcBorders>
              <w:top w:val="nil"/>
              <w:left w:val="nil"/>
              <w:bottom w:val="nil"/>
              <w:right w:val="nil"/>
            </w:tcBorders>
            <w:vAlign w:val="center"/>
          </w:tcPr>
          <w:p w14:paraId="3A0E128F">
            <w:pPr>
              <w:pStyle w:val="16"/>
              <w:spacing w:before="31" w:after="31"/>
              <w:ind w:firstLine="0" w:firstLineChars="0"/>
              <w:jc w:val="center"/>
              <w:rPr>
                <w:rFonts w:cs="Times New Roman"/>
                <w:sz w:val="21"/>
                <w:szCs w:val="21"/>
              </w:rPr>
            </w:pPr>
          </w:p>
        </w:tc>
        <w:tc>
          <w:tcPr>
            <w:tcW w:w="923" w:type="dxa"/>
            <w:tcBorders>
              <w:top w:val="nil"/>
              <w:left w:val="nil"/>
              <w:bottom w:val="nil"/>
              <w:right w:val="nil"/>
            </w:tcBorders>
            <w:vAlign w:val="center"/>
          </w:tcPr>
          <w:p w14:paraId="48EACA25">
            <w:pPr>
              <w:pStyle w:val="16"/>
              <w:spacing w:before="31" w:after="31"/>
              <w:ind w:firstLine="0" w:firstLineChars="0"/>
              <w:jc w:val="center"/>
              <w:rPr>
                <w:rFonts w:cs="Times New Roman"/>
                <w:sz w:val="21"/>
                <w:szCs w:val="21"/>
              </w:rPr>
            </w:pPr>
          </w:p>
        </w:tc>
        <w:tc>
          <w:tcPr>
            <w:tcW w:w="1643" w:type="dxa"/>
            <w:tcBorders>
              <w:top w:val="nil"/>
              <w:left w:val="nil"/>
              <w:bottom w:val="nil"/>
              <w:right w:val="nil"/>
            </w:tcBorders>
            <w:vAlign w:val="center"/>
          </w:tcPr>
          <w:p w14:paraId="7259D13E">
            <w:pPr>
              <w:pStyle w:val="16"/>
              <w:spacing w:before="31" w:after="31"/>
              <w:ind w:firstLine="0" w:firstLineChars="0"/>
              <w:jc w:val="center"/>
              <w:rPr>
                <w:rFonts w:cs="Times New Roman"/>
                <w:sz w:val="21"/>
                <w:szCs w:val="21"/>
              </w:rPr>
            </w:pPr>
          </w:p>
        </w:tc>
      </w:tr>
      <w:tr w14:paraId="046C3E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tcBorders>
              <w:top w:val="nil"/>
              <w:left w:val="nil"/>
              <w:bottom w:val="nil"/>
              <w:right w:val="nil"/>
            </w:tcBorders>
            <w:vAlign w:val="center"/>
          </w:tcPr>
          <w:p w14:paraId="47BF2FF0">
            <w:pPr>
              <w:pStyle w:val="16"/>
              <w:spacing w:before="31" w:after="31"/>
              <w:ind w:firstLine="0" w:firstLineChars="0"/>
              <w:jc w:val="center"/>
              <w:rPr>
                <w:rFonts w:cs="Times New Roman"/>
                <w:sz w:val="21"/>
                <w:szCs w:val="21"/>
              </w:rPr>
            </w:pPr>
            <w:r>
              <w:rPr>
                <w:rFonts w:hint="eastAsia"/>
                <w:szCs w:val="24"/>
              </w:rPr>
              <w:t>Case</w:t>
            </w:r>
            <w:r>
              <w:rPr>
                <w:rFonts w:cs="Times New Roman"/>
                <w:sz w:val="21"/>
                <w:szCs w:val="21"/>
              </w:rPr>
              <w:t xml:space="preserve"> 10-7</w:t>
            </w:r>
          </w:p>
        </w:tc>
        <w:tc>
          <w:tcPr>
            <w:tcW w:w="5812" w:type="dxa"/>
            <w:tcBorders>
              <w:top w:val="nil"/>
              <w:left w:val="nil"/>
              <w:bottom w:val="nil"/>
              <w:right w:val="nil"/>
            </w:tcBorders>
            <w:vAlign w:val="center"/>
          </w:tcPr>
          <w:p w14:paraId="0C9EEAEC">
            <w:pPr>
              <w:pStyle w:val="16"/>
              <w:spacing w:before="31" w:after="31"/>
              <w:ind w:firstLine="0" w:firstLineChars="0"/>
              <w:jc w:val="left"/>
              <w:rPr>
                <w:rFonts w:cs="Times New Roman"/>
                <w:sz w:val="21"/>
                <w:szCs w:val="21"/>
              </w:rPr>
            </w:pPr>
            <w:r>
              <w:rPr>
                <w:rFonts w:hint="eastAsia"/>
                <w:szCs w:val="24"/>
              </w:rPr>
              <w:t>Lvshuihe Hydropower Station Dam Body Cracking and Displacement</w:t>
            </w:r>
          </w:p>
        </w:tc>
        <w:tc>
          <w:tcPr>
            <w:tcW w:w="236" w:type="dxa"/>
            <w:tcBorders>
              <w:top w:val="nil"/>
              <w:left w:val="nil"/>
              <w:bottom w:val="nil"/>
              <w:right w:val="nil"/>
            </w:tcBorders>
            <w:vAlign w:val="center"/>
          </w:tcPr>
          <w:p w14:paraId="47A72651">
            <w:pPr>
              <w:pStyle w:val="16"/>
              <w:spacing w:before="31" w:after="31"/>
              <w:ind w:firstLine="0" w:firstLineChars="0"/>
              <w:jc w:val="center"/>
              <w:rPr>
                <w:rFonts w:cs="Times New Roman"/>
                <w:sz w:val="21"/>
                <w:szCs w:val="21"/>
              </w:rPr>
            </w:pPr>
          </w:p>
        </w:tc>
        <w:tc>
          <w:tcPr>
            <w:tcW w:w="1456" w:type="dxa"/>
            <w:gridSpan w:val="2"/>
            <w:tcBorders>
              <w:top w:val="nil"/>
              <w:left w:val="nil"/>
              <w:bottom w:val="nil"/>
              <w:right w:val="nil"/>
            </w:tcBorders>
            <w:vAlign w:val="center"/>
          </w:tcPr>
          <w:p w14:paraId="7275CF4F">
            <w:pPr>
              <w:pStyle w:val="16"/>
              <w:spacing w:before="31" w:after="31"/>
              <w:ind w:firstLine="0" w:firstLineChars="0"/>
              <w:jc w:val="center"/>
              <w:rPr>
                <w:rFonts w:cs="Times New Roman"/>
                <w:sz w:val="21"/>
                <w:szCs w:val="21"/>
              </w:rPr>
            </w:pPr>
          </w:p>
        </w:tc>
        <w:tc>
          <w:tcPr>
            <w:tcW w:w="923" w:type="dxa"/>
            <w:tcBorders>
              <w:top w:val="nil"/>
              <w:left w:val="nil"/>
              <w:bottom w:val="nil"/>
              <w:right w:val="nil"/>
            </w:tcBorders>
            <w:vAlign w:val="center"/>
          </w:tcPr>
          <w:p w14:paraId="2C9EFA65">
            <w:pPr>
              <w:pStyle w:val="16"/>
              <w:spacing w:before="31" w:after="31"/>
              <w:ind w:firstLine="0" w:firstLineChars="0"/>
              <w:jc w:val="center"/>
              <w:rPr>
                <w:rFonts w:cs="Times New Roman"/>
                <w:sz w:val="21"/>
                <w:szCs w:val="21"/>
              </w:rPr>
            </w:pPr>
            <w:r>
              <w:rPr>
                <w:rFonts w:cs="Times New Roman"/>
              </w:rPr>
              <w:t>√</w:t>
            </w:r>
          </w:p>
        </w:tc>
        <w:tc>
          <w:tcPr>
            <w:tcW w:w="1643" w:type="dxa"/>
            <w:tcBorders>
              <w:top w:val="nil"/>
              <w:left w:val="nil"/>
              <w:bottom w:val="nil"/>
              <w:right w:val="nil"/>
            </w:tcBorders>
            <w:vAlign w:val="center"/>
          </w:tcPr>
          <w:p w14:paraId="69F8AF5C">
            <w:pPr>
              <w:pStyle w:val="16"/>
              <w:spacing w:before="31" w:after="31"/>
              <w:ind w:firstLine="0" w:firstLineChars="0"/>
              <w:jc w:val="center"/>
              <w:rPr>
                <w:rFonts w:cs="Times New Roman"/>
                <w:sz w:val="21"/>
                <w:szCs w:val="21"/>
              </w:rPr>
            </w:pPr>
          </w:p>
        </w:tc>
      </w:tr>
      <w:tr w14:paraId="301CDB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tcBorders>
              <w:top w:val="nil"/>
              <w:left w:val="nil"/>
              <w:bottom w:val="nil"/>
              <w:right w:val="nil"/>
            </w:tcBorders>
            <w:vAlign w:val="center"/>
          </w:tcPr>
          <w:p w14:paraId="47B50B24">
            <w:pPr>
              <w:pStyle w:val="16"/>
              <w:spacing w:before="31" w:after="31"/>
              <w:ind w:firstLine="0" w:firstLineChars="0"/>
              <w:jc w:val="center"/>
              <w:rPr>
                <w:rFonts w:cs="Times New Roman"/>
                <w:sz w:val="21"/>
                <w:szCs w:val="21"/>
              </w:rPr>
            </w:pPr>
            <w:r>
              <w:rPr>
                <w:rFonts w:hint="eastAsia"/>
                <w:szCs w:val="24"/>
              </w:rPr>
              <w:t>Case</w:t>
            </w:r>
            <w:r>
              <w:rPr>
                <w:rFonts w:cs="Times New Roman"/>
                <w:sz w:val="21"/>
                <w:szCs w:val="21"/>
              </w:rPr>
              <w:t xml:space="preserve"> 10-8</w:t>
            </w:r>
          </w:p>
        </w:tc>
        <w:tc>
          <w:tcPr>
            <w:tcW w:w="5812" w:type="dxa"/>
            <w:tcBorders>
              <w:top w:val="nil"/>
              <w:left w:val="nil"/>
              <w:bottom w:val="nil"/>
              <w:right w:val="nil"/>
            </w:tcBorders>
            <w:vAlign w:val="center"/>
          </w:tcPr>
          <w:p w14:paraId="07792FE9">
            <w:pPr>
              <w:pStyle w:val="16"/>
              <w:spacing w:before="31" w:after="31"/>
              <w:ind w:firstLine="0" w:firstLineChars="0"/>
              <w:jc w:val="left"/>
              <w:rPr>
                <w:rFonts w:cs="Times New Roman"/>
                <w:sz w:val="21"/>
                <w:szCs w:val="21"/>
              </w:rPr>
            </w:pPr>
            <w:r>
              <w:rPr>
                <w:rFonts w:hint="eastAsia"/>
                <w:szCs w:val="24"/>
              </w:rPr>
              <w:t>Yudong Reservoir Dam Body Cracking and Displacement</w:t>
            </w:r>
          </w:p>
        </w:tc>
        <w:tc>
          <w:tcPr>
            <w:tcW w:w="236" w:type="dxa"/>
            <w:tcBorders>
              <w:top w:val="nil"/>
              <w:left w:val="nil"/>
              <w:bottom w:val="nil"/>
              <w:right w:val="nil"/>
            </w:tcBorders>
            <w:vAlign w:val="center"/>
          </w:tcPr>
          <w:p w14:paraId="4F2FAA3A">
            <w:pPr>
              <w:pStyle w:val="16"/>
              <w:spacing w:before="31" w:after="31"/>
              <w:ind w:firstLine="0" w:firstLineChars="0"/>
              <w:jc w:val="center"/>
              <w:rPr>
                <w:rFonts w:cs="Times New Roman"/>
                <w:sz w:val="21"/>
                <w:szCs w:val="21"/>
              </w:rPr>
            </w:pPr>
            <w:r>
              <w:rPr>
                <w:rFonts w:cs="Times New Roman"/>
              </w:rPr>
              <w:t>√</w:t>
            </w:r>
          </w:p>
        </w:tc>
        <w:tc>
          <w:tcPr>
            <w:tcW w:w="1456" w:type="dxa"/>
            <w:gridSpan w:val="2"/>
            <w:tcBorders>
              <w:top w:val="nil"/>
              <w:left w:val="nil"/>
              <w:bottom w:val="nil"/>
              <w:right w:val="nil"/>
            </w:tcBorders>
            <w:vAlign w:val="center"/>
          </w:tcPr>
          <w:p w14:paraId="72A24FD4">
            <w:pPr>
              <w:pStyle w:val="16"/>
              <w:spacing w:before="31" w:after="31"/>
              <w:ind w:firstLine="0" w:firstLineChars="0"/>
              <w:jc w:val="center"/>
              <w:rPr>
                <w:rFonts w:cs="Times New Roman"/>
                <w:sz w:val="21"/>
                <w:szCs w:val="21"/>
              </w:rPr>
            </w:pPr>
            <w:r>
              <w:rPr>
                <w:rFonts w:cs="Times New Roman"/>
              </w:rPr>
              <w:t>√</w:t>
            </w:r>
          </w:p>
        </w:tc>
        <w:tc>
          <w:tcPr>
            <w:tcW w:w="923" w:type="dxa"/>
            <w:tcBorders>
              <w:top w:val="nil"/>
              <w:left w:val="nil"/>
              <w:bottom w:val="nil"/>
              <w:right w:val="nil"/>
            </w:tcBorders>
            <w:vAlign w:val="center"/>
          </w:tcPr>
          <w:p w14:paraId="57DD7346">
            <w:pPr>
              <w:pStyle w:val="16"/>
              <w:spacing w:before="31" w:after="31"/>
              <w:ind w:firstLine="0" w:firstLineChars="0"/>
              <w:jc w:val="center"/>
              <w:rPr>
                <w:rFonts w:cs="Times New Roman"/>
                <w:sz w:val="21"/>
                <w:szCs w:val="21"/>
              </w:rPr>
            </w:pPr>
          </w:p>
        </w:tc>
        <w:tc>
          <w:tcPr>
            <w:tcW w:w="1643" w:type="dxa"/>
            <w:tcBorders>
              <w:top w:val="nil"/>
              <w:left w:val="nil"/>
              <w:bottom w:val="nil"/>
              <w:right w:val="nil"/>
            </w:tcBorders>
            <w:vAlign w:val="center"/>
          </w:tcPr>
          <w:p w14:paraId="659C16A0">
            <w:pPr>
              <w:pStyle w:val="16"/>
              <w:spacing w:before="31" w:after="31"/>
              <w:ind w:firstLine="0" w:firstLineChars="0"/>
              <w:jc w:val="center"/>
              <w:rPr>
                <w:rFonts w:cs="Times New Roman"/>
                <w:sz w:val="21"/>
                <w:szCs w:val="21"/>
              </w:rPr>
            </w:pPr>
          </w:p>
        </w:tc>
      </w:tr>
      <w:tr w14:paraId="3ABD76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tcBorders>
              <w:top w:val="nil"/>
              <w:left w:val="nil"/>
              <w:bottom w:val="nil"/>
              <w:right w:val="nil"/>
            </w:tcBorders>
            <w:vAlign w:val="center"/>
          </w:tcPr>
          <w:p w14:paraId="5E2E1133">
            <w:pPr>
              <w:pStyle w:val="16"/>
              <w:spacing w:before="31" w:after="31"/>
              <w:ind w:firstLine="0" w:firstLineChars="0"/>
              <w:jc w:val="center"/>
              <w:rPr>
                <w:rFonts w:cs="Times New Roman"/>
                <w:sz w:val="21"/>
                <w:szCs w:val="21"/>
              </w:rPr>
            </w:pPr>
            <w:r>
              <w:rPr>
                <w:rFonts w:hint="eastAsia"/>
                <w:szCs w:val="24"/>
              </w:rPr>
              <w:t>Case</w:t>
            </w:r>
            <w:r>
              <w:rPr>
                <w:rFonts w:cs="Times New Roman"/>
                <w:sz w:val="21"/>
                <w:szCs w:val="21"/>
              </w:rPr>
              <w:t xml:space="preserve"> 10-9</w:t>
            </w:r>
          </w:p>
        </w:tc>
        <w:tc>
          <w:tcPr>
            <w:tcW w:w="5812" w:type="dxa"/>
            <w:tcBorders>
              <w:top w:val="nil"/>
              <w:left w:val="nil"/>
              <w:bottom w:val="nil"/>
              <w:right w:val="nil"/>
            </w:tcBorders>
            <w:vAlign w:val="center"/>
          </w:tcPr>
          <w:p w14:paraId="2856C644">
            <w:pPr>
              <w:pStyle w:val="16"/>
              <w:spacing w:before="31" w:after="31"/>
              <w:ind w:firstLine="0" w:firstLineChars="0"/>
              <w:jc w:val="left"/>
              <w:rPr>
                <w:rFonts w:cs="Times New Roman"/>
                <w:sz w:val="21"/>
                <w:szCs w:val="21"/>
              </w:rPr>
            </w:pPr>
            <w:r>
              <w:rPr>
                <w:rFonts w:hint="eastAsia"/>
                <w:szCs w:val="24"/>
              </w:rPr>
              <w:t>Gouhou Reservoir Dam Breach</w:t>
            </w:r>
          </w:p>
        </w:tc>
        <w:tc>
          <w:tcPr>
            <w:tcW w:w="236" w:type="dxa"/>
            <w:tcBorders>
              <w:top w:val="nil"/>
              <w:left w:val="nil"/>
              <w:bottom w:val="nil"/>
              <w:right w:val="nil"/>
            </w:tcBorders>
            <w:vAlign w:val="center"/>
          </w:tcPr>
          <w:p w14:paraId="2400F865">
            <w:pPr>
              <w:pStyle w:val="16"/>
              <w:spacing w:before="31" w:after="31"/>
              <w:ind w:firstLine="0" w:firstLineChars="0"/>
              <w:jc w:val="center"/>
              <w:rPr>
                <w:rFonts w:cs="Times New Roman"/>
                <w:sz w:val="21"/>
                <w:szCs w:val="21"/>
              </w:rPr>
            </w:pPr>
            <w:r>
              <w:rPr>
                <w:rFonts w:cs="Times New Roman"/>
              </w:rPr>
              <w:t>√</w:t>
            </w:r>
          </w:p>
        </w:tc>
        <w:tc>
          <w:tcPr>
            <w:tcW w:w="1456" w:type="dxa"/>
            <w:gridSpan w:val="2"/>
            <w:tcBorders>
              <w:top w:val="nil"/>
              <w:left w:val="nil"/>
              <w:bottom w:val="nil"/>
              <w:right w:val="nil"/>
            </w:tcBorders>
            <w:vAlign w:val="center"/>
          </w:tcPr>
          <w:p w14:paraId="5445FE6D">
            <w:pPr>
              <w:pStyle w:val="16"/>
              <w:spacing w:before="31" w:after="31"/>
              <w:ind w:firstLine="0" w:firstLineChars="0"/>
              <w:jc w:val="center"/>
              <w:rPr>
                <w:rFonts w:cs="Times New Roman"/>
                <w:sz w:val="21"/>
                <w:szCs w:val="21"/>
              </w:rPr>
            </w:pPr>
          </w:p>
        </w:tc>
        <w:tc>
          <w:tcPr>
            <w:tcW w:w="923" w:type="dxa"/>
            <w:tcBorders>
              <w:top w:val="nil"/>
              <w:left w:val="nil"/>
              <w:bottom w:val="nil"/>
              <w:right w:val="nil"/>
            </w:tcBorders>
            <w:vAlign w:val="center"/>
          </w:tcPr>
          <w:p w14:paraId="1C3E7D3B">
            <w:pPr>
              <w:pStyle w:val="16"/>
              <w:spacing w:before="31" w:after="31"/>
              <w:ind w:firstLine="0" w:firstLineChars="0"/>
              <w:jc w:val="center"/>
              <w:rPr>
                <w:rFonts w:cs="Times New Roman"/>
                <w:sz w:val="21"/>
                <w:szCs w:val="21"/>
              </w:rPr>
            </w:pPr>
            <w:r>
              <w:rPr>
                <w:rFonts w:cs="Times New Roman"/>
              </w:rPr>
              <w:t>√</w:t>
            </w:r>
          </w:p>
        </w:tc>
        <w:tc>
          <w:tcPr>
            <w:tcW w:w="1643" w:type="dxa"/>
            <w:tcBorders>
              <w:top w:val="nil"/>
              <w:left w:val="nil"/>
              <w:bottom w:val="nil"/>
              <w:right w:val="nil"/>
            </w:tcBorders>
            <w:vAlign w:val="center"/>
          </w:tcPr>
          <w:p w14:paraId="24570DE9">
            <w:pPr>
              <w:pStyle w:val="16"/>
              <w:spacing w:before="31" w:after="31"/>
              <w:ind w:firstLine="0" w:firstLineChars="0"/>
              <w:jc w:val="center"/>
              <w:rPr>
                <w:rFonts w:cs="Times New Roman"/>
                <w:sz w:val="21"/>
                <w:szCs w:val="21"/>
              </w:rPr>
            </w:pPr>
          </w:p>
        </w:tc>
      </w:tr>
      <w:tr w14:paraId="2F733D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tcBorders>
              <w:top w:val="nil"/>
              <w:left w:val="nil"/>
              <w:bottom w:val="single" w:color="auto" w:sz="12" w:space="0"/>
              <w:right w:val="nil"/>
            </w:tcBorders>
            <w:vAlign w:val="center"/>
          </w:tcPr>
          <w:p w14:paraId="11759BE1">
            <w:pPr>
              <w:pStyle w:val="16"/>
              <w:spacing w:before="31" w:after="31"/>
              <w:ind w:firstLine="0" w:firstLineChars="0"/>
              <w:jc w:val="center"/>
              <w:rPr>
                <w:rFonts w:cs="Times New Roman"/>
                <w:sz w:val="21"/>
                <w:szCs w:val="21"/>
              </w:rPr>
            </w:pPr>
            <w:r>
              <w:rPr>
                <w:rFonts w:hint="eastAsia"/>
                <w:szCs w:val="24"/>
              </w:rPr>
              <w:t>Case</w:t>
            </w:r>
            <w:r>
              <w:rPr>
                <w:rFonts w:cs="Times New Roman"/>
                <w:sz w:val="21"/>
                <w:szCs w:val="21"/>
              </w:rPr>
              <w:t xml:space="preserve"> 10-10</w:t>
            </w:r>
          </w:p>
        </w:tc>
        <w:tc>
          <w:tcPr>
            <w:tcW w:w="5812" w:type="dxa"/>
            <w:tcBorders>
              <w:top w:val="nil"/>
              <w:left w:val="nil"/>
              <w:bottom w:val="single" w:color="auto" w:sz="12" w:space="0"/>
              <w:right w:val="nil"/>
            </w:tcBorders>
            <w:vAlign w:val="center"/>
          </w:tcPr>
          <w:p w14:paraId="67E9BD82">
            <w:pPr>
              <w:pStyle w:val="16"/>
              <w:spacing w:before="31" w:after="31"/>
              <w:ind w:firstLine="0" w:firstLineChars="0"/>
              <w:jc w:val="left"/>
              <w:rPr>
                <w:rFonts w:cs="Times New Roman"/>
                <w:sz w:val="21"/>
                <w:szCs w:val="21"/>
              </w:rPr>
            </w:pPr>
            <w:r>
              <w:rPr>
                <w:rFonts w:hint="eastAsia"/>
                <w:szCs w:val="24"/>
              </w:rPr>
              <w:t>Bapanxia Dam Sulfate Erosion</w:t>
            </w:r>
          </w:p>
        </w:tc>
        <w:tc>
          <w:tcPr>
            <w:tcW w:w="236" w:type="dxa"/>
            <w:tcBorders>
              <w:top w:val="nil"/>
              <w:left w:val="nil"/>
              <w:bottom w:val="single" w:color="auto" w:sz="12" w:space="0"/>
              <w:right w:val="nil"/>
            </w:tcBorders>
            <w:vAlign w:val="center"/>
          </w:tcPr>
          <w:p w14:paraId="0D181BF7">
            <w:pPr>
              <w:pStyle w:val="16"/>
              <w:spacing w:before="31" w:after="31"/>
              <w:ind w:firstLine="0" w:firstLineChars="0"/>
              <w:jc w:val="center"/>
              <w:rPr>
                <w:rFonts w:cs="Times New Roman"/>
                <w:sz w:val="21"/>
                <w:szCs w:val="21"/>
              </w:rPr>
            </w:pPr>
          </w:p>
        </w:tc>
        <w:tc>
          <w:tcPr>
            <w:tcW w:w="1456" w:type="dxa"/>
            <w:gridSpan w:val="2"/>
            <w:tcBorders>
              <w:top w:val="nil"/>
              <w:left w:val="nil"/>
              <w:bottom w:val="single" w:color="auto" w:sz="12" w:space="0"/>
              <w:right w:val="nil"/>
            </w:tcBorders>
            <w:vAlign w:val="center"/>
          </w:tcPr>
          <w:p w14:paraId="70F5903E">
            <w:pPr>
              <w:pStyle w:val="16"/>
              <w:spacing w:before="31" w:after="31"/>
              <w:ind w:firstLine="0" w:firstLineChars="0"/>
              <w:jc w:val="center"/>
              <w:rPr>
                <w:rFonts w:cs="Times New Roman"/>
                <w:sz w:val="21"/>
                <w:szCs w:val="21"/>
              </w:rPr>
            </w:pPr>
          </w:p>
        </w:tc>
        <w:tc>
          <w:tcPr>
            <w:tcW w:w="923" w:type="dxa"/>
            <w:tcBorders>
              <w:top w:val="nil"/>
              <w:left w:val="nil"/>
              <w:bottom w:val="single" w:color="auto" w:sz="12" w:space="0"/>
              <w:right w:val="nil"/>
            </w:tcBorders>
            <w:vAlign w:val="center"/>
          </w:tcPr>
          <w:p w14:paraId="17AB9F99">
            <w:pPr>
              <w:pStyle w:val="16"/>
              <w:spacing w:before="31" w:after="31"/>
              <w:ind w:firstLine="0" w:firstLineChars="0"/>
              <w:jc w:val="center"/>
              <w:rPr>
                <w:rFonts w:cs="Times New Roman"/>
                <w:sz w:val="21"/>
                <w:szCs w:val="21"/>
              </w:rPr>
            </w:pPr>
          </w:p>
        </w:tc>
        <w:tc>
          <w:tcPr>
            <w:tcW w:w="1643" w:type="dxa"/>
            <w:tcBorders>
              <w:top w:val="nil"/>
              <w:left w:val="nil"/>
              <w:bottom w:val="single" w:color="auto" w:sz="12" w:space="0"/>
              <w:right w:val="nil"/>
            </w:tcBorders>
            <w:vAlign w:val="center"/>
          </w:tcPr>
          <w:p w14:paraId="2E167AD6">
            <w:pPr>
              <w:pStyle w:val="16"/>
              <w:spacing w:before="31" w:after="31"/>
              <w:ind w:firstLine="0" w:firstLineChars="0"/>
              <w:jc w:val="center"/>
              <w:rPr>
                <w:rFonts w:cs="Times New Roman"/>
                <w:sz w:val="21"/>
                <w:szCs w:val="21"/>
              </w:rPr>
            </w:pPr>
            <w:r>
              <w:rPr>
                <w:rFonts w:cs="Times New Roman"/>
              </w:rPr>
              <w:t>√</w:t>
            </w:r>
          </w:p>
        </w:tc>
      </w:tr>
    </w:tbl>
    <w:p w14:paraId="34851DDB">
      <w:pPr>
        <w:pStyle w:val="16"/>
        <w:spacing w:before="31" w:after="31"/>
        <w:ind w:firstLine="480"/>
        <w:rPr>
          <w:szCs w:val="24"/>
        </w:rPr>
      </w:pPr>
    </w:p>
    <w:p w14:paraId="657B3BD3">
      <w:pPr>
        <w:pStyle w:val="16"/>
        <w:spacing w:before="31" w:after="31"/>
        <w:ind w:firstLine="0" w:firstLineChars="0"/>
        <w:rPr>
          <w:rFonts w:hint="eastAsia"/>
          <w:b/>
          <w:bCs/>
          <w:szCs w:val="24"/>
        </w:rPr>
      </w:pPr>
      <w:r>
        <w:rPr>
          <w:b/>
          <w:bCs/>
          <w:szCs w:val="24"/>
        </w:rPr>
        <w:t>10.3.2 Current Status of Failure Incident Investigations</w:t>
      </w:r>
    </w:p>
    <w:p w14:paraId="43B2EDA3">
      <w:pPr>
        <w:pStyle w:val="16"/>
        <w:spacing w:before="31" w:after="31"/>
        <w:ind w:firstLine="480"/>
        <w:rPr>
          <w:szCs w:val="24"/>
        </w:rPr>
      </w:pPr>
      <w:r>
        <w:rPr>
          <w:szCs w:val="24"/>
        </w:rPr>
        <w:t>The analysis of failure incidents in water resources engineering generally focuses on three aspects: design, construction quality, and operational management (operation status, safety monitoring, maintenance). Many failure cases can be traced back to the construction process and the quality of construction, enabling effective summarization and analysis of the causes of failure and the proposal of preventive and improvement measures.</w:t>
      </w:r>
    </w:p>
    <w:p w14:paraId="425353D7">
      <w:pPr>
        <w:pStyle w:val="16"/>
        <w:spacing w:before="31" w:after="31"/>
        <w:ind w:firstLine="480"/>
        <w:rPr>
          <w:szCs w:val="24"/>
        </w:rPr>
      </w:pPr>
    </w:p>
    <w:p w14:paraId="11C43FD7">
      <w:pPr>
        <w:pStyle w:val="16"/>
        <w:spacing w:before="31" w:after="31"/>
        <w:ind w:firstLine="480"/>
        <w:rPr>
          <w:szCs w:val="24"/>
        </w:rPr>
      </w:pPr>
      <w:r>
        <w:rPr>
          <w:szCs w:val="24"/>
        </w:rPr>
        <w:t>In the analysis of material failure incidents, the design aspect mainly involves: 1) whether the dam's design structural strength and material strength can resist the tensile and compressive stresses generated by various unfavorable combination loads; whether temperature control measures during dam construction are reasonable. 2) Whether the spillway design includes a reasonable flood discharge rate and form to reduce or avoid cavitation generated under high-speed water flow during flood discharge; whether the smoothness of the overflow face meets requirements, the arrangement of water-stop structures, and whether the materials used for surface protection and water-stop are appropriate.</w:t>
      </w:r>
    </w:p>
    <w:p w14:paraId="30D1E1B0">
      <w:pPr>
        <w:pStyle w:val="16"/>
        <w:spacing w:before="31" w:after="31"/>
        <w:ind w:firstLine="480"/>
        <w:rPr>
          <w:szCs w:val="24"/>
        </w:rPr>
      </w:pPr>
    </w:p>
    <w:p w14:paraId="7ECBFAD2">
      <w:pPr>
        <w:pStyle w:val="16"/>
        <w:spacing w:before="31" w:after="31"/>
        <w:ind w:firstLine="480"/>
        <w:rPr>
          <w:szCs w:val="24"/>
        </w:rPr>
      </w:pPr>
      <w:r>
        <w:rPr>
          <w:szCs w:val="24"/>
        </w:rPr>
        <w:t>In terms of construction quality, investigations usually involve reviewing construction records and employing destructive and non-destructive testing methods in failure locations to determine whether the construction quality meets the requirements. The impact of environmental factors such as temperature and humidity changes and erosive media on the degradation of materials like concrete is also analyzed.</w:t>
      </w:r>
    </w:p>
    <w:p w14:paraId="72623AFA">
      <w:pPr>
        <w:pStyle w:val="16"/>
        <w:spacing w:before="31" w:after="31"/>
        <w:ind w:firstLine="480"/>
        <w:rPr>
          <w:szCs w:val="24"/>
        </w:rPr>
      </w:pPr>
    </w:p>
    <w:p w14:paraId="3D7D9037">
      <w:pPr>
        <w:pStyle w:val="16"/>
        <w:spacing w:before="31" w:after="31"/>
        <w:ind w:firstLine="480"/>
        <w:rPr>
          <w:szCs w:val="24"/>
        </w:rPr>
      </w:pPr>
      <w:r>
        <w:rPr>
          <w:szCs w:val="24"/>
        </w:rPr>
        <w:t>For the quality of construction, the analysis extends to dam safety monitoring, usage and maintenance (repair) angles, and an overall analysis of the causes of failure is conducted.</w:t>
      </w:r>
    </w:p>
    <w:p w14:paraId="15127084">
      <w:pPr>
        <w:pStyle w:val="16"/>
        <w:spacing w:before="31" w:after="31"/>
        <w:ind w:firstLine="480"/>
        <w:rPr>
          <w:szCs w:val="24"/>
        </w:rPr>
      </w:pPr>
    </w:p>
    <w:p w14:paraId="7F7325F5">
      <w:pPr>
        <w:pStyle w:val="16"/>
        <w:spacing w:before="31" w:after="31"/>
        <w:ind w:firstLine="480"/>
        <w:rPr>
          <w:szCs w:val="24"/>
        </w:rPr>
      </w:pPr>
      <w:r>
        <w:rPr>
          <w:szCs w:val="24"/>
        </w:rPr>
        <w:t>However, the investigation of failure incidents in the water resources industry in China faces several challenges:</w:t>
      </w:r>
    </w:p>
    <w:p w14:paraId="7F841612">
      <w:pPr>
        <w:pStyle w:val="16"/>
        <w:spacing w:before="31" w:after="31"/>
        <w:ind w:firstLine="480"/>
        <w:rPr>
          <w:szCs w:val="24"/>
        </w:rPr>
      </w:pPr>
      <w:r>
        <w:rPr>
          <w:szCs w:val="24"/>
        </w:rPr>
        <w:t>1. The investigation of water resources engineering failure incidents follows certain administrative procedures. For major dam breach accidents, the water resources department and local government jointly conduct accident investigations and commission relevant agencies to produce accident analysis reports. Reports on major water resources engineering accidents are generally not made public, and publicly available failure cases in the water resources engineering industry typically have a lag and are difficult to obtain comprehensive accident information.</w:t>
      </w:r>
    </w:p>
    <w:p w14:paraId="094FAA4D">
      <w:pPr>
        <w:pStyle w:val="16"/>
        <w:spacing w:before="31" w:after="31"/>
        <w:ind w:firstLine="480"/>
        <w:rPr>
          <w:szCs w:val="24"/>
        </w:rPr>
      </w:pPr>
      <w:r>
        <w:rPr>
          <w:szCs w:val="24"/>
        </w:rPr>
        <w:t>2. From a technical perspective, there is a lack of corresponding technical standards and specifications for the content, methods, procedures, and data collection and organization of failure investigations. This can lead to variations in the descriptions of similar failure cases, making it difficult to form a comprehensive data system for failure incident analysis and summary.</w:t>
      </w:r>
    </w:p>
    <w:p w14:paraId="1CA9C3F1">
      <w:pPr>
        <w:pStyle w:val="16"/>
        <w:spacing w:before="31" w:after="31"/>
        <w:ind w:firstLine="480"/>
        <w:rPr>
          <w:szCs w:val="24"/>
        </w:rPr>
      </w:pPr>
      <w:r>
        <w:rPr>
          <w:szCs w:val="24"/>
        </w:rPr>
        <w:t>3. Due to the complexity of the structure, boundary conditions, and operating environment of water resources engineering, the empirical nature, uncertainty, and breadth of design, construction, and operation and maintenance management content make the results of case analysis less referential and applicable. This hinders the improvement and reference of relevant standards for design, material selection, operation management, and maintenance.</w:t>
      </w:r>
    </w:p>
    <w:p w14:paraId="59DC8179">
      <w:pPr>
        <w:pStyle w:val="16"/>
        <w:spacing w:before="31" w:after="31"/>
        <w:ind w:firstLine="0" w:firstLineChars="0"/>
        <w:rPr>
          <w:b/>
          <w:bCs/>
          <w:sz w:val="28"/>
          <w:szCs w:val="28"/>
        </w:rPr>
      </w:pPr>
      <w:r>
        <w:rPr>
          <w:b/>
          <w:bCs/>
          <w:sz w:val="28"/>
          <w:szCs w:val="28"/>
        </w:rPr>
        <w:t>11 Summary</w:t>
      </w:r>
    </w:p>
    <w:p w14:paraId="283D8E13">
      <w:pPr>
        <w:pStyle w:val="16"/>
        <w:spacing w:before="31" w:after="31"/>
        <w:ind w:firstLine="480"/>
        <w:rPr>
          <w:szCs w:val="24"/>
        </w:rPr>
      </w:pPr>
      <w:r>
        <w:rPr>
          <w:szCs w:val="24"/>
        </w:rPr>
        <w:t>With the continuous improvement in scientific and technological levels and the ongoing development of production, the operational performance of industrial equipment in various industries is gradually trending towards high efficiency, high parameterization, and high safety. The service environment for material structures is also evolving towards extremity. For example, the service environment for thermal power generation units has progressed from initial conventional conditions to supercritical and ultra-supercritical conditions, with temperature and pressure conditions reaching 650°C and 300MPa, respectively. In the nuclear power industry, the high-temperature water cooling temperature for reactors has risen from a typical service temperature of 325°C to 500-1000°C. Equipment in these industries often experiences failures in extreme service environments, leading to catastrophic consequences. In this context, this research focuses on conducting investigations into major engineering structure and material failure incidents in nine industry sectors: petroleum and petrochemical, nuclear power/thermal power, transportation, water resources engineering, marine engineering, aerospace, equipment manufacturing, energy engineering, and infrastructure. The aim is to identify the causes of accidents, determine failure types and mechanisms, accumulate failure cases and data, and contribute to the reduction and prevention of similar failure incidents, thereby avoiding unnecessary economic losses, environmental pollution, and casualties.</w:t>
      </w:r>
    </w:p>
    <w:p w14:paraId="3E290D14">
      <w:pPr>
        <w:pStyle w:val="16"/>
        <w:spacing w:before="31" w:after="31"/>
        <w:ind w:firstLine="480"/>
        <w:rPr>
          <w:szCs w:val="24"/>
        </w:rPr>
      </w:pPr>
      <w:r>
        <w:rPr>
          <w:szCs w:val="24"/>
        </w:rPr>
        <w:t>In the initial phase of failure incident investigations, a total of 30 petroleum and petrochemical failure cases, 58 nuclear power/thermal power failure cases, 8 marine engineering failure cases, 20 energy engineering failure cases, 8 infrastructure failure cases, 21 aerospace failure cases, 11 transportation failure cases, 12 equipment manufacturing failure cases, and 10 water resources engineering failure cases were collected. Alongside completing the collection and analysis of failure incident cases, challenges and shortcomings in conducting failure incident investigations and analyses were identified, leading to the following recommendations:</w:t>
      </w:r>
    </w:p>
    <w:p w14:paraId="47E78E5C">
      <w:pPr>
        <w:pStyle w:val="16"/>
        <w:spacing w:before="31" w:after="31"/>
        <w:ind w:firstLine="480"/>
        <w:rPr>
          <w:szCs w:val="24"/>
        </w:rPr>
      </w:pPr>
    </w:p>
    <w:p w14:paraId="194D2DF3">
      <w:pPr>
        <w:pStyle w:val="16"/>
        <w:spacing w:before="31" w:after="31"/>
        <w:ind w:firstLine="480"/>
        <w:rPr>
          <w:szCs w:val="24"/>
        </w:rPr>
      </w:pPr>
      <w:r>
        <w:rPr>
          <w:szCs w:val="24"/>
        </w:rPr>
        <w:t>(1)Accelerate the Improvement and Establishment of Industry-Specific Failure Incident Databases and Failure Analysis Networks:</w:t>
      </w:r>
    </w:p>
    <w:p w14:paraId="40E8848A">
      <w:pPr>
        <w:pStyle w:val="16"/>
        <w:spacing w:before="31" w:after="31"/>
        <w:ind w:firstLine="480"/>
        <w:rPr>
          <w:szCs w:val="24"/>
        </w:rPr>
      </w:pPr>
      <w:r>
        <w:rPr>
          <w:szCs w:val="24"/>
        </w:rPr>
        <w:t xml:space="preserve">   Current efforts in establishing databases related to failure work in China have yielded some results, such as material databases established by the Aviation Materials Data Center in 1987, engineering material databases and mechanical strength and fatigue design databases established by Shanghai Institute of Materials Research and Zhengzhou Institute of Mechanical Research after 1991, and failure analysis case databases related to chemical and petrochemical industries established by the Institute of Metal Research of the Chinese Academy of Sciences after 1992. While progress has been made in establishing failure databases, there are shortcomings such as narrow industry coverage, slow data updates, and incomplete data. Therefore, accelerating the establishment of failure incident databases in various industries and accumulating valuable failure data has significant guiding implications for reducing or preventing similar failure incidents. Simultaneously, expediting the establishment of failure analysis websites to link cases with the international internet, providing existing cases for researchers and on-site engineers in various global industries, sharing data, reducing failure incident rates, and achieving substantial economic benefits.</w:t>
      </w:r>
    </w:p>
    <w:p w14:paraId="333183FE">
      <w:pPr>
        <w:pStyle w:val="16"/>
        <w:spacing w:before="31" w:after="31"/>
        <w:ind w:firstLine="480"/>
        <w:rPr>
          <w:szCs w:val="24"/>
        </w:rPr>
      </w:pPr>
    </w:p>
    <w:p w14:paraId="0DA1634B">
      <w:pPr>
        <w:pStyle w:val="16"/>
        <w:spacing w:before="31" w:after="31"/>
        <w:ind w:firstLine="480"/>
        <w:rPr>
          <w:szCs w:val="24"/>
        </w:rPr>
      </w:pPr>
      <w:r>
        <w:rPr>
          <w:szCs w:val="24"/>
        </w:rPr>
        <w:t>(2)Accelerate the Establishment of National Standards/Industry Standards for Failure Incident Investigations and Analyses</w:t>
      </w:r>
    </w:p>
    <w:p w14:paraId="036AFAAF">
      <w:pPr>
        <w:pStyle w:val="16"/>
        <w:spacing w:before="31" w:after="31"/>
        <w:ind w:firstLine="480"/>
        <w:rPr>
          <w:szCs w:val="24"/>
        </w:rPr>
      </w:pPr>
      <w:r>
        <w:rPr>
          <w:szCs w:val="24"/>
        </w:rPr>
        <w:t xml:space="preserve">   Failure analysis is a complex technical task. To quickly, accurately, and reliably identify failure causes and preventive measures, it is essential to base the work on scientific foundations to avoid misjudgments and detours. Therefore, according to industry characteristics, developing guiding documents for failure incident investigations and analyses and establishing national standards/industry standards for failure incident investigations, with clear provisions on the concepts, classifications, and analysis procedures of failure analysis, is a practical and valuable task.</w:t>
      </w:r>
    </w:p>
    <w:p w14:paraId="3A1FB529">
      <w:pPr>
        <w:pStyle w:val="16"/>
        <w:spacing w:before="31" w:after="31"/>
        <w:ind w:firstLine="480"/>
        <w:rPr>
          <w:szCs w:val="24"/>
        </w:rPr>
      </w:pPr>
    </w:p>
    <w:p w14:paraId="6D75B877">
      <w:pPr>
        <w:pStyle w:val="16"/>
        <w:spacing w:before="31" w:after="31"/>
        <w:ind w:firstLine="480"/>
        <w:rPr>
          <w:szCs w:val="24"/>
        </w:rPr>
      </w:pPr>
      <w:r>
        <w:rPr>
          <w:szCs w:val="24"/>
        </w:rPr>
        <w:t>(3)Accelerate the Revision and Improvement of Safety Technical Standards in Various Industries and the Establishment of New Standards:**</w:t>
      </w:r>
    </w:p>
    <w:p w14:paraId="632DC1F2">
      <w:pPr>
        <w:pStyle w:val="16"/>
        <w:spacing w:before="31" w:after="31"/>
        <w:ind w:firstLine="480"/>
        <w:rPr>
          <w:rFonts w:hint="eastAsia"/>
          <w:szCs w:val="24"/>
        </w:rPr>
      </w:pPr>
      <w:r>
        <w:rPr>
          <w:szCs w:val="24"/>
        </w:rPr>
        <w:t xml:space="preserve">   In recent years, with the introduction of new materials, processes, and technologies, and the continuous improvement of material behavior and service performance, there is a need to revise and improve existing technical specifications and standards. However, without understanding how materials or equipment fail in service and the corresponding measures to avoid such failures, the revision of existing standards and the establishment of new standards will lack a scientific basis. Therefore, it is recommended to investigate and analyze major engineering structure and material failure incidents based on the main themes of material selection, design, control of usage conditions, and safety service assessment. This will help determine the causes of equipment and material failures, identify deficiencies in existing standards, and accelerate the revision of existing standards and the establishment of new standards to meet the new requirements of industry development.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roman"/>
    <w:pitch w:val="default"/>
    <w:sig w:usb0="00000000" w:usb1="00000000" w:usb2="00000010" w:usb3="00000000" w:csb0="00040000" w:csb1="00000000"/>
  </w:font>
  <w:font w:name="AdobeSongStd-Light">
    <w:altName w:val="方正舒体"/>
    <w:panose1 w:val="00000000000000000000"/>
    <w:charset w:val="86"/>
    <w:family w:val="auto"/>
    <w:pitch w:val="default"/>
    <w:sig w:usb0="00000000" w:usb1="00000000" w:usb2="00000010" w:usb3="00000000" w:csb0="00040000" w:csb1="00000000"/>
  </w:font>
  <w:font w:name="FzBookMaker9DlFont9+ZJUGkL-22">
    <w:altName w:val="Times New Roman"/>
    <w:panose1 w:val="00000000000000000000"/>
    <w:charset w:val="00"/>
    <w:family w:val="auto"/>
    <w:pitch w:val="default"/>
    <w:sig w:usb0="00000000" w:usb1="00000000" w:usb2="00000000" w:usb3="00000000" w:csb0="00000001" w:csb1="00000000"/>
  </w:font>
  <w:font w:name="Segoe UI Emoji">
    <w:panose1 w:val="020B0502040204020203"/>
    <w:charset w:val="00"/>
    <w:family w:val="swiss"/>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舒体">
    <w:panose1 w:val="02010601030101010101"/>
    <w:charset w:val="86"/>
    <w:family w:val="auto"/>
    <w:pitch w:val="default"/>
    <w:sig w:usb0="00000003"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A164D">
    <w:pPr>
      <w:pStyle w:val="5"/>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VII</w:t>
    </w:r>
    <w:r>
      <w:rPr>
        <w:kern w:val="0"/>
        <w:sz w:val="21"/>
        <w:szCs w:val="21"/>
      </w:rPr>
      <w:fldChar w:fldCharType="end"/>
    </w:r>
    <w:r>
      <w:rPr>
        <w:kern w:val="0"/>
        <w:sz w:val="21"/>
        <w:szCs w:val="21"/>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B597AB"/>
    <w:multiLevelType w:val="singleLevel"/>
    <w:tmpl w:val="A1B597AB"/>
    <w:lvl w:ilvl="0" w:tentative="0">
      <w:start w:val="3"/>
      <w:numFmt w:val="decimal"/>
      <w:suff w:val="space"/>
      <w:lvlText w:val="(%1)"/>
      <w:lvlJc w:val="left"/>
    </w:lvl>
  </w:abstractNum>
  <w:abstractNum w:abstractNumId="1">
    <w:nsid w:val="B582FC34"/>
    <w:multiLevelType w:val="singleLevel"/>
    <w:tmpl w:val="B582FC34"/>
    <w:lvl w:ilvl="0" w:tentative="0">
      <w:start w:val="1"/>
      <w:numFmt w:val="lowerLetter"/>
      <w:suff w:val="space"/>
      <w:lvlText w:val="(%1)"/>
      <w:lvlJc w:val="left"/>
    </w:lvl>
  </w:abstractNum>
  <w:abstractNum w:abstractNumId="2">
    <w:nsid w:val="D08454B5"/>
    <w:multiLevelType w:val="singleLevel"/>
    <w:tmpl w:val="D08454B5"/>
    <w:lvl w:ilvl="0" w:tentative="0">
      <w:start w:val="3"/>
      <w:numFmt w:val="decimal"/>
      <w:suff w:val="space"/>
      <w:lvlText w:val="(%1)"/>
      <w:lvlJc w:val="left"/>
    </w:lvl>
  </w:abstractNum>
  <w:abstractNum w:abstractNumId="3">
    <w:nsid w:val="099B33D3"/>
    <w:multiLevelType w:val="multilevel"/>
    <w:tmpl w:val="099B33D3"/>
    <w:lvl w:ilvl="0" w:tentative="0">
      <w:start w:val="1"/>
      <w:numFmt w:val="decimal"/>
      <w:pStyle w:val="18"/>
      <w:suff w:val="space"/>
      <w:lvlText w:val="%1"/>
      <w:lvlJc w:val="left"/>
      <w:pPr>
        <w:ind w:left="283" w:hanging="425"/>
      </w:pPr>
      <w:rPr>
        <w:rFonts w:hint="eastAsia"/>
      </w:rPr>
    </w:lvl>
    <w:lvl w:ilvl="1" w:tentative="0">
      <w:start w:val="1"/>
      <w:numFmt w:val="decimal"/>
      <w:pStyle w:val="19"/>
      <w:suff w:val="space"/>
      <w:lvlText w:val="%1.%2"/>
      <w:lvlJc w:val="left"/>
      <w:pPr>
        <w:ind w:left="992" w:hanging="992"/>
      </w:pPr>
      <w:rPr>
        <w:rFonts w:hint="eastAsia"/>
        <w:sz w:val="28"/>
        <w:szCs w:val="28"/>
      </w:rPr>
    </w:lvl>
    <w:lvl w:ilvl="2" w:tentative="0">
      <w:start w:val="1"/>
      <w:numFmt w:val="decimal"/>
      <w:pStyle w:val="21"/>
      <w:suff w:val="space"/>
      <w:lvlText w:val="%1.%2.%3"/>
      <w:lvlJc w:val="left"/>
      <w:pPr>
        <w:ind w:left="2400" w:hanging="2400"/>
      </w:pPr>
      <w:rPr>
        <w:rFonts w:hint="eastAsia"/>
      </w:rPr>
    </w:lvl>
    <w:lvl w:ilvl="3" w:tentative="0">
      <w:start w:val="1"/>
      <w:numFmt w:val="decimal"/>
      <w:lvlText w:val="%1.%2.%3.%4"/>
      <w:lvlJc w:val="left"/>
      <w:pPr>
        <w:tabs>
          <w:tab w:val="left" w:pos="2880"/>
        </w:tabs>
        <w:ind w:left="708" w:hanging="708"/>
      </w:pPr>
      <w:rPr>
        <w:rFonts w:hint="eastAsia"/>
      </w:rPr>
    </w:lvl>
    <w:lvl w:ilvl="4" w:tentative="0">
      <w:start w:val="1"/>
      <w:numFmt w:val="decimal"/>
      <w:lvlText w:val="%1.%2.%3.%4.%5"/>
      <w:lvlJc w:val="left"/>
      <w:pPr>
        <w:tabs>
          <w:tab w:val="left" w:pos="5159"/>
        </w:tabs>
        <w:ind w:left="2409" w:hanging="850"/>
      </w:pPr>
      <w:rPr>
        <w:rFonts w:hint="eastAsia"/>
      </w:rPr>
    </w:lvl>
    <w:lvl w:ilvl="5" w:tentative="0">
      <w:start w:val="1"/>
      <w:numFmt w:val="decimal"/>
      <w:lvlText w:val="%1.%2.%3.%4.%5.%6"/>
      <w:lvlJc w:val="left"/>
      <w:pPr>
        <w:tabs>
          <w:tab w:val="left" w:pos="6304"/>
        </w:tabs>
        <w:ind w:left="3118" w:hanging="1134"/>
      </w:pPr>
      <w:rPr>
        <w:rFonts w:hint="eastAsia"/>
      </w:rPr>
    </w:lvl>
    <w:lvl w:ilvl="6" w:tentative="0">
      <w:start w:val="1"/>
      <w:numFmt w:val="decimal"/>
      <w:lvlText w:val="%1.%2.%3.%4.%5.%6.%7"/>
      <w:lvlJc w:val="left"/>
      <w:pPr>
        <w:tabs>
          <w:tab w:val="left" w:pos="7449"/>
        </w:tabs>
        <w:ind w:left="3685" w:hanging="1276"/>
      </w:pPr>
      <w:rPr>
        <w:rFonts w:hint="eastAsia"/>
      </w:rPr>
    </w:lvl>
    <w:lvl w:ilvl="7" w:tentative="0">
      <w:start w:val="1"/>
      <w:numFmt w:val="decimal"/>
      <w:lvlText w:val="%1.%2.%3.%4.%5.%6.%7.%8"/>
      <w:lvlJc w:val="left"/>
      <w:pPr>
        <w:tabs>
          <w:tab w:val="left" w:pos="8594"/>
        </w:tabs>
        <w:ind w:left="4252" w:hanging="1418"/>
      </w:pPr>
      <w:rPr>
        <w:rFonts w:hint="eastAsia"/>
      </w:rPr>
    </w:lvl>
    <w:lvl w:ilvl="8" w:tentative="0">
      <w:start w:val="1"/>
      <w:numFmt w:val="decimal"/>
      <w:lvlText w:val="%1.%2.%3.%4.%5.%6.%7.%8.%9"/>
      <w:lvlJc w:val="left"/>
      <w:pPr>
        <w:tabs>
          <w:tab w:val="left" w:pos="9380"/>
        </w:tabs>
        <w:ind w:left="4960" w:hanging="1700"/>
      </w:pPr>
      <w:rPr>
        <w:rFonts w:hint="eastAsia"/>
      </w:rPr>
    </w:lvl>
  </w:abstractNum>
  <w:abstractNum w:abstractNumId="4">
    <w:nsid w:val="20B85FAD"/>
    <w:multiLevelType w:val="multilevel"/>
    <w:tmpl w:val="20B85FAD"/>
    <w:lvl w:ilvl="0" w:tentative="0">
      <w:start w:val="1"/>
      <w:numFmt w:val="lowerLetter"/>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41CD4480"/>
    <w:multiLevelType w:val="singleLevel"/>
    <w:tmpl w:val="41CD4480"/>
    <w:lvl w:ilvl="0" w:tentative="0">
      <w:start w:val="1"/>
      <w:numFmt w:val="lowerLetter"/>
      <w:suff w:val="space"/>
      <w:lvlText w:val="(%1)"/>
      <w:lvlJc w:val="left"/>
    </w:lvl>
  </w:abstractNum>
  <w:abstractNum w:abstractNumId="6">
    <w:nsid w:val="688B77E0"/>
    <w:multiLevelType w:val="multilevel"/>
    <w:tmpl w:val="688B77E0"/>
    <w:lvl w:ilvl="0" w:tentative="0">
      <w:start w:val="1"/>
      <w:numFmt w:val="lowerLetter"/>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3"/>
  </w:num>
  <w:num w:numId="2">
    <w:abstractNumId w:val="5"/>
  </w:num>
  <w:num w:numId="3">
    <w:abstractNumId w:val="2"/>
  </w:num>
  <w:num w:numId="4">
    <w:abstractNumId w:val="0"/>
  </w:num>
  <w:num w:numId="5">
    <w:abstractNumId w:val="1"/>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NjNmUwZDk0OGZkNjg5YmNhZTcxMTE0ODZjNWY5MmIifQ=="/>
  </w:docVars>
  <w:rsids>
    <w:rsidRoot w:val="00E37A2B"/>
    <w:rsid w:val="00060538"/>
    <w:rsid w:val="00060A19"/>
    <w:rsid w:val="000D5E1D"/>
    <w:rsid w:val="000D7690"/>
    <w:rsid w:val="000E4EFD"/>
    <w:rsid w:val="001375B9"/>
    <w:rsid w:val="00297E36"/>
    <w:rsid w:val="002E5BCD"/>
    <w:rsid w:val="00345E15"/>
    <w:rsid w:val="00385478"/>
    <w:rsid w:val="00396D27"/>
    <w:rsid w:val="003D2A09"/>
    <w:rsid w:val="003E22BD"/>
    <w:rsid w:val="003E2CF0"/>
    <w:rsid w:val="004015D5"/>
    <w:rsid w:val="00413363"/>
    <w:rsid w:val="005263BD"/>
    <w:rsid w:val="00561166"/>
    <w:rsid w:val="00577017"/>
    <w:rsid w:val="00581B14"/>
    <w:rsid w:val="00591955"/>
    <w:rsid w:val="006000A8"/>
    <w:rsid w:val="00634453"/>
    <w:rsid w:val="0065493A"/>
    <w:rsid w:val="00685282"/>
    <w:rsid w:val="006F2889"/>
    <w:rsid w:val="00744866"/>
    <w:rsid w:val="007800FA"/>
    <w:rsid w:val="00783267"/>
    <w:rsid w:val="007A202B"/>
    <w:rsid w:val="007B2047"/>
    <w:rsid w:val="007D34B0"/>
    <w:rsid w:val="007D44E6"/>
    <w:rsid w:val="00851DC0"/>
    <w:rsid w:val="008530F7"/>
    <w:rsid w:val="00891103"/>
    <w:rsid w:val="00924F65"/>
    <w:rsid w:val="0095559C"/>
    <w:rsid w:val="009747AC"/>
    <w:rsid w:val="009952CF"/>
    <w:rsid w:val="009B4E63"/>
    <w:rsid w:val="009E78A1"/>
    <w:rsid w:val="00A045E8"/>
    <w:rsid w:val="00A05BEC"/>
    <w:rsid w:val="00A07742"/>
    <w:rsid w:val="00A30FFF"/>
    <w:rsid w:val="00A34C05"/>
    <w:rsid w:val="00AC3D88"/>
    <w:rsid w:val="00B414BF"/>
    <w:rsid w:val="00B5341D"/>
    <w:rsid w:val="00C1073C"/>
    <w:rsid w:val="00CB214B"/>
    <w:rsid w:val="00CC3910"/>
    <w:rsid w:val="00CE416E"/>
    <w:rsid w:val="00D27A4B"/>
    <w:rsid w:val="00D63DE0"/>
    <w:rsid w:val="00E37A2B"/>
    <w:rsid w:val="00E609F5"/>
    <w:rsid w:val="00EE3A43"/>
    <w:rsid w:val="00F02A51"/>
    <w:rsid w:val="00F52619"/>
    <w:rsid w:val="00FA4B6C"/>
    <w:rsid w:val="03C36359"/>
    <w:rsid w:val="08117F52"/>
    <w:rsid w:val="0985568D"/>
    <w:rsid w:val="0B4B5CE1"/>
    <w:rsid w:val="0B75579F"/>
    <w:rsid w:val="0BAF2B53"/>
    <w:rsid w:val="13272331"/>
    <w:rsid w:val="149736F8"/>
    <w:rsid w:val="189B082C"/>
    <w:rsid w:val="1BCC2910"/>
    <w:rsid w:val="1CD84193"/>
    <w:rsid w:val="1E5E381D"/>
    <w:rsid w:val="206632F2"/>
    <w:rsid w:val="235B30B4"/>
    <w:rsid w:val="24723874"/>
    <w:rsid w:val="28153891"/>
    <w:rsid w:val="284A641C"/>
    <w:rsid w:val="298555AB"/>
    <w:rsid w:val="2C013E0A"/>
    <w:rsid w:val="2D5F3092"/>
    <w:rsid w:val="33AC740B"/>
    <w:rsid w:val="35A700D9"/>
    <w:rsid w:val="36372C24"/>
    <w:rsid w:val="36B61AA0"/>
    <w:rsid w:val="39AE4085"/>
    <w:rsid w:val="3AB331C1"/>
    <w:rsid w:val="3B4D7B21"/>
    <w:rsid w:val="3B777969"/>
    <w:rsid w:val="3C925059"/>
    <w:rsid w:val="400B6D66"/>
    <w:rsid w:val="40B01FB1"/>
    <w:rsid w:val="41336822"/>
    <w:rsid w:val="41DA54D8"/>
    <w:rsid w:val="42755200"/>
    <w:rsid w:val="45783CBB"/>
    <w:rsid w:val="46110DE0"/>
    <w:rsid w:val="496D0261"/>
    <w:rsid w:val="49885887"/>
    <w:rsid w:val="4ABC2FE9"/>
    <w:rsid w:val="4C922ACD"/>
    <w:rsid w:val="4FEA2E05"/>
    <w:rsid w:val="50F970EC"/>
    <w:rsid w:val="51C27D36"/>
    <w:rsid w:val="52A77D71"/>
    <w:rsid w:val="52D90E94"/>
    <w:rsid w:val="560A4F3A"/>
    <w:rsid w:val="576F6293"/>
    <w:rsid w:val="5A6C1BB7"/>
    <w:rsid w:val="5D341EBF"/>
    <w:rsid w:val="5D477C4C"/>
    <w:rsid w:val="5DD07D1F"/>
    <w:rsid w:val="613E0672"/>
    <w:rsid w:val="62A14052"/>
    <w:rsid w:val="64C4441F"/>
    <w:rsid w:val="675D2A1E"/>
    <w:rsid w:val="68397AE4"/>
    <w:rsid w:val="68B12474"/>
    <w:rsid w:val="69DC6DBD"/>
    <w:rsid w:val="6B0332D4"/>
    <w:rsid w:val="6E69536A"/>
    <w:rsid w:val="6E8326A2"/>
    <w:rsid w:val="6F485C4A"/>
    <w:rsid w:val="6FF050A4"/>
    <w:rsid w:val="709F7728"/>
    <w:rsid w:val="72874381"/>
    <w:rsid w:val="72926652"/>
    <w:rsid w:val="77F600D5"/>
    <w:rsid w:val="7ABE226C"/>
    <w:rsid w:val="7C152965"/>
    <w:rsid w:val="7E492AC2"/>
    <w:rsid w:val="7EC30AC6"/>
    <w:rsid w:val="7FAA04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2">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link w:val="27"/>
    <w:qFormat/>
    <w:uiPriority w:val="0"/>
    <w:pPr>
      <w:pBdr>
        <w:bottom w:val="single" w:color="auto" w:sz="6" w:space="1"/>
      </w:pBdr>
      <w:tabs>
        <w:tab w:val="center" w:pos="4153"/>
        <w:tab w:val="right" w:pos="8306"/>
      </w:tabs>
      <w:snapToGrid w:val="0"/>
      <w:jc w:val="center"/>
    </w:pPr>
    <w:rPr>
      <w:sz w:val="18"/>
      <w:szCs w:val="18"/>
    </w:rPr>
  </w:style>
  <w:style w:type="paragraph" w:styleId="7">
    <w:name w:val="footnote text"/>
    <w:basedOn w:val="1"/>
    <w:link w:val="25"/>
    <w:unhideWhenUsed/>
    <w:qFormat/>
    <w:uiPriority w:val="99"/>
    <w:pPr>
      <w:widowControl/>
      <w:jc w:val="left"/>
    </w:pPr>
    <w:rPr>
      <w:rFonts w:asciiTheme="minorHAnsi" w:hAnsiTheme="minorHAnsi" w:eastAsiaTheme="minorEastAsia"/>
      <w:kern w:val="0"/>
      <w:sz w:val="20"/>
      <w:szCs w:val="20"/>
    </w:rPr>
  </w:style>
  <w:style w:type="paragraph" w:styleId="8">
    <w:name w:val="Normal (Web)"/>
    <w:basedOn w:val="1"/>
    <w:unhideWhenUsed/>
    <w:qFormat/>
    <w:uiPriority w:val="0"/>
    <w:rPr>
      <w:sz w:val="24"/>
    </w:rPr>
  </w:style>
  <w:style w:type="table" w:styleId="10">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
    <w:name w:val="Light Shading Accent 1"/>
    <w:basedOn w:val="9"/>
    <w:qFormat/>
    <w:uiPriority w:val="60"/>
    <w:rPr>
      <w:rFonts w:asciiTheme="minorHAnsi" w:hAnsiTheme="minorHAnsi" w:eastAsiaTheme="minorEastAsia" w:cstheme="minorBidi"/>
      <w:color w:val="2E54A1" w:themeColor="accent1" w:themeShade="BF"/>
      <w:sz w:val="22"/>
      <w:szCs w:val="22"/>
    </w:rPr>
    <w:tblPr>
      <w:tblBorders>
        <w:top w:val="single" w:color="4874CB" w:themeColor="accent1" w:sz="8" w:space="0"/>
        <w:bottom w:val="single" w:color="4874CB" w:themeColor="accent1" w:sz="8" w:space="0"/>
      </w:tblBorders>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character" w:styleId="13">
    <w:name w:val="Hyperlink"/>
    <w:basedOn w:val="12"/>
    <w:qFormat/>
    <w:uiPriority w:val="99"/>
    <w:rPr>
      <w:color w:val="0000FF"/>
      <w:u w:val="single"/>
    </w:rPr>
  </w:style>
  <w:style w:type="paragraph" w:customStyle="1" w:styleId="14">
    <w:name w:val="其他"/>
    <w:basedOn w:val="1"/>
    <w:qFormat/>
    <w:uiPriority w:val="0"/>
  </w:style>
  <w:style w:type="paragraph" w:customStyle="1" w:styleId="15">
    <w:name w:val="u标题"/>
    <w:basedOn w:val="2"/>
    <w:next w:val="16"/>
    <w:qFormat/>
    <w:uiPriority w:val="0"/>
    <w:pPr>
      <w:jc w:val="center"/>
    </w:pPr>
    <w:rPr>
      <w:rFonts w:eastAsia="黑体"/>
      <w:sz w:val="30"/>
    </w:rPr>
  </w:style>
  <w:style w:type="paragraph" w:customStyle="1" w:styleId="16">
    <w:name w:val="u正文"/>
    <w:basedOn w:val="1"/>
    <w:link w:val="23"/>
    <w:qFormat/>
    <w:uiPriority w:val="0"/>
    <w:pPr>
      <w:spacing w:beforeLines="10" w:afterLines="10" w:line="312" w:lineRule="auto"/>
      <w:ind w:firstLine="200" w:firstLineChars="200"/>
    </w:pPr>
    <w:rPr>
      <w:rFonts w:cs="宋体"/>
      <w:sz w:val="24"/>
      <w:szCs w:val="20"/>
    </w:rPr>
  </w:style>
  <w:style w:type="character" w:customStyle="1" w:styleId="17">
    <w:name w:val="z书脊"/>
    <w:basedOn w:val="12"/>
    <w:qFormat/>
    <w:uiPriority w:val="0"/>
    <w:rPr>
      <w:rFonts w:ascii="Times New Roman" w:hAnsi="Times New Roman" w:eastAsia="宋体"/>
      <w:b/>
      <w:sz w:val="32"/>
    </w:rPr>
  </w:style>
  <w:style w:type="paragraph" w:customStyle="1" w:styleId="18">
    <w:name w:val="u正文1级标题"/>
    <w:basedOn w:val="2"/>
    <w:next w:val="16"/>
    <w:qFormat/>
    <w:uiPriority w:val="0"/>
    <w:pPr>
      <w:pageBreakBefore/>
      <w:numPr>
        <w:ilvl w:val="0"/>
        <w:numId w:val="1"/>
      </w:numPr>
      <w:spacing w:after="340" w:line="312" w:lineRule="auto"/>
    </w:pPr>
    <w:rPr>
      <w:rFonts w:eastAsia="黑体"/>
      <w:sz w:val="30"/>
    </w:rPr>
  </w:style>
  <w:style w:type="paragraph" w:customStyle="1" w:styleId="19">
    <w:name w:val="u正文2级标题"/>
    <w:basedOn w:val="3"/>
    <w:next w:val="16"/>
    <w:qFormat/>
    <w:uiPriority w:val="0"/>
    <w:pPr>
      <w:numPr>
        <w:ilvl w:val="1"/>
        <w:numId w:val="1"/>
      </w:numPr>
      <w:spacing w:line="312" w:lineRule="auto"/>
    </w:pPr>
    <w:rPr>
      <w:rFonts w:ascii="Times New Roman" w:hAnsi="Times New Roman" w:eastAsia="Times New Roman"/>
      <w:sz w:val="28"/>
    </w:rPr>
  </w:style>
  <w:style w:type="paragraph" w:customStyle="1" w:styleId="20">
    <w:name w:val="u表标题"/>
    <w:basedOn w:val="1"/>
    <w:qFormat/>
    <w:uiPriority w:val="0"/>
    <w:pPr>
      <w:spacing w:beforeLines="150" w:afterLines="50" w:line="360" w:lineRule="auto"/>
      <w:jc w:val="center"/>
    </w:pPr>
    <w:rPr>
      <w:rFonts w:eastAsia="黑体"/>
      <w:b/>
    </w:rPr>
  </w:style>
  <w:style w:type="paragraph" w:customStyle="1" w:styleId="21">
    <w:name w:val="u正文3级标题"/>
    <w:basedOn w:val="4"/>
    <w:next w:val="16"/>
    <w:qFormat/>
    <w:uiPriority w:val="0"/>
    <w:pPr>
      <w:numPr>
        <w:ilvl w:val="2"/>
        <w:numId w:val="1"/>
      </w:numPr>
      <w:spacing w:line="312" w:lineRule="auto"/>
    </w:pPr>
    <w:rPr>
      <w:rFonts w:eastAsia="Times New Roman"/>
      <w:sz w:val="28"/>
    </w:rPr>
  </w:style>
  <w:style w:type="paragraph" w:customStyle="1" w:styleId="22">
    <w:name w:val="u图标题"/>
    <w:basedOn w:val="1"/>
    <w:next w:val="16"/>
    <w:qFormat/>
    <w:uiPriority w:val="0"/>
    <w:pPr>
      <w:spacing w:beforeLines="50" w:afterLines="150" w:line="360" w:lineRule="auto"/>
      <w:jc w:val="center"/>
    </w:pPr>
    <w:rPr>
      <w:rFonts w:eastAsia="黑体"/>
      <w:b/>
    </w:rPr>
  </w:style>
  <w:style w:type="character" w:customStyle="1" w:styleId="23">
    <w:name w:val="u正文 Char"/>
    <w:basedOn w:val="12"/>
    <w:link w:val="16"/>
    <w:qFormat/>
    <w:uiPriority w:val="0"/>
    <w:rPr>
      <w:rFonts w:cs="宋体"/>
      <w:kern w:val="2"/>
      <w:sz w:val="24"/>
    </w:rPr>
  </w:style>
  <w:style w:type="paragraph" w:customStyle="1" w:styleId="24">
    <w:name w:val="Decimal Aligned"/>
    <w:basedOn w:val="1"/>
    <w:qFormat/>
    <w:uiPriority w:val="40"/>
    <w:pPr>
      <w:widowControl/>
      <w:tabs>
        <w:tab w:val="decimal" w:pos="360"/>
      </w:tabs>
      <w:spacing w:after="200" w:line="276" w:lineRule="auto"/>
      <w:jc w:val="left"/>
    </w:pPr>
    <w:rPr>
      <w:rFonts w:asciiTheme="minorHAnsi" w:hAnsiTheme="minorHAnsi" w:eastAsiaTheme="minorEastAsia"/>
      <w:kern w:val="0"/>
      <w:sz w:val="22"/>
      <w:szCs w:val="22"/>
    </w:rPr>
  </w:style>
  <w:style w:type="character" w:customStyle="1" w:styleId="25">
    <w:name w:val="脚注文本 字符"/>
    <w:basedOn w:val="12"/>
    <w:link w:val="7"/>
    <w:qFormat/>
    <w:uiPriority w:val="99"/>
    <w:rPr>
      <w:rFonts w:asciiTheme="minorHAnsi" w:hAnsiTheme="minorHAnsi" w:eastAsiaTheme="minorEastAsia"/>
    </w:rPr>
  </w:style>
  <w:style w:type="character" w:customStyle="1" w:styleId="26">
    <w:name w:val="Subtle Emphasis"/>
    <w:basedOn w:val="12"/>
    <w:qFormat/>
    <w:uiPriority w:val="19"/>
    <w:rPr>
      <w:i/>
      <w:iCs/>
    </w:rPr>
  </w:style>
  <w:style w:type="character" w:customStyle="1" w:styleId="27">
    <w:name w:val="页眉 字符"/>
    <w:basedOn w:val="12"/>
    <w:link w:val="6"/>
    <w:qFormat/>
    <w:uiPriority w:val="0"/>
    <w:rPr>
      <w:kern w:val="2"/>
      <w:sz w:val="18"/>
      <w:szCs w:val="18"/>
    </w:rPr>
  </w:style>
  <w:style w:type="paragraph" w:styleId="28">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2.bin"/><Relationship Id="rId7" Type="http://schemas.openxmlformats.org/officeDocument/2006/relationships/image" Target="media/image2.wmf"/><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emf"/><Relationship Id="rId11" Type="http://schemas.openxmlformats.org/officeDocument/2006/relationships/image" Target="media/image4.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432</Pages>
  <Words>8883</Words>
  <Characters>49816</Characters>
  <Lines>5892</Lines>
  <Paragraphs>1659</Paragraphs>
  <TotalTime>15</TotalTime>
  <ScaleCrop>false</ScaleCrop>
  <LinksUpToDate>false</LinksUpToDate>
  <CharactersWithSpaces>58257</CharactersWithSpaces>
  <Application>WPS Office_12.1.0.18888_F1E327BC-269C-435d-A152-05C5408002CA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2024-01-23T14:15:00Z</dcterms:created>
  <dc:creator>sijie</dc:creator>
  <cp:lastModifiedBy>Chang</cp:lastModifiedBy>
  <dcterms:modified xsi:type="dcterms:W3CDTF">2024-10-30T14:16:09Z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2052-12.1.0.18888</vt:lpwstr>
  </property>
  <property fmtid="{D5CDD505-2E9C-101B-9397-08002B2CF9AE}" pid="3" name="ICV">
    <vt:lpwstr>0C08F4965A0847B7B902659BE8425E7A_13</vt:lpwstr>
  </property>
</Properties>
</file>