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ONU (Organização das Nações Unidas) criou a Agenda 2030. Essa agenda diz respeito ao cumprimento dos objetivos de desenvolvimento sustentável que tem por objetivo equilibrar o avanço da humanidade com a provisão de recursos que o planeta nos dá e a distribuição dele, tornando assim o mundo mais seguro e mais justo para todos. Essa agenda é composta por 17 ODS (Objetivos de Desenvolvimento Sustentável). Elas são: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Erradicação da Pobreza;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Fome zero e agricultura sustentável;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Saúde e bem estar;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Educação de qualidade;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igualdade de gênero;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Água potável e saneamento;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Energia limpa e acessível;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Trabalho decente e crescimento econômico;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Indústria inovação e infraestrutura;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Redução das desigualdades;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Cidades e comunidades sustentáveis;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 Consumo e produção sustentáveis;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 Ação contra a mudança global do clima;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Vida na água;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Vida Terrestre;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 Paz, justiça e instituições eficazes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 Parcerias e meios de implementação.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Brasil tem trabalhado na ODS 12, fazendo uma gestão mais responsável e sustentável e uso eficiente dos recursos naturais oferecidos pelo nosso planeta. Uma questão que também é tratada é a necessidade de redução do desperdícios de alimentos. Já na produção de alimentos, o objetivo é minimizar o uso de produtos químicos na agricultura para afetar cada vez menos o solo, o ar e a saúde dos seres humanos. Por fim, o Brasil foca também na redução de resíduos e incentivo à conscientização sobre a sustentabilidade.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