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FEA047" w14:textId="77777777" w:rsidR="004A2ACD" w:rsidRDefault="00000000">
      <w:pPr>
        <w:pStyle w:val="Title"/>
        <w:jc w:val="center"/>
      </w:pPr>
      <w:r>
        <w:t>Comparing Resampling Methods and Fairness</w:t>
      </w:r>
    </w:p>
    <w:p w14:paraId="2B578C40" w14:textId="59345A5A" w:rsidR="004A2ACD" w:rsidRDefault="00000000">
      <w:pPr>
        <w:pStyle w:val="Subtitle"/>
        <w:jc w:val="center"/>
      </w:pPr>
      <w:r>
        <w:t>Data Mining 5415  |  Phase 3 Midterm Report</w:t>
      </w:r>
    </w:p>
    <w:p w14:paraId="58AC3F87" w14:textId="77777777" w:rsidR="004A2ACD" w:rsidRDefault="004A2ACD">
      <w:pPr>
        <w:sectPr w:rsidR="004A2ACD">
          <w:footerReference w:type="default" r:id="rId8"/>
          <w:pgSz w:w="12240" w:h="15840"/>
          <w:pgMar w:top="936" w:right="936" w:bottom="936" w:left="936" w:header="432" w:footer="432" w:gutter="0"/>
          <w:cols w:space="720"/>
          <w:docGrid w:linePitch="360"/>
        </w:sectPr>
      </w:pPr>
    </w:p>
    <w:p w14:paraId="630DF46F" w14:textId="77777777" w:rsidR="004A2ACD" w:rsidRDefault="00000000">
      <w:pPr>
        <w:pStyle w:val="Heading1"/>
      </w:pPr>
      <w:r>
        <w:t>Project Motivation and Research Questions</w:t>
      </w:r>
    </w:p>
    <w:p w14:paraId="296730B9" w14:textId="6F3CAB59" w:rsidR="004A2ACD" w:rsidRDefault="00000000">
      <w:r>
        <w:t xml:space="preserve">Our project investigates whether changing the representation of demographic and outcome subgroups in training data changes classification performance and fairness. </w:t>
      </w:r>
      <w:r w:rsidR="004274A8">
        <w:t>Accuracy alone</w:t>
      </w:r>
      <w:r>
        <w:t xml:space="preserve"> can obscure uneven errors across groups. We therefore </w:t>
      </w:r>
      <w:r w:rsidR="004274A8">
        <w:t xml:space="preserve">will </w:t>
      </w:r>
      <w:r>
        <w:t>compare a decision tree under four conditions: no resampling, random oversampling, SMOTE-NC, and random undersampling.</w:t>
      </w:r>
    </w:p>
    <w:p w14:paraId="76C50058" w14:textId="5E665046" w:rsidR="004A2ACD" w:rsidRDefault="00000000">
      <w:r>
        <w:t xml:space="preserve">Zhou, Kantarcioglu, and Clifton [1] examine SMOTE-based synthetic data </w:t>
      </w:r>
      <w:r w:rsidR="007C48BC">
        <w:t>to</w:t>
      </w:r>
      <w:r>
        <w:t xml:space="preserve"> </w:t>
      </w:r>
      <w:r w:rsidR="004274A8">
        <w:t>reduce</w:t>
      </w:r>
      <w:r>
        <w:t xml:space="preserve"> algorithmic bias and study its error and fairness. Our extension </w:t>
      </w:r>
      <w:r w:rsidR="004274A8">
        <w:t xml:space="preserve">of this study </w:t>
      </w:r>
      <w:r>
        <w:t>focuses on comparing resampling methods on one dataset with one classifier, rather than reproducing their comparison of fairness interventions</w:t>
      </w:r>
      <w:r w:rsidR="004274A8">
        <w:t xml:space="preserve"> across various datasets</w:t>
      </w:r>
      <w:r>
        <w:t>.</w:t>
      </w:r>
    </w:p>
    <w:p w14:paraId="7EAB39AF" w14:textId="0540D95E" w:rsidR="004A2ACD" w:rsidRDefault="00000000">
      <w:r>
        <w:t>The main research question is: How do different resampling methods affect predictive performance and fairness across demographic groups in an imbalanced classification problem? We ask (1) whether accuracy, precision, recall, and F1 differ across conditions, (2) how each method changes the female-minus-male statistical parity and equal opportunity gaps, and whether better predictive performance comes with better or worse fairness, and (3) whether these differences are consistent across cross-validation folds. Following instructor feedback on Phase 2, we changed the framing from oversampling to resampling and finalized random undersampling as the fourth condition.</w:t>
      </w:r>
    </w:p>
    <w:p w14:paraId="2E90639C" w14:textId="77777777" w:rsidR="004A2ACD" w:rsidRDefault="00000000">
      <w:pPr>
        <w:pStyle w:val="Heading1"/>
      </w:pPr>
      <w:r>
        <w:t>Dataset</w:t>
      </w:r>
    </w:p>
    <w:p w14:paraId="744A3614" w14:textId="6893CCF7" w:rsidR="004A2ACD" w:rsidRDefault="00000000">
      <w:r>
        <w:t xml:space="preserve">We use the UCI Adult Income dataset [2], derived from the 1994 Census database. The local files are adult.data, adult.test, and adult.names. The notebook loads 32,561 training rows and 16,281 test rows and concatenates them for descriptive inspection, giving 48,842 rows and 15 columns: 14 </w:t>
      </w:r>
      <w:r w:rsidR="007C48BC">
        <w:t xml:space="preserve">feature </w:t>
      </w:r>
      <w:r>
        <w:t>predictors and one income target.</w:t>
      </w:r>
    </w:p>
    <w:p w14:paraId="5E09985F" w14:textId="76949FC5" w:rsidR="004A2ACD" w:rsidRDefault="00000000">
      <w:r>
        <w:t>Income is intended to have two classes, ≤50K and &gt;50K, with &gt;50K defined as favorable</w:t>
      </w:r>
      <w:r w:rsidR="007C48BC">
        <w:t>, or the positive class</w:t>
      </w:r>
      <w:r>
        <w:t xml:space="preserve">. Sex is the protected attribute, using Female and Male categories. Female is designated unprivileged and male privileged for this evaluation. Sampling targets depend on sex/income subgroup counts in each training fold, not on privileged or unprivileged status.</w:t>
      </w:r>
      <w:r w:rsidR="007C48BC">
        <w:t xml:space="preserve"/>
      </w:r>
      <w:r>
        <w:t> Four sex/income combinations will define sampling subgroups</w:t>
      </w:r>
      <w:r w:rsidR="007C48BC">
        <w:t>.</w:t>
      </w:r>
    </w:p>
    <w:p w14:paraId="31275F23" w14:textId="4C946241" w:rsidR="004A2ACD" w:rsidRDefault="00000000">
      <w:r>
        <w:t>The loaded data contain six integer columns and nine object columns, including the target. Age and hours_per_week describe age and working hours; capital_gain and capital_loss record capital amounts. Education appears as both a named category and an ordered education_num code. Workclass, occupation, marital_status, relationship, race, and native_country describe employment and demographic</w:t>
      </w:r>
      <w:r w:rsidR="007C48BC">
        <w:t>s</w:t>
      </w:r>
      <w:r>
        <w:t>. Fnlwgt is a census sample weight</w:t>
      </w:r>
      <w:r w:rsidR="007C48BC">
        <w:t>. It tells us how many people in the broader population one dataset record represents, i.e., the record counts more toward population estimates. We have not yet decided w</w:t>
      </w:r>
      <w:r>
        <w:t xml:space="preserve">hether to exclude it, use it as a predictor, or use it for </w:t>
      </w:r>
      <w:r w:rsidR="007C48BC">
        <w:t>weighting in some way.</w:t>
      </w:r>
    </w:p>
    <w:p w14:paraId="432DF2D3" w14:textId="5C49AED5" w:rsidR="00857795" w:rsidRPr="00857795" w:rsidRDefault="00857795" w:rsidP="00857795">
      <w:pPr>
        <w:pStyle w:val="NormalWeb"/>
        <w:rPr>
          <w:sz w:val="21"/>
          <w:szCs w:val="21"/>
        </w:rPr>
      </w:pPr>
      <w:r w:rsidRPr="00857795">
        <w:rPr>
          <w:sz w:val="21"/>
          <w:szCs w:val="21"/>
        </w:rPr>
        <w:t xml:space="preserve">The </w:t>
      </w:r>
      <w:r w:rsidRPr="00857795">
        <w:rPr>
          <w:sz w:val="21"/>
          <w:szCs w:val="21"/>
        </w:rPr>
        <w:t xml:space="preserve">Adult dataset is a good fit for this project because it includes two income categories, unequal numbers of male and female observations, and both numerical and categorical features. However, the </w:t>
      </w:r>
      <w:r>
        <w:rPr>
          <w:sz w:val="21"/>
          <w:szCs w:val="21"/>
        </w:rPr>
        <w:t>timeliness of the data is questionable</w:t>
      </w:r>
      <w:r w:rsidRPr="00857795">
        <w:rPr>
          <w:sz w:val="21"/>
          <w:szCs w:val="21"/>
        </w:rPr>
        <w:t>, so the results may not apply to people today. The dataset also records sex only as male or female, which limits our fairness analysis to those two groups.</w:t>
      </w:r>
    </w:p>
    <w:p w14:paraId="274C2B0C" w14:textId="77777777" w:rsidR="004A2ACD" w:rsidRDefault="00000000">
      <w:pPr>
        <w:pStyle w:val="Heading1"/>
      </w:pPr>
      <w:r>
        <w:t>Data Preparation</w:t>
      </w:r>
    </w:p>
    <w:p w14:paraId="301C40C7" w14:textId="77777777" w:rsidR="004A2ACD" w:rsidRDefault="00000000">
      <w:pPr>
        <w:pStyle w:val="Heading2"/>
      </w:pPr>
      <w:r>
        <w:t>Completed loading and inspection</w:t>
      </w:r>
    </w:p>
    <w:p w14:paraId="46EDEED4" w14:textId="7D05C55F" w:rsidR="004A2ACD" w:rsidRDefault="00000000">
      <w:r>
        <w:t xml:space="preserve">Column names were assigned using the </w:t>
      </w:r>
      <w:r w:rsidR="00C77BC6">
        <w:t xml:space="preserve">feature </w:t>
      </w:r>
      <w:r>
        <w:t xml:space="preserve">order in </w:t>
      </w:r>
      <w:r w:rsidR="00C77BC6">
        <w:t xml:space="preserve">the </w:t>
      </w:r>
      <w:proofErr w:type="spellStart"/>
      <w:r>
        <w:t>adult.names</w:t>
      </w:r>
      <w:proofErr w:type="spellEnd"/>
      <w:r w:rsidR="00C77BC6">
        <w:t xml:space="preserve"> file</w:t>
      </w:r>
      <w:r>
        <w:t>, replacing hyphens with underscores for Python use. The first metadata line in adult.test was skipped, and spaces immediately after delimiters were ignored. The two source DataFrames were retained and concatenated with a fresh index for overall inspection</w:t>
      </w:r>
      <w:r w:rsidR="00C77BC6">
        <w:t xml:space="preserve"> of the data</w:t>
      </w:r>
      <w:r>
        <w:t>. Shapes, storage types, numerical summaries, and categorical counts were examined</w:t>
      </w:r>
      <w:r w:rsidR="00C77BC6">
        <w:t>.</w:t>
      </w:r>
    </w:p>
    <w:p w14:paraId="6F4B37DE" w14:textId="579E049E" w:rsidR="00C77BC6" w:rsidRDefault="00C77BC6" w:rsidP="00C77BC6">
      <w:pPr>
        <w:pStyle w:val="Heading2"/>
      </w:pPr>
      <w:r>
        <w:t>C</w:t>
      </w:r>
      <w:r>
        <w:t>leaning and Transformations</w:t>
      </w:r>
    </w:p>
    <w:p w14:paraId="62B10BE7" w14:textId="6FC80FE9" w:rsidR="00C77BC6" w:rsidRPr="00C77BC6" w:rsidRDefault="00C77BC6" w:rsidP="00C77BC6">
      <w:r>
        <w:t xml:space="preserve">Missing values were found to be represented by a ‘?’. A missing value count from </w:t>
      </w:r>
      <w:proofErr w:type="spellStart"/>
      <w:r>
        <w:t>isna</w:t>
      </w:r>
      <w:proofErr w:type="spellEnd"/>
      <w:r>
        <w:t>() therefore is not meaningful for this dataset.</w:t>
      </w:r>
    </w:p>
    <w:p w14:paraId="624747BB" w14:textId="0F18C3DF" w:rsidR="00C77BC6" w:rsidRDefault="00C77BC6">
      <w:r>
        <w:rPr>
          <w:i/>
          <w:color w:val="595959"/>
        </w:rPr>
        <w:t xml:space="preserve">[To complete: </w:t>
      </w:r>
      <w:r>
        <w:rPr>
          <w:i/>
          <w:color w:val="595959"/>
        </w:rPr>
        <w:t>Add transformations/cleaning done for missing values, the trailing ‘.’ in the target column values, etc.</w:t>
      </w:r>
      <w:r w:rsidRPr="00C77BC6">
        <w:rPr>
          <w:i/>
          <w:color w:val="595959"/>
        </w:rPr>
        <w:t xml:space="preserve"> </w:t>
      </w:r>
      <w:r>
        <w:rPr>
          <w:i/>
          <w:color w:val="595959"/>
        </w:rPr>
        <w:t>Complete missing-data and outlier checks, verify the education mapping, and finalize feature selection, categorical encoding, and the role of</w:t>
      </w:r>
      <w:r>
        <w:rPr>
          <w:i/>
          <w:color w:val="595959"/>
        </w:rPr>
        <w:t xml:space="preserve"> the</w:t>
      </w:r>
      <w:r>
        <w:rPr>
          <w:i/>
          <w:color w:val="595959"/>
        </w:rPr>
        <w:t xml:space="preserve"> </w:t>
      </w:r>
      <w:proofErr w:type="spellStart"/>
      <w:r>
        <w:rPr>
          <w:i/>
          <w:color w:val="595959"/>
        </w:rPr>
        <w:t>fnlwgt</w:t>
      </w:r>
      <w:proofErr w:type="spellEnd"/>
      <w:r>
        <w:rPr>
          <w:i/>
          <w:color w:val="595959"/>
        </w:rPr>
        <w:t xml:space="preserve"> column</w:t>
      </w:r>
      <w:r>
        <w:rPr>
          <w:i/>
          <w:color w:val="595959"/>
        </w:rPr>
        <w:t>. Record any feature transformations]</w:t>
      </w:r>
    </w:p>
    <w:p w14:paraId="1085F11E" w14:textId="77777777" w:rsidR="004A2ACD" w:rsidRDefault="00000000">
      <w:pPr>
        <w:pStyle w:val="Heading1"/>
      </w:pPr>
      <w:r>
        <w:t>Exploratory Data Analysis</w:t>
      </w:r>
    </w:p>
    <w:p w14:paraId="7D7FBD1F" w14:textId="77777777" w:rsidR="004A2ACD" w:rsidRDefault="00000000">
      <w:pPr>
        <w:pStyle w:val="Heading2"/>
      </w:pPr>
      <w:r>
        <w:t>Unknown values and outcome consistency</w:t>
      </w:r>
    </w:p>
    <w:p w14:paraId="28875B6E" w14:textId="77777777" w:rsidR="004A2ACD" w:rsidRDefault="00000000">
      <w:pPr>
        <w:pStyle w:val="Caption"/>
        <w:keepNext/>
      </w:pPr>
      <w:r>
        <w:t>Table 1  Unknown markers in the combined raw data</w:t>
      </w:r>
    </w:p>
    <w:tbl>
      <w:tblPr>
        <w:tblW w:w="0" w:type="auto"/>
        <w:jc w:val="center"/>
        <w:tblLayout w:type="fixed"/>
        <w:tblLook w:val="04A0" w:firstRow="1" w:lastRow="0" w:firstColumn="1" w:lastColumn="0" w:noHBand="0" w:noVBand="1"/>
      </w:tblPr>
      <w:tblGrid>
        <w:gridCol w:w="2070"/>
        <w:gridCol w:w="1530"/>
        <w:gridCol w:w="1224"/>
      </w:tblGrid>
      <w:tr w:rsidR="004A2ACD" w14:paraId="546EC9C3" w14:textId="77777777" w:rsidTr="00C77BC6">
        <w:trPr>
          <w:cantSplit/>
          <w:tblHeader/>
          <w:jc w:val="center"/>
        </w:trPr>
        <w:tc>
          <w:tcPr>
            <w:tcW w:w="2070" w:type="dxa"/>
            <w:tcBorders>
              <w:top w:val="single" w:sz="4" w:space="0" w:color="D9D9D9"/>
              <w:left w:val="single" w:sz="4" w:space="0" w:color="D9D9D9"/>
              <w:bottom w:val="single" w:sz="4" w:space="0" w:color="D9D9D9"/>
              <w:right w:val="single" w:sz="4" w:space="0" w:color="D9D9D9"/>
            </w:tcBorders>
            <w:shd w:val="clear" w:color="auto" w:fill="E8ECF0"/>
            <w:tcMar>
              <w:top w:w="65" w:type="dxa"/>
              <w:left w:w="65" w:type="dxa"/>
              <w:bottom w:w="65" w:type="dxa"/>
              <w:right w:w="65" w:type="dxa"/>
            </w:tcMar>
            <w:vAlign w:val="center"/>
          </w:tcPr>
          <w:p w14:paraId="6BCB4687" w14:textId="77777777" w:rsidR="004A2ACD" w:rsidRDefault="00000000">
            <w:pPr>
              <w:spacing w:after="0" w:line="240" w:lineRule="auto"/>
            </w:pPr>
            <w:r>
              <w:rPr>
                <w:b/>
                <w:sz w:val="18"/>
              </w:rPr>
              <w:t>Feature</w:t>
            </w:r>
          </w:p>
        </w:tc>
        <w:tc>
          <w:tcPr>
            <w:tcW w:w="1530" w:type="dxa"/>
            <w:tcBorders>
              <w:top w:val="single" w:sz="4" w:space="0" w:color="D9D9D9"/>
              <w:left w:val="single" w:sz="4" w:space="0" w:color="D9D9D9"/>
              <w:bottom w:val="single" w:sz="4" w:space="0" w:color="D9D9D9"/>
              <w:right w:val="single" w:sz="4" w:space="0" w:color="D9D9D9"/>
            </w:tcBorders>
            <w:shd w:val="clear" w:color="auto" w:fill="E8ECF0"/>
            <w:tcMar>
              <w:top w:w="65" w:type="dxa"/>
              <w:left w:w="65" w:type="dxa"/>
              <w:bottom w:w="65" w:type="dxa"/>
              <w:right w:w="65" w:type="dxa"/>
            </w:tcMar>
            <w:vAlign w:val="center"/>
          </w:tcPr>
          <w:p w14:paraId="705D9264" w14:textId="77777777" w:rsidR="004A2ACD" w:rsidRDefault="00000000">
            <w:pPr>
              <w:spacing w:after="0" w:line="240" w:lineRule="auto"/>
              <w:jc w:val="right"/>
            </w:pPr>
            <w:r>
              <w:rPr>
                <w:b/>
                <w:sz w:val="18"/>
              </w:rPr>
              <w:t>“?” count</w:t>
            </w:r>
          </w:p>
        </w:tc>
        <w:tc>
          <w:tcPr>
            <w:tcW w:w="1224" w:type="dxa"/>
            <w:tcBorders>
              <w:top w:val="single" w:sz="4" w:space="0" w:color="D9D9D9"/>
              <w:left w:val="single" w:sz="4" w:space="0" w:color="D9D9D9"/>
              <w:bottom w:val="single" w:sz="4" w:space="0" w:color="D9D9D9"/>
              <w:right w:val="single" w:sz="4" w:space="0" w:color="D9D9D9"/>
            </w:tcBorders>
            <w:shd w:val="clear" w:color="auto" w:fill="E8ECF0"/>
            <w:tcMar>
              <w:top w:w="65" w:type="dxa"/>
              <w:left w:w="65" w:type="dxa"/>
              <w:bottom w:w="65" w:type="dxa"/>
              <w:right w:w="65" w:type="dxa"/>
            </w:tcMar>
            <w:vAlign w:val="center"/>
          </w:tcPr>
          <w:p w14:paraId="50C5EF01" w14:textId="77777777" w:rsidR="004A2ACD" w:rsidRDefault="00000000">
            <w:pPr>
              <w:spacing w:after="0" w:line="240" w:lineRule="auto"/>
              <w:jc w:val="right"/>
            </w:pPr>
            <w:r>
              <w:rPr>
                <w:b/>
                <w:sz w:val="18"/>
              </w:rPr>
              <w:t>Percent</w:t>
            </w:r>
          </w:p>
        </w:tc>
      </w:tr>
      <w:tr w:rsidR="004A2ACD" w14:paraId="431EA7A8" w14:textId="77777777" w:rsidTr="00C77BC6">
        <w:trPr>
          <w:cantSplit/>
          <w:jc w:val="center"/>
        </w:trPr>
        <w:tc>
          <w:tcPr>
            <w:tcW w:w="207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93F13DC" w14:textId="77777777" w:rsidR="004A2ACD" w:rsidRDefault="00000000">
            <w:pPr>
              <w:spacing w:after="0" w:line="240" w:lineRule="auto"/>
            </w:pPr>
            <w:r>
              <w:rPr>
                <w:sz w:val="18"/>
              </w:rPr>
              <w:t>workclass</w:t>
            </w:r>
          </w:p>
        </w:tc>
        <w:tc>
          <w:tcPr>
            <w:tcW w:w="153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3E9A67A" w14:textId="77777777" w:rsidR="004A2ACD" w:rsidRDefault="00000000">
            <w:pPr>
              <w:spacing w:after="0" w:line="240" w:lineRule="auto"/>
              <w:jc w:val="right"/>
            </w:pPr>
            <w:r>
              <w:rPr>
                <w:sz w:val="18"/>
              </w:rPr>
              <w:t>2,799</w:t>
            </w:r>
          </w:p>
        </w:tc>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A48210" w14:textId="77777777" w:rsidR="004A2ACD" w:rsidRDefault="00000000">
            <w:pPr>
              <w:spacing w:after="0" w:line="240" w:lineRule="auto"/>
              <w:jc w:val="right"/>
            </w:pPr>
            <w:r>
              <w:rPr>
                <w:sz w:val="18"/>
              </w:rPr>
              <w:t>5.73%</w:t>
            </w:r>
          </w:p>
        </w:tc>
      </w:tr>
      <w:tr w:rsidR="004A2ACD" w14:paraId="4898ADCE" w14:textId="77777777" w:rsidTr="00C77BC6">
        <w:trPr>
          <w:cantSplit/>
          <w:jc w:val="center"/>
        </w:trPr>
        <w:tc>
          <w:tcPr>
            <w:tcW w:w="207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A12BE03" w14:textId="77777777" w:rsidR="004A2ACD" w:rsidRDefault="00000000">
            <w:pPr>
              <w:spacing w:after="0" w:line="240" w:lineRule="auto"/>
            </w:pPr>
            <w:r>
              <w:rPr>
                <w:sz w:val="18"/>
              </w:rPr>
              <w:t>occupation</w:t>
            </w:r>
          </w:p>
        </w:tc>
        <w:tc>
          <w:tcPr>
            <w:tcW w:w="153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1034BC" w14:textId="77777777" w:rsidR="004A2ACD" w:rsidRDefault="00000000">
            <w:pPr>
              <w:spacing w:after="0" w:line="240" w:lineRule="auto"/>
              <w:jc w:val="right"/>
            </w:pPr>
            <w:r>
              <w:rPr>
                <w:sz w:val="18"/>
              </w:rPr>
              <w:t>2,809</w:t>
            </w:r>
          </w:p>
        </w:tc>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4C3DA40" w14:textId="77777777" w:rsidR="004A2ACD" w:rsidRDefault="00000000">
            <w:pPr>
              <w:spacing w:after="0" w:line="240" w:lineRule="auto"/>
              <w:jc w:val="right"/>
            </w:pPr>
            <w:r>
              <w:rPr>
                <w:sz w:val="18"/>
              </w:rPr>
              <w:t>5.75%</w:t>
            </w:r>
          </w:p>
        </w:tc>
      </w:tr>
      <w:tr w:rsidR="004A2ACD" w14:paraId="18C8033F" w14:textId="77777777" w:rsidTr="00C77BC6">
        <w:trPr>
          <w:cantSplit/>
          <w:jc w:val="center"/>
        </w:trPr>
        <w:tc>
          <w:tcPr>
            <w:tcW w:w="207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4508889" w14:textId="77777777" w:rsidR="004A2ACD" w:rsidRDefault="00000000">
            <w:pPr>
              <w:spacing w:after="0" w:line="240" w:lineRule="auto"/>
            </w:pPr>
            <w:r>
              <w:rPr>
                <w:sz w:val="18"/>
              </w:rPr>
              <w:t>native_country</w:t>
            </w:r>
          </w:p>
        </w:tc>
        <w:tc>
          <w:tcPr>
            <w:tcW w:w="153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092BB4C" w14:textId="77777777" w:rsidR="004A2ACD" w:rsidRDefault="00000000">
            <w:pPr>
              <w:spacing w:after="0" w:line="240" w:lineRule="auto"/>
              <w:jc w:val="right"/>
            </w:pPr>
            <w:r>
              <w:rPr>
                <w:sz w:val="18"/>
              </w:rPr>
              <w:t>857</w:t>
            </w:r>
          </w:p>
        </w:tc>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828300B" w14:textId="77777777" w:rsidR="004A2ACD" w:rsidRDefault="00000000">
            <w:pPr>
              <w:spacing w:after="0" w:line="240" w:lineRule="auto"/>
              <w:jc w:val="right"/>
            </w:pPr>
            <w:r>
              <w:rPr>
                <w:sz w:val="18"/>
              </w:rPr>
              <w:t>1.75%</w:t>
            </w:r>
          </w:p>
        </w:tc>
      </w:tr>
    </w:tbl>
    <w:p w14:paraId="4C3134EB" w14:textId="77777777" w:rsidR="004A2ACD" w:rsidRDefault="004A2ACD">
      <w:pPr>
        <w:spacing w:after="0"/>
      </w:pPr>
    </w:p>
    <w:p w14:paraId="16C7FB95" w14:textId="7AD8FD48" w:rsidR="004A2ACD" w:rsidRDefault="00000000">
      <w:r>
        <w:t>Table 1 counts entries by column, not affected rows</w:t>
      </w:r>
      <w:r w:rsidR="00971ECD">
        <w:t>, so</w:t>
      </w:r>
      <w:r>
        <w:t xml:space="preserve"> unknowns may overlap. Occupation and workclass have the largest unknown counts. Treating these as ordinary categories without an explicit decision would hide missing information. Removing affected records could also alter subgroup representation, so </w:t>
      </w:r>
      <w:r w:rsidR="004D16B2">
        <w:t>our</w:t>
      </w:r>
      <w:r>
        <w:t xml:space="preserve"> missing-data </w:t>
      </w:r>
      <w:r w:rsidR="004D16B2">
        <w:t>decisions</w:t>
      </w:r>
      <w:r>
        <w:t xml:space="preserve"> matter to the fairness comparison.</w:t>
      </w:r>
    </w:p>
    <w:p w14:paraId="110B3F4D" w14:textId="77777777" w:rsidR="004A2ACD" w:rsidRDefault="00000000">
      <w:r>
        <w:lastRenderedPageBreak/>
        <w:t>Income has four raw strings: training labels ≤50K and &gt;50K, and test labels with trailing periods. Their respective counts are 24,720 and 7,841 in training, and 12,435 and 3,846 in test. The apparent extra classes are a source-format inconsistency, not additional income outcomes.</w:t>
      </w:r>
    </w:p>
    <w:p w14:paraId="77881AFA" w14:textId="77777777" w:rsidR="004A2ACD" w:rsidRDefault="00000000">
      <w:pPr>
        <w:pStyle w:val="Heading2"/>
      </w:pPr>
      <w:r>
        <w:t>Marginal imbalance</w:t>
      </w:r>
    </w:p>
    <w:p w14:paraId="3B7FD6E4" w14:textId="260CF5FA" w:rsidR="004A2ACD" w:rsidRDefault="0051701E">
      <w:pPr>
        <w:keepNext/>
      </w:pPr>
      <w:r>
        <w:t>&lt;</w:t>
      </w:r>
      <w:r>
        <w:rPr>
          <w:i/>
          <w:color w:val="595959"/>
        </w:rPr>
        <w:t xml:space="preserve"> </w:t>
      </w:r>
      <w:r>
        <w:rPr>
          <w:i/>
          <w:color w:val="595959"/>
        </w:rPr>
        <w:t>insert figure here showing counts described below</w:t>
      </w:r>
      <w:r>
        <w:t>&gt;</w:t>
      </w:r>
    </w:p>
    <w:p w14:paraId="3263BC39" w14:textId="2F383F21" w:rsidR="004A2ACD" w:rsidRDefault="00000000">
      <w:pPr>
        <w:pStyle w:val="Caption"/>
      </w:pPr>
      <w:r>
        <w:t>Figure 1  Marginal proportions from notebook counts (N = 48,842).</w:t>
      </w:r>
    </w:p>
    <w:p w14:paraId="3738B6EA" w14:textId="77777777" w:rsidR="004A2ACD" w:rsidRDefault="00000000">
      <w:r>
        <w:t>Summing the corresponding raw income counts yields 11,687 &gt;50K observations (23.9%) and 37,155 ≤50K observations (76.1%). An always-≤50K rule would therefore achieve 76.1% accuracy on these combined records while detecting no favorable outcomes. This descriptive benchmark supports reporting favorable-class recall and F1 alongside accuracy.</w:t>
      </w:r>
    </w:p>
    <w:p w14:paraId="15CE118B" w14:textId="1583D6D5" w:rsidR="004A2ACD" w:rsidRDefault="00000000">
      <w:r>
        <w:t xml:space="preserve">The data contain 32,650 male observations and 16,192 female observations, approximately a two-to-one ratio. </w:t>
      </w:r>
    </w:p>
    <w:p w14:paraId="35C9E140" w14:textId="7BBA7F35" w:rsidR="0086648C" w:rsidRDefault="0086648C">
      <w:r>
        <w:rPr>
          <w:i/>
          <w:color w:val="595959"/>
        </w:rPr>
        <w:t xml:space="preserve">[To complete: </w:t>
      </w:r>
      <w:r>
        <w:rPr>
          <w:i/>
          <w:color w:val="595959"/>
        </w:rPr>
        <w:t>Include sex/income subgroup totals. Those counts are needed to calculate how many rows each resampling method would add or remove.</w:t>
      </w:r>
      <w:r>
        <w:rPr>
          <w:i/>
          <w:color w:val="595959"/>
        </w:rPr>
        <w:t>]</w:t>
      </w:r>
    </w:p>
    <w:p w14:paraId="1D83AF81" w14:textId="77777777" w:rsidR="004A2ACD" w:rsidRDefault="00000000">
      <w:pPr>
        <w:pStyle w:val="Heading2"/>
      </w:pPr>
      <w:r>
        <w:t>Numerical distributions and rare categories</w:t>
      </w:r>
    </w:p>
    <w:p w14:paraId="5FF0AF91" w14:textId="77777777" w:rsidR="004A2ACD" w:rsidRDefault="00000000">
      <w:pPr>
        <w:pStyle w:val="Caption"/>
        <w:keepNext/>
      </w:pPr>
      <w:r>
        <w:t>Table 2  Selected numerical summaries before cleaning</w:t>
      </w:r>
    </w:p>
    <w:tbl>
      <w:tblPr>
        <w:tblW w:w="0" w:type="auto"/>
        <w:jc w:val="center"/>
        <w:tblLayout w:type="fixed"/>
        <w:tblLook w:val="04A0" w:firstRow="1" w:lastRow="0" w:firstColumn="1" w:lastColumn="0" w:noHBand="0" w:noVBand="1"/>
      </w:tblPr>
      <w:tblGrid>
        <w:gridCol w:w="2160"/>
        <w:gridCol w:w="936"/>
        <w:gridCol w:w="1728"/>
      </w:tblGrid>
      <w:tr w:rsidR="004A2ACD" w14:paraId="7E46475A"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8ECF0"/>
            <w:tcMar>
              <w:top w:w="65" w:type="dxa"/>
              <w:left w:w="65" w:type="dxa"/>
              <w:bottom w:w="65" w:type="dxa"/>
              <w:right w:w="65" w:type="dxa"/>
            </w:tcMar>
            <w:vAlign w:val="center"/>
          </w:tcPr>
          <w:p w14:paraId="2F8C475C" w14:textId="77777777" w:rsidR="004A2ACD" w:rsidRDefault="00000000">
            <w:pPr>
              <w:spacing w:after="0" w:line="240" w:lineRule="auto"/>
            </w:pPr>
            <w:r>
              <w:rPr>
                <w:b/>
                <w:sz w:val="18"/>
              </w:rPr>
              <w:t>Feature</w:t>
            </w:r>
          </w:p>
        </w:tc>
        <w:tc>
          <w:tcPr>
            <w:tcW w:w="936" w:type="dxa"/>
            <w:tcBorders>
              <w:top w:val="single" w:sz="4" w:space="0" w:color="D9D9D9"/>
              <w:left w:val="single" w:sz="4" w:space="0" w:color="D9D9D9"/>
              <w:bottom w:val="single" w:sz="4" w:space="0" w:color="D9D9D9"/>
              <w:right w:val="single" w:sz="4" w:space="0" w:color="D9D9D9"/>
            </w:tcBorders>
            <w:shd w:val="clear" w:color="auto" w:fill="E8ECF0"/>
            <w:tcMar>
              <w:top w:w="65" w:type="dxa"/>
              <w:left w:w="65" w:type="dxa"/>
              <w:bottom w:w="65" w:type="dxa"/>
              <w:right w:w="65" w:type="dxa"/>
            </w:tcMar>
            <w:vAlign w:val="center"/>
          </w:tcPr>
          <w:p w14:paraId="339A6DAA" w14:textId="77777777" w:rsidR="004A2ACD" w:rsidRDefault="00000000">
            <w:pPr>
              <w:spacing w:after="0" w:line="240" w:lineRule="auto"/>
              <w:jc w:val="right"/>
            </w:pPr>
            <w:r>
              <w:rPr>
                <w:b/>
                <w:sz w:val="18"/>
              </w:rPr>
              <w:t>Median</w:t>
            </w:r>
          </w:p>
        </w:tc>
        <w:tc>
          <w:tcPr>
            <w:tcW w:w="1728" w:type="dxa"/>
            <w:tcBorders>
              <w:top w:val="single" w:sz="4" w:space="0" w:color="D9D9D9"/>
              <w:left w:val="single" w:sz="4" w:space="0" w:color="D9D9D9"/>
              <w:bottom w:val="single" w:sz="4" w:space="0" w:color="D9D9D9"/>
              <w:right w:val="single" w:sz="4" w:space="0" w:color="D9D9D9"/>
            </w:tcBorders>
            <w:shd w:val="clear" w:color="auto" w:fill="E8ECF0"/>
            <w:tcMar>
              <w:top w:w="65" w:type="dxa"/>
              <w:left w:w="65" w:type="dxa"/>
              <w:bottom w:w="65" w:type="dxa"/>
              <w:right w:w="65" w:type="dxa"/>
            </w:tcMar>
            <w:vAlign w:val="center"/>
          </w:tcPr>
          <w:p w14:paraId="466DD30C" w14:textId="77777777" w:rsidR="004A2ACD" w:rsidRDefault="00000000">
            <w:pPr>
              <w:spacing w:after="0" w:line="240" w:lineRule="auto"/>
              <w:jc w:val="right"/>
            </w:pPr>
            <w:r>
              <w:rPr>
                <w:b/>
                <w:sz w:val="18"/>
              </w:rPr>
              <w:t>Range</w:t>
            </w:r>
          </w:p>
        </w:tc>
      </w:tr>
      <w:tr w:rsidR="004A2ACD" w14:paraId="03A73B8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2C3949" w14:textId="77777777" w:rsidR="004A2ACD" w:rsidRDefault="00000000">
            <w:pPr>
              <w:spacing w:after="0" w:line="240" w:lineRule="auto"/>
            </w:pPr>
            <w:r>
              <w:rPr>
                <w:sz w:val="18"/>
              </w:rPr>
              <w:t>age</w:t>
            </w:r>
          </w:p>
        </w:tc>
        <w:tc>
          <w:tcPr>
            <w:tcW w:w="9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09E8D72" w14:textId="77777777" w:rsidR="004A2ACD" w:rsidRDefault="00000000">
            <w:pPr>
              <w:spacing w:after="0" w:line="240" w:lineRule="auto"/>
              <w:jc w:val="right"/>
            </w:pPr>
            <w:r>
              <w:rPr>
                <w:sz w:val="18"/>
              </w:rPr>
              <w:t>37</w:t>
            </w:r>
          </w:p>
        </w:tc>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DA525C8" w14:textId="77777777" w:rsidR="004A2ACD" w:rsidRDefault="00000000">
            <w:pPr>
              <w:spacing w:after="0" w:line="240" w:lineRule="auto"/>
              <w:jc w:val="right"/>
            </w:pPr>
            <w:r>
              <w:rPr>
                <w:sz w:val="18"/>
              </w:rPr>
              <w:t>17–90</w:t>
            </w:r>
          </w:p>
        </w:tc>
      </w:tr>
      <w:tr w:rsidR="004A2ACD" w14:paraId="40D15545"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1A47E84" w14:textId="77777777" w:rsidR="004A2ACD" w:rsidRDefault="00000000">
            <w:pPr>
              <w:spacing w:after="0" w:line="240" w:lineRule="auto"/>
            </w:pPr>
            <w:r>
              <w:rPr>
                <w:sz w:val="18"/>
              </w:rPr>
              <w:t>education_num</w:t>
            </w:r>
          </w:p>
        </w:tc>
        <w:tc>
          <w:tcPr>
            <w:tcW w:w="9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E96762D" w14:textId="77777777" w:rsidR="004A2ACD" w:rsidRDefault="00000000">
            <w:pPr>
              <w:spacing w:after="0" w:line="240" w:lineRule="auto"/>
              <w:jc w:val="right"/>
            </w:pPr>
            <w:r>
              <w:rPr>
                <w:sz w:val="18"/>
              </w:rPr>
              <w:t>10</w:t>
            </w:r>
          </w:p>
        </w:tc>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D408F96" w14:textId="77777777" w:rsidR="004A2ACD" w:rsidRDefault="00000000">
            <w:pPr>
              <w:spacing w:after="0" w:line="240" w:lineRule="auto"/>
              <w:jc w:val="right"/>
            </w:pPr>
            <w:r>
              <w:rPr>
                <w:sz w:val="18"/>
              </w:rPr>
              <w:t>1–16</w:t>
            </w:r>
          </w:p>
        </w:tc>
      </w:tr>
      <w:tr w:rsidR="004A2ACD" w14:paraId="1CDF38BA"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9C1017F" w14:textId="77777777" w:rsidR="004A2ACD" w:rsidRDefault="00000000">
            <w:pPr>
              <w:spacing w:after="0" w:line="240" w:lineRule="auto"/>
            </w:pPr>
            <w:r>
              <w:rPr>
                <w:sz w:val="18"/>
              </w:rPr>
              <w:t>capital_gain</w:t>
            </w:r>
          </w:p>
        </w:tc>
        <w:tc>
          <w:tcPr>
            <w:tcW w:w="9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C633F47" w14:textId="77777777" w:rsidR="004A2ACD" w:rsidRDefault="00000000">
            <w:pPr>
              <w:spacing w:after="0" w:line="240" w:lineRule="auto"/>
              <w:jc w:val="right"/>
            </w:pPr>
            <w:r>
              <w:rPr>
                <w:sz w:val="18"/>
              </w:rPr>
              <w:t>0</w:t>
            </w:r>
          </w:p>
        </w:tc>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7F4DFA" w14:textId="77777777" w:rsidR="004A2ACD" w:rsidRDefault="00000000">
            <w:pPr>
              <w:spacing w:after="0" w:line="240" w:lineRule="auto"/>
              <w:jc w:val="right"/>
            </w:pPr>
            <w:r>
              <w:rPr>
                <w:sz w:val="18"/>
              </w:rPr>
              <w:t>0–99,999</w:t>
            </w:r>
          </w:p>
        </w:tc>
      </w:tr>
      <w:tr w:rsidR="004A2ACD" w14:paraId="10E44F48"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A90074B" w14:textId="77777777" w:rsidR="004A2ACD" w:rsidRDefault="00000000">
            <w:pPr>
              <w:spacing w:after="0" w:line="240" w:lineRule="auto"/>
            </w:pPr>
            <w:r>
              <w:rPr>
                <w:sz w:val="18"/>
              </w:rPr>
              <w:t>capital_loss</w:t>
            </w:r>
          </w:p>
        </w:tc>
        <w:tc>
          <w:tcPr>
            <w:tcW w:w="9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274AC47" w14:textId="77777777" w:rsidR="004A2ACD" w:rsidRDefault="00000000">
            <w:pPr>
              <w:spacing w:after="0" w:line="240" w:lineRule="auto"/>
              <w:jc w:val="right"/>
            </w:pPr>
            <w:r>
              <w:rPr>
                <w:sz w:val="18"/>
              </w:rPr>
              <w:t>0</w:t>
            </w:r>
          </w:p>
        </w:tc>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101E614" w14:textId="77777777" w:rsidR="004A2ACD" w:rsidRDefault="00000000">
            <w:pPr>
              <w:spacing w:after="0" w:line="240" w:lineRule="auto"/>
              <w:jc w:val="right"/>
            </w:pPr>
            <w:r>
              <w:rPr>
                <w:sz w:val="18"/>
              </w:rPr>
              <w:t>0–4,356</w:t>
            </w:r>
          </w:p>
        </w:tc>
      </w:tr>
      <w:tr w:rsidR="004A2ACD" w14:paraId="0D5CD167"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1C2319C" w14:textId="77777777" w:rsidR="004A2ACD" w:rsidRDefault="00000000">
            <w:pPr>
              <w:spacing w:after="0" w:line="240" w:lineRule="auto"/>
            </w:pPr>
            <w:r>
              <w:rPr>
                <w:sz w:val="18"/>
              </w:rPr>
              <w:t>hours_per_week</w:t>
            </w:r>
          </w:p>
        </w:tc>
        <w:tc>
          <w:tcPr>
            <w:tcW w:w="9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1F5E6D8" w14:textId="77777777" w:rsidR="004A2ACD" w:rsidRDefault="00000000">
            <w:pPr>
              <w:spacing w:after="0" w:line="240" w:lineRule="auto"/>
              <w:jc w:val="right"/>
            </w:pPr>
            <w:r>
              <w:rPr>
                <w:sz w:val="18"/>
              </w:rPr>
              <w:t>40</w:t>
            </w:r>
          </w:p>
        </w:tc>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1A5B6A6" w14:textId="77777777" w:rsidR="004A2ACD" w:rsidRDefault="00000000">
            <w:pPr>
              <w:spacing w:after="0" w:line="240" w:lineRule="auto"/>
              <w:jc w:val="right"/>
            </w:pPr>
            <w:r>
              <w:rPr>
                <w:sz w:val="18"/>
              </w:rPr>
              <w:t>1–99</w:t>
            </w:r>
          </w:p>
        </w:tc>
      </w:tr>
    </w:tbl>
    <w:p w14:paraId="3CDA20C1" w14:textId="77777777" w:rsidR="004A2ACD" w:rsidRDefault="004A2ACD">
      <w:pPr>
        <w:spacing w:after="0"/>
      </w:pPr>
    </w:p>
    <w:p w14:paraId="172758C5" w14:textId="3A9EAE8E" w:rsidR="004A2ACD" w:rsidRDefault="00000000">
      <w:r>
        <w:t xml:space="preserve">Capital gain and loss have zero first, second, and third quartiles, but means of 1,079.068 and 87.502. These summaries indicate strong concentration at zero and positive upper tails. Means alone would </w:t>
      </w:r>
      <w:r w:rsidR="0086648C">
        <w:t>hide</w:t>
      </w:r>
      <w:r>
        <w:t xml:space="preserve"> this structure. Examining nonzero values separately will help assess how </w:t>
      </w:r>
      <w:r w:rsidR="0086648C">
        <w:t>SMOTE-NC</w:t>
      </w:r>
      <w:r>
        <w:t xml:space="preserve"> could change their distributions.</w:t>
      </w:r>
    </w:p>
    <w:p w14:paraId="5B852A13" w14:textId="699C328B" w:rsidR="004A2ACD" w:rsidRDefault="00000000">
      <w:r>
        <w:t xml:space="preserve">Weekly hours have an interquartile range of 40–45, making values near 1 or 99 </w:t>
      </w:r>
      <w:r w:rsidR="0086648C">
        <w:t>need further</w:t>
      </w:r>
      <w:r>
        <w:t xml:space="preserve"> review rather than automatic exclusion. Fnlwgt ranges from 12,285 to 1,490,400, with a median of 178,144.5</w:t>
      </w:r>
      <w:r w:rsidR="0086648C">
        <w:t>.</w:t>
      </w:r>
      <w:r>
        <w:t xml:space="preserve"> </w:t>
      </w:r>
      <w:r w:rsidR="0086648C">
        <w:t>I</w:t>
      </w:r>
      <w:r>
        <w:t xml:space="preserve">ts upper tail </w:t>
      </w:r>
      <w:r w:rsidR="0086648C">
        <w:t>should</w:t>
      </w:r>
      <w:r>
        <w:t xml:space="preserve"> be interpreted as a sampling-weight characteristic.</w:t>
      </w:r>
    </w:p>
    <w:p w14:paraId="1EABF0B3" w14:textId="0A7FB66D" w:rsidR="004A2ACD" w:rsidRDefault="00000000">
      <w:r>
        <w:t xml:space="preserve">Some predictor categories are extremely sparse: Never-worked has 10 records, Armed-Forces has 15, and Holand-Netherlands has one training record and none in test. A category may therefore be absent from a training fold but appear during evaluation. Encoding </w:t>
      </w:r>
      <w:r w:rsidR="0086648C">
        <w:t>should</w:t>
      </w:r>
      <w:r>
        <w:t xml:space="preserve"> handle unseen categories without changing their documented meanings.</w:t>
      </w:r>
    </w:p>
    <w:p w14:paraId="453DB5AE" w14:textId="6531A509" w:rsidR="004A2ACD" w:rsidRDefault="00000000">
      <w:r>
        <w:rPr>
          <w:i/>
          <w:color w:val="595959"/>
        </w:rPr>
        <w:t xml:space="preserve">[To complete: Add normalized sex/income count table and group income rates. Examine missingness by subgroup, </w:t>
      </w:r>
      <w:r>
        <w:rPr>
          <w:i/>
          <w:color w:val="595959"/>
        </w:rPr>
        <w:t>numerical distributions by outcome, education versus education_num, and other relevant feature relationships</w:t>
      </w:r>
      <w:r w:rsidR="0086648C">
        <w:rPr>
          <w:i/>
          <w:color w:val="595959"/>
        </w:rPr>
        <w:t>. A</w:t>
      </w:r>
      <w:r>
        <w:rPr>
          <w:i/>
          <w:color w:val="595959"/>
        </w:rPr>
        <w:t>dd only the most informative plots and interpretations.]</w:t>
      </w:r>
    </w:p>
    <w:p w14:paraId="6B6FA5F5" w14:textId="77777777" w:rsidR="004A2ACD" w:rsidRDefault="00000000">
      <w:pPr>
        <w:pStyle w:val="Heading1"/>
      </w:pPr>
      <w:r>
        <w:t>Findings and Interpretation</w:t>
      </w:r>
    </w:p>
    <w:p w14:paraId="353E885D" w14:textId="226085CA" w:rsidR="004A2ACD" w:rsidRDefault="00000000">
      <w:r>
        <w:t xml:space="preserve">The initial inspection identifies data quality and representation issues that must be addressed before testing the resampling hypothesis.</w:t>
      </w:r>
      <w:r w:rsidR="0086648C">
        <w:t/>
      </w:r>
      <w:r>
        <w:t xml:space="preserve"> Hidden unknown markers</w:t>
      </w:r>
      <w:r w:rsidR="0086648C">
        <w:t xml:space="preserve"> (The “?” for unknown values)</w:t>
      </w:r>
      <w:r>
        <w:t xml:space="preserve"> and </w:t>
      </w:r>
      <w:r w:rsidR="0086648C">
        <w:t>differences in the outcome variable strings</w:t>
      </w:r>
      <w:r>
        <w:t xml:space="preserve"> </w:t>
      </w:r>
      <w:r w:rsidR="0086648C">
        <w:t>were</w:t>
      </w:r>
      <w:r>
        <w:t xml:space="preserve"> immediate preparation concerns. Unequal outcome and sex totals motivate subgroup analysis, while </w:t>
      </w:r>
      <w:r w:rsidR="0086648C">
        <w:t xml:space="preserve">the </w:t>
      </w:r>
      <w:r>
        <w:t>zero-heavy capital variables and rare categories constrain how synthetic examples should be generated.</w:t>
      </w:r>
    </w:p>
    <w:p w14:paraId="3B0221E4" w14:textId="77777777" w:rsidR="004A2ACD" w:rsidRDefault="00000000">
      <w:r>
        <w:t xml:space="preserve">The strongest unexpected inspection result is that all columns appear non-null even though three contain explicit unknown markers. This illustrates why storage-level checks alone are insufficient. The two education representations may also be redundant, </w:t>
      </w:r>
      <w:r w:rsidRPr="0086648C">
        <w:rPr>
          <w:highlight w:val="lightGray"/>
        </w:rPr>
        <w:t>but their exact mapping still needs verification.</w:t>
      </w:r>
    </w:p>
    <w:p w14:paraId="79CDC675" w14:textId="4306DBC8" w:rsidR="004A2ACD" w:rsidRDefault="00000000">
      <w:r>
        <w:rPr>
          <w:i/>
          <w:color w:val="595959"/>
        </w:rPr>
        <w:t>[To complete: Integrate the completed subgroup and feature analyses, explain verified anomalies, and revise the interpretation if cleaning changes class or subgroup proportions.]</w:t>
      </w:r>
    </w:p>
    <w:p w14:paraId="66436924" w14:textId="77777777" w:rsidR="004A2ACD" w:rsidRDefault="00000000">
      <w:pPr>
        <w:pStyle w:val="Heading1"/>
      </w:pPr>
      <w:r>
        <w:t>Direction for Phase 4</w:t>
      </w:r>
    </w:p>
    <w:p w14:paraId="432586D5" w14:textId="77777777" w:rsidR="004A2ACD" w:rsidRDefault="00000000">
      <w:r>
        <w:t>We plan a controlled decision-tree classification experiment. In each training fold, a temporary label will identify the four sex/income subgroups. The control retains their original counts. Random oversampling duplicates rows in every subgroup smaller than the largest until each reaches that largest count. SMOTE-NC targets the same counts using within-subgroup neighbors. Random undersampling removes rows without replacement from every subgroup larger than the smallest until each reaches that smallest count.</w:t>
      </w:r>
    </w:p>
    <w:p w14:paraId="11B283C8" w14:textId="507E52A9" w:rsidR="004A2ACD" w:rsidRDefault="00296D04">
      <w:r>
        <w:t xml:space="preserve">Because the dataset contains both numbers and categories, we will use SMOTE-NC to create synthetic records while keeping categorical values </w:t>
      </w:r>
      <w:proofErr w:type="spellStart"/>
      <w:r>
        <w:t>valid.</w:t>
      </w:r>
      <w:r>
        <w:t xml:space="preserve"> </w:t>
      </w:r>
      <w:proofErr w:type="spellEnd"/>
      <w:r w:rsidR="00000000">
        <w:t>Categorical predictors will be identified explicitly</w:t>
      </w:r>
      <w:r>
        <w:t>. S</w:t>
      </w:r>
      <w:r w:rsidR="00000000">
        <w:t xml:space="preserve">ex and income will be preserved or restored from the subgroup label. The temporary sampling label will be removed before classifier training. </w:t>
      </w:r>
      <w:r>
        <w:t xml:space="preserve">Random oversampling copies existing records, while random </w:t>
      </w:r>
      <w:proofErr w:type="spellStart"/>
      <w:r>
        <w:t>undersampling</w:t>
      </w:r>
      <w:proofErr w:type="spellEnd"/>
      <w:r>
        <w:t xml:space="preserve"> removes records. Neither method changes the values within a record.</w:t>
      </w:r>
      <w:r>
        <w:t xml:space="preserve"> </w:t>
      </w:r>
      <w:r w:rsidR="00000000">
        <w:t>Synthetic categorical values and demographic/outcome labels will be validated.</w:t>
      </w:r>
    </w:p>
    <w:p w14:paraId="08764070" w14:textId="7BF44DC7" w:rsidR="004A2ACD" w:rsidRDefault="00000000">
      <w:r>
        <w:t>We will use matched folds, random seeds, predictors, and decision-tree settings across conditions. Resampling will affect training folds only</w:t>
      </w:r>
      <w:r w:rsidR="00296D04">
        <w:t>.</w:t>
      </w:r>
      <w:r>
        <w:t xml:space="preserve"> </w:t>
      </w:r>
      <w:r w:rsidR="00296D04">
        <w:t>V</w:t>
      </w:r>
      <w:r>
        <w:t xml:space="preserve">alidation rows will retain their observed proportions. We will report accuracy, favorable-class precision, recall and F1, group confusion matrices, and mean scores with variation across folds. Fairness </w:t>
      </w:r>
      <w:r>
        <w:lastRenderedPageBreak/>
        <w:t>evaluation will use female-minus-male statistical parity gaps (favorable prediction rates) and equal opportunity gaps (true-positive rates). Smaller absolute gaps indicate closer group rates on those measures, not complete fairness.</w:t>
      </w:r>
    </w:p>
    <w:p w14:paraId="08B67882" w14:textId="77777777" w:rsidR="004A2ACD" w:rsidRDefault="00000000">
      <w:r>
        <w:rPr>
          <w:i/>
          <w:color w:val="595959"/>
        </w:rPr>
        <w:t>[To complete: Specify K, the source-file split strategy, final preprocessing and predictor set, decision-tree settings, and SMOTE-NC neighbor count after verifying subgroup sizes. Confirm whether sex enters the classifier and how undefined group metrics will be handled.]</w:t>
      </w:r>
    </w:p>
    <w:p w14:paraId="5B39D3F7" w14:textId="77777777" w:rsidR="004A2ACD" w:rsidRDefault="00000000">
      <w:pPr>
        <w:pStyle w:val="Heading1"/>
      </w:pPr>
      <w:r>
        <w:t>References</w:t>
      </w:r>
    </w:p>
    <w:p w14:paraId="5485822C" w14:textId="77777777" w:rsidR="004A2ACD" w:rsidRDefault="00000000">
      <w:r>
        <w:rPr>
          <w:sz w:val="18"/>
        </w:rPr>
        <w:t>[1] Zhou, Y., Kantarcioglu, M., &amp; Clifton, C. (2023). On Improving Fairness of AI Models with Synthetic Minority Oversampling Techniques. Proceedings of the 2023 SIAM International Conference on Data Mining (SDM), 874–882. https://doi.org/10.1137/1.9781611977653.ch98</w:t>
      </w:r>
    </w:p>
    <w:p w14:paraId="3FAA3101" w14:textId="77C895C7" w:rsidR="004A2ACD" w:rsidRDefault="00000000">
      <w:r>
        <w:rPr>
          <w:sz w:val="18"/>
        </w:rPr>
        <w:t>[2] Becker, B., &amp; Kohavi, R. (1996). Adult [Dataset]. UCI Machine Learning Repository. https://doi.org/10.24432/C5XW20. Data and documentation: https://archive.ics.uci.edu/dataset/2/adult</w:t>
      </w:r>
    </w:p>
    <w:sectPr w:rsidR="004A2ACD" w:rsidSect="00034616">
      <w:type w:val="continuous"/>
      <w:pgSz w:w="12240" w:h="15840"/>
      <w:pgMar w:top="936" w:right="936" w:bottom="936" w:left="936" w:header="432" w:footer="432"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54CE5A" w14:textId="77777777" w:rsidR="0012608E" w:rsidRDefault="0012608E">
      <w:pPr>
        <w:spacing w:after="0" w:line="240" w:lineRule="auto"/>
      </w:pPr>
      <w:r>
        <w:separator/>
      </w:r>
    </w:p>
  </w:endnote>
  <w:endnote w:type="continuationSeparator" w:id="0">
    <w:p w14:paraId="7631E55D" w14:textId="77777777" w:rsidR="0012608E" w:rsidRDefault="001260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A39D99" w14:textId="77777777" w:rsidR="004A2ACD" w:rsidRDefault="00000000">
    <w:pPr>
      <w:pStyle w:val="Footer"/>
      <w:jc w:val="center"/>
    </w:pPr>
    <w:r>
      <w:fldChar w:fldCharType="begin"/>
    </w:r>
    <w:r>
      <w:instrText>PAGE</w:instrText>
    </w:r>
    <w:r>
      <w:fldChar w:fldCharType="separate"/>
    </w:r>
    <w:r w:rsidR="004274A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887967" w14:textId="77777777" w:rsidR="0012608E" w:rsidRDefault="0012608E">
      <w:pPr>
        <w:spacing w:after="0" w:line="240" w:lineRule="auto"/>
      </w:pPr>
      <w:r>
        <w:separator/>
      </w:r>
    </w:p>
  </w:footnote>
  <w:footnote w:type="continuationSeparator" w:id="0">
    <w:p w14:paraId="435291D2" w14:textId="77777777" w:rsidR="0012608E" w:rsidRDefault="001260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6654066">
    <w:abstractNumId w:val="8"/>
  </w:num>
  <w:num w:numId="2" w16cid:durableId="363797976">
    <w:abstractNumId w:val="6"/>
  </w:num>
  <w:num w:numId="3" w16cid:durableId="950011347">
    <w:abstractNumId w:val="5"/>
  </w:num>
  <w:num w:numId="4" w16cid:durableId="1979068369">
    <w:abstractNumId w:val="4"/>
  </w:num>
  <w:num w:numId="5" w16cid:durableId="989095432">
    <w:abstractNumId w:val="7"/>
  </w:num>
  <w:num w:numId="6" w16cid:durableId="1451316352">
    <w:abstractNumId w:val="3"/>
  </w:num>
  <w:num w:numId="7" w16cid:durableId="644236191">
    <w:abstractNumId w:val="2"/>
  </w:num>
  <w:num w:numId="8" w16cid:durableId="1674723349">
    <w:abstractNumId w:val="1"/>
  </w:num>
  <w:num w:numId="9" w16cid:durableId="165533584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08E"/>
    <w:rsid w:val="0015074B"/>
    <w:rsid w:val="0029639D"/>
    <w:rsid w:val="00296D04"/>
    <w:rsid w:val="00326F90"/>
    <w:rsid w:val="004274A8"/>
    <w:rsid w:val="004A2ACD"/>
    <w:rsid w:val="004D16B2"/>
    <w:rsid w:val="00512175"/>
    <w:rsid w:val="0051701E"/>
    <w:rsid w:val="007C48BC"/>
    <w:rsid w:val="00857795"/>
    <w:rsid w:val="0086648C"/>
    <w:rsid w:val="00971ECD"/>
    <w:rsid w:val="00AA1D8D"/>
    <w:rsid w:val="00B47730"/>
    <w:rsid w:val="00C77BC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2AFDC"/>
  <w14:defaultImageDpi w14:val="300"/>
  <w15:docId w15:val="{7EF5DE85-B883-6440-9C2C-52D9CEB2A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0" w:lineRule="auto"/>
    </w:pPr>
    <w:rPr>
      <w:rFonts w:ascii="Times New Roman" w:eastAsia="Times New Roman" w:hAnsi="Times New Roman" w:cs="Times New Roman"/>
      <w:color w:val="000000"/>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cstheme="majorBidi"/>
      <w:b/>
      <w:bCs/>
      <w:sz w:val="23"/>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cstheme="majorBidi"/>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cstheme="majorBidi"/>
      <w:iCs/>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4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57795"/>
    <w:pPr>
      <w:spacing w:before="100" w:beforeAutospacing="1" w:afterAutospacing="1" w:line="240" w:lineRule="auto"/>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Pages>
  <Words>1526</Words>
  <Characters>8703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Comparing Resampling Methods and Fairness</vt:lpstr>
    </vt:vector>
  </TitlesOfParts>
  <Manager/>
  <Company/>
  <LinksUpToDate>false</LinksUpToDate>
  <CharactersWithSpaces>10209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Comparing Resampling Methods and Fairness</dc:title>
  <dc:subject>Phase 3 Midterm Report</dc:subject>
  <dc:creator>Jessica Brinegar</dc:creator>
  <cp:keywords/>
  <dc:description>generated by python-docx</dc:description>
  <cp:lastModifiedBy>Jessica Brinegar</cp:lastModifiedBy>
  <cp:revision>8</cp:revision>
  <dcterms:created xsi:type="dcterms:W3CDTF">2013-12-23T23:15:00Z</dcterms:created>
  <dcterms:modified xsi:type="dcterms:W3CDTF">2026-10-18T20:26:00Z</dcterms:modified>
  <cp:category/>
</cp:coreProperties>
</file>