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8716F7" w14:textId="77777777" w:rsidR="004A2ACD" w:rsidRDefault="00000000">
      <w:pPr>
        <w:pStyle w:val="Title"/>
        <w:jc w:val="center"/>
      </w:pPr>
      <w:r>
        <w:t>Comparing Resampling Methods and Fairness</w:t>
      </w:r>
    </w:p>
    <w:p w14:paraId="6988CF81" w14:textId="77777777" w:rsidR="004A2ACD" w:rsidRDefault="00000000">
      <w:pPr>
        <w:pStyle w:val="Subtitle"/>
        <w:jc w:val="center"/>
      </w:pPr>
      <w:r>
        <w:t>Data Mining 5415  |  Phase 3 Midterm Report</w:t>
      </w:r>
    </w:p>
    <w:p w14:paraId="408D7688" w14:textId="77777777" w:rsidR="004A2ACD" w:rsidRDefault="004A2ACD">
      <w:pPr>
        <w:sectPr w:rsidR="004A2ACD">
          <w:footerReference w:type="default" r:id="rId8"/>
          <w:pgSz w:w="12240" w:h="15840"/>
          <w:pgMar w:top="936" w:right="936" w:bottom="936" w:left="936" w:header="432" w:footer="432" w:gutter="0"/>
          <w:cols w:space="720"/>
          <w:docGrid w:linePitch="360"/>
        </w:sectPr>
      </w:pPr>
    </w:p>
    <w:p w14:paraId="0E09241D" w14:textId="77777777" w:rsidR="004A2ACD" w:rsidRDefault="00000000">
      <w:pPr>
        <w:pStyle w:val="Heading1"/>
      </w:pPr>
      <w:r>
        <w:t>Project Motivation and Research Questions</w:t>
      </w:r>
    </w:p>
    <w:p w14:paraId="0FBB24CF" w14:textId="77777777" w:rsidR="004A2ACD" w:rsidRDefault="00000000">
      <w:r>
        <w:t xml:space="preserve">Our project investigates whether changing the representation of demographic and outcome subgroups in training data changes classification performance and fairness. </w:t>
      </w:r>
      <w:r w:rsidR="004274A8">
        <w:t>Accuracy alone</w:t>
      </w:r>
      <w:r>
        <w:t xml:space="preserve"> can obscure uneven errors across groups. We therefore </w:t>
      </w:r>
      <w:r w:rsidR="004274A8">
        <w:t xml:space="preserve">will </w:t>
      </w:r>
      <w:r>
        <w:t>compare a decision tree under four conditions: no resampling, random oversampling, SMOTE-NC, and random undersampling.</w:t>
      </w:r>
    </w:p>
    <w:p w14:paraId="197FDC7D" w14:textId="77777777" w:rsidR="004A2ACD" w:rsidRDefault="00000000">
      <w:r>
        <w:t xml:space="preserve">Zhou, Kantarcioglu, and Clifton [1] examine SMOTE-based synthetic data </w:t>
      </w:r>
      <w:r w:rsidR="007C48BC">
        <w:t>to</w:t>
      </w:r>
      <w:r>
        <w:t xml:space="preserve"> </w:t>
      </w:r>
      <w:r w:rsidR="004274A8">
        <w:t>reduce</w:t>
      </w:r>
      <w:r>
        <w:t xml:space="preserve"> algorithmic bias and study its error and fairness. Our extension </w:t>
      </w:r>
      <w:r w:rsidR="004274A8">
        <w:t xml:space="preserve">of this study </w:t>
      </w:r>
      <w:r>
        <w:t>focuses on comparing resampling methods on one dataset with one classifier, rather than reproducing their comparison of fairness interventions</w:t>
      </w:r>
      <w:r w:rsidR="004274A8">
        <w:t xml:space="preserve"> across various datasets</w:t>
      </w:r>
      <w:r>
        <w:t>.</w:t>
      </w:r>
    </w:p>
    <w:p w14:paraId="593A5F3B" w14:textId="77777777" w:rsidR="004A2ACD" w:rsidRDefault="00000000">
      <w:r>
        <w:t>The main research question is: How do different resampling methods affect predictive performance and fairness across demographic groups in an imbalanced classification problem? We ask (1) whether accuracy, precision, recall, and F1 differ across conditions, (2) how each method changes the female-minus-male statistical parity and equal opportunity gaps, and whether better predictive performance comes with better or worse fairness, and (3) whether these differences are consistent across cross-validation folds. Following instructor feedback on Phase 2, we changed the framing from oversampling to resampling and finalized random undersampling as the fourth condition.</w:t>
      </w:r>
    </w:p>
    <w:p w14:paraId="2F6440A3" w14:textId="77777777" w:rsidR="004A2ACD" w:rsidRDefault="00000000">
      <w:pPr>
        <w:pStyle w:val="Heading1"/>
      </w:pPr>
      <w:r>
        <w:t>Dataset</w:t>
      </w:r>
    </w:p>
    <w:p w14:paraId="34107DC4" w14:textId="77777777" w:rsidR="004A2ACD" w:rsidRDefault="00000000">
      <w:r>
        <w:t xml:space="preserve">We use the UCI Adult Income dataset [2], derived from the 1994 Census database. The local files are adult.data, adult.test, and adult.names. The notebook loads 32,561 training rows and 16,281 test rows and concatenates them for descriptive inspection, giving 48,842 rows and 15 columns: 14 </w:t>
      </w:r>
      <w:r w:rsidR="007C48BC">
        <w:t xml:space="preserve">feature </w:t>
      </w:r>
      <w:r>
        <w:t>predictors and one income target.</w:t>
      </w:r>
    </w:p>
    <w:p w14:paraId="77B585CB" w14:textId="77777777" w:rsidR="004A2ACD" w:rsidRDefault="00000000">
      <w:r>
        <w:t>Income is intended to have two classes, ≤50K and &gt;50K, with &gt;50K defined as favorable</w:t>
      </w:r>
      <w:r w:rsidR="007C48BC">
        <w:t>, or the positive class</w:t>
      </w:r>
      <w:r>
        <w:t>. Sex is the protected attribute, using Female and Male categories. Female is designated unprivileged and male privileged for this evaluation. Sampling targets depend on sex/income subgroup counts in each training fold, not on privileged or unprivileged status.</w:t>
      </w:r>
      <w:r w:rsidR="007243BD">
        <w:t xml:space="preserve"> </w:t>
      </w:r>
      <w:r>
        <w:t>Four sex/income combinations will define sampling subgroups</w:t>
      </w:r>
      <w:r w:rsidR="007C48BC">
        <w:t>.</w:t>
      </w:r>
    </w:p>
    <w:p w14:paraId="09DAA26D" w14:textId="77777777" w:rsidR="00C944CA" w:rsidRDefault="00000000" w:rsidP="00C944CA">
      <w:r>
        <w:t xml:space="preserve">The loaded data contain six integer columns and nine object columns, including the target. Age and hours_per_week describe age and working hours; capital_gain and capital_loss record capital amounts. Education appears as both a named category and an ordered education_num code. Workclass, occupation, </w:t>
      </w:r>
      <w:r>
        <w:t>marital_status, relationship, race, and native_country describe employment and demographic</w:t>
      </w:r>
      <w:r w:rsidR="007C48BC">
        <w:t>s</w:t>
      </w:r>
      <w:r>
        <w:t>. Fnlwgt is a census sample weight</w:t>
      </w:r>
      <w:r w:rsidR="007C48BC">
        <w:t xml:space="preserve">. It tells us how many people in the broader population one dataset record represents, i.e., the record counts more toward population estimates. </w:t>
      </w:r>
      <w:r w:rsidR="00C944CA" w:rsidRPr="0095161B">
        <w:rPr>
          <w:highlight w:val="yellow"/>
        </w:rPr>
        <w:t>We excluded fnlwgt from modeling, as explained in Data Preparation.</w:t>
      </w:r>
    </w:p>
    <w:p w14:paraId="2395F5CF" w14:textId="77777777" w:rsidR="00857795" w:rsidRPr="00C944CA" w:rsidRDefault="00857795" w:rsidP="00C944CA">
      <w:r w:rsidRPr="00857795">
        <w:rPr>
          <w:szCs w:val="21"/>
        </w:rPr>
        <w:t xml:space="preserve">The Adult dataset is a good fit for this project because it includes two income categories, unequal numbers of male and female observations, and both numerical and categorical features. However, the </w:t>
      </w:r>
      <w:r>
        <w:rPr>
          <w:szCs w:val="21"/>
        </w:rPr>
        <w:t>timeliness of the data is questionable</w:t>
      </w:r>
      <w:r w:rsidRPr="00857795">
        <w:rPr>
          <w:szCs w:val="21"/>
        </w:rPr>
        <w:t>, so the results may not apply to people today. The dataset also records sex only as male or female, which limits our fairness analysis to those two groups.</w:t>
      </w:r>
    </w:p>
    <w:p w14:paraId="4B03C13E" w14:textId="77777777" w:rsidR="004A2ACD" w:rsidRDefault="00000000">
      <w:pPr>
        <w:pStyle w:val="Heading1"/>
      </w:pPr>
      <w:r>
        <w:t>Data Preparation</w:t>
      </w:r>
    </w:p>
    <w:p w14:paraId="6A194675" w14:textId="77777777" w:rsidR="004A2ACD" w:rsidRDefault="00000000">
      <w:pPr>
        <w:pStyle w:val="Heading2"/>
      </w:pPr>
      <w:r>
        <w:t>Completed loading and inspection</w:t>
      </w:r>
    </w:p>
    <w:p w14:paraId="66B0D5A9" w14:textId="77777777" w:rsidR="004A2ACD" w:rsidRDefault="00000000">
      <w:r>
        <w:t xml:space="preserve">Column names were assigned using the </w:t>
      </w:r>
      <w:r w:rsidR="00C77BC6">
        <w:t xml:space="preserve">feature </w:t>
      </w:r>
      <w:r>
        <w:t xml:space="preserve">order in </w:t>
      </w:r>
      <w:r w:rsidR="00C77BC6">
        <w:t xml:space="preserve">the </w:t>
      </w:r>
      <w:r>
        <w:t>adult.names</w:t>
      </w:r>
      <w:r w:rsidR="00C77BC6">
        <w:t xml:space="preserve"> file</w:t>
      </w:r>
      <w:r>
        <w:t>, replacing hyphens with underscores for Python use. The first metadata line in adult.test was skipped, and spaces immediately after delimiters were ignored. The two source DataFrames were retained and concatenated with a fresh index for overall inspection</w:t>
      </w:r>
      <w:r w:rsidR="00C77BC6">
        <w:t xml:space="preserve"> of the data</w:t>
      </w:r>
      <w:r>
        <w:t>. Shapes, storage types, numerical summaries, and categorical counts were examined</w:t>
      </w:r>
      <w:r w:rsidR="00C77BC6">
        <w:t>.</w:t>
      </w:r>
    </w:p>
    <w:p w14:paraId="2901A876" w14:textId="77777777" w:rsidR="00C77BC6" w:rsidRDefault="00C77BC6" w:rsidP="00C77BC6">
      <w:pPr>
        <w:pStyle w:val="Heading2"/>
      </w:pPr>
      <w:r>
        <w:t>Cleaning and Transformations</w:t>
      </w:r>
    </w:p>
    <w:p w14:paraId="3FA87834" w14:textId="77777777" w:rsidR="00C77BC6" w:rsidRPr="00C77BC6" w:rsidRDefault="00C77BC6" w:rsidP="00C77BC6">
      <w:r>
        <w:t>Missing values were found to be represented by a ‘?’. A missing value count from isna() therefore is not meaningful for this dataset.</w:t>
      </w:r>
    </w:p>
    <w:p w14:paraId="681D89BD" w14:textId="35398348" w:rsidR="0023100F" w:rsidRPr="0095161B" w:rsidRDefault="0023100F">
      <w:pPr>
        <w:rPr>
          <w:iCs/>
          <w:color w:val="auto"/>
          <w:highlight w:val="yellow"/>
        </w:rPr>
      </w:pPr>
      <w:r w:rsidRPr="0095161B">
        <w:rPr>
          <w:iCs/>
          <w:color w:val="auto"/>
          <w:highlight w:val="yellow"/>
        </w:rPr>
        <w:t xml:space="preserve">All preparation steps were applied to a copy of the combined data to make sure we didn’t affect the raw files, and all four resampling conditions start with the same prepared data. So first we removed the periods at the end of the income column in test, so now we only have </w:t>
      </w:r>
      <w:r w:rsidR="002A7C60">
        <w:rPr>
          <w:iCs/>
          <w:color w:val="auto"/>
          <w:highlight w:val="yellow"/>
        </w:rPr>
        <w:t>two</w:t>
      </w:r>
      <w:r w:rsidRPr="0095161B">
        <w:rPr>
          <w:iCs/>
          <w:color w:val="auto"/>
          <w:highlight w:val="yellow"/>
        </w:rPr>
        <w:t xml:space="preserve"> classes ≤50K (37,155) and &gt;50K (11,687). Then instead of dropping the 3,620 rows that had the ‘?’, we replaced them with an “Uknown” label (more specifically in workclass, occupation, and native_country columns); the reason behind that choice was that dropping them would remove 100 of the 1,769 Female &gt;50K records, which is already the smallest subgroup, and subgroup sizes are important in our fairness comparison.</w:t>
      </w:r>
    </w:p>
    <w:p w14:paraId="0337B2C5" w14:textId="77777777" w:rsidR="00E74A62" w:rsidRDefault="0023100F">
      <w:pPr>
        <w:rPr>
          <w:iCs/>
          <w:color w:val="auto"/>
          <w:highlight w:val="yellow"/>
        </w:rPr>
      </w:pPr>
      <w:r>
        <w:rPr>
          <w:shd w:val="clear" w:color="auto" w:fill="D9EAF7"/>
        </w:rPr>
        <w:t>We found 52 rows matching an earlier row across all 15 recorded columns (about 0.1%) and five groups with identical features but different income labels. After excluding fnlwgt, 6,374 rows (13.1%) match an earlier row on the remaining columns. We kept these records because identical recorded values do</w:t>
      </w:r>
      <w:r w:rsidR="00E74A62">
        <w:rPr>
          <w:shd w:val="clear" w:color="auto" w:fill="D9EAF7"/>
        </w:rPr>
        <w:t>n’t</w:t>
      </w:r>
      <w:r>
        <w:rPr>
          <w:shd w:val="clear" w:color="auto" w:fill="D9EAF7"/>
        </w:rPr>
        <w:t xml:space="preserve"> prove they refer to the same </w:t>
      </w:r>
      <w:r>
        <w:rPr>
          <w:shd w:val="clear" w:color="auto" w:fill="D9EAF7"/>
        </w:rPr>
        <w:lastRenderedPageBreak/>
        <w:t>person. We also found 23 distinct rows present in both the supplied training and test files, which is a potential limitation for evaluating models on the test set. Duplicate handling will be revisited before Phase 4 modeling.</w:t>
      </w:r>
      <w:r w:rsidR="00C944CA" w:rsidRPr="0095161B">
        <w:rPr>
          <w:iCs/>
          <w:color w:val="auto"/>
          <w:highlight w:val="yellow"/>
        </w:rPr>
        <w:t xml:space="preserve"> </w:t>
      </w:r>
    </w:p>
    <w:p w14:paraId="3392310E" w14:textId="3CF3CC02" w:rsidR="00E74A62" w:rsidRDefault="00C944CA">
      <w:pPr>
        <w:rPr>
          <w:iCs/>
          <w:color w:val="auto"/>
          <w:highlight w:val="yellow"/>
        </w:rPr>
      </w:pPr>
      <w:r w:rsidRPr="0095161B">
        <w:rPr>
          <w:iCs/>
          <w:color w:val="auto"/>
          <w:highlight w:val="yellow"/>
        </w:rPr>
        <w:t xml:space="preserve">Additionally, education and education_num ended up having a one-to-one mapping, from Preschool (1) to Doctorate (16), so we decided to drop education and </w:t>
      </w:r>
      <w:r w:rsidR="009910EE" w:rsidRPr="009910EE">
        <w:rPr>
          <w:iCs/>
          <w:color w:val="auto"/>
          <w:highlight w:val="yellow"/>
        </w:rPr>
        <w:t>kept education_num, which keeps the order between levels</w:t>
      </w:r>
      <w:r w:rsidRPr="0095161B">
        <w:rPr>
          <w:iCs/>
          <w:color w:val="auto"/>
          <w:highlight w:val="yellow"/>
        </w:rPr>
        <w:t xml:space="preserve">. </w:t>
      </w:r>
      <w:r w:rsidR="0023100F">
        <w:rPr>
          <w:shd w:val="clear" w:color="auto" w:fill="D9EAF7"/>
        </w:rPr>
        <w:t>We excluded fnlwgt because our project compares resampling methods with each observation counted equally, rather than using Census weights to estimate population-level results.</w:t>
      </w:r>
      <w:r w:rsidRPr="0095161B">
        <w:rPr>
          <w:iCs/>
          <w:color w:val="auto"/>
          <w:highlight w:val="yellow"/>
        </w:rPr>
        <w:t xml:space="preserve"> </w:t>
      </w:r>
    </w:p>
    <w:p w14:paraId="503A04D4" w14:textId="5336A66E" w:rsidR="0023100F" w:rsidRDefault="00C944CA">
      <w:pPr>
        <w:rPr>
          <w:iCs/>
          <w:color w:val="auto"/>
        </w:rPr>
      </w:pPr>
      <w:r w:rsidRPr="0095161B">
        <w:rPr>
          <w:iCs/>
          <w:color w:val="auto"/>
          <w:highlight w:val="yellow"/>
        </w:rPr>
        <w:t>Finally, we applied a log(1 + x) transformation to capital_gain and capital_loss, to keep the zeros as zeros and reduce the influence of very large values/outliers like 99,999 (244 records) when SMOTE-NC selects neighbors</w:t>
      </w:r>
      <w:r w:rsidR="001A0EAA">
        <w:rPr>
          <w:iCs/>
          <w:color w:val="auto"/>
          <w:highlight w:val="yellow"/>
        </w:rPr>
        <w:t xml:space="preserve"> (Figure 1)</w:t>
      </w:r>
      <w:r w:rsidRPr="0095161B">
        <w:rPr>
          <w:iCs/>
          <w:color w:val="auto"/>
          <w:highlight w:val="yellow"/>
        </w:rPr>
        <w:t>. We did not remove any outliers, since values like age 90 or 99 hours per week are actually possible and may be correct, and a decision tree splits on thresholds. The prepared data keeps all 48,842 rows, with 5 numerical and 7 categorical predictors, and the subgroup counts are unchanged.</w:t>
      </w:r>
    </w:p>
    <w:p w14:paraId="381E55CF" w14:textId="77777777" w:rsidR="002A7C60" w:rsidRDefault="002A7C60" w:rsidP="002A7C60">
      <w:pPr>
        <w:keepNext/>
        <w:jc w:val="center"/>
      </w:pPr>
      <w:r>
        <w:rPr>
          <w:iCs/>
          <w:noProof/>
          <w:color w:val="auto"/>
        </w:rPr>
        <w:drawing>
          <wp:inline distT="0" distB="0" distL="0" distR="0" wp14:anchorId="12608BEE" wp14:editId="6A7F091E">
            <wp:extent cx="3177540" cy="1251585"/>
            <wp:effectExtent l="0" t="0" r="3810" b="5715"/>
            <wp:docPr id="166242320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423202" name="Picture 1662423202"/>
                    <pic:cNvPicPr/>
                  </pic:nvPicPr>
                  <pic:blipFill>
                    <a:blip r:embed="rId9"/>
                    <a:stretch>
                      <a:fillRect/>
                    </a:stretch>
                  </pic:blipFill>
                  <pic:spPr>
                    <a:xfrm>
                      <a:off x="0" y="0"/>
                      <a:ext cx="3177540" cy="1251585"/>
                    </a:xfrm>
                    <a:prstGeom prst="rect">
                      <a:avLst/>
                    </a:prstGeom>
                  </pic:spPr>
                </pic:pic>
              </a:graphicData>
            </a:graphic>
          </wp:inline>
        </w:drawing>
      </w:r>
    </w:p>
    <w:p w14:paraId="235E526D" w14:textId="76245862" w:rsidR="002A7C60" w:rsidRPr="0023100F" w:rsidRDefault="002A7C60" w:rsidP="002A7C60">
      <w:pPr>
        <w:pStyle w:val="Caption"/>
        <w:jc w:val="center"/>
        <w:rPr>
          <w:iCs/>
          <w:color w:val="auto"/>
        </w:rPr>
      </w:pPr>
      <w:r w:rsidRPr="002A7C60">
        <w:rPr>
          <w:highlight w:val="darkCyan"/>
        </w:rPr>
        <w:t xml:space="preserve">Figure </w:t>
      </w:r>
      <w:r w:rsidRPr="002A7C60">
        <w:rPr>
          <w:highlight w:val="darkCyan"/>
        </w:rPr>
        <w:fldChar w:fldCharType="begin"/>
      </w:r>
      <w:r w:rsidRPr="002A7C60">
        <w:rPr>
          <w:highlight w:val="darkCyan"/>
        </w:rPr>
        <w:instrText xml:space="preserve"> SEQ Figure \* ARABIC </w:instrText>
      </w:r>
      <w:r w:rsidRPr="002A7C60">
        <w:rPr>
          <w:highlight w:val="darkCyan"/>
        </w:rPr>
        <w:fldChar w:fldCharType="separate"/>
      </w:r>
      <w:r w:rsidR="00A12FB6">
        <w:rPr>
          <w:noProof/>
          <w:highlight w:val="darkCyan"/>
        </w:rPr>
        <w:t>1</w:t>
      </w:r>
      <w:r w:rsidRPr="002A7C60">
        <w:rPr>
          <w:highlight w:val="darkCyan"/>
        </w:rPr>
        <w:fldChar w:fldCharType="end"/>
      </w:r>
      <w:r w:rsidRPr="002A7C60">
        <w:rPr>
          <w:highlight w:val="darkCyan"/>
        </w:rPr>
        <w:t>. Nonzero capital gain before and after the log(1 + x) transformation.</w:t>
      </w:r>
    </w:p>
    <w:p w14:paraId="5CD82BCE" w14:textId="77777777" w:rsidR="004A2ACD" w:rsidRDefault="00000000">
      <w:pPr>
        <w:pStyle w:val="Heading1"/>
      </w:pPr>
      <w:r>
        <w:t>Exploratory Data Analysis</w:t>
      </w:r>
    </w:p>
    <w:p w14:paraId="6C15622A" w14:textId="77777777" w:rsidR="004A2ACD" w:rsidRDefault="00000000">
      <w:pPr>
        <w:pStyle w:val="Heading2"/>
      </w:pPr>
      <w:r>
        <w:t>Unknown values and outcome consistency</w:t>
      </w:r>
    </w:p>
    <w:p w14:paraId="0B63C76B" w14:textId="77777777" w:rsidR="004A2ACD" w:rsidRDefault="00000000">
      <w:pPr>
        <w:pStyle w:val="Caption"/>
        <w:keepNext/>
      </w:pPr>
      <w:r>
        <w:t>Table 1  Unknown markers in the combined raw data</w:t>
      </w:r>
    </w:p>
    <w:tbl>
      <w:tblPr>
        <w:tblW w:w="0" w:type="auto"/>
        <w:jc w:val="center"/>
        <w:tblLayout w:type="fixed"/>
        <w:tblLook w:val="04A0" w:firstRow="1" w:lastRow="0" w:firstColumn="1" w:lastColumn="0" w:noHBand="0" w:noVBand="1"/>
      </w:tblPr>
      <w:tblGrid>
        <w:gridCol w:w="2070"/>
        <w:gridCol w:w="1530"/>
        <w:gridCol w:w="1224"/>
      </w:tblGrid>
      <w:tr w:rsidR="004A2ACD" w14:paraId="3603C311" w14:textId="77777777" w:rsidTr="00C77BC6">
        <w:trPr>
          <w:cantSplit/>
          <w:tblHeader/>
          <w:jc w:val="center"/>
        </w:trPr>
        <w:tc>
          <w:tcPr>
            <w:tcW w:w="2070" w:type="dxa"/>
            <w:tcBorders>
              <w:top w:val="single" w:sz="4" w:space="0" w:color="D9D9D9"/>
              <w:left w:val="single" w:sz="4" w:space="0" w:color="D9D9D9"/>
              <w:bottom w:val="single" w:sz="4" w:space="0" w:color="D9D9D9"/>
              <w:right w:val="single" w:sz="4" w:space="0" w:color="D9D9D9"/>
            </w:tcBorders>
            <w:shd w:val="clear" w:color="auto" w:fill="E8ECF0"/>
            <w:tcMar>
              <w:top w:w="65" w:type="dxa"/>
              <w:left w:w="65" w:type="dxa"/>
              <w:bottom w:w="65" w:type="dxa"/>
              <w:right w:w="65" w:type="dxa"/>
            </w:tcMar>
            <w:vAlign w:val="center"/>
          </w:tcPr>
          <w:p w14:paraId="0DE60567" w14:textId="77777777" w:rsidR="004A2ACD" w:rsidRDefault="00000000">
            <w:pPr>
              <w:spacing w:after="0" w:line="240" w:lineRule="auto"/>
            </w:pPr>
            <w:r>
              <w:rPr>
                <w:b/>
                <w:sz w:val="18"/>
              </w:rPr>
              <w:t>Feature</w:t>
            </w:r>
          </w:p>
        </w:tc>
        <w:tc>
          <w:tcPr>
            <w:tcW w:w="1530" w:type="dxa"/>
            <w:tcBorders>
              <w:top w:val="single" w:sz="4" w:space="0" w:color="D9D9D9"/>
              <w:left w:val="single" w:sz="4" w:space="0" w:color="D9D9D9"/>
              <w:bottom w:val="single" w:sz="4" w:space="0" w:color="D9D9D9"/>
              <w:right w:val="single" w:sz="4" w:space="0" w:color="D9D9D9"/>
            </w:tcBorders>
            <w:shd w:val="clear" w:color="auto" w:fill="E8ECF0"/>
            <w:tcMar>
              <w:top w:w="65" w:type="dxa"/>
              <w:left w:w="65" w:type="dxa"/>
              <w:bottom w:w="65" w:type="dxa"/>
              <w:right w:w="65" w:type="dxa"/>
            </w:tcMar>
            <w:vAlign w:val="center"/>
          </w:tcPr>
          <w:p w14:paraId="4C69F65E" w14:textId="77777777" w:rsidR="004A2ACD" w:rsidRDefault="00000000">
            <w:pPr>
              <w:spacing w:after="0" w:line="240" w:lineRule="auto"/>
              <w:jc w:val="right"/>
            </w:pPr>
            <w:r>
              <w:rPr>
                <w:b/>
                <w:sz w:val="18"/>
              </w:rPr>
              <w:t>“?” count</w:t>
            </w:r>
          </w:p>
        </w:tc>
        <w:tc>
          <w:tcPr>
            <w:tcW w:w="1224" w:type="dxa"/>
            <w:tcBorders>
              <w:top w:val="single" w:sz="4" w:space="0" w:color="D9D9D9"/>
              <w:left w:val="single" w:sz="4" w:space="0" w:color="D9D9D9"/>
              <w:bottom w:val="single" w:sz="4" w:space="0" w:color="D9D9D9"/>
              <w:right w:val="single" w:sz="4" w:space="0" w:color="D9D9D9"/>
            </w:tcBorders>
            <w:shd w:val="clear" w:color="auto" w:fill="E8ECF0"/>
            <w:tcMar>
              <w:top w:w="65" w:type="dxa"/>
              <w:left w:w="65" w:type="dxa"/>
              <w:bottom w:w="65" w:type="dxa"/>
              <w:right w:w="65" w:type="dxa"/>
            </w:tcMar>
            <w:vAlign w:val="center"/>
          </w:tcPr>
          <w:p w14:paraId="181D4599" w14:textId="77777777" w:rsidR="004A2ACD" w:rsidRDefault="00000000">
            <w:pPr>
              <w:spacing w:after="0" w:line="240" w:lineRule="auto"/>
              <w:jc w:val="right"/>
            </w:pPr>
            <w:r>
              <w:rPr>
                <w:b/>
                <w:sz w:val="18"/>
              </w:rPr>
              <w:t>Percent</w:t>
            </w:r>
          </w:p>
        </w:tc>
      </w:tr>
      <w:tr w:rsidR="004A2ACD" w14:paraId="47FBAEB5" w14:textId="77777777" w:rsidTr="00C77BC6">
        <w:trPr>
          <w:cantSplit/>
          <w:jc w:val="center"/>
        </w:trPr>
        <w:tc>
          <w:tcPr>
            <w:tcW w:w="207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95F3DC4" w14:textId="77777777" w:rsidR="004A2ACD" w:rsidRDefault="00000000">
            <w:pPr>
              <w:spacing w:after="0" w:line="240" w:lineRule="auto"/>
            </w:pPr>
            <w:r>
              <w:rPr>
                <w:sz w:val="18"/>
              </w:rPr>
              <w:t>workclass</w:t>
            </w:r>
          </w:p>
        </w:tc>
        <w:tc>
          <w:tcPr>
            <w:tcW w:w="153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5D152D4" w14:textId="77777777" w:rsidR="004A2ACD" w:rsidRDefault="00000000">
            <w:pPr>
              <w:spacing w:after="0" w:line="240" w:lineRule="auto"/>
              <w:jc w:val="right"/>
            </w:pPr>
            <w:r>
              <w:rPr>
                <w:sz w:val="18"/>
              </w:rPr>
              <w:t>2,799</w:t>
            </w:r>
          </w:p>
        </w:tc>
        <w:tc>
          <w:tcPr>
            <w:tcW w:w="122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A638BEC" w14:textId="77777777" w:rsidR="004A2ACD" w:rsidRDefault="00000000">
            <w:pPr>
              <w:spacing w:after="0" w:line="240" w:lineRule="auto"/>
              <w:jc w:val="right"/>
            </w:pPr>
            <w:r>
              <w:rPr>
                <w:sz w:val="18"/>
              </w:rPr>
              <w:t>5.73%</w:t>
            </w:r>
          </w:p>
        </w:tc>
      </w:tr>
      <w:tr w:rsidR="004A2ACD" w14:paraId="57312BF7" w14:textId="77777777" w:rsidTr="00C77BC6">
        <w:trPr>
          <w:cantSplit/>
          <w:jc w:val="center"/>
        </w:trPr>
        <w:tc>
          <w:tcPr>
            <w:tcW w:w="207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D6A24A8" w14:textId="77777777" w:rsidR="004A2ACD" w:rsidRDefault="00000000">
            <w:pPr>
              <w:spacing w:after="0" w:line="240" w:lineRule="auto"/>
            </w:pPr>
            <w:r>
              <w:rPr>
                <w:sz w:val="18"/>
              </w:rPr>
              <w:t>occupation</w:t>
            </w:r>
          </w:p>
        </w:tc>
        <w:tc>
          <w:tcPr>
            <w:tcW w:w="153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C0CFEC7" w14:textId="77777777" w:rsidR="004A2ACD" w:rsidRDefault="00000000">
            <w:pPr>
              <w:spacing w:after="0" w:line="240" w:lineRule="auto"/>
              <w:jc w:val="right"/>
            </w:pPr>
            <w:r>
              <w:rPr>
                <w:sz w:val="18"/>
              </w:rPr>
              <w:t>2,809</w:t>
            </w:r>
          </w:p>
        </w:tc>
        <w:tc>
          <w:tcPr>
            <w:tcW w:w="122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996BF2E" w14:textId="77777777" w:rsidR="004A2ACD" w:rsidRDefault="00000000">
            <w:pPr>
              <w:spacing w:after="0" w:line="240" w:lineRule="auto"/>
              <w:jc w:val="right"/>
            </w:pPr>
            <w:r>
              <w:rPr>
                <w:sz w:val="18"/>
              </w:rPr>
              <w:t>5.75%</w:t>
            </w:r>
          </w:p>
        </w:tc>
      </w:tr>
      <w:tr w:rsidR="004A2ACD" w14:paraId="5D655E1A" w14:textId="77777777" w:rsidTr="00C77BC6">
        <w:trPr>
          <w:cantSplit/>
          <w:jc w:val="center"/>
        </w:trPr>
        <w:tc>
          <w:tcPr>
            <w:tcW w:w="207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4707DEC" w14:textId="77777777" w:rsidR="004A2ACD" w:rsidRDefault="00000000">
            <w:pPr>
              <w:spacing w:after="0" w:line="240" w:lineRule="auto"/>
            </w:pPr>
            <w:r>
              <w:rPr>
                <w:sz w:val="18"/>
              </w:rPr>
              <w:t>native_country</w:t>
            </w:r>
          </w:p>
        </w:tc>
        <w:tc>
          <w:tcPr>
            <w:tcW w:w="153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A9B7C62" w14:textId="77777777" w:rsidR="004A2ACD" w:rsidRDefault="00000000">
            <w:pPr>
              <w:spacing w:after="0" w:line="240" w:lineRule="auto"/>
              <w:jc w:val="right"/>
            </w:pPr>
            <w:r>
              <w:rPr>
                <w:sz w:val="18"/>
              </w:rPr>
              <w:t>857</w:t>
            </w:r>
          </w:p>
        </w:tc>
        <w:tc>
          <w:tcPr>
            <w:tcW w:w="122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9FF9789" w14:textId="77777777" w:rsidR="004A2ACD" w:rsidRDefault="00000000">
            <w:pPr>
              <w:spacing w:after="0" w:line="240" w:lineRule="auto"/>
              <w:jc w:val="right"/>
            </w:pPr>
            <w:r>
              <w:rPr>
                <w:sz w:val="18"/>
              </w:rPr>
              <w:t>1.75%</w:t>
            </w:r>
          </w:p>
        </w:tc>
      </w:tr>
    </w:tbl>
    <w:p w14:paraId="14D7E48A" w14:textId="77777777" w:rsidR="004A2ACD" w:rsidRDefault="004A2ACD">
      <w:pPr>
        <w:spacing w:after="0"/>
      </w:pPr>
    </w:p>
    <w:p w14:paraId="3967347C" w14:textId="77777777" w:rsidR="004A2ACD" w:rsidRDefault="00000000">
      <w:r>
        <w:t>Table 1 counts entries by column, not affected rows</w:t>
      </w:r>
      <w:r w:rsidR="00971ECD">
        <w:t>, so</w:t>
      </w:r>
      <w:r>
        <w:t xml:space="preserve"> unknowns may overlap. Occupation and workclass have the largest unknown counts. Treating these as ordinary categories without an explicit decision would hide missing information. Removing affected records could also alter subgroup representation, so </w:t>
      </w:r>
      <w:r w:rsidR="004D16B2">
        <w:t>our</w:t>
      </w:r>
      <w:r>
        <w:t xml:space="preserve"> missing-data </w:t>
      </w:r>
      <w:r w:rsidR="004D16B2">
        <w:t>decisions</w:t>
      </w:r>
      <w:r>
        <w:t xml:space="preserve"> matter to the fairness comparison.</w:t>
      </w:r>
    </w:p>
    <w:p w14:paraId="47555549" w14:textId="77777777" w:rsidR="004A2ACD" w:rsidRDefault="00000000">
      <w:r>
        <w:t xml:space="preserve">Income has four raw strings: training labels ≤50K and &gt;50K, and test labels with trailing periods. Their respective counts are 24,720 and 7,841 in training, and 12,435 and </w:t>
      </w:r>
      <w:r>
        <w:t>3,846 in test. The apparent extra classes are a source-format inconsistency, not additional income outcomes.</w:t>
      </w:r>
    </w:p>
    <w:p w14:paraId="2FB59C00" w14:textId="77777777" w:rsidR="004A2ACD" w:rsidRDefault="00000000">
      <w:pPr>
        <w:pStyle w:val="Heading2"/>
      </w:pPr>
      <w:r>
        <w:rPr>
          <w:shd w:val="clear" w:color="auto" w:fill="D9EAF7"/>
        </w:rPr>
        <w:t>Sex and income imbalance</w:t>
      </w:r>
    </w:p>
    <w:p w14:paraId="652E749B" w14:textId="77777777" w:rsidR="004A2ACD" w:rsidRDefault="0051701E">
      <w:pPr>
        <w:keepNext/>
      </w:pPr>
      <w:r>
        <w:rPr>
          <w:shd w:val="clear" w:color="auto" w:fill="D9EAF7"/>
        </w:rPr>
        <w:t>Table 2  Sex/income counts and observed high-income rates (N = 48,842)</w:t>
      </w:r>
    </w:p>
    <w:tbl>
      <w:tblPr>
        <w:tblW w:w="5004"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55" w:type="dxa"/>
          <w:bottom w:w="65" w:type="dxa"/>
          <w:right w:w="55" w:type="dxa"/>
        </w:tblCellMar>
        <w:tblLook w:val="04A0" w:firstRow="1" w:lastRow="0" w:firstColumn="1" w:lastColumn="0" w:noHBand="0" w:noVBand="1"/>
      </w:tblPr>
      <w:tblGrid>
        <w:gridCol w:w="850"/>
        <w:gridCol w:w="1050"/>
        <w:gridCol w:w="1000"/>
        <w:gridCol w:w="1050"/>
        <w:gridCol w:w="1054"/>
      </w:tblGrid>
      <w:tr w:rsidR="004528C9" w14:paraId="222B26B8" w14:textId="77777777">
        <w:trPr>
          <w:cantSplit/>
          <w:tblHeader/>
        </w:trPr>
        <w:tc>
          <w:tcPr>
            <w:tcW w:w="850" w:type="dxa"/>
            <w:shd w:val="clear" w:color="auto" w:fill="E7E6E6"/>
            <w:vAlign w:val="center"/>
          </w:tcPr>
          <w:p w14:paraId="423C3886" w14:textId="77777777" w:rsidR="004528C9" w:rsidRDefault="00000000">
            <w:pPr>
              <w:spacing w:after="0"/>
            </w:pPr>
            <w:r>
              <w:rPr>
                <w:b/>
                <w:shd w:val="clear" w:color="auto" w:fill="D9EAF7"/>
              </w:rPr>
              <w:t>Sex</w:t>
            </w:r>
          </w:p>
        </w:tc>
        <w:tc>
          <w:tcPr>
            <w:tcW w:w="1050" w:type="dxa"/>
            <w:shd w:val="clear" w:color="auto" w:fill="E7E6E6"/>
            <w:vAlign w:val="center"/>
          </w:tcPr>
          <w:p w14:paraId="1B513AD5" w14:textId="77777777" w:rsidR="004528C9" w:rsidRDefault="00000000">
            <w:pPr>
              <w:spacing w:after="0"/>
              <w:jc w:val="center"/>
            </w:pPr>
            <w:r>
              <w:rPr>
                <w:b/>
                <w:shd w:val="clear" w:color="auto" w:fill="D9EAF7"/>
              </w:rPr>
              <w:t>≤50K</w:t>
            </w:r>
          </w:p>
        </w:tc>
        <w:tc>
          <w:tcPr>
            <w:tcW w:w="1000" w:type="dxa"/>
            <w:shd w:val="clear" w:color="auto" w:fill="E7E6E6"/>
            <w:vAlign w:val="center"/>
          </w:tcPr>
          <w:p w14:paraId="164AC22A" w14:textId="77777777" w:rsidR="004528C9" w:rsidRDefault="00000000">
            <w:pPr>
              <w:spacing w:after="0"/>
              <w:jc w:val="center"/>
            </w:pPr>
            <w:r>
              <w:rPr>
                <w:b/>
                <w:shd w:val="clear" w:color="auto" w:fill="D9EAF7"/>
              </w:rPr>
              <w:t>&gt;50K</w:t>
            </w:r>
          </w:p>
        </w:tc>
        <w:tc>
          <w:tcPr>
            <w:tcW w:w="1050" w:type="dxa"/>
            <w:shd w:val="clear" w:color="auto" w:fill="E7E6E6"/>
            <w:vAlign w:val="center"/>
          </w:tcPr>
          <w:p w14:paraId="4D07955B" w14:textId="77777777" w:rsidR="004528C9" w:rsidRDefault="00000000">
            <w:pPr>
              <w:spacing w:after="0"/>
              <w:jc w:val="center"/>
            </w:pPr>
            <w:r>
              <w:rPr>
                <w:b/>
                <w:shd w:val="clear" w:color="auto" w:fill="D9EAF7"/>
              </w:rPr>
              <w:t>Total</w:t>
            </w:r>
          </w:p>
        </w:tc>
        <w:tc>
          <w:tcPr>
            <w:tcW w:w="1054" w:type="dxa"/>
            <w:shd w:val="clear" w:color="auto" w:fill="E7E6E6"/>
            <w:vAlign w:val="center"/>
          </w:tcPr>
          <w:p w14:paraId="36F9A491" w14:textId="77777777" w:rsidR="004528C9" w:rsidRDefault="00000000">
            <w:pPr>
              <w:spacing w:after="0"/>
              <w:jc w:val="center"/>
            </w:pPr>
            <w:r>
              <w:rPr>
                <w:b/>
                <w:shd w:val="clear" w:color="auto" w:fill="D9EAF7"/>
              </w:rPr>
              <w:t>&gt;50K (%)</w:t>
            </w:r>
          </w:p>
        </w:tc>
      </w:tr>
      <w:tr w:rsidR="004528C9" w14:paraId="372CD378" w14:textId="77777777">
        <w:trPr>
          <w:cantSplit/>
        </w:trPr>
        <w:tc>
          <w:tcPr>
            <w:tcW w:w="850" w:type="dxa"/>
            <w:vAlign w:val="center"/>
          </w:tcPr>
          <w:p w14:paraId="6C7924BA" w14:textId="77777777" w:rsidR="004528C9" w:rsidRDefault="00000000">
            <w:pPr>
              <w:spacing w:after="0"/>
            </w:pPr>
            <w:r>
              <w:rPr>
                <w:shd w:val="clear" w:color="auto" w:fill="D9EAF7"/>
              </w:rPr>
              <w:t>Female</w:t>
            </w:r>
          </w:p>
        </w:tc>
        <w:tc>
          <w:tcPr>
            <w:tcW w:w="1050" w:type="dxa"/>
            <w:vAlign w:val="center"/>
          </w:tcPr>
          <w:p w14:paraId="7E82E323" w14:textId="77777777" w:rsidR="004528C9" w:rsidRDefault="00000000">
            <w:pPr>
              <w:spacing w:after="0"/>
              <w:jc w:val="center"/>
            </w:pPr>
            <w:r>
              <w:rPr>
                <w:shd w:val="clear" w:color="auto" w:fill="D9EAF7"/>
              </w:rPr>
              <w:t>14,423</w:t>
            </w:r>
          </w:p>
        </w:tc>
        <w:tc>
          <w:tcPr>
            <w:tcW w:w="1000" w:type="dxa"/>
            <w:vAlign w:val="center"/>
          </w:tcPr>
          <w:p w14:paraId="7E50A162" w14:textId="77777777" w:rsidR="004528C9" w:rsidRDefault="00000000">
            <w:pPr>
              <w:spacing w:after="0"/>
              <w:jc w:val="center"/>
            </w:pPr>
            <w:r>
              <w:rPr>
                <w:shd w:val="clear" w:color="auto" w:fill="D9EAF7"/>
              </w:rPr>
              <w:t>1,769</w:t>
            </w:r>
          </w:p>
        </w:tc>
        <w:tc>
          <w:tcPr>
            <w:tcW w:w="1050" w:type="dxa"/>
            <w:vAlign w:val="center"/>
          </w:tcPr>
          <w:p w14:paraId="764C2D8D" w14:textId="77777777" w:rsidR="004528C9" w:rsidRDefault="00000000">
            <w:pPr>
              <w:spacing w:after="0"/>
              <w:jc w:val="center"/>
            </w:pPr>
            <w:r>
              <w:rPr>
                <w:shd w:val="clear" w:color="auto" w:fill="D9EAF7"/>
              </w:rPr>
              <w:t>16,192</w:t>
            </w:r>
          </w:p>
        </w:tc>
        <w:tc>
          <w:tcPr>
            <w:tcW w:w="1054" w:type="dxa"/>
            <w:vAlign w:val="center"/>
          </w:tcPr>
          <w:p w14:paraId="637C6B4A" w14:textId="77777777" w:rsidR="004528C9" w:rsidRDefault="00000000">
            <w:pPr>
              <w:spacing w:after="0"/>
              <w:jc w:val="center"/>
            </w:pPr>
            <w:r>
              <w:rPr>
                <w:shd w:val="clear" w:color="auto" w:fill="D9EAF7"/>
              </w:rPr>
              <w:t>10.93</w:t>
            </w:r>
          </w:p>
        </w:tc>
      </w:tr>
      <w:tr w:rsidR="004528C9" w14:paraId="592708E7" w14:textId="77777777">
        <w:trPr>
          <w:cantSplit/>
        </w:trPr>
        <w:tc>
          <w:tcPr>
            <w:tcW w:w="850" w:type="dxa"/>
            <w:vAlign w:val="center"/>
          </w:tcPr>
          <w:p w14:paraId="4DB97769" w14:textId="77777777" w:rsidR="004528C9" w:rsidRDefault="00000000">
            <w:pPr>
              <w:spacing w:after="0"/>
            </w:pPr>
            <w:r>
              <w:rPr>
                <w:shd w:val="clear" w:color="auto" w:fill="D9EAF7"/>
              </w:rPr>
              <w:t>Male</w:t>
            </w:r>
          </w:p>
        </w:tc>
        <w:tc>
          <w:tcPr>
            <w:tcW w:w="1050" w:type="dxa"/>
            <w:vAlign w:val="center"/>
          </w:tcPr>
          <w:p w14:paraId="5F26E8A9" w14:textId="77777777" w:rsidR="004528C9" w:rsidRDefault="00000000">
            <w:pPr>
              <w:spacing w:after="0"/>
              <w:jc w:val="center"/>
            </w:pPr>
            <w:r>
              <w:rPr>
                <w:shd w:val="clear" w:color="auto" w:fill="D9EAF7"/>
              </w:rPr>
              <w:t>22,732</w:t>
            </w:r>
          </w:p>
        </w:tc>
        <w:tc>
          <w:tcPr>
            <w:tcW w:w="1000" w:type="dxa"/>
            <w:vAlign w:val="center"/>
          </w:tcPr>
          <w:p w14:paraId="72B87C59" w14:textId="77777777" w:rsidR="004528C9" w:rsidRDefault="00000000">
            <w:pPr>
              <w:spacing w:after="0"/>
              <w:jc w:val="center"/>
            </w:pPr>
            <w:r>
              <w:rPr>
                <w:shd w:val="clear" w:color="auto" w:fill="D9EAF7"/>
              </w:rPr>
              <w:t>9,918</w:t>
            </w:r>
          </w:p>
        </w:tc>
        <w:tc>
          <w:tcPr>
            <w:tcW w:w="1050" w:type="dxa"/>
            <w:vAlign w:val="center"/>
          </w:tcPr>
          <w:p w14:paraId="2A87642F" w14:textId="77777777" w:rsidR="004528C9" w:rsidRDefault="00000000">
            <w:pPr>
              <w:spacing w:after="0"/>
              <w:jc w:val="center"/>
            </w:pPr>
            <w:r>
              <w:rPr>
                <w:shd w:val="clear" w:color="auto" w:fill="D9EAF7"/>
              </w:rPr>
              <w:t>32,650</w:t>
            </w:r>
          </w:p>
        </w:tc>
        <w:tc>
          <w:tcPr>
            <w:tcW w:w="1054" w:type="dxa"/>
            <w:vAlign w:val="center"/>
          </w:tcPr>
          <w:p w14:paraId="271B30AC" w14:textId="77777777" w:rsidR="004528C9" w:rsidRDefault="00000000">
            <w:pPr>
              <w:spacing w:after="0"/>
              <w:jc w:val="center"/>
            </w:pPr>
            <w:r>
              <w:rPr>
                <w:shd w:val="clear" w:color="auto" w:fill="D9EAF7"/>
              </w:rPr>
              <w:t>30.38</w:t>
            </w:r>
          </w:p>
        </w:tc>
      </w:tr>
    </w:tbl>
    <w:p w14:paraId="498D7EA1" w14:textId="77777777" w:rsidR="004A2ACD" w:rsidRDefault="00000000">
      <w:r>
        <w:t>Summing the corresponding raw income counts yields 11,687 &gt;50K observations (23.9%) and 37,155 ≤50K observations (76.1%). An always-≤50K rule would therefore achieve 76.1% accuracy on these combined records while detecting no favorable outcomes. This descriptive benchmark supports reporting favorable-class recall and F1 alongside accuracy.</w:t>
      </w:r>
    </w:p>
    <w:p w14:paraId="543FB1DE" w14:textId="77777777" w:rsidR="004A2ACD" w:rsidRDefault="00000000">
      <w:r>
        <w:t xml:space="preserve">The data contain 32,650 male observations and 16,192 female observations, approximately a two-to-one ratio. </w:t>
      </w:r>
    </w:p>
    <w:p w14:paraId="2A976126" w14:textId="502FCF05" w:rsidR="0086648C" w:rsidRDefault="0086648C">
      <w:r>
        <w:rPr>
          <w:shd w:val="clear" w:color="auto" w:fill="D9EAF7"/>
        </w:rPr>
        <w:t xml:space="preserve">Female/&gt;50K is the smallest subgroup (1,769 records), while Male/≤50K is the largest (22,732). Income is above $50K for 10.93% of Female records and 30.38% of Male records, a difference of 19.45 percentage points. </w:t>
      </w:r>
    </w:p>
    <w:p w14:paraId="0C76BDEF" w14:textId="77777777" w:rsidR="004A2ACD" w:rsidRDefault="00000000">
      <w:pPr>
        <w:pStyle w:val="Heading2"/>
      </w:pPr>
      <w:r>
        <w:t>Numerical distributions and rare categories</w:t>
      </w:r>
    </w:p>
    <w:p w14:paraId="4261261B" w14:textId="77777777" w:rsidR="004A2ACD" w:rsidRDefault="00000000">
      <w:pPr>
        <w:pStyle w:val="Caption"/>
        <w:keepNext/>
      </w:pPr>
      <w:r>
        <w:rPr>
          <w:shd w:val="clear" w:color="auto" w:fill="D9EAF7"/>
        </w:rPr>
        <w:t>Table 3  Selected numerical summaries before cleaning</w:t>
      </w:r>
    </w:p>
    <w:tbl>
      <w:tblPr>
        <w:tblW w:w="0" w:type="auto"/>
        <w:jc w:val="center"/>
        <w:tblLayout w:type="fixed"/>
        <w:tblLook w:val="04A0" w:firstRow="1" w:lastRow="0" w:firstColumn="1" w:lastColumn="0" w:noHBand="0" w:noVBand="1"/>
      </w:tblPr>
      <w:tblGrid>
        <w:gridCol w:w="2160"/>
        <w:gridCol w:w="936"/>
        <w:gridCol w:w="1728"/>
      </w:tblGrid>
      <w:tr w:rsidR="004A2ACD" w14:paraId="76B38222" w14:textId="77777777">
        <w:trPr>
          <w:cantSplit/>
          <w:tblHeader/>
          <w:jc w:val="center"/>
        </w:trPr>
        <w:tc>
          <w:tcPr>
            <w:tcW w:w="2160" w:type="dxa"/>
            <w:tcBorders>
              <w:top w:val="single" w:sz="4" w:space="0" w:color="D9D9D9"/>
              <w:left w:val="single" w:sz="4" w:space="0" w:color="D9D9D9"/>
              <w:bottom w:val="single" w:sz="4" w:space="0" w:color="D9D9D9"/>
              <w:right w:val="single" w:sz="4" w:space="0" w:color="D9D9D9"/>
            </w:tcBorders>
            <w:shd w:val="clear" w:color="auto" w:fill="E8ECF0"/>
            <w:tcMar>
              <w:top w:w="65" w:type="dxa"/>
              <w:left w:w="65" w:type="dxa"/>
              <w:bottom w:w="65" w:type="dxa"/>
              <w:right w:w="65" w:type="dxa"/>
            </w:tcMar>
            <w:vAlign w:val="center"/>
          </w:tcPr>
          <w:p w14:paraId="23FFC110" w14:textId="77777777" w:rsidR="004A2ACD" w:rsidRDefault="00000000">
            <w:pPr>
              <w:spacing w:after="0" w:line="240" w:lineRule="auto"/>
            </w:pPr>
            <w:r>
              <w:rPr>
                <w:b/>
                <w:sz w:val="18"/>
              </w:rPr>
              <w:t>Feature</w:t>
            </w:r>
          </w:p>
        </w:tc>
        <w:tc>
          <w:tcPr>
            <w:tcW w:w="936" w:type="dxa"/>
            <w:tcBorders>
              <w:top w:val="single" w:sz="4" w:space="0" w:color="D9D9D9"/>
              <w:left w:val="single" w:sz="4" w:space="0" w:color="D9D9D9"/>
              <w:bottom w:val="single" w:sz="4" w:space="0" w:color="D9D9D9"/>
              <w:right w:val="single" w:sz="4" w:space="0" w:color="D9D9D9"/>
            </w:tcBorders>
            <w:shd w:val="clear" w:color="auto" w:fill="E8ECF0"/>
            <w:tcMar>
              <w:top w:w="65" w:type="dxa"/>
              <w:left w:w="65" w:type="dxa"/>
              <w:bottom w:w="65" w:type="dxa"/>
              <w:right w:w="65" w:type="dxa"/>
            </w:tcMar>
            <w:vAlign w:val="center"/>
          </w:tcPr>
          <w:p w14:paraId="259E41D4" w14:textId="77777777" w:rsidR="004A2ACD" w:rsidRDefault="00000000">
            <w:pPr>
              <w:spacing w:after="0" w:line="240" w:lineRule="auto"/>
              <w:jc w:val="right"/>
            </w:pPr>
            <w:r>
              <w:rPr>
                <w:b/>
                <w:sz w:val="18"/>
              </w:rPr>
              <w:t>Median</w:t>
            </w:r>
          </w:p>
        </w:tc>
        <w:tc>
          <w:tcPr>
            <w:tcW w:w="1728" w:type="dxa"/>
            <w:tcBorders>
              <w:top w:val="single" w:sz="4" w:space="0" w:color="D9D9D9"/>
              <w:left w:val="single" w:sz="4" w:space="0" w:color="D9D9D9"/>
              <w:bottom w:val="single" w:sz="4" w:space="0" w:color="D9D9D9"/>
              <w:right w:val="single" w:sz="4" w:space="0" w:color="D9D9D9"/>
            </w:tcBorders>
            <w:shd w:val="clear" w:color="auto" w:fill="E8ECF0"/>
            <w:tcMar>
              <w:top w:w="65" w:type="dxa"/>
              <w:left w:w="65" w:type="dxa"/>
              <w:bottom w:w="65" w:type="dxa"/>
              <w:right w:w="65" w:type="dxa"/>
            </w:tcMar>
            <w:vAlign w:val="center"/>
          </w:tcPr>
          <w:p w14:paraId="435032A3" w14:textId="77777777" w:rsidR="004A2ACD" w:rsidRDefault="00000000">
            <w:pPr>
              <w:spacing w:after="0" w:line="240" w:lineRule="auto"/>
              <w:jc w:val="right"/>
            </w:pPr>
            <w:r>
              <w:rPr>
                <w:b/>
                <w:sz w:val="18"/>
              </w:rPr>
              <w:t>Range</w:t>
            </w:r>
          </w:p>
        </w:tc>
      </w:tr>
      <w:tr w:rsidR="004A2ACD" w14:paraId="1B500D43"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F945A45" w14:textId="77777777" w:rsidR="004A2ACD" w:rsidRDefault="00000000">
            <w:pPr>
              <w:spacing w:after="0" w:line="240" w:lineRule="auto"/>
            </w:pPr>
            <w:r>
              <w:rPr>
                <w:sz w:val="18"/>
              </w:rPr>
              <w:t>age</w:t>
            </w:r>
          </w:p>
        </w:tc>
        <w:tc>
          <w:tcPr>
            <w:tcW w:w="93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957F5F0" w14:textId="77777777" w:rsidR="004A2ACD" w:rsidRDefault="00000000">
            <w:pPr>
              <w:spacing w:after="0" w:line="240" w:lineRule="auto"/>
              <w:jc w:val="right"/>
            </w:pPr>
            <w:r>
              <w:rPr>
                <w:sz w:val="18"/>
              </w:rPr>
              <w:t>37</w:t>
            </w:r>
          </w:p>
        </w:tc>
        <w:tc>
          <w:tcPr>
            <w:tcW w:w="172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E82CF1B" w14:textId="77777777" w:rsidR="004A2ACD" w:rsidRDefault="00000000">
            <w:pPr>
              <w:spacing w:after="0" w:line="240" w:lineRule="auto"/>
              <w:jc w:val="right"/>
            </w:pPr>
            <w:r>
              <w:rPr>
                <w:sz w:val="18"/>
              </w:rPr>
              <w:t>17–90</w:t>
            </w:r>
          </w:p>
        </w:tc>
      </w:tr>
      <w:tr w:rsidR="004A2ACD" w14:paraId="2EE35823"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9197DA2" w14:textId="77777777" w:rsidR="004A2ACD" w:rsidRDefault="00000000">
            <w:pPr>
              <w:spacing w:after="0" w:line="240" w:lineRule="auto"/>
            </w:pPr>
            <w:r>
              <w:rPr>
                <w:sz w:val="18"/>
              </w:rPr>
              <w:t>education_num</w:t>
            </w:r>
          </w:p>
        </w:tc>
        <w:tc>
          <w:tcPr>
            <w:tcW w:w="93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1F595D5" w14:textId="77777777" w:rsidR="004A2ACD" w:rsidRDefault="00000000">
            <w:pPr>
              <w:spacing w:after="0" w:line="240" w:lineRule="auto"/>
              <w:jc w:val="right"/>
            </w:pPr>
            <w:r>
              <w:rPr>
                <w:sz w:val="18"/>
              </w:rPr>
              <w:t>10</w:t>
            </w:r>
          </w:p>
        </w:tc>
        <w:tc>
          <w:tcPr>
            <w:tcW w:w="172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581C806" w14:textId="77777777" w:rsidR="004A2ACD" w:rsidRDefault="00000000">
            <w:pPr>
              <w:spacing w:after="0" w:line="240" w:lineRule="auto"/>
              <w:jc w:val="right"/>
            </w:pPr>
            <w:r>
              <w:rPr>
                <w:sz w:val="18"/>
              </w:rPr>
              <w:t>1–16</w:t>
            </w:r>
          </w:p>
        </w:tc>
      </w:tr>
      <w:tr w:rsidR="004A2ACD" w14:paraId="64C3E38D"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2B8F4E7" w14:textId="77777777" w:rsidR="004A2ACD" w:rsidRDefault="00000000">
            <w:pPr>
              <w:spacing w:after="0" w:line="240" w:lineRule="auto"/>
            </w:pPr>
            <w:r>
              <w:rPr>
                <w:sz w:val="18"/>
              </w:rPr>
              <w:t>capital_gain</w:t>
            </w:r>
          </w:p>
        </w:tc>
        <w:tc>
          <w:tcPr>
            <w:tcW w:w="93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C9838FA" w14:textId="77777777" w:rsidR="004A2ACD" w:rsidRDefault="00000000">
            <w:pPr>
              <w:spacing w:after="0" w:line="240" w:lineRule="auto"/>
              <w:jc w:val="right"/>
            </w:pPr>
            <w:r>
              <w:rPr>
                <w:sz w:val="18"/>
              </w:rPr>
              <w:t>0</w:t>
            </w:r>
          </w:p>
        </w:tc>
        <w:tc>
          <w:tcPr>
            <w:tcW w:w="172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6CEC0B7" w14:textId="77777777" w:rsidR="004A2ACD" w:rsidRDefault="00000000">
            <w:pPr>
              <w:spacing w:after="0" w:line="240" w:lineRule="auto"/>
              <w:jc w:val="right"/>
            </w:pPr>
            <w:r>
              <w:rPr>
                <w:sz w:val="18"/>
              </w:rPr>
              <w:t>0–99,999</w:t>
            </w:r>
          </w:p>
        </w:tc>
      </w:tr>
      <w:tr w:rsidR="004A2ACD" w14:paraId="62A21A6D"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9FD8578" w14:textId="77777777" w:rsidR="004A2ACD" w:rsidRDefault="00000000">
            <w:pPr>
              <w:spacing w:after="0" w:line="240" w:lineRule="auto"/>
            </w:pPr>
            <w:r>
              <w:rPr>
                <w:sz w:val="18"/>
              </w:rPr>
              <w:t>capital_loss</w:t>
            </w:r>
          </w:p>
        </w:tc>
        <w:tc>
          <w:tcPr>
            <w:tcW w:w="93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DF61FFE" w14:textId="77777777" w:rsidR="004A2ACD" w:rsidRDefault="00000000">
            <w:pPr>
              <w:spacing w:after="0" w:line="240" w:lineRule="auto"/>
              <w:jc w:val="right"/>
            </w:pPr>
            <w:r>
              <w:rPr>
                <w:sz w:val="18"/>
              </w:rPr>
              <w:t>0</w:t>
            </w:r>
          </w:p>
        </w:tc>
        <w:tc>
          <w:tcPr>
            <w:tcW w:w="172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6360D1F" w14:textId="77777777" w:rsidR="004A2ACD" w:rsidRDefault="00000000">
            <w:pPr>
              <w:spacing w:after="0" w:line="240" w:lineRule="auto"/>
              <w:jc w:val="right"/>
            </w:pPr>
            <w:r>
              <w:rPr>
                <w:sz w:val="18"/>
              </w:rPr>
              <w:t>0–4,356</w:t>
            </w:r>
          </w:p>
        </w:tc>
      </w:tr>
      <w:tr w:rsidR="004A2ACD" w14:paraId="2ACC4BAD"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FDCC254" w14:textId="77777777" w:rsidR="004A2ACD" w:rsidRDefault="00000000">
            <w:pPr>
              <w:spacing w:after="0" w:line="240" w:lineRule="auto"/>
            </w:pPr>
            <w:r>
              <w:rPr>
                <w:sz w:val="18"/>
              </w:rPr>
              <w:t>hours_per_week</w:t>
            </w:r>
          </w:p>
        </w:tc>
        <w:tc>
          <w:tcPr>
            <w:tcW w:w="93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317FE96" w14:textId="77777777" w:rsidR="004A2ACD" w:rsidRDefault="00000000">
            <w:pPr>
              <w:spacing w:after="0" w:line="240" w:lineRule="auto"/>
              <w:jc w:val="right"/>
            </w:pPr>
            <w:r>
              <w:rPr>
                <w:sz w:val="18"/>
              </w:rPr>
              <w:t>40</w:t>
            </w:r>
          </w:p>
        </w:tc>
        <w:tc>
          <w:tcPr>
            <w:tcW w:w="172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A8E93E3" w14:textId="77777777" w:rsidR="004A2ACD" w:rsidRDefault="00000000">
            <w:pPr>
              <w:spacing w:after="0" w:line="240" w:lineRule="auto"/>
              <w:jc w:val="right"/>
            </w:pPr>
            <w:r>
              <w:rPr>
                <w:sz w:val="18"/>
              </w:rPr>
              <w:t>1–99</w:t>
            </w:r>
          </w:p>
        </w:tc>
      </w:tr>
    </w:tbl>
    <w:p w14:paraId="7A7FE803" w14:textId="77777777" w:rsidR="004A2ACD" w:rsidRDefault="004A2ACD">
      <w:pPr>
        <w:spacing w:after="0"/>
      </w:pPr>
    </w:p>
    <w:p w14:paraId="4B96E0F4" w14:textId="77777777" w:rsidR="00A12FB6" w:rsidRDefault="00000000">
      <w:r>
        <w:t xml:space="preserve">Capital gain and loss have zero first, second, and third quartiles, but means of 1,079.068 and 87.502. These summaries indicate strong concentration at zero and positive upper tails. Means alone would </w:t>
      </w:r>
      <w:r w:rsidR="0086648C">
        <w:t>hide</w:t>
      </w:r>
      <w:r>
        <w:t xml:space="preserve"> this structure. </w:t>
      </w:r>
      <w:r w:rsidR="00A12FB6" w:rsidRPr="00A12FB6">
        <w:rPr>
          <w:highlight w:val="darkCyan"/>
        </w:rPr>
        <w:t>We examine the nonzero values by income class below.</w:t>
      </w:r>
    </w:p>
    <w:p w14:paraId="21F0275C" w14:textId="161A5565" w:rsidR="004A2ACD" w:rsidRDefault="001A0EAA">
      <w:r w:rsidRPr="001A0EAA">
        <w:rPr>
          <w:highlight w:val="darkCyan"/>
        </w:rPr>
        <w:t>Weekly hours have an interquartile range of 40</w:t>
      </w:r>
      <w:r w:rsidRPr="001A0EAA">
        <w:rPr>
          <w:highlight w:val="darkCyan"/>
        </w:rPr>
        <w:t>-</w:t>
      </w:r>
      <w:r w:rsidRPr="001A0EAA">
        <w:rPr>
          <w:highlight w:val="darkCyan"/>
        </w:rPr>
        <w:t xml:space="preserve">45, so values near 1 or 99 were reviewed rather than </w:t>
      </w:r>
      <w:r w:rsidRPr="001A0EAA">
        <w:rPr>
          <w:highlight w:val="darkCyan"/>
        </w:rPr>
        <w:t>a</w:t>
      </w:r>
      <w:r w:rsidRPr="001A0EAA">
        <w:rPr>
          <w:highlight w:val="darkCyan"/>
        </w:rPr>
        <w:t>utomatically excluded (see below).</w:t>
      </w:r>
      <w:r w:rsidR="00A12FB6">
        <w:t xml:space="preserve"> </w:t>
      </w:r>
      <w:r w:rsidR="00000000">
        <w:t>Fnlwgt ranges from 12,285 to 1,490,400, with a median of 178,144.5</w:t>
      </w:r>
      <w:r w:rsidR="0086648C">
        <w:t>.</w:t>
      </w:r>
      <w:r w:rsidR="00000000">
        <w:t xml:space="preserve"> </w:t>
      </w:r>
      <w:r w:rsidR="0086648C">
        <w:t>I</w:t>
      </w:r>
      <w:r w:rsidR="00000000">
        <w:t xml:space="preserve">ts upper tail </w:t>
      </w:r>
      <w:r w:rsidR="0086648C">
        <w:t>should</w:t>
      </w:r>
      <w:r w:rsidR="00000000">
        <w:t xml:space="preserve"> be interpreted as a sampling-weight characteristic.</w:t>
      </w:r>
    </w:p>
    <w:p w14:paraId="1522C7BF" w14:textId="77777777" w:rsidR="004A2ACD" w:rsidRDefault="00000000">
      <w:r>
        <w:t xml:space="preserve">Some predictor categories are extremely sparse: Never-worked has 10 records, Armed-Forces has 15, and Holand-Netherlands has one training record and none in test. A category may therefore be absent from a training fold but appear during evaluation. Encoding </w:t>
      </w:r>
      <w:r w:rsidR="0086648C">
        <w:t>should</w:t>
      </w:r>
      <w:r>
        <w:t xml:space="preserve"> handle unseen categories without changing their documented meanings.</w:t>
      </w:r>
    </w:p>
    <w:p w14:paraId="72559D43" w14:textId="77777777" w:rsidR="004A2ACD" w:rsidRDefault="00000000">
      <w:pPr>
        <w:rPr>
          <w:i/>
          <w:iCs/>
          <w:shd w:val="clear" w:color="auto" w:fill="D9EAF7"/>
        </w:rPr>
      </w:pPr>
      <w:r w:rsidRPr="009C7F35">
        <w:rPr>
          <w:i/>
          <w:iCs/>
          <w:shd w:val="clear" w:color="auto" w:fill="D9EAF7"/>
        </w:rPr>
        <w:lastRenderedPageBreak/>
        <w:t>[To complete: Integrate numerical distributions by outcome and other relevant feature relationships.]</w:t>
      </w:r>
    </w:p>
    <w:p w14:paraId="5AA75F2B" w14:textId="6A8A30A4" w:rsidR="00BE1396" w:rsidRPr="00B127A3" w:rsidRDefault="00BE1396" w:rsidP="00BE1396">
      <w:pPr>
        <w:rPr>
          <w:highlight w:val="darkCyan"/>
        </w:rPr>
      </w:pPr>
      <w:r w:rsidRPr="00B127A3">
        <w:rPr>
          <w:highlight w:val="darkCyan"/>
        </w:rPr>
        <w:t xml:space="preserve">Records earning &gt;50K are older (median age 43 vs. 34) and work more hours (mean 45.5 vs. 38.8; Figure </w:t>
      </w:r>
      <w:r w:rsidR="002A7C60">
        <w:rPr>
          <w:highlight w:val="darkCyan"/>
        </w:rPr>
        <w:t>2</w:t>
      </w:r>
      <w:r w:rsidRPr="00B127A3">
        <w:rPr>
          <w:highlight w:val="darkCyan"/>
        </w:rPr>
        <w:t xml:space="preserve">), although about 47% of all records report exactly 40 hours. Unusual values such as age 90 (55 records) and 99 hours (137 records) </w:t>
      </w:r>
      <w:r w:rsidRPr="00B127A3">
        <w:rPr>
          <w:highlight w:val="darkCyan"/>
        </w:rPr>
        <w:t>seem like caps instead of errors</w:t>
      </w:r>
      <w:r w:rsidRPr="00B127A3">
        <w:rPr>
          <w:highlight w:val="darkCyan"/>
        </w:rPr>
        <w:t>, so we kept them. Nonzero capital gain is much more common among &gt;50K records (21.3% vs. 4.2%), and all 244 records with a gain of 99,999 earn &gt;50K, which suggests a cap; this supports the log transformation described in Data Preparation.</w:t>
      </w:r>
    </w:p>
    <w:p w14:paraId="721B6454" w14:textId="77777777" w:rsidR="00B127A3" w:rsidRPr="00B127A3" w:rsidRDefault="00BE1396" w:rsidP="00B127A3">
      <w:pPr>
        <w:keepNext/>
        <w:rPr>
          <w:highlight w:val="darkCyan"/>
        </w:rPr>
      </w:pPr>
      <w:r w:rsidRPr="00B127A3">
        <w:rPr>
          <w:noProof/>
          <w:highlight w:val="darkCyan"/>
        </w:rPr>
        <w:drawing>
          <wp:inline distT="0" distB="0" distL="0" distR="0" wp14:anchorId="1912215C" wp14:editId="71FD6A9A">
            <wp:extent cx="3177540" cy="1251585"/>
            <wp:effectExtent l="0" t="0" r="3175" b="1270"/>
            <wp:docPr id="582492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492555" name="Picture 582492555"/>
                    <pic:cNvPicPr/>
                  </pic:nvPicPr>
                  <pic:blipFill>
                    <a:blip r:embed="rId10"/>
                    <a:stretch>
                      <a:fillRect/>
                    </a:stretch>
                  </pic:blipFill>
                  <pic:spPr>
                    <a:xfrm>
                      <a:off x="0" y="0"/>
                      <a:ext cx="3177540" cy="1251585"/>
                    </a:xfrm>
                    <a:prstGeom prst="rect">
                      <a:avLst/>
                    </a:prstGeom>
                  </pic:spPr>
                </pic:pic>
              </a:graphicData>
            </a:graphic>
          </wp:inline>
        </w:drawing>
      </w:r>
    </w:p>
    <w:p w14:paraId="632C914F" w14:textId="1B4F5B53" w:rsidR="00BE1396" w:rsidRPr="00B127A3" w:rsidRDefault="00B127A3" w:rsidP="002A7C60">
      <w:pPr>
        <w:pStyle w:val="Caption"/>
        <w:jc w:val="center"/>
        <w:rPr>
          <w:highlight w:val="darkCyan"/>
        </w:rPr>
      </w:pPr>
      <w:r w:rsidRPr="00B127A3">
        <w:rPr>
          <w:highlight w:val="darkCyan"/>
        </w:rPr>
        <w:t xml:space="preserve">Figure </w:t>
      </w:r>
      <w:r w:rsidRPr="00B127A3">
        <w:rPr>
          <w:highlight w:val="darkCyan"/>
        </w:rPr>
        <w:fldChar w:fldCharType="begin"/>
      </w:r>
      <w:r w:rsidRPr="00B127A3">
        <w:rPr>
          <w:highlight w:val="darkCyan"/>
        </w:rPr>
        <w:instrText xml:space="preserve"> SEQ Figure \* ARABIC </w:instrText>
      </w:r>
      <w:r w:rsidRPr="00B127A3">
        <w:rPr>
          <w:highlight w:val="darkCyan"/>
        </w:rPr>
        <w:fldChar w:fldCharType="separate"/>
      </w:r>
      <w:r w:rsidR="00A12FB6">
        <w:rPr>
          <w:noProof/>
          <w:highlight w:val="darkCyan"/>
        </w:rPr>
        <w:t>2</w:t>
      </w:r>
      <w:r w:rsidRPr="00B127A3">
        <w:rPr>
          <w:highlight w:val="darkCyan"/>
        </w:rPr>
        <w:fldChar w:fldCharType="end"/>
      </w:r>
      <w:r w:rsidRPr="00B127A3">
        <w:rPr>
          <w:highlight w:val="darkCyan"/>
        </w:rPr>
        <w:t>. Distribution of age and hours per week by income class.</w:t>
      </w:r>
    </w:p>
    <w:p w14:paraId="2B2CE5C3" w14:textId="02713C6F" w:rsidR="00BE1396" w:rsidRPr="00B127A3" w:rsidRDefault="00B127A3" w:rsidP="00BE1396">
      <w:pPr>
        <w:rPr>
          <w:highlight w:val="darkCyan"/>
        </w:rPr>
      </w:pPr>
      <w:r w:rsidRPr="00B127A3">
        <w:rPr>
          <w:highlight w:val="darkCyan"/>
        </w:rPr>
        <w:t xml:space="preserve">Among the numerical features, education_num has the strongest correlation with income (0.33; Figure </w:t>
      </w:r>
      <w:r w:rsidR="002A7C60">
        <w:rPr>
          <w:highlight w:val="darkCyan"/>
        </w:rPr>
        <w:t>3</w:t>
      </w:r>
      <w:r w:rsidRPr="00B127A3">
        <w:rPr>
          <w:highlight w:val="darkCyan"/>
        </w:rPr>
        <w:t>), followed b</w:t>
      </w:r>
      <w:r w:rsidR="00BE1396" w:rsidRPr="00B127A3">
        <w:rPr>
          <w:highlight w:val="darkCyan"/>
        </w:rPr>
        <w:t>y age and hours_per_week (0.23 each), while correlations between predictors stay below 0.15. The relationship feature is almost a direct proxy for sex: all but one Husband record is male and all but three Wife records</w:t>
      </w:r>
      <w:r>
        <w:rPr>
          <w:highlight w:val="darkCyan"/>
        </w:rPr>
        <w:t xml:space="preserve"> </w:t>
      </w:r>
      <w:r w:rsidR="00BE1396" w:rsidRPr="00B127A3">
        <w:rPr>
          <w:highlight w:val="darkCyan"/>
        </w:rPr>
        <w:t>are female.</w:t>
      </w:r>
    </w:p>
    <w:p w14:paraId="0F110E16" w14:textId="77777777" w:rsidR="00B127A3" w:rsidRPr="00B127A3" w:rsidRDefault="00B127A3" w:rsidP="00B127A3">
      <w:pPr>
        <w:keepNext/>
        <w:jc w:val="center"/>
        <w:rPr>
          <w:highlight w:val="darkCyan"/>
        </w:rPr>
      </w:pPr>
      <w:r w:rsidRPr="00B127A3">
        <w:rPr>
          <w:noProof/>
          <w:highlight w:val="darkCyan"/>
        </w:rPr>
        <w:drawing>
          <wp:inline distT="0" distB="0" distL="0" distR="0" wp14:anchorId="3BF077DC" wp14:editId="07A14952">
            <wp:extent cx="2741452" cy="2337684"/>
            <wp:effectExtent l="0" t="0" r="1905" b="5715"/>
            <wp:docPr id="1449547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54766" name="Picture 144954766"/>
                    <pic:cNvPicPr/>
                  </pic:nvPicPr>
                  <pic:blipFill>
                    <a:blip r:embed="rId11"/>
                    <a:stretch>
                      <a:fillRect/>
                    </a:stretch>
                  </pic:blipFill>
                  <pic:spPr>
                    <a:xfrm>
                      <a:off x="0" y="0"/>
                      <a:ext cx="2777718" cy="2368608"/>
                    </a:xfrm>
                    <a:prstGeom prst="rect">
                      <a:avLst/>
                    </a:prstGeom>
                  </pic:spPr>
                </pic:pic>
              </a:graphicData>
            </a:graphic>
          </wp:inline>
        </w:drawing>
      </w:r>
    </w:p>
    <w:p w14:paraId="30143AD9" w14:textId="7079AE33" w:rsidR="00B127A3" w:rsidRPr="00BE1396" w:rsidRDefault="00B127A3" w:rsidP="00B127A3">
      <w:pPr>
        <w:pStyle w:val="Caption"/>
        <w:jc w:val="center"/>
      </w:pPr>
      <w:r w:rsidRPr="00B127A3">
        <w:rPr>
          <w:highlight w:val="darkCyan"/>
        </w:rPr>
        <w:t xml:space="preserve">Figure </w:t>
      </w:r>
      <w:r w:rsidRPr="00B127A3">
        <w:rPr>
          <w:highlight w:val="darkCyan"/>
        </w:rPr>
        <w:fldChar w:fldCharType="begin"/>
      </w:r>
      <w:r w:rsidRPr="00B127A3">
        <w:rPr>
          <w:highlight w:val="darkCyan"/>
        </w:rPr>
        <w:instrText xml:space="preserve"> SEQ Figure \* ARABIC </w:instrText>
      </w:r>
      <w:r w:rsidRPr="00B127A3">
        <w:rPr>
          <w:highlight w:val="darkCyan"/>
        </w:rPr>
        <w:fldChar w:fldCharType="separate"/>
      </w:r>
      <w:r w:rsidR="00A12FB6">
        <w:rPr>
          <w:noProof/>
          <w:highlight w:val="darkCyan"/>
        </w:rPr>
        <w:t>3</w:t>
      </w:r>
      <w:r w:rsidRPr="00B127A3">
        <w:rPr>
          <w:highlight w:val="darkCyan"/>
        </w:rPr>
        <w:fldChar w:fldCharType="end"/>
      </w:r>
      <w:r w:rsidRPr="00B127A3">
        <w:rPr>
          <w:highlight w:val="darkCyan"/>
        </w:rPr>
        <w:t>. Pearson correlation between the numerical features and income (&gt;50K = 1).</w:t>
      </w:r>
    </w:p>
    <w:p w14:paraId="597EF9FE" w14:textId="77777777" w:rsidR="004A2ACD" w:rsidRDefault="00000000">
      <w:pPr>
        <w:pStyle w:val="Heading1"/>
      </w:pPr>
      <w:r>
        <w:t>Findings and Interpretation</w:t>
      </w:r>
    </w:p>
    <w:p w14:paraId="77495944" w14:textId="77777777" w:rsidR="004A2ACD" w:rsidRDefault="00000000">
      <w:r>
        <w:t>The initial inspection identifies data quality and representation issues that must be addressed before testing the resampling hypothesis. Hidden unknown markers</w:t>
      </w:r>
      <w:r w:rsidR="0086648C">
        <w:t xml:space="preserve"> (The “?” for unknown values)</w:t>
      </w:r>
      <w:r>
        <w:t xml:space="preserve"> and </w:t>
      </w:r>
      <w:r w:rsidR="0086648C">
        <w:t>differences in the outcome variable strings</w:t>
      </w:r>
      <w:r>
        <w:t xml:space="preserve"> </w:t>
      </w:r>
      <w:r w:rsidR="0086648C">
        <w:t>were</w:t>
      </w:r>
      <w:r>
        <w:t xml:space="preserve"> immediate preparation concerns. Unequal outcome and sex totals motivate subgroup </w:t>
      </w:r>
      <w:r>
        <w:t xml:space="preserve">analysis, while </w:t>
      </w:r>
      <w:r w:rsidR="0086648C">
        <w:t xml:space="preserve">the </w:t>
      </w:r>
      <w:r>
        <w:t>zero-heavy capital variables and rare categories constrain how synthetic examples should be generated.</w:t>
      </w:r>
    </w:p>
    <w:p w14:paraId="53F2774B" w14:textId="3DE67BB0" w:rsidR="00C944CA" w:rsidRPr="00C944CA" w:rsidRDefault="00000000" w:rsidP="00C944CA">
      <w:r>
        <w:t xml:space="preserve">The strongest unexpected inspection result is that all columns appear non-null even though three contain explicit unknown markers. This illustrates why storage-level checks alone are insufficient. </w:t>
      </w:r>
      <w:r w:rsidR="00C944CA" w:rsidRPr="0095161B">
        <w:rPr>
          <w:highlight w:val="yellow"/>
        </w:rPr>
        <w:t xml:space="preserve">The two education representations were also redundant, since each label maps to exactly one education_num code. </w:t>
      </w:r>
      <w:r>
        <w:rPr>
          <w:shd w:val="clear" w:color="auto" w:fill="D9EAF7"/>
        </w:rPr>
        <w:t>Excluding fnlwgt increases the number of rows with identical recorded values to 6,374 (13.1%). Matching values do</w:t>
      </w:r>
      <w:r w:rsidR="00E74A62">
        <w:rPr>
          <w:shd w:val="clear" w:color="auto" w:fill="D9EAF7"/>
        </w:rPr>
        <w:t>n’t</w:t>
      </w:r>
      <w:r>
        <w:rPr>
          <w:shd w:val="clear" w:color="auto" w:fill="D9EAF7"/>
        </w:rPr>
        <w:t xml:space="preserve"> establish that these records represent the same person. Fnlwgt has 28,523 distinct values across 48,842 rows</w:t>
      </w:r>
      <w:r w:rsidR="00E74A62">
        <w:rPr>
          <w:shd w:val="clear" w:color="auto" w:fill="D9EAF7"/>
        </w:rPr>
        <w:t>.</w:t>
      </w:r>
    </w:p>
    <w:p w14:paraId="17D7602D" w14:textId="0733E3A7" w:rsidR="004A2ACD" w:rsidRDefault="00000000">
      <w:pPr>
        <w:rPr>
          <w:shd w:val="clear" w:color="auto" w:fill="D9EAF7"/>
        </w:rPr>
      </w:pPr>
      <w:r>
        <w:rPr>
          <w:shd w:val="clear" w:color="auto" w:fill="D9EAF7"/>
        </w:rPr>
        <w:t>Female records are fewer overall and have a lower observed high-income rate. These differences support comparing resampling methods using the four sex/income subgroups. They do not show whether resampling will improve model fairness.</w:t>
      </w:r>
    </w:p>
    <w:p w14:paraId="6EEC846D" w14:textId="2E9969C0" w:rsidR="00B127A3" w:rsidRDefault="00B127A3" w:rsidP="00B127A3">
      <w:r w:rsidRPr="00B127A3">
        <w:rPr>
          <w:highlight w:val="darkCyan"/>
        </w:rPr>
        <w:t>Another important finding is that about 60% of men are recorded as Husband, a category where 44.9% earn &gt;50K, while most women fall into categories with much lower rates, such as Not-in-family (10.1%) and Unmarried (6.0%)</w:t>
      </w:r>
      <w:r w:rsidR="001A0EAA">
        <w:rPr>
          <w:highlight w:val="darkCyan"/>
        </w:rPr>
        <w:t xml:space="preserve"> (Figure 4)</w:t>
      </w:r>
      <w:r w:rsidRPr="00B127A3">
        <w:rPr>
          <w:highlight w:val="darkCyan"/>
        </w:rPr>
        <w:t>. Therefore, removing sex as a predictor may not remove its effect, since the decision tree could still learn it through relationship.</w:t>
      </w:r>
    </w:p>
    <w:p w14:paraId="6B18F2B3" w14:textId="77777777" w:rsidR="00A12FB6" w:rsidRDefault="00A12FB6" w:rsidP="00A12FB6">
      <w:pPr>
        <w:keepNext/>
      </w:pPr>
      <w:r>
        <w:rPr>
          <w:noProof/>
        </w:rPr>
        <w:drawing>
          <wp:inline distT="0" distB="0" distL="0" distR="0" wp14:anchorId="659D116A" wp14:editId="5816F002">
            <wp:extent cx="3177540" cy="1795780"/>
            <wp:effectExtent l="0" t="0" r="3810" b="0"/>
            <wp:docPr id="5646810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681055" name="Picture 564681055"/>
                    <pic:cNvPicPr/>
                  </pic:nvPicPr>
                  <pic:blipFill>
                    <a:blip r:embed="rId12"/>
                    <a:stretch>
                      <a:fillRect/>
                    </a:stretch>
                  </pic:blipFill>
                  <pic:spPr>
                    <a:xfrm>
                      <a:off x="0" y="0"/>
                      <a:ext cx="3177540" cy="1795780"/>
                    </a:xfrm>
                    <a:prstGeom prst="rect">
                      <a:avLst/>
                    </a:prstGeom>
                  </pic:spPr>
                </pic:pic>
              </a:graphicData>
            </a:graphic>
          </wp:inline>
        </w:drawing>
      </w:r>
    </w:p>
    <w:p w14:paraId="510288FF" w14:textId="297216B0" w:rsidR="00A12FB6" w:rsidRPr="00B127A3" w:rsidRDefault="00A12FB6" w:rsidP="00A12FB6">
      <w:pPr>
        <w:pStyle w:val="Caption"/>
        <w:jc w:val="center"/>
      </w:pPr>
      <w:r w:rsidRPr="00A12FB6">
        <w:rPr>
          <w:highlight w:val="darkCyan"/>
        </w:rPr>
        <w:t xml:space="preserve">Figure </w:t>
      </w:r>
      <w:r w:rsidRPr="00A12FB6">
        <w:rPr>
          <w:highlight w:val="darkCyan"/>
        </w:rPr>
        <w:fldChar w:fldCharType="begin"/>
      </w:r>
      <w:r w:rsidRPr="00A12FB6">
        <w:rPr>
          <w:highlight w:val="darkCyan"/>
        </w:rPr>
        <w:instrText xml:space="preserve"> SEQ Figure \* ARABIC </w:instrText>
      </w:r>
      <w:r w:rsidRPr="00A12FB6">
        <w:rPr>
          <w:highlight w:val="darkCyan"/>
        </w:rPr>
        <w:fldChar w:fldCharType="separate"/>
      </w:r>
      <w:r w:rsidRPr="00A12FB6">
        <w:rPr>
          <w:noProof/>
          <w:highlight w:val="darkCyan"/>
        </w:rPr>
        <w:t>4</w:t>
      </w:r>
      <w:r w:rsidRPr="00A12FB6">
        <w:rPr>
          <w:highlight w:val="darkCyan"/>
        </w:rPr>
        <w:fldChar w:fldCharType="end"/>
      </w:r>
      <w:r w:rsidRPr="00A12FB6">
        <w:rPr>
          <w:highlight w:val="darkCyan"/>
        </w:rPr>
        <w:t>. Share of records earning &gt;50K by relationship category.</w:t>
      </w:r>
    </w:p>
    <w:p w14:paraId="3C914F5A" w14:textId="77777777" w:rsidR="004A2ACD" w:rsidRDefault="00000000">
      <w:pPr>
        <w:pStyle w:val="Heading1"/>
      </w:pPr>
      <w:r>
        <w:t>Direction for Phase 4</w:t>
      </w:r>
    </w:p>
    <w:p w14:paraId="2D9E0198" w14:textId="77777777" w:rsidR="004A2ACD" w:rsidRDefault="00000000">
      <w:r>
        <w:t>We plan a controlled decision-tree classification experiment. In each training fold, a temporary label will identify the four sex/income subgroups. The control retains their original counts. Random oversampling duplicates rows in every subgroup smaller than the largest until each reaches that largest count. SMOTE-NC targets the same counts using within-subgroup neighbors. Random undersampling removes rows without replacement from every subgroup larger than the smallest until each reaches that smallest count.</w:t>
      </w:r>
    </w:p>
    <w:p w14:paraId="21AFEC27" w14:textId="77777777" w:rsidR="004A2ACD" w:rsidRDefault="00296D04">
      <w:r>
        <w:t xml:space="preserve">Because the dataset contains both numbers and categories, we will use SMOTE-NC to create synthetic records while keeping categorical values valid. Categorical predictors </w:t>
      </w:r>
      <w:r>
        <w:lastRenderedPageBreak/>
        <w:t>will be identified explicitly. Sex and income will be preserved or restored from the subgroup label. The temporary sampling label will be removed before classifier training. Random oversampling copies existing records, while random undersampling removes records. Neither method changes the values within a record. Synthetic categorical values and demographic/outcome labels will be validated.</w:t>
      </w:r>
    </w:p>
    <w:p w14:paraId="75035607" w14:textId="77777777" w:rsidR="004A2ACD" w:rsidRDefault="00000000">
      <w:r>
        <w:rPr>
          <w:shd w:val="clear" w:color="auto" w:fill="D9EAF7"/>
        </w:rPr>
        <w:t>All four conditions will use the same training and validation rows in each cross-validation fold, with matched random seeds, predictors, and decision-tree settings. Only the training rows will be resampled. Validation rows will keep their observed subgroup proportions. We will report accuracy, favorable-class precision, recall and F1, group confusion matrices, and score variation across folds. Female-minus-male statistical parity gaps will compare favorable prediction rates, and equal opportunity gaps will compare true-positive rates. Smaller absolute gaps mean closer group rates on these measures. We will compare these gaps alongside predictive performance because higher overall scores may not mean better fairness.</w:t>
      </w:r>
    </w:p>
    <w:p w14:paraId="03370970" w14:textId="32484B9C" w:rsidR="0095161B" w:rsidRPr="002A7C60" w:rsidRDefault="00000000">
      <w:pPr>
        <w:rPr>
          <w:iCs/>
          <w:highlight w:val="yellow"/>
        </w:rPr>
      </w:pPr>
      <w:r>
        <w:rPr>
          <w:shd w:val="clear" w:color="auto" w:fill="D9EAF7"/>
        </w:rPr>
        <w:t xml:space="preserve">Before modeling, we still need to choose K, decision-tree settings, the SMOTE-NC neighbor count, </w:t>
      </w:r>
      <w:r w:rsidR="00B127A3" w:rsidRPr="00B127A3">
        <w:rPr>
          <w:highlight w:val="darkCyan"/>
          <w:shd w:val="clear" w:color="auto" w:fill="D9EAF7"/>
        </w:rPr>
        <w:t>how to handle education_num, and whether sex and relationship are used as predictors</w:t>
      </w:r>
      <w:r>
        <w:rPr>
          <w:shd w:val="clear" w:color="auto" w:fill="D9EAF7"/>
        </w:rPr>
        <w:t>. Numerical scaling and categorical encoding will be fitted within training folds. We will also specify how undefined group metrics are handled.</w:t>
      </w:r>
      <w:r w:rsidR="0095161B">
        <w:rPr>
          <w:b/>
          <w:bCs/>
          <w:iCs/>
          <w:color w:val="595959"/>
        </w:rPr>
        <w:br/>
      </w:r>
      <w:r w:rsidR="0095161B" w:rsidRPr="0095161B">
        <w:rPr>
          <w:iCs/>
          <w:highlight w:val="yellow"/>
        </w:rPr>
        <w:t xml:space="preserve">We </w:t>
      </w:r>
      <w:r w:rsidR="0095161B">
        <w:rPr>
          <w:iCs/>
          <w:highlight w:val="yellow"/>
        </w:rPr>
        <w:t xml:space="preserve">decided to </w:t>
      </w:r>
      <w:r w:rsidR="0095161B" w:rsidRPr="0095161B">
        <w:rPr>
          <w:iCs/>
          <w:highlight w:val="yellow"/>
        </w:rPr>
        <w:t xml:space="preserve">keep the </w:t>
      </w:r>
      <w:r w:rsidR="0095161B">
        <w:rPr>
          <w:iCs/>
          <w:highlight w:val="yellow"/>
        </w:rPr>
        <w:t>given</w:t>
      </w:r>
      <w:r w:rsidR="0095161B" w:rsidRPr="0095161B">
        <w:rPr>
          <w:iCs/>
          <w:highlight w:val="yellow"/>
        </w:rPr>
        <w:t xml:space="preserve"> train/test split: cross-</w:t>
      </w:r>
      <w:r w:rsidR="0095161B" w:rsidRPr="002A7C60">
        <w:rPr>
          <w:highlight w:val="yellow"/>
        </w:rPr>
        <w:t xml:space="preserve">validation folds will be built within the 32,561 training rows, and the 16,281 test rows are reserved for the final evaluation. </w:t>
      </w:r>
      <w:r w:rsidR="002A7C60" w:rsidRPr="002A7C60">
        <w:rPr>
          <w:highlight w:val="darkCyan"/>
        </w:rPr>
        <w:t>The candidate predictors are age, education_num, capital_gain_log, capital_loss_log, hours_per_week, workclass, marital_status, occupation, race, and native_country, with sex and relationship still to be decided.</w:t>
      </w:r>
    </w:p>
    <w:p w14:paraId="7171B0C0" w14:textId="77777777" w:rsidR="004A2ACD" w:rsidRDefault="00000000">
      <w:pPr>
        <w:pStyle w:val="Heading1"/>
      </w:pPr>
      <w:r>
        <w:t>References</w:t>
      </w:r>
    </w:p>
    <w:p w14:paraId="3196B641" w14:textId="77777777" w:rsidR="004A2ACD" w:rsidRDefault="00000000">
      <w:r>
        <w:rPr>
          <w:sz w:val="18"/>
        </w:rPr>
        <w:t>[1] Zhou, Y., Kantarcioglu, M., &amp; Clifton, C. (2023). On Improving Fairness of AI Models with Synthetic Minority Oversampling Techniques. Proceedings of the 2023 SIAM International Conference on Data Mining (SDM), 874–882. https://doi.org/10.1137/1.9781611977653.ch98</w:t>
      </w:r>
    </w:p>
    <w:p w14:paraId="7DDAB9CB" w14:textId="77777777" w:rsidR="004A2ACD" w:rsidRDefault="00000000">
      <w:r>
        <w:rPr>
          <w:sz w:val="18"/>
        </w:rPr>
        <w:t>[2] Becker, B., &amp; Kohavi, R. (1996). Adult [Dataset]. UCI Machine Learning Repository. https://doi.org/10.24432/C5XW20. Data and documentation: https://archive.ics.uci.edu/dataset/2/adult</w:t>
      </w:r>
    </w:p>
    <w:sectPr w:rsidR="004A2ACD" w:rsidSect="00034616">
      <w:type w:val="continuous"/>
      <w:pgSz w:w="12240" w:h="15840"/>
      <w:pgMar w:top="936" w:right="936" w:bottom="936" w:left="936" w:header="432" w:footer="432"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EBC989" w14:textId="77777777" w:rsidR="0005138B" w:rsidRDefault="0005138B">
      <w:pPr>
        <w:spacing w:after="0" w:line="240" w:lineRule="auto"/>
      </w:pPr>
      <w:r>
        <w:separator/>
      </w:r>
    </w:p>
  </w:endnote>
  <w:endnote w:type="continuationSeparator" w:id="0">
    <w:p w14:paraId="216EA41A" w14:textId="77777777" w:rsidR="0005138B" w:rsidRDefault="000513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9DDA5" w14:textId="77777777" w:rsidR="004A2ACD" w:rsidRDefault="00000000">
    <w:pPr>
      <w:pStyle w:val="Footer"/>
      <w:jc w:val="center"/>
    </w:pPr>
    <w:r>
      <w:fldChar w:fldCharType="begin"/>
    </w:r>
    <w:r>
      <w:instrText>PAGE</w:instrText>
    </w:r>
    <w:r>
      <w:fldChar w:fldCharType="separate"/>
    </w:r>
    <w:r w:rsidR="004274A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E988F3" w14:textId="77777777" w:rsidR="0005138B" w:rsidRDefault="0005138B">
      <w:pPr>
        <w:spacing w:after="0" w:line="240" w:lineRule="auto"/>
      </w:pPr>
      <w:r>
        <w:separator/>
      </w:r>
    </w:p>
  </w:footnote>
  <w:footnote w:type="continuationSeparator" w:id="0">
    <w:p w14:paraId="21F32D28" w14:textId="77777777" w:rsidR="0005138B" w:rsidRDefault="0005138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36654066">
    <w:abstractNumId w:val="8"/>
  </w:num>
  <w:num w:numId="2" w16cid:durableId="363797976">
    <w:abstractNumId w:val="6"/>
  </w:num>
  <w:num w:numId="3" w16cid:durableId="950011347">
    <w:abstractNumId w:val="5"/>
  </w:num>
  <w:num w:numId="4" w16cid:durableId="1979068369">
    <w:abstractNumId w:val="4"/>
  </w:num>
  <w:num w:numId="5" w16cid:durableId="989095432">
    <w:abstractNumId w:val="7"/>
  </w:num>
  <w:num w:numId="6" w16cid:durableId="1451316352">
    <w:abstractNumId w:val="3"/>
  </w:num>
  <w:num w:numId="7" w16cid:durableId="644236191">
    <w:abstractNumId w:val="2"/>
  </w:num>
  <w:num w:numId="8" w16cid:durableId="1674723349">
    <w:abstractNumId w:val="1"/>
  </w:num>
  <w:num w:numId="9" w16cid:durableId="16553358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7398"/>
    <w:rsid w:val="00034616"/>
    <w:rsid w:val="0005138B"/>
    <w:rsid w:val="0006063C"/>
    <w:rsid w:val="00067FC0"/>
    <w:rsid w:val="0012608E"/>
    <w:rsid w:val="0015074B"/>
    <w:rsid w:val="001A0EAA"/>
    <w:rsid w:val="001F4C4C"/>
    <w:rsid w:val="0023100F"/>
    <w:rsid w:val="00236AB1"/>
    <w:rsid w:val="0029639D"/>
    <w:rsid w:val="00296D04"/>
    <w:rsid w:val="002A7C60"/>
    <w:rsid w:val="00305BB1"/>
    <w:rsid w:val="00312FB7"/>
    <w:rsid w:val="00326F90"/>
    <w:rsid w:val="00413DBF"/>
    <w:rsid w:val="004274A8"/>
    <w:rsid w:val="004528C9"/>
    <w:rsid w:val="004A2ACD"/>
    <w:rsid w:val="004D16B2"/>
    <w:rsid w:val="00512175"/>
    <w:rsid w:val="0051701E"/>
    <w:rsid w:val="00635C5E"/>
    <w:rsid w:val="006A0D72"/>
    <w:rsid w:val="006B48D2"/>
    <w:rsid w:val="007243BD"/>
    <w:rsid w:val="0078742F"/>
    <w:rsid w:val="007C48BC"/>
    <w:rsid w:val="00857795"/>
    <w:rsid w:val="0086648C"/>
    <w:rsid w:val="009453D3"/>
    <w:rsid w:val="0095161B"/>
    <w:rsid w:val="00971ECD"/>
    <w:rsid w:val="009910EE"/>
    <w:rsid w:val="009C7F35"/>
    <w:rsid w:val="00A12FB6"/>
    <w:rsid w:val="00AA1D8D"/>
    <w:rsid w:val="00B127A3"/>
    <w:rsid w:val="00B47730"/>
    <w:rsid w:val="00BE1396"/>
    <w:rsid w:val="00C77BC6"/>
    <w:rsid w:val="00C944CA"/>
    <w:rsid w:val="00CB0664"/>
    <w:rsid w:val="00E74A62"/>
    <w:rsid w:val="00E914C2"/>
    <w:rsid w:val="00F317D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C1CC6D5"/>
  <w14:defaultImageDpi w14:val="300"/>
  <w15:docId w15:val="{7EF5DE85-B883-6440-9C2C-52D9CEB2A8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0" w:lineRule="auto"/>
    </w:pPr>
    <w:rPr>
      <w:rFonts w:ascii="Times New Roman" w:eastAsia="Times New Roman" w:hAnsi="Times New Roman" w:cs="Times New Roman"/>
      <w:color w:val="000000"/>
      <w:sz w:val="21"/>
    </w:rPr>
  </w:style>
  <w:style w:type="paragraph" w:styleId="Heading1">
    <w:name w:val="heading 1"/>
    <w:basedOn w:val="Normal"/>
    <w:next w:val="Normal"/>
    <w:link w:val="Heading1Char"/>
    <w:uiPriority w:val="9"/>
    <w:qFormat/>
    <w:rsid w:val="00FC693F"/>
    <w:pPr>
      <w:keepNext/>
      <w:keepLines/>
      <w:spacing w:before="180" w:after="80"/>
      <w:outlineLvl w:val="0"/>
    </w:pPr>
    <w:rPr>
      <w:rFonts w:cstheme="majorBidi"/>
      <w:b/>
      <w:bCs/>
      <w:sz w:val="23"/>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cstheme="majorBidi"/>
      <w:b/>
      <w:bCs/>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contextualSpacing/>
    </w:pPr>
    <w:rPr>
      <w:rFonts w:cstheme="majorBidi"/>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pPr>
    <w:rPr>
      <w:rFonts w:cstheme="majorBidi"/>
      <w:iCs/>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after="14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857795"/>
    <w:pPr>
      <w:spacing w:before="100" w:beforeAutospacing="1" w:afterAutospacing="1" w:line="240" w:lineRule="auto"/>
    </w:pPr>
    <w:rPr>
      <w:color w:val="auto"/>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TotalTime>
  <Pages>4</Pages>
  <Words>2226</Words>
  <Characters>12694</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Comparing Resampling Methods and Fairness</vt:lpstr>
    </vt:vector>
  </TitlesOfParts>
  <Manager/>
  <Company/>
  <LinksUpToDate>false</LinksUpToDate>
  <CharactersWithSpaces>14891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Comparing Resampling Methods and Fairness</dc:title>
  <dc:subject>Phase 3 Midterm Report</dc:subject>
  <dc:creator>Jessica Brinegar</dc:creator>
  <cp:keywords/>
  <dc:description>generated by python-docx</dc:description>
  <cp:lastModifiedBy>Horacio Gonzalez</cp:lastModifiedBy>
  <cp:revision>27</cp:revision>
  <dcterms:created xsi:type="dcterms:W3CDTF">2013-12-23T23:15:00Z</dcterms:created>
  <dcterms:modified xsi:type="dcterms:W3CDTF">2026-10-24T00:56:00Z</dcterms:modified>
  <cp:category/>
</cp:coreProperties>
</file>