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24C58" w14:textId="77777777" w:rsidR="00821D1C" w:rsidRDefault="00000000">
      <w:pPr>
        <w:pStyle w:val="Heading1"/>
      </w:pPr>
      <w:r>
        <w:t>Strategic Acquisition Analysis of U.S. Renewable and Hybrid Developers: Navigating Load Growth, 24/7 CFE Premiums, and Clean Firm Substitution Risk</w:t>
      </w:r>
    </w:p>
    <w:p w14:paraId="32C792A1" w14:textId="77777777" w:rsidR="00821D1C" w:rsidRDefault="00000000">
      <w:pPr>
        <w:pStyle w:val="Heading2"/>
        <w:spacing w:before="0"/>
      </w:pPr>
      <w:r>
        <w:t>Executive Overview and Investment Context</w:t>
      </w:r>
    </w:p>
    <w:p w14:paraId="2D50E8FB" w14:textId="77777777" w:rsidR="00821D1C" w:rsidRDefault="00000000">
      <w:pPr>
        <w:pBdr>
          <w:top w:val="nil"/>
          <w:left w:val="nil"/>
          <w:bottom w:val="nil"/>
          <w:right w:val="nil"/>
          <w:between w:val="nil"/>
        </w:pBdr>
      </w:pPr>
      <w:r>
        <w:t xml:space="preserve">The United States power sector has entered a structural </w:t>
      </w:r>
      <w:proofErr w:type="spellStart"/>
      <w:r>
        <w:t>supercycle</w:t>
      </w:r>
      <w:proofErr w:type="spellEnd"/>
      <w:r>
        <w:t xml:space="preserve"> defined by the unprecedented collision of exponential load growth and acute generation scarcity. Driven primarily by the massive expansion of artificial intelligence (AI) workloads and the rapid deployment of hyperscale data center infrastructure, the macroeconomic environment presents a generational deployment opportunity for utility-scale Variable Renewable Energy (VRE) and hybrid (VRE + Storage) developers. However, the financial architecture of renewable energy investments has fundamentally shifted. The traditional development </w:t>
      </w:r>
      <w:proofErr w:type="gramStart"/>
      <w:r>
        <w:t>model—predicated</w:t>
      </w:r>
      <w:proofErr w:type="gramEnd"/>
      <w:r>
        <w:t xml:space="preserve"> on standalone VRE assets supported by volumetric, as-generated Power Purchase Agreements (PPAs) or merchant energy </w:t>
      </w:r>
      <w:proofErr w:type="gramStart"/>
      <w:r>
        <w:t>arbitrage—is</w:t>
      </w:r>
      <w:proofErr w:type="gramEnd"/>
      <w:r>
        <w:t xml:space="preserve"> facing severe structural headwinds from Locational Marginal Pricing (LMP) cannibalization, basis risk, and insurmountable interconnection bottlenecks.</w:t>
      </w:r>
    </w:p>
    <w:p w14:paraId="1406AB65" w14:textId="77777777" w:rsidR="00821D1C" w:rsidRDefault="00000000">
      <w:pPr>
        <w:pBdr>
          <w:top w:val="nil"/>
          <w:left w:val="nil"/>
          <w:bottom w:val="nil"/>
          <w:right w:val="nil"/>
          <w:between w:val="nil"/>
        </w:pBdr>
      </w:pPr>
      <w:r>
        <w:t xml:space="preserve">For private equity sponsors, infrastructure funds, and institutional capital allocators evaluating the acquisition of renewable developer platforms, the investment thesis hinges on navigating a highly complex financial equation. The core objective is determining whether corporate sustainability </w:t>
      </w:r>
      <w:proofErr w:type="gramStart"/>
      <w:r>
        <w:t>premiums—</w:t>
      </w:r>
      <w:proofErr w:type="gramEnd"/>
      <w:r>
        <w:t>specifically the "Willingness to Pay" (WTP) for 24/7 Carbon-Free Energy (</w:t>
      </w:r>
      <w:proofErr w:type="gramStart"/>
      <w:r>
        <w:t>CFE)—</w:t>
      </w:r>
      <w:proofErr w:type="gramEnd"/>
      <w:r>
        <w:t>alongside soaring data center demand, can sufficiently offset LMP cannibalization to maintain investable, risk-adjusted Levered Internal Rates of Return (IRRs) in the 10% to 12% range.</w:t>
      </w:r>
    </w:p>
    <w:p w14:paraId="5EE9FCBC" w14:textId="77777777" w:rsidR="00821D1C" w:rsidRDefault="00000000">
      <w:pPr>
        <w:pBdr>
          <w:top w:val="nil"/>
          <w:left w:val="nil"/>
          <w:bottom w:val="nil"/>
          <w:right w:val="nil"/>
          <w:between w:val="nil"/>
        </w:pBdr>
        <w:spacing w:after="225"/>
      </w:pPr>
      <w:r>
        <w:t xml:space="preserve">The ensuing analysis provides an exhaustive quantitative and strategic evaluation of the U.S. grid landscape from 2025 through the 2040s. By analyzing </w:t>
      </w:r>
      <w:proofErr w:type="spellStart"/>
      <w:r>
        <w:t>hyperscaler</w:t>
      </w:r>
      <w:proofErr w:type="spellEnd"/>
      <w:r>
        <w:t xml:space="preserve"> load trajectories, grid constraints, and the substitution risk posed by "Clean Firm" technologies (Small Modular Reactors and Enhanced Geothermal Systems) through the rigorous lens of Wright’s Law, this report dictates the specific pipeline compositions, geographic footprints, and operational prerequisites required to justify a developer acquisition. Ultimately, the analysis establishes that energy storage is no longer an optional portfolio optimization tool, but a mandatory prerequisite for financial viability, and defines the precise conditions under which acquiring a developer platform represents a highly accretive capital allocation strategy.</w:t>
      </w:r>
    </w:p>
    <w:p w14:paraId="5191973B" w14:textId="77777777" w:rsidR="00821D1C" w:rsidRDefault="00000000">
      <w:pPr>
        <w:pStyle w:val="Heading2"/>
        <w:spacing w:before="0"/>
      </w:pPr>
      <w:r>
        <w:t xml:space="preserve">Part I: The Demand Supercycle and the </w:t>
      </w:r>
      <w:proofErr w:type="spellStart"/>
      <w:r>
        <w:t>Hyperscaler</w:t>
      </w:r>
      <w:proofErr w:type="spellEnd"/>
      <w:r>
        <w:t xml:space="preserve"> Load Shock (2025–2040)</w:t>
      </w:r>
    </w:p>
    <w:p w14:paraId="59639197" w14:textId="77777777" w:rsidR="00821D1C" w:rsidRDefault="00000000">
      <w:pPr>
        <w:pBdr>
          <w:top w:val="nil"/>
          <w:left w:val="nil"/>
          <w:bottom w:val="nil"/>
          <w:right w:val="nil"/>
          <w:between w:val="nil"/>
        </w:pBdr>
        <w:spacing w:after="240"/>
      </w:pPr>
      <w:r>
        <w:t>The foundational pillar of the current renewable energy investment thesis is the sheer scale, velocity, and geographic concentration of projected load growth, which has fundamentally disrupted two decades of flat electricity demand in the United States. The transition from traditional cloud computing to power-intensive generative AI has triggered a demand shock that grid operators are currently ill-equipped to manage.</w:t>
      </w:r>
    </w:p>
    <w:p w14:paraId="5BD541EB" w14:textId="77777777" w:rsidR="00821D1C" w:rsidRDefault="00000000">
      <w:pPr>
        <w:pStyle w:val="Heading3"/>
        <w:spacing w:before="0"/>
      </w:pPr>
      <w:r>
        <w:t>1.1 Quantifying the AI and Data Center Load Trajectory</w:t>
      </w:r>
    </w:p>
    <w:p w14:paraId="1F4EBC13" w14:textId="77777777" w:rsidR="00821D1C" w:rsidRDefault="00000000">
      <w:pPr>
        <w:pBdr>
          <w:top w:val="nil"/>
          <w:left w:val="nil"/>
          <w:bottom w:val="nil"/>
          <w:right w:val="nil"/>
          <w:between w:val="nil"/>
        </w:pBdr>
      </w:pPr>
      <w:r>
        <w:t>Global electricity demand from data centers is projected to more than double from roughly 415 terawatt-hours (TWh) in 2024 to 945 TWh by 2030, a figure slightly exceeding Japan's total annual electricity consumption. Within the United States, the localized impact is significantly more acute and immediate. Forecasts indicate that global power demand from data centers will increase 50% by 2027 and by as much as 165% by the end of the decade compared to 2023 baselines. By 2030, U.S. grid-based electricity consumption is projected to rise by 17% compared to 2025 levels, with potential increases reaching 23% to 25% if data center operators fully realize their development pipelines.</w:t>
      </w:r>
    </w:p>
    <w:p w14:paraId="2A91E75E" w14:textId="77777777" w:rsidR="00821D1C" w:rsidRDefault="00000000">
      <w:pPr>
        <w:pBdr>
          <w:top w:val="nil"/>
          <w:left w:val="nil"/>
          <w:bottom w:val="nil"/>
          <w:right w:val="nil"/>
          <w:between w:val="nil"/>
        </w:pBdr>
      </w:pPr>
      <w:proofErr w:type="spellStart"/>
      <w:r>
        <w:t>BloombergNEF</w:t>
      </w:r>
      <w:proofErr w:type="spellEnd"/>
      <w:r>
        <w:t xml:space="preserve"> forecasts that U.S. data center power demand will surge to 106 gigawatts (GW) by 2035, representing a staggering 36% upward revision from prior forecasts published within just a seven-month window. Wood Mackenzie currently tracks a U.S. data center pipeline of 245 GW of planned capacity, </w:t>
      </w:r>
      <w:r>
        <w:lastRenderedPageBreak/>
        <w:t>equivalent to over 20% of peak U.S. power demand, heavily concentrated in regions with perceived power availability.</w:t>
      </w:r>
    </w:p>
    <w:p w14:paraId="3A65B90C" w14:textId="77777777" w:rsidR="00821D1C" w:rsidRDefault="00000000">
      <w:pPr>
        <w:pBdr>
          <w:top w:val="nil"/>
          <w:left w:val="nil"/>
          <w:bottom w:val="nil"/>
          <w:right w:val="nil"/>
          <w:between w:val="nil"/>
        </w:pBdr>
      </w:pPr>
      <w:r>
        <w:t xml:space="preserve">The primary catalysts for this expansion are the Tier One </w:t>
      </w:r>
      <w:proofErr w:type="spellStart"/>
      <w:r>
        <w:t>hyperscalers</w:t>
      </w:r>
      <w:proofErr w:type="spellEnd"/>
      <w:r>
        <w:t>—Amazon (AWS), Microsoft, Google, and Meta. These four entities alone accounted for approximately 49% of all global corporate clean energy PPA volumes in recent years, contracting over 50 GW of renewable capacity. The physical footprint and power density of these facilities are ballooning; nearly a quarter of new data center projects added to recent tracking pipelines exceed 500 megawatts (MW), which is more than double the historical share of such large-scale projects. Furthermore, some early-stage campus designs, such as those targeting the Permian Basin in Texas or remote regions in Wyoming, are targeting up to 5 GW of capacity to circumvent traditional grid constraints.</w:t>
      </w:r>
    </w:p>
    <w:p w14:paraId="6B78C82A" w14:textId="77777777" w:rsidR="00821D1C" w:rsidRDefault="00000000">
      <w:pPr>
        <w:pBdr>
          <w:top w:val="nil"/>
          <w:left w:val="nil"/>
          <w:bottom w:val="nil"/>
          <w:right w:val="nil"/>
          <w:between w:val="nil"/>
        </w:pBdr>
        <w:spacing w:after="240"/>
      </w:pPr>
      <w:r>
        <w:t>The nature of AI workloads inherently drives this demand. While training large language models (LLMs) represents the most highly publicized energy-intensive stage, AI inferencing—the process of running and applying these models in real-time applications—accounts for up to 90% of a model's lifecycle energy consumption. As AI products proliferate and inference delivery models change, the incremental AI capacity added per year is expected to reach 124 GW globally by 2030, fundamentally altering the baseline baseload requirements of modern power grids.</w:t>
      </w:r>
    </w:p>
    <w:p w14:paraId="13A3E60D" w14:textId="77777777" w:rsidR="00821D1C" w:rsidRDefault="00000000">
      <w:pPr>
        <w:pStyle w:val="Heading3"/>
        <w:spacing w:before="0"/>
      </w:pPr>
      <w:r>
        <w:t>1.2 Regional Imbalances, Grid Scarcity, and the "Shadow Grid"</w:t>
      </w:r>
    </w:p>
    <w:p w14:paraId="11BD3EB1" w14:textId="77777777" w:rsidR="00821D1C" w:rsidRDefault="00000000">
      <w:pPr>
        <w:pBdr>
          <w:top w:val="nil"/>
          <w:left w:val="nil"/>
          <w:bottom w:val="nil"/>
          <w:right w:val="nil"/>
          <w:between w:val="nil"/>
        </w:pBdr>
      </w:pPr>
      <w:r>
        <w:t>This surging, highly concentrated demand is colliding with severely constrained regional transmission organizations (RTOs) and independent system operators (ISOs), creating acute, highly localized capacity deficits. The mismatch between the rapid deployment speed of data centers, which can be operationalized in 12 to 24 months, and the sluggish pace of new generation interconnection and macro-transmission upgrades, which routinely take 5 to 10 years, has resulted in profound supply-demand imbalances.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21D1C" w14:paraId="43A238FE" w14:textId="77777777">
        <w:trPr>
          <w:tblHeader/>
        </w:trPr>
        <w:tc>
          <w:tcPr>
            <w:tcW w:w="3120" w:type="dxa"/>
            <w:tcMar>
              <w:top w:w="0" w:type="dxa"/>
              <w:left w:w="0" w:type="dxa"/>
              <w:bottom w:w="0" w:type="dxa"/>
              <w:right w:w="0" w:type="dxa"/>
            </w:tcMar>
          </w:tcPr>
          <w:p w14:paraId="241AC818" w14:textId="77777777" w:rsidR="00821D1C" w:rsidRDefault="00000000">
            <w:pPr>
              <w:pBdr>
                <w:top w:val="nil"/>
                <w:left w:val="nil"/>
                <w:bottom w:val="nil"/>
                <w:right w:val="nil"/>
                <w:between w:val="nil"/>
              </w:pBdr>
            </w:pPr>
            <w:r>
              <w:t>Regional Market</w:t>
            </w:r>
          </w:p>
        </w:tc>
        <w:tc>
          <w:tcPr>
            <w:tcW w:w="3120" w:type="dxa"/>
            <w:tcMar>
              <w:top w:w="0" w:type="dxa"/>
              <w:left w:w="0" w:type="dxa"/>
              <w:bottom w:w="0" w:type="dxa"/>
              <w:right w:w="0" w:type="dxa"/>
            </w:tcMar>
          </w:tcPr>
          <w:p w14:paraId="327B189C" w14:textId="77777777" w:rsidR="00821D1C" w:rsidRDefault="00000000">
            <w:pPr>
              <w:pBdr>
                <w:top w:val="nil"/>
                <w:left w:val="nil"/>
                <w:bottom w:val="nil"/>
                <w:right w:val="nil"/>
                <w:between w:val="nil"/>
              </w:pBdr>
            </w:pPr>
            <w:r>
              <w:t>Projected Data Center Load Growth &amp; Grid Constraint Dynamics</w:t>
            </w:r>
          </w:p>
        </w:tc>
        <w:tc>
          <w:tcPr>
            <w:tcW w:w="3120" w:type="dxa"/>
            <w:tcMar>
              <w:top w:w="0" w:type="dxa"/>
              <w:left w:w="0" w:type="dxa"/>
              <w:bottom w:w="0" w:type="dxa"/>
              <w:right w:w="0" w:type="dxa"/>
            </w:tcMar>
          </w:tcPr>
          <w:p w14:paraId="376BF4FC" w14:textId="77777777" w:rsidR="00821D1C" w:rsidRDefault="00000000">
            <w:pPr>
              <w:pBdr>
                <w:top w:val="nil"/>
                <w:left w:val="nil"/>
                <w:bottom w:val="nil"/>
                <w:right w:val="nil"/>
                <w:between w:val="nil"/>
              </w:pBdr>
            </w:pPr>
            <w:r>
              <w:t>Strategic Implications for Developers</w:t>
            </w:r>
          </w:p>
        </w:tc>
      </w:tr>
      <w:tr w:rsidR="00821D1C" w14:paraId="5F9C4C31" w14:textId="77777777">
        <w:tc>
          <w:tcPr>
            <w:tcW w:w="3120" w:type="dxa"/>
            <w:tcMar>
              <w:top w:w="0" w:type="dxa"/>
              <w:left w:w="0" w:type="dxa"/>
              <w:bottom w:w="0" w:type="dxa"/>
              <w:right w:w="0" w:type="dxa"/>
            </w:tcMar>
          </w:tcPr>
          <w:p w14:paraId="4171531F" w14:textId="77777777" w:rsidR="00821D1C" w:rsidRDefault="00000000">
            <w:pPr>
              <w:pBdr>
                <w:top w:val="nil"/>
                <w:left w:val="nil"/>
                <w:bottom w:val="nil"/>
                <w:right w:val="nil"/>
                <w:between w:val="nil"/>
              </w:pBdr>
              <w:rPr>
                <w:b/>
                <w:bCs/>
              </w:rPr>
            </w:pPr>
            <w:r>
              <w:rPr>
                <w:b/>
                <w:bCs/>
              </w:rPr>
              <w:t>PJM Interconnection</w:t>
            </w:r>
          </w:p>
        </w:tc>
        <w:tc>
          <w:tcPr>
            <w:tcW w:w="3120" w:type="dxa"/>
            <w:tcMar>
              <w:top w:w="0" w:type="dxa"/>
              <w:left w:w="0" w:type="dxa"/>
              <w:bottom w:w="0" w:type="dxa"/>
              <w:right w:w="0" w:type="dxa"/>
            </w:tcMar>
          </w:tcPr>
          <w:p w14:paraId="338EA6DA" w14:textId="77777777" w:rsidR="00821D1C" w:rsidRDefault="00000000">
            <w:pPr>
              <w:pBdr>
                <w:top w:val="nil"/>
                <w:left w:val="nil"/>
                <w:bottom w:val="nil"/>
                <w:right w:val="nil"/>
                <w:between w:val="nil"/>
              </w:pBdr>
            </w:pPr>
            <w:r>
              <w:t>PJM utilities forecast 55 GW of large load growth by 2030 and 100 GW by 2037. BNEF forecasts data center capacity in PJM could reach 31 GW by 2030, eclipsing the 28.7 GW of new generation expected.</w:t>
            </w:r>
          </w:p>
        </w:tc>
        <w:tc>
          <w:tcPr>
            <w:tcW w:w="3120" w:type="dxa"/>
            <w:tcMar>
              <w:top w:w="0" w:type="dxa"/>
              <w:left w:w="0" w:type="dxa"/>
              <w:bottom w:w="0" w:type="dxa"/>
              <w:right w:w="0" w:type="dxa"/>
            </w:tcMar>
          </w:tcPr>
          <w:p w14:paraId="02A3C3D4" w14:textId="77777777" w:rsidR="00821D1C" w:rsidRDefault="00000000">
            <w:pPr>
              <w:pBdr>
                <w:top w:val="nil"/>
                <w:left w:val="nil"/>
                <w:bottom w:val="nil"/>
                <w:right w:val="nil"/>
                <w:between w:val="nil"/>
              </w:pBdr>
            </w:pPr>
            <w:r>
              <w:t>PJM utilities have committed to serving twice as much new load demand as planned generation. This creates extreme scarcity pricing and massive valuation premiums for late-stage interconnection queue positions.</w:t>
            </w:r>
          </w:p>
        </w:tc>
      </w:tr>
      <w:tr w:rsidR="00821D1C" w14:paraId="2C78DEC4" w14:textId="77777777">
        <w:tc>
          <w:tcPr>
            <w:tcW w:w="3120" w:type="dxa"/>
            <w:tcMar>
              <w:top w:w="0" w:type="dxa"/>
              <w:left w:w="0" w:type="dxa"/>
              <w:bottom w:w="0" w:type="dxa"/>
              <w:right w:w="0" w:type="dxa"/>
            </w:tcMar>
          </w:tcPr>
          <w:p w14:paraId="0A23EC24" w14:textId="77777777" w:rsidR="00821D1C" w:rsidRDefault="00000000">
            <w:pPr>
              <w:pBdr>
                <w:top w:val="nil"/>
                <w:left w:val="nil"/>
                <w:bottom w:val="nil"/>
                <w:right w:val="nil"/>
                <w:between w:val="nil"/>
              </w:pBdr>
              <w:rPr>
                <w:b/>
                <w:bCs/>
              </w:rPr>
            </w:pPr>
            <w:r>
              <w:rPr>
                <w:b/>
                <w:bCs/>
              </w:rPr>
              <w:t>ERCOT (Texas)</w:t>
            </w:r>
          </w:p>
        </w:tc>
        <w:tc>
          <w:tcPr>
            <w:tcW w:w="3120" w:type="dxa"/>
            <w:tcMar>
              <w:top w:w="0" w:type="dxa"/>
              <w:left w:w="0" w:type="dxa"/>
              <w:bottom w:w="0" w:type="dxa"/>
              <w:right w:w="0" w:type="dxa"/>
            </w:tcMar>
          </w:tcPr>
          <w:p w14:paraId="1F26E09F" w14:textId="77777777" w:rsidR="00821D1C" w:rsidRDefault="00000000">
            <w:pPr>
              <w:pBdr>
                <w:top w:val="nil"/>
                <w:left w:val="nil"/>
                <w:bottom w:val="nil"/>
                <w:right w:val="nil"/>
                <w:between w:val="nil"/>
              </w:pBdr>
            </w:pPr>
            <w:r>
              <w:t>Projected to reach a 150 GW summer peak by 2030, with 50 GW derived from large-load interconnections including AI and crypto. Pipeline capacity targeting Texas nearly doubled to 67 GW in Q3 2025.</w:t>
            </w:r>
          </w:p>
        </w:tc>
        <w:tc>
          <w:tcPr>
            <w:tcW w:w="3120" w:type="dxa"/>
            <w:tcMar>
              <w:top w:w="0" w:type="dxa"/>
              <w:left w:w="0" w:type="dxa"/>
              <w:bottom w:w="0" w:type="dxa"/>
              <w:right w:w="0" w:type="dxa"/>
            </w:tcMar>
          </w:tcPr>
          <w:p w14:paraId="3183E870" w14:textId="77777777" w:rsidR="00821D1C" w:rsidRDefault="00000000">
            <w:pPr>
              <w:pBdr>
                <w:top w:val="nil"/>
                <w:left w:val="nil"/>
                <w:bottom w:val="nil"/>
                <w:right w:val="nil"/>
                <w:between w:val="nil"/>
              </w:pBdr>
            </w:pPr>
            <w:r>
              <w:t xml:space="preserve">Industrial load growth threatens reserve margins post-2028. Basis risk is severe, requiring sophisticated nodal </w:t>
            </w:r>
            <w:proofErr w:type="gramStart"/>
            <w:r>
              <w:t>siting</w:t>
            </w:r>
            <w:proofErr w:type="gramEnd"/>
            <w:r>
              <w:t xml:space="preserve"> strategies and heavy reliance on BESS tolling agreements.</w:t>
            </w:r>
          </w:p>
        </w:tc>
      </w:tr>
      <w:tr w:rsidR="00821D1C" w14:paraId="412402FC" w14:textId="77777777">
        <w:tc>
          <w:tcPr>
            <w:tcW w:w="3120" w:type="dxa"/>
            <w:tcMar>
              <w:top w:w="0" w:type="dxa"/>
              <w:left w:w="0" w:type="dxa"/>
              <w:bottom w:w="0" w:type="dxa"/>
              <w:right w:w="0" w:type="dxa"/>
            </w:tcMar>
          </w:tcPr>
          <w:p w14:paraId="3406C305" w14:textId="77777777" w:rsidR="00821D1C" w:rsidRDefault="00000000">
            <w:pPr>
              <w:pBdr>
                <w:top w:val="nil"/>
                <w:left w:val="nil"/>
                <w:bottom w:val="nil"/>
                <w:right w:val="nil"/>
                <w:between w:val="nil"/>
              </w:pBdr>
              <w:rPr>
                <w:b/>
                <w:bCs/>
              </w:rPr>
            </w:pPr>
            <w:r>
              <w:rPr>
                <w:b/>
                <w:bCs/>
              </w:rPr>
              <w:t>CAISO (California)</w:t>
            </w:r>
          </w:p>
        </w:tc>
        <w:tc>
          <w:tcPr>
            <w:tcW w:w="3120" w:type="dxa"/>
            <w:tcMar>
              <w:top w:w="0" w:type="dxa"/>
              <w:left w:w="0" w:type="dxa"/>
              <w:bottom w:w="0" w:type="dxa"/>
              <w:right w:w="0" w:type="dxa"/>
            </w:tcMar>
          </w:tcPr>
          <w:p w14:paraId="02746B0A" w14:textId="77777777" w:rsidR="00821D1C" w:rsidRDefault="00000000">
            <w:pPr>
              <w:pBdr>
                <w:top w:val="nil"/>
                <w:left w:val="nil"/>
                <w:bottom w:val="nil"/>
                <w:right w:val="nil"/>
                <w:between w:val="nil"/>
              </w:pBdr>
            </w:pPr>
            <w:r>
              <w:t xml:space="preserve">Data center load </w:t>
            </w:r>
            <w:proofErr w:type="gramStart"/>
            <w:r>
              <w:t>forecasted</w:t>
            </w:r>
            <w:proofErr w:type="gramEnd"/>
            <w:r>
              <w:t xml:space="preserve"> to increase by 1.8 GW by 2030 and 4.9 GW by 2040.</w:t>
            </w:r>
          </w:p>
        </w:tc>
        <w:tc>
          <w:tcPr>
            <w:tcW w:w="3120" w:type="dxa"/>
            <w:tcMar>
              <w:top w:w="0" w:type="dxa"/>
              <w:left w:w="0" w:type="dxa"/>
              <w:bottom w:w="0" w:type="dxa"/>
              <w:right w:w="0" w:type="dxa"/>
            </w:tcMar>
          </w:tcPr>
          <w:p w14:paraId="473B1867" w14:textId="77777777" w:rsidR="00821D1C" w:rsidRDefault="00000000">
            <w:pPr>
              <w:pBdr>
                <w:top w:val="nil"/>
                <w:left w:val="nil"/>
                <w:bottom w:val="nil"/>
                <w:right w:val="nil"/>
                <w:between w:val="nil"/>
              </w:pBdr>
            </w:pPr>
            <w:r>
              <w:t>High solar penetration necessitates extensive battery storage to shift generation to peak net-load hours, driven by persistent negative pricing during midday hours.</w:t>
            </w:r>
          </w:p>
        </w:tc>
      </w:tr>
      <w:tr w:rsidR="00821D1C" w14:paraId="51726B51" w14:textId="77777777">
        <w:tc>
          <w:tcPr>
            <w:tcW w:w="3120" w:type="dxa"/>
            <w:tcMar>
              <w:top w:w="0" w:type="dxa"/>
              <w:left w:w="0" w:type="dxa"/>
              <w:bottom w:w="0" w:type="dxa"/>
              <w:right w:w="0" w:type="dxa"/>
            </w:tcMar>
          </w:tcPr>
          <w:p w14:paraId="1D9346AE" w14:textId="77777777" w:rsidR="00821D1C" w:rsidRDefault="00000000">
            <w:pPr>
              <w:pBdr>
                <w:top w:val="nil"/>
                <w:left w:val="nil"/>
                <w:bottom w:val="nil"/>
                <w:right w:val="nil"/>
                <w:between w:val="nil"/>
              </w:pBdr>
              <w:rPr>
                <w:b/>
                <w:bCs/>
              </w:rPr>
            </w:pPr>
            <w:r>
              <w:rPr>
                <w:b/>
                <w:bCs/>
              </w:rPr>
              <w:t>SPP (Southwest Power Pool)</w:t>
            </w:r>
          </w:p>
        </w:tc>
        <w:tc>
          <w:tcPr>
            <w:tcW w:w="3120" w:type="dxa"/>
            <w:tcMar>
              <w:top w:w="0" w:type="dxa"/>
              <w:left w:w="0" w:type="dxa"/>
              <w:bottom w:w="0" w:type="dxa"/>
              <w:right w:w="0" w:type="dxa"/>
            </w:tcMar>
          </w:tcPr>
          <w:p w14:paraId="360B3F7A" w14:textId="77777777" w:rsidR="00821D1C" w:rsidRDefault="00000000">
            <w:pPr>
              <w:pBdr>
                <w:top w:val="nil"/>
                <w:left w:val="nil"/>
                <w:bottom w:val="nil"/>
                <w:right w:val="nil"/>
                <w:between w:val="nil"/>
              </w:pBdr>
            </w:pPr>
            <w:r>
              <w:t>Strong wind resources but severe transmission constraints. SPP requires major grid upgrades to handle large load additions.</w:t>
            </w:r>
          </w:p>
        </w:tc>
        <w:tc>
          <w:tcPr>
            <w:tcW w:w="3120" w:type="dxa"/>
            <w:tcMar>
              <w:top w:w="0" w:type="dxa"/>
              <w:left w:w="0" w:type="dxa"/>
              <w:bottom w:w="0" w:type="dxa"/>
              <w:right w:w="0" w:type="dxa"/>
            </w:tcMar>
          </w:tcPr>
          <w:p w14:paraId="688F02FC" w14:textId="77777777" w:rsidR="00821D1C" w:rsidRDefault="00000000">
            <w:pPr>
              <w:pBdr>
                <w:top w:val="nil"/>
                <w:left w:val="nil"/>
                <w:bottom w:val="nil"/>
                <w:right w:val="nil"/>
                <w:between w:val="nil"/>
              </w:pBdr>
            </w:pPr>
            <w:r>
              <w:t xml:space="preserve">Co-locating load directly with generation behind the meter or adjacent to substations offers </w:t>
            </w:r>
            <w:r>
              <w:lastRenderedPageBreak/>
              <w:t>lucrative opportunities to bypass transmission bottlenecks.</w:t>
            </w:r>
          </w:p>
        </w:tc>
      </w:tr>
    </w:tbl>
    <w:p w14:paraId="2D8BE03D" w14:textId="77777777" w:rsidR="00821D1C" w:rsidRDefault="00000000">
      <w:pPr>
        <w:pBdr>
          <w:top w:val="nil"/>
          <w:left w:val="nil"/>
          <w:bottom w:val="nil"/>
          <w:right w:val="nil"/>
          <w:between w:val="nil"/>
        </w:pBdr>
        <w:spacing w:after="225"/>
      </w:pPr>
      <w:r>
        <w:lastRenderedPageBreak/>
        <w:t xml:space="preserve">In response to these constraints, </w:t>
      </w:r>
      <w:proofErr w:type="spellStart"/>
      <w:r>
        <w:t>hyperscalers</w:t>
      </w:r>
      <w:proofErr w:type="spellEnd"/>
      <w:r>
        <w:t xml:space="preserve"> and colocation providers such as Equinix, Digital Realty, QTS, and Iron Mountain are increasingly pursuing a "shadow grid" strategy. This involves building dedicated power supplies behind the meter or co-locating directly with existing generation assets, independent of the broader transmission network. Approximately 30% of all planned U.S. data center capacity, representing roughly 56 GW, intends to supply its own electricity. However, recent regulatory </w:t>
      </w:r>
      <w:proofErr w:type="gramStart"/>
      <w:r>
        <w:t>pushback</w:t>
      </w:r>
      <w:proofErr w:type="gramEnd"/>
      <w:r>
        <w:t xml:space="preserve">, such as the Federal Energy Regulatory Commission's (FERC) rejection of the Amazon and Talen Energy behind-the-meter nuclear arrangement, indicates that grid-connected, front-of-the-meter solutions will remain the primary, scalable avenue for corporate procurement. Consequently, generation capacity—particularly renewable resources hybridized with storage that </w:t>
      </w:r>
      <w:proofErr w:type="gramStart"/>
      <w:r>
        <w:t>are capable of navigating</w:t>
      </w:r>
      <w:proofErr w:type="gramEnd"/>
      <w:r>
        <w:t xml:space="preserve"> interconnection bottlenecks—has transitioned from a commoditized asset to a highly scarce, premium resource commanding significant acquisition multiples.</w:t>
      </w:r>
    </w:p>
    <w:p w14:paraId="6A264785" w14:textId="77777777" w:rsidR="00821D1C" w:rsidRDefault="00000000">
      <w:pPr>
        <w:pStyle w:val="Heading2"/>
        <w:spacing w:before="0"/>
      </w:pPr>
      <w:r>
        <w:t>Part II: LMP Cannibalization and the Degradation of Standalone VRE Economics</w:t>
      </w:r>
    </w:p>
    <w:p w14:paraId="59929E78" w14:textId="77777777" w:rsidR="00821D1C" w:rsidRDefault="00000000">
      <w:pPr>
        <w:pBdr>
          <w:top w:val="nil"/>
          <w:left w:val="nil"/>
          <w:bottom w:val="nil"/>
          <w:right w:val="nil"/>
          <w:between w:val="nil"/>
        </w:pBdr>
        <w:spacing w:after="240"/>
      </w:pPr>
      <w:r>
        <w:t>While top-line macroeconomic demand from the digital infrastructure sector is exceptionally bullish, the revenue mechanics for standalone Variable Renewable Energy (VRE) assets have structurally deteriorated. A private equity acquisition thesis predicated on legacy, standalone wind or solar developer portfolios is fundamentally flawed due to the compounding, systemic risks of Locational Marginal Pricing (LMP) cannibalization, basis risk, and declining capacity accreditation.</w:t>
      </w:r>
    </w:p>
    <w:p w14:paraId="68D643AC" w14:textId="77777777" w:rsidR="00821D1C" w:rsidRDefault="00000000">
      <w:pPr>
        <w:pStyle w:val="Heading3"/>
        <w:spacing w:before="0"/>
      </w:pPr>
      <w:r>
        <w:t>2.1 The Physics of Price Cannibalization and the Merit Order Effect</w:t>
      </w:r>
    </w:p>
    <w:p w14:paraId="7EEF14C4" w14:textId="77777777" w:rsidR="00821D1C" w:rsidRDefault="00000000">
      <w:pPr>
        <w:pBdr>
          <w:top w:val="nil"/>
          <w:left w:val="nil"/>
          <w:bottom w:val="nil"/>
          <w:right w:val="nil"/>
          <w:between w:val="nil"/>
        </w:pBdr>
      </w:pPr>
      <w:r>
        <w:t xml:space="preserve">The fundamental economic challenge facing standalone VRE is the physics of price cannibalization, driven by the merit order effect in wholesale electricity markets. As the penetration of zero-marginal-cost generation (primarily solar and wind) increases within a specific geographic node or zone, the wholesale energy price during hours of peak generation trends toward </w:t>
      </w:r>
      <w:proofErr w:type="gramStart"/>
      <w:r>
        <w:t>zero, or</w:t>
      </w:r>
      <w:proofErr w:type="gramEnd"/>
      <w:r>
        <w:t xml:space="preserve"> frequently becomes negative. Because renewable assets generate electricity simultaneously based on weather patterns, they collectively oversupply the grid during specific hours, cannibalizing their own captured price.</w:t>
      </w:r>
    </w:p>
    <w:p w14:paraId="34FCAA00" w14:textId="77777777" w:rsidR="00821D1C" w:rsidRDefault="00000000">
      <w:pPr>
        <w:pBdr>
          <w:top w:val="nil"/>
          <w:left w:val="nil"/>
          <w:bottom w:val="nil"/>
          <w:right w:val="nil"/>
          <w:between w:val="nil"/>
        </w:pBdr>
      </w:pPr>
      <w:r>
        <w:t>This dynamic, prominently observed in CAISO's infamous "duck curve," is aggressively proliferating across ERCOT and the Southwest Power Pool. In CAISO, persistent negative energy prices and spreading curtailment mean that solar PV injected during midday hours captures only a fraction of the time-weighted average wholesale price, severely depressing project revenues. State regulators and grid operators, rather than curtailing capacity, frequently allow markets to err on the side of oversupply, creating a low price and revenue ceiling for standalone assets.</w:t>
      </w:r>
    </w:p>
    <w:p w14:paraId="5C129325" w14:textId="77777777" w:rsidR="00821D1C" w:rsidRDefault="00000000">
      <w:pPr>
        <w:pBdr>
          <w:top w:val="nil"/>
          <w:left w:val="nil"/>
          <w:bottom w:val="nil"/>
          <w:right w:val="nil"/>
          <w:between w:val="nil"/>
        </w:pBdr>
        <w:spacing w:after="240"/>
      </w:pPr>
      <w:r>
        <w:t>Similarly, in ERCOT, while extreme weather and peak load events drive massive scarcity pricing, standalone solar assets frequently experience generation profiles that inversely correlate with high-price intervals. S&amp;P Global Market Intelligence and Wood Mackenzie projections for ERCOT indicate that as solar capacity scales to projected levels (e.g., 12.4 GW in CAISO and 3.3 GW in ERCOT by 2025 baselines), the generation-weighted price for standalone solar will continue to aggressively decouple from the broader market average. A merchant standalone solar asset modeling a standard forward price curve without adjusting for capture-rate degradation will inevitably fail to meet its debt service coverage ratios (DSCR) and equity IRR hurdles.</w:t>
      </w:r>
    </w:p>
    <w:p w14:paraId="4FA3E7C7" w14:textId="77777777" w:rsidR="00821D1C" w:rsidRDefault="00000000">
      <w:pPr>
        <w:pStyle w:val="Heading3"/>
        <w:spacing w:before="0"/>
      </w:pPr>
      <w:r>
        <w:t>2.2 Basis Risk and Nodal Volatility</w:t>
      </w:r>
    </w:p>
    <w:p w14:paraId="5DFFA85D" w14:textId="77777777" w:rsidR="00821D1C" w:rsidRDefault="00000000">
      <w:pPr>
        <w:pBdr>
          <w:top w:val="nil"/>
          <w:left w:val="nil"/>
          <w:bottom w:val="nil"/>
          <w:right w:val="nil"/>
          <w:between w:val="nil"/>
        </w:pBdr>
      </w:pPr>
      <w:r>
        <w:t xml:space="preserve">Beyond temporal cannibalization, developers face severe spatial cannibalization in the form of basis risk. Basis risk is the differential between the LMP at the generation node (where the asset injects power) and the load delivery point (where the PPA is settled, typically a liquid trading hub). Corporate buyers and </w:t>
      </w:r>
      <w:proofErr w:type="spellStart"/>
      <w:r>
        <w:t>hyperscalers</w:t>
      </w:r>
      <w:proofErr w:type="spellEnd"/>
      <w:r>
        <w:t xml:space="preserve"> have grown highly sophisticated regarding basis risk; they are increasingly unwilling to absorb the financial penalty </w:t>
      </w:r>
      <w:r>
        <w:lastRenderedPageBreak/>
        <w:t>of transmission congestion. Tech firms factor basis risk heavily into their PPA negotiations, adjusting the premium they are willing to pay downward if the asset is sited in a congested node.</w:t>
      </w:r>
    </w:p>
    <w:p w14:paraId="33EAE748" w14:textId="77777777" w:rsidR="00821D1C" w:rsidRDefault="00000000">
      <w:pPr>
        <w:pBdr>
          <w:top w:val="nil"/>
          <w:left w:val="nil"/>
          <w:bottom w:val="nil"/>
          <w:right w:val="nil"/>
          <w:between w:val="nil"/>
        </w:pBdr>
        <w:spacing w:after="240"/>
      </w:pPr>
      <w:r>
        <w:t xml:space="preserve">In regions like PJM, interconnection freezes and macro-transmission constraints dictate that power generated in a remote, high-renewable zone cannot easily or efficiently reach constrained load pockets, such as Data Center Alley in Virginia or the PPL zone in Pennsylvania. This leads to severe nodal price divergence. For instance, in the PPL zone, despite sharing a river resource, different hydro and nuclear assets experience widely divergent market outcomes based strictly on localized nodal congestion and legacy capacity carveouts. Therefore, a developer whose pipeline consists primarily of standalone solar or wind in congested queue clusters holds functionally "stranded" assets. These projects cannot secure corporate PPAs at prices sufficient to meet a 10% to 12% levered IRR hurdle rate, as </w:t>
      </w:r>
      <w:proofErr w:type="gramStart"/>
      <w:r>
        <w:t>off-takers</w:t>
      </w:r>
      <w:proofErr w:type="gramEnd"/>
      <w:r>
        <w:t xml:space="preserve"> refuse to absorb the basis spread, and merchant energy models forecast </w:t>
      </w:r>
      <w:proofErr w:type="spellStart"/>
      <w:r>
        <w:t>unbankable</w:t>
      </w:r>
      <w:proofErr w:type="spellEnd"/>
      <w:r>
        <w:t xml:space="preserve"> revenue decay.</w:t>
      </w:r>
    </w:p>
    <w:p w14:paraId="55B7736C" w14:textId="77777777" w:rsidR="00821D1C" w:rsidRDefault="00000000">
      <w:pPr>
        <w:pStyle w:val="Heading3"/>
        <w:spacing w:before="0"/>
      </w:pPr>
      <w:r>
        <w:t>2.3 The Collapse of Capacity Market Accreditation</w:t>
      </w:r>
    </w:p>
    <w:p w14:paraId="79D3CDE6" w14:textId="77777777" w:rsidR="00821D1C" w:rsidRDefault="00000000">
      <w:pPr>
        <w:pBdr>
          <w:top w:val="nil"/>
          <w:left w:val="nil"/>
          <w:bottom w:val="nil"/>
          <w:right w:val="nil"/>
          <w:between w:val="nil"/>
        </w:pBdr>
      </w:pPr>
      <w:r>
        <w:t>The final blow to standalone VRE economics is the shifting methodology of capacity market accreditation. To ensure reliable power when intermittent renewable sources are not generating, Independent System Operators (ISOs) are systematically revising how they calculate the Effective Load Carrying Capability (ELCC) of resources.</w:t>
      </w:r>
    </w:p>
    <w:p w14:paraId="4D8EDE53" w14:textId="77777777" w:rsidR="00821D1C" w:rsidRDefault="00000000">
      <w:pPr>
        <w:pBdr>
          <w:top w:val="nil"/>
          <w:left w:val="nil"/>
          <w:bottom w:val="nil"/>
          <w:right w:val="nil"/>
          <w:between w:val="nil"/>
        </w:pBdr>
        <w:spacing w:after="225"/>
      </w:pPr>
      <w:r>
        <w:t>System operators like PJM and CAISO have aggressively reduced the capacity accreditation values for highly correlated resources, such as standalone solar and short-duration storage. In PJM, despite having nearly 29 GW of hybrid BESS/renewable resources and 53 GW of standalone BESS in the interconnection queue, the accredited Unforced Capacity (UCAP) value is fractional compared to its nameplate capacity. Solar assets are frequently assigned ELCC values in the single digits (e.g., 8%), meaning a 100 MW solar farm is only compensated for 8 MW of capacity in the Base Residual Auction. This regulatory shift effectively obliterates the capacity market revenue stack for standalone solar and wind, further exposing the asset to the highly volatile, cannibalized merchant energy market.</w:t>
      </w:r>
    </w:p>
    <w:p w14:paraId="7CF3F409" w14:textId="77777777" w:rsidR="00821D1C" w:rsidRDefault="00000000">
      <w:pPr>
        <w:pStyle w:val="Heading2"/>
        <w:spacing w:before="0"/>
      </w:pPr>
      <w:r>
        <w:t>Part III: The 24/7 CFE Mandate and the "Willingness to Pay" (WTP) Premium</w:t>
      </w:r>
    </w:p>
    <w:p w14:paraId="35E5EDF6" w14:textId="77777777" w:rsidR="00821D1C" w:rsidRDefault="00000000">
      <w:pPr>
        <w:pBdr>
          <w:top w:val="nil"/>
          <w:left w:val="nil"/>
          <w:bottom w:val="nil"/>
          <w:right w:val="nil"/>
          <w:between w:val="nil"/>
        </w:pBdr>
        <w:spacing w:after="240"/>
      </w:pPr>
      <w:r>
        <w:t xml:space="preserve">The strategic antidote to LMP cannibalization and ELCC degradation lies in the shifting procurement mandates of the primary </w:t>
      </w:r>
      <w:proofErr w:type="gramStart"/>
      <w:r>
        <w:t>off-takers</w:t>
      </w:r>
      <w:proofErr w:type="gramEnd"/>
      <w:r>
        <w:t>. The corporate transition from annual volumetric matching to granular, 24/7 Carbon-Free Energy (CFE) matching has created a new financial paradigm defined by a distinct, highly monetizable "Green Premium".</w:t>
      </w:r>
    </w:p>
    <w:p w14:paraId="50E6D766" w14:textId="77777777" w:rsidR="00821D1C" w:rsidRDefault="00000000">
      <w:pPr>
        <w:pStyle w:val="Heading3"/>
        <w:spacing w:before="0"/>
      </w:pPr>
      <w:r>
        <w:t>3.1 The Mechanics of Hourly Matching vs. Annual Volumetric Procurement</w:t>
      </w:r>
    </w:p>
    <w:p w14:paraId="42E24683" w14:textId="77777777" w:rsidR="00821D1C" w:rsidRDefault="00000000">
      <w:pPr>
        <w:pBdr>
          <w:top w:val="nil"/>
          <w:left w:val="nil"/>
          <w:bottom w:val="nil"/>
          <w:right w:val="nil"/>
          <w:between w:val="nil"/>
        </w:pBdr>
      </w:pPr>
      <w:r>
        <w:t>Historically, corporate sustainability goals were met through 100% annual volumetric matching. Corporations purchased unbundled Renewable Energy Certificates (RECs) or executed standard PPAs to offset their annual megawatt-hour consumption. However, this model allows corporations to rely on carbon-intensive, fossil-fuel grid power during the night or during periods of low wind generation, essentially "greenwashing" their real-time grid impact.</w:t>
      </w:r>
    </w:p>
    <w:p w14:paraId="7DB7DCFD" w14:textId="77777777" w:rsidR="00821D1C" w:rsidRDefault="00000000">
      <w:pPr>
        <w:pBdr>
          <w:top w:val="nil"/>
          <w:left w:val="nil"/>
          <w:bottom w:val="nil"/>
          <w:right w:val="nil"/>
          <w:between w:val="nil"/>
        </w:pBdr>
        <w:spacing w:after="240"/>
      </w:pPr>
      <w:r>
        <w:t>In response, industry leaders like Google, Microsoft, and the U.S. Federal Government have established mandates to operate on 100% 24/7 carbon-free energy by 2030. This framework requires matching electricity consumption with clean energy generation on an hourly, or sub-hourly, basis, strictly within the same regional grid where the load is located. Achieving 80% to 95% hourly matching can often be executed at costs comparable to annual matching through optimized, geographically diverse portfolios of wind and solar. However, achieving the final 5% to 20%—the absolute 100% threshold—commands a significant premium because it necessitates dispatching zero-carbon energy during the grid's most constrained, low-renewable, and highly priced hours.</w:t>
      </w:r>
    </w:p>
    <w:p w14:paraId="11A5C81B" w14:textId="77777777" w:rsidR="00821D1C" w:rsidRDefault="00000000">
      <w:pPr>
        <w:pStyle w:val="Heading3"/>
        <w:spacing w:before="0"/>
      </w:pPr>
      <w:r>
        <w:t>3.2 Quantifying the 24/7 CFE Premium and Hedging Value</w:t>
      </w:r>
    </w:p>
    <w:p w14:paraId="1FFA6065" w14:textId="77777777" w:rsidR="00821D1C" w:rsidRDefault="00000000">
      <w:pPr>
        <w:pBdr>
          <w:top w:val="nil"/>
          <w:left w:val="nil"/>
          <w:bottom w:val="nil"/>
          <w:right w:val="nil"/>
          <w:between w:val="nil"/>
        </w:pBdr>
      </w:pPr>
      <w:r>
        <w:t xml:space="preserve">This "Willingness to Pay" (WTP) is not merely a philanthropic sustainability premium; it is a highly rational financial hedge executed by sophisticated corporate treasuries. Traditional PPAs tied to variable solar and wind introduce significant financial uncertainty for the buyer, who must resort to volatile spot markets to cover </w:t>
      </w:r>
      <w:r>
        <w:lastRenderedPageBreak/>
        <w:t>generation shortfalls when their data centers are drawing continuous 24/7 baseload power. Because 24/7 CFE solutions align supply tightly with demand, they provide superior hedging effectiveness against wholesale price volatility.</w:t>
      </w:r>
    </w:p>
    <w:p w14:paraId="6350B916" w14:textId="77777777" w:rsidR="00821D1C" w:rsidRDefault="00000000">
      <w:pPr>
        <w:pBdr>
          <w:top w:val="nil"/>
          <w:left w:val="nil"/>
          <w:bottom w:val="nil"/>
          <w:right w:val="nil"/>
          <w:between w:val="nil"/>
        </w:pBdr>
        <w:spacing w:after="240"/>
      </w:pPr>
      <w:proofErr w:type="spellStart"/>
      <w:r>
        <w:t>Hyperscalers</w:t>
      </w:r>
      <w:proofErr w:type="spellEnd"/>
      <w:r>
        <w:t xml:space="preserve"> and large data center operators are willing to pay elevated PPA rates—often heavily structured as tolling agreements or hybrid revenue-share models—to secure this firm clean power. The pricing logic for 24/7 CFE is heavily tied to its ability to act as a hedge against market volatility. Furthermore, the </w:t>
      </w:r>
      <w:proofErr w:type="spellStart"/>
      <w:r>
        <w:t>Eurelectric</w:t>
      </w:r>
      <w:proofErr w:type="spellEnd"/>
      <w:r>
        <w:t xml:space="preserve"> study with EY identified a "Product Availability Paradox" wherein the extreme complexity of structuring 24/7 CFE products leads to a scarcity of standard offerings from traditional utilities. This scarcity allows sophisticated independent power producers (IPPs) and developers to extract a higher margin for bespoke, structured 24/7 supply contracts. Price duration curves demonstrate that the green premium rises sharply after 75% CFE matching levels, effectively subsidizing the deployment of the capital-intensive storage necessary to firm the asset.</w:t>
      </w:r>
    </w:p>
    <w:p w14:paraId="2AD97C40" w14:textId="77777777" w:rsidR="00821D1C" w:rsidRDefault="00000000">
      <w:pPr>
        <w:pStyle w:val="Heading3"/>
        <w:spacing w:before="0"/>
      </w:pPr>
      <w:r>
        <w:t>3.3 Executing the Transaction: Case Studies in Premium Structuring</w:t>
      </w:r>
    </w:p>
    <w:p w14:paraId="7480755E" w14:textId="77777777" w:rsidR="00821D1C" w:rsidRDefault="00000000">
      <w:pPr>
        <w:pBdr>
          <w:top w:val="nil"/>
          <w:left w:val="nil"/>
          <w:bottom w:val="nil"/>
          <w:right w:val="nil"/>
          <w:between w:val="nil"/>
        </w:pBdr>
      </w:pPr>
      <w:r>
        <w:t xml:space="preserve">Recent market transactions validate this pricing logic. Google and </w:t>
      </w:r>
      <w:proofErr w:type="spellStart"/>
      <w:r>
        <w:t>Broadwing</w:t>
      </w:r>
      <w:proofErr w:type="spellEnd"/>
      <w:r>
        <w:t xml:space="preserve"> Energy executed a first-of-its-kind PPA for a 400 MW natural gas-fired generator equipped with carbon capture and sequestration (CCS) in Illinois. Google agreed to pay for both the electricity generated and the CCS process, claiming the emissions reduction benefit through a specifically designed Environmental Attribute Certificate (EAC). This demonstrates that </w:t>
      </w:r>
      <w:proofErr w:type="spellStart"/>
      <w:r>
        <w:t>hyperscalers</w:t>
      </w:r>
      <w:proofErr w:type="spellEnd"/>
      <w:r>
        <w:t xml:space="preserve"> will pay a direct premium for non-traditional, clean-firm dispatchable power to meet Scope 2 inventory goals.</w:t>
      </w:r>
    </w:p>
    <w:p w14:paraId="7F239A58" w14:textId="77777777" w:rsidR="00821D1C" w:rsidRDefault="00000000">
      <w:pPr>
        <w:pBdr>
          <w:top w:val="nil"/>
          <w:left w:val="nil"/>
          <w:bottom w:val="nil"/>
          <w:right w:val="nil"/>
          <w:between w:val="nil"/>
        </w:pBdr>
        <w:spacing w:after="225"/>
      </w:pPr>
      <w:r>
        <w:t xml:space="preserve">Similarly, Microsoft executed a major PPA with Constellation Energy to enable the restart of the 835 MW Three Mile Island nuclear facility in Pennsylvania, securing net-new, reliable, carbon-free electricity to the PJM grid. Google has also partnered with AES to provide 24/7 CFE supply portfolios, utilizing complex arrays of solar, wind, and battery storage to guarantee hourly matching. These transactions prove that the WTP exists, is highly liquid, and is available for developers capable of structuring </w:t>
      </w:r>
      <w:proofErr w:type="gramStart"/>
      <w:r>
        <w:t>firm</w:t>
      </w:r>
      <w:proofErr w:type="gramEnd"/>
      <w:r>
        <w:t>, clean portfolios.</w:t>
      </w:r>
    </w:p>
    <w:p w14:paraId="13E52446" w14:textId="77777777" w:rsidR="00821D1C" w:rsidRDefault="00000000">
      <w:pPr>
        <w:pStyle w:val="Heading2"/>
        <w:spacing w:before="0"/>
      </w:pPr>
      <w:r>
        <w:t>Part IV: Storage as the Mandatory Prerequisite for Financial Viability</w:t>
      </w:r>
    </w:p>
    <w:p w14:paraId="58AD401C" w14:textId="77777777" w:rsidR="00821D1C" w:rsidRDefault="00000000">
      <w:pPr>
        <w:pBdr>
          <w:top w:val="nil"/>
          <w:left w:val="nil"/>
          <w:bottom w:val="nil"/>
          <w:right w:val="nil"/>
          <w:between w:val="nil"/>
        </w:pBdr>
        <w:spacing w:after="240"/>
      </w:pPr>
      <w:r>
        <w:t>To capture the 24/7 CFE WTP and offset LMP cannibalization, energy storage is no longer an optional portfolio enhancement—it is a mandatory prerequisite for the financial mathematics of a developer acquisition to pencil out.</w:t>
      </w:r>
    </w:p>
    <w:p w14:paraId="0981523C" w14:textId="77777777" w:rsidR="00821D1C" w:rsidRDefault="00000000">
      <w:pPr>
        <w:pStyle w:val="Heading3"/>
        <w:spacing w:before="0"/>
      </w:pPr>
      <w:r>
        <w:t>4.1 Hybrid Economics and Duration Scaling</w:t>
      </w:r>
    </w:p>
    <w:p w14:paraId="413C7607" w14:textId="77777777" w:rsidR="00821D1C" w:rsidRDefault="00000000">
      <w:pPr>
        <w:pBdr>
          <w:top w:val="nil"/>
          <w:left w:val="nil"/>
          <w:bottom w:val="nil"/>
          <w:right w:val="nil"/>
          <w:between w:val="nil"/>
        </w:pBdr>
      </w:pPr>
      <w:r>
        <w:t xml:space="preserve">A hybrid VRE + Storage facility fundamentally alters the economic profile of a renewable asset. It can absorb zero-cost or negatively priced midday solar generation and discharge it during evening peaks or specific hours required by the </w:t>
      </w:r>
      <w:proofErr w:type="spellStart"/>
      <w:r>
        <w:t>hyperscaler's</w:t>
      </w:r>
      <w:proofErr w:type="spellEnd"/>
      <w:r>
        <w:t xml:space="preserve"> flat load profile, effectively performing temporal arbitrage. Lazard's Levelized Cost of Energy (LCOE) Version 18.0 analysis demonstrates that while utility-scale Solar PV + Storage carries an LCOE of $50 to $131/MWh (compared to $38 to $78/MWh for standalone solar), the hybrid asset's ability to capture capacity market value, ancillary services, and peak energy pricing vastly outweighs the initial capital expenditure premium.</w:t>
      </w:r>
    </w:p>
    <w:p w14:paraId="4788C727" w14:textId="77777777" w:rsidR="00821D1C" w:rsidRDefault="00000000">
      <w:pPr>
        <w:pBdr>
          <w:top w:val="nil"/>
          <w:left w:val="nil"/>
          <w:bottom w:val="nil"/>
          <w:right w:val="nil"/>
          <w:between w:val="nil"/>
        </w:pBdr>
        <w:spacing w:after="240"/>
      </w:pPr>
      <w:r>
        <w:t>Furthermore, as the market transitions toward 24/7 CFE matching, the standard 2-hour and 4-hour Battery Energy Storage Systems (BESS), optimized primarily for ancillary services like frequency regulation, are becoming insufficient. To guarantee firm power through the deep overnight hours when solar is entirely offline and wind generation is highly variable, developers must engineer their pipelines to accommodate 8-hour, long-duration storage. The revenue uplift between 4-hour and 8-hour BESS hybrid projects is critical for fully capturing the green premium associated with the final 10% to 20% of hourly carbon-free matching.</w:t>
      </w:r>
    </w:p>
    <w:p w14:paraId="654D107D" w14:textId="77777777" w:rsidR="00821D1C" w:rsidRDefault="00000000">
      <w:pPr>
        <w:pStyle w:val="Heading3"/>
        <w:spacing w:before="0"/>
      </w:pPr>
      <w:r>
        <w:t>4.2 Optimizing Contract Structures: Tolling and Revenue Sharing</w:t>
      </w:r>
    </w:p>
    <w:p w14:paraId="587E65C6" w14:textId="77777777" w:rsidR="00821D1C" w:rsidRDefault="00000000">
      <w:pPr>
        <w:pBdr>
          <w:top w:val="nil"/>
          <w:left w:val="nil"/>
          <w:bottom w:val="nil"/>
          <w:right w:val="nil"/>
          <w:between w:val="nil"/>
        </w:pBdr>
      </w:pPr>
      <w:r>
        <w:t>The mechanism by which developers monetize this storage capability is rapidly evolving, particularly in liquid, deregulated markets like ERCOT. The traditional low-risk, low-return PPA is being replaced by highly structured BESS offtake and tolling agreements.</w:t>
      </w:r>
    </w:p>
    <w:p w14:paraId="04133905" w14:textId="77777777" w:rsidR="00821D1C" w:rsidRDefault="00000000">
      <w:pPr>
        <w:pBdr>
          <w:top w:val="nil"/>
          <w:left w:val="nil"/>
          <w:bottom w:val="nil"/>
          <w:right w:val="nil"/>
          <w:between w:val="nil"/>
        </w:pBdr>
      </w:pPr>
      <w:r>
        <w:lastRenderedPageBreak/>
        <w:t xml:space="preserve">Under a standard physical tolling agreement, the </w:t>
      </w:r>
      <w:proofErr w:type="spellStart"/>
      <w:r>
        <w:t>offtaker</w:t>
      </w:r>
      <w:proofErr w:type="spellEnd"/>
      <w:r>
        <w:t xml:space="preserve"> (e.g., a </w:t>
      </w:r>
      <w:proofErr w:type="spellStart"/>
      <w:r>
        <w:t>hyperscaler</w:t>
      </w:r>
      <w:proofErr w:type="spellEnd"/>
      <w:r>
        <w:t xml:space="preserve"> or utility) pays a fixed $/MW fee to gain full access to the battery's capacity and dispatch rights. The asset owner receives stable, locked-in revenue capable of supporting aggressive debt financing, while the </w:t>
      </w:r>
      <w:proofErr w:type="spellStart"/>
      <w:r>
        <w:t>offtaker</w:t>
      </w:r>
      <w:proofErr w:type="spellEnd"/>
      <w:r>
        <w:t xml:space="preserve"> assumes all market risks and rewards from arbitrage and Ancillary Services to meet their 24/7 CFE requirements.</w:t>
      </w:r>
    </w:p>
    <w:p w14:paraId="707F315B" w14:textId="77777777" w:rsidR="00821D1C" w:rsidRDefault="00000000">
      <w:pPr>
        <w:pBdr>
          <w:top w:val="nil"/>
          <w:left w:val="nil"/>
          <w:bottom w:val="nil"/>
          <w:right w:val="nil"/>
          <w:between w:val="nil"/>
        </w:pBdr>
        <w:spacing w:after="225"/>
      </w:pPr>
      <w:r>
        <w:t xml:space="preserve">However, the optimal structure for a Private Equity sponsor seeking to maximize Levered IRRs is the "Floor + Revenue Share" model. In this hybrid structure, the </w:t>
      </w:r>
      <w:proofErr w:type="spellStart"/>
      <w:r>
        <w:t>offtaker</w:t>
      </w:r>
      <w:proofErr w:type="spellEnd"/>
      <w:r>
        <w:t xml:space="preserve"> provides a guaranteed minimum payment per MW (the floor)—which satisfies project finance DSCR requirements—while also allowing the equity sponsor to receive a percentage of market revenues during scarcity events (the upside). In markets like ERCOT, where scarcity pricing can spike to $5,000/MWh during extreme weather events, this revenue share component is critical for driving equity returns into the mid-to-high teens. Notable implementations of these advanced structures include Jupiter Power's tolling agreement with Equilibrium Energy and Energy Vault's revenue floor contract optimized by </w:t>
      </w:r>
      <w:proofErr w:type="spellStart"/>
      <w:r>
        <w:t>Gridmatic</w:t>
      </w:r>
      <w:proofErr w:type="spellEnd"/>
      <w:r>
        <w:t>. A target developer must possess the internal commercial origination capabilities to execute these sophisticated structures; a pipeline relying solely on merchant assumptions is un-acquirable.</w:t>
      </w:r>
    </w:p>
    <w:p w14:paraId="5A956745" w14:textId="77777777" w:rsidR="00821D1C" w:rsidRDefault="00000000">
      <w:pPr>
        <w:pStyle w:val="Heading2"/>
        <w:spacing w:before="0"/>
      </w:pPr>
      <w:r>
        <w:t>Part V: The "Clean Firm" Substitution Risk: SMRs, EGS, and Wright’s Law (2035–2040s)</w:t>
      </w:r>
    </w:p>
    <w:p w14:paraId="30A79B9B" w14:textId="77777777" w:rsidR="00821D1C" w:rsidRDefault="00000000">
      <w:pPr>
        <w:pBdr>
          <w:top w:val="nil"/>
          <w:left w:val="nil"/>
          <w:bottom w:val="nil"/>
          <w:right w:val="nil"/>
          <w:between w:val="nil"/>
        </w:pBdr>
      </w:pPr>
      <w:r>
        <w:t xml:space="preserve">A critical component of a long-term Private Equity acquisition thesis is evaluating terminal value and substitution risk. As </w:t>
      </w:r>
      <w:proofErr w:type="spellStart"/>
      <w:r>
        <w:t>hyperscalers</w:t>
      </w:r>
      <w:proofErr w:type="spellEnd"/>
      <w:r>
        <w:t xml:space="preserve"> demand 24/7 CFE, they are increasingly financing and accelerating "Clean Firm" generation technologies, primarily Small Modular Reactors (SMRs) and Enhanced Geothermal Systems (EGS). Microsoft's restart of Three Mile Island, Google's partnership with Kairos Power for 500 MW of SMR capacity by 2030, and Amazon's acquisition of the Talen Energy data center campus adjacent to the Susquehanna nuclear plant underscore this pivot toward nuclear baseload.</w:t>
      </w:r>
    </w:p>
    <w:p w14:paraId="29096579" w14:textId="77777777" w:rsidR="00821D1C" w:rsidRDefault="00000000">
      <w:pPr>
        <w:pBdr>
          <w:top w:val="nil"/>
          <w:left w:val="nil"/>
          <w:bottom w:val="nil"/>
          <w:right w:val="nil"/>
          <w:between w:val="nil"/>
        </w:pBdr>
        <w:spacing w:after="240"/>
      </w:pPr>
      <w:r>
        <w:t xml:space="preserve">The strategic, multi-billion-dollar question for a PE sponsor is: Will SMRs and EGS achieve cost parity fast enough to render </w:t>
      </w:r>
      <w:proofErr w:type="spellStart"/>
      <w:r>
        <w:t>VRE+Storage</w:t>
      </w:r>
      <w:proofErr w:type="spellEnd"/>
      <w:r>
        <w:t xml:space="preserve"> </w:t>
      </w:r>
      <w:proofErr w:type="gramStart"/>
      <w:r>
        <w:t>obsolete</w:t>
      </w:r>
      <w:proofErr w:type="gramEnd"/>
      <w:r>
        <w:t xml:space="preserve"> and strand acquired assets before the end of their economic life? To definitively answer this, we must apply Wright’s Law (the learning curve effect) to project the affordability gap.</w:t>
      </w:r>
    </w:p>
    <w:p w14:paraId="68869677" w14:textId="77777777" w:rsidR="00821D1C" w:rsidRDefault="00000000">
      <w:pPr>
        <w:pStyle w:val="Heading3"/>
        <w:spacing w:before="0"/>
      </w:pPr>
      <w:r>
        <w:t>5.1 Wright's Law and the Infrastructure Reality</w:t>
      </w:r>
    </w:p>
    <w:p w14:paraId="0E474653" w14:textId="77777777" w:rsidR="00821D1C" w:rsidRDefault="00000000">
      <w:pPr>
        <w:pBdr>
          <w:top w:val="nil"/>
          <w:left w:val="nil"/>
          <w:bottom w:val="nil"/>
          <w:right w:val="nil"/>
          <w:between w:val="nil"/>
        </w:pBdr>
      </w:pPr>
      <w:r>
        <w:t>Wright's Law, originally observed in aeronautics by Theodore Wright in the 1930s, posits that the cost of a technology declines by a constant percentage (the learning rate) for every cumulative doubling of production volume. Technologies that follow Wright's Law, such as solar photovoltaics and lithium-ion batteries, have historically exhibited robust learning rates of approximately 18% to 20%. These rapid cost declines are driven by highly automated, factory-based manufacturing, standardized supply chains, and exceptionally short production cycle times.</w:t>
      </w:r>
    </w:p>
    <w:p w14:paraId="5F6191A0" w14:textId="77777777" w:rsidR="00821D1C" w:rsidRDefault="00000000">
      <w:pPr>
        <w:pBdr>
          <w:top w:val="nil"/>
          <w:left w:val="nil"/>
          <w:bottom w:val="nil"/>
          <w:right w:val="nil"/>
          <w:between w:val="nil"/>
        </w:pBdr>
      </w:pPr>
      <w:r>
        <w:t>Proponents of SMRs and EGS argue that transitioning from bespoke, mega-project construction to modularity and factory assembly will allow these technologies to follow similar exponential cost declines. However, exhaustive techno-economic analyses and historical data reveal a starkly different reality. SMRs and EGS remain inherently heavy civil infrastructure projects subject to immense site-specific engineering, severe regulatory friction, safety redundancies, and complex, highly specialized supply chains.</w:t>
      </w:r>
    </w:p>
    <w:p w14:paraId="3D1C9F29" w14:textId="77777777" w:rsidR="00821D1C" w:rsidRDefault="00000000">
      <w:pPr>
        <w:numPr>
          <w:ilvl w:val="0"/>
          <w:numId w:val="1"/>
        </w:numPr>
        <w:pBdr>
          <w:top w:val="nil"/>
          <w:left w:val="nil"/>
          <w:bottom w:val="nil"/>
          <w:right w:val="nil"/>
          <w:between w:val="nil"/>
        </w:pBdr>
      </w:pPr>
      <w:r>
        <w:rPr>
          <w:b/>
          <w:bCs/>
        </w:rPr>
        <w:t>SMR Learning Rates and Historical Precedent:</w:t>
      </w:r>
      <w:r>
        <w:t xml:space="preserve"> The Western nuclear industry has historically struggled to achieve consistent learning rates, often exhibiting negative learning (cost increases over time) due to regulatory ratcheting and chronic mismanagement, as evidenced by catastrophic cost overruns at Vogtle in the U.S., </w:t>
      </w:r>
      <w:proofErr w:type="spellStart"/>
      <w:r>
        <w:t>Flamanville</w:t>
      </w:r>
      <w:proofErr w:type="spellEnd"/>
      <w:r>
        <w:t xml:space="preserve"> in France, and </w:t>
      </w:r>
      <w:proofErr w:type="spellStart"/>
      <w:r>
        <w:t>Olkiluoto</w:t>
      </w:r>
      <w:proofErr w:type="spellEnd"/>
      <w:r>
        <w:t xml:space="preserve"> in Finland. Oxford professor Bent Flyvbjerg notes that nuclear power plants suffer average cost overruns of 120%. Even assuming modularity succeeds, optimistic academic and policy projections assign SMRs a learning rate of only 5% to 10%.</w:t>
      </w:r>
    </w:p>
    <w:p w14:paraId="0E12C14A" w14:textId="77777777" w:rsidR="00821D1C" w:rsidRDefault="00000000">
      <w:pPr>
        <w:numPr>
          <w:ilvl w:val="0"/>
          <w:numId w:val="1"/>
        </w:numPr>
        <w:pBdr>
          <w:top w:val="nil"/>
          <w:left w:val="nil"/>
          <w:bottom w:val="nil"/>
          <w:right w:val="nil"/>
          <w:between w:val="nil"/>
        </w:pBdr>
      </w:pPr>
      <w:r>
        <w:rPr>
          <w:b/>
          <w:bCs/>
        </w:rPr>
        <w:t>The SMR Cost Base:</w:t>
      </w:r>
      <w:r>
        <w:t xml:space="preserve"> The starting point for this learning curve is exceptionally high. Estimates for First-Of-A-Kind (FOAK) overnight capital costs (OCC) for SMRs range widely from $4,000/kW to $16,300/kW due to massive "optimism bias" inherent in vendor projections. A rigorous Monte Carlo analysis of Light </w:t>
      </w:r>
      <w:r>
        <w:lastRenderedPageBreak/>
        <w:t>Water SMRs found a mean OCC of $5,233/kW. Furthermore, nuclear plants are highly capital intensive and deeply sensitive to the cost of capital; a shift in interest rates from 4% to 8% can increase the Levelized Cost of Energy (LCOE) from $60/MWh to over $90/MWh before construction even begins.</w:t>
      </w:r>
    </w:p>
    <w:p w14:paraId="008DDBC0" w14:textId="77777777" w:rsidR="00821D1C" w:rsidRDefault="00000000">
      <w:pPr>
        <w:numPr>
          <w:ilvl w:val="0"/>
          <w:numId w:val="1"/>
        </w:numPr>
        <w:pBdr>
          <w:top w:val="nil"/>
          <w:left w:val="nil"/>
          <w:bottom w:val="nil"/>
          <w:right w:val="nil"/>
          <w:between w:val="nil"/>
        </w:pBdr>
      </w:pPr>
      <w:r>
        <w:rPr>
          <w:b/>
          <w:bCs/>
        </w:rPr>
        <w:t>EGS Learning Rates:</w:t>
      </w:r>
      <w:r>
        <w:t xml:space="preserve"> Enhanced Geothermal Systems require deep directional drilling and hydraulic fracturing several kilometers underground into hot, dry rock. While leveraging mature techniques from the oil and gas sector, EGS must operate in highly unpredictable and heterogeneous lithology. Consequently, EGS is assigned a learning rate of 13% to 18% in optimistic scenarios, constrained by the physical realities of heavy drilling and thermodynamic limitations.</w:t>
      </w:r>
    </w:p>
    <w:p w14:paraId="5D33FA23" w14:textId="77777777" w:rsidR="00821D1C" w:rsidRDefault="00000000">
      <w:pPr>
        <w:pStyle w:val="Heading3"/>
      </w:pPr>
      <w:r>
        <w:t xml:space="preserve">5.2 The Affordability Gap: Why </w:t>
      </w:r>
      <w:proofErr w:type="spellStart"/>
      <w:r>
        <w:t>VRE+Storage</w:t>
      </w:r>
      <w:proofErr w:type="spellEnd"/>
      <w:r>
        <w:t xml:space="preserve"> Retains Dominance</w:t>
      </w:r>
    </w:p>
    <w:p w14:paraId="2E10030F" w14:textId="77777777" w:rsidR="00821D1C" w:rsidRDefault="00000000">
      <w:pPr>
        <w:pBdr>
          <w:top w:val="nil"/>
          <w:left w:val="nil"/>
          <w:bottom w:val="nil"/>
          <w:right w:val="nil"/>
          <w:between w:val="nil"/>
        </w:pBdr>
      </w:pPr>
      <w:r>
        <w:t xml:space="preserve">Current unsubsidized LCOE data from Lazard places conventional U.S. nuclear at $141 to $220/MWh, severely </w:t>
      </w:r>
      <w:proofErr w:type="gramStart"/>
      <w:r>
        <w:t>lagging behind</w:t>
      </w:r>
      <w:proofErr w:type="gramEnd"/>
      <w:r>
        <w:t xml:space="preserve"> utility-scale Solar PV + Storage, which sits at $50 to $131/MWh. To become economically competitive for widespread baseload deployment, Wood Mackenzie estimates that SMRs must achieve an aggressive target LCOE of approximately $120/MWh.</w:t>
      </w:r>
    </w:p>
    <w:p w14:paraId="37521C6F" w14:textId="77777777" w:rsidR="00821D1C" w:rsidRDefault="00000000">
      <w:pPr>
        <w:pBdr>
          <w:top w:val="nil"/>
          <w:left w:val="nil"/>
          <w:bottom w:val="nil"/>
          <w:right w:val="nil"/>
          <w:between w:val="nil"/>
        </w:pBdr>
      </w:pPr>
      <w:r>
        <w:t>Given the low anticipated learning rates (5-10%), the high FOAK cost base, and the excruciatingly slow deployment velocity of initial demonstration projects expected in the early 2030s, the required doublings of cumulative capacity to reach cost parity will mathematically not occur until well into the 2040s.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821D1C" w14:paraId="0012B649" w14:textId="77777777">
        <w:trPr>
          <w:tblHeader/>
        </w:trPr>
        <w:tc>
          <w:tcPr>
            <w:tcW w:w="1872" w:type="dxa"/>
            <w:tcMar>
              <w:top w:w="0" w:type="dxa"/>
              <w:left w:w="0" w:type="dxa"/>
              <w:bottom w:w="0" w:type="dxa"/>
              <w:right w:w="0" w:type="dxa"/>
            </w:tcMar>
          </w:tcPr>
          <w:p w14:paraId="64199AD3" w14:textId="77777777" w:rsidR="00821D1C" w:rsidRDefault="00000000">
            <w:pPr>
              <w:pBdr>
                <w:top w:val="nil"/>
                <w:left w:val="nil"/>
                <w:bottom w:val="nil"/>
                <w:right w:val="nil"/>
                <w:between w:val="nil"/>
              </w:pBdr>
            </w:pPr>
            <w:r>
              <w:t>Technology Class</w:t>
            </w:r>
          </w:p>
        </w:tc>
        <w:tc>
          <w:tcPr>
            <w:tcW w:w="1872" w:type="dxa"/>
            <w:tcMar>
              <w:top w:w="0" w:type="dxa"/>
              <w:left w:w="0" w:type="dxa"/>
              <w:bottom w:w="0" w:type="dxa"/>
              <w:right w:w="0" w:type="dxa"/>
            </w:tcMar>
          </w:tcPr>
          <w:p w14:paraId="45557BF3" w14:textId="77777777" w:rsidR="00821D1C" w:rsidRDefault="00000000">
            <w:pPr>
              <w:pBdr>
                <w:top w:val="nil"/>
                <w:left w:val="nil"/>
                <w:bottom w:val="nil"/>
                <w:right w:val="nil"/>
                <w:between w:val="nil"/>
              </w:pBdr>
            </w:pPr>
            <w:r>
              <w:t>Estimated Learning Rate</w:t>
            </w:r>
          </w:p>
        </w:tc>
        <w:tc>
          <w:tcPr>
            <w:tcW w:w="1872" w:type="dxa"/>
            <w:tcMar>
              <w:top w:w="0" w:type="dxa"/>
              <w:left w:w="0" w:type="dxa"/>
              <w:bottom w:w="0" w:type="dxa"/>
              <w:right w:w="0" w:type="dxa"/>
            </w:tcMar>
          </w:tcPr>
          <w:p w14:paraId="7B80F74F" w14:textId="77777777" w:rsidR="00821D1C" w:rsidRDefault="00000000">
            <w:pPr>
              <w:pBdr>
                <w:top w:val="nil"/>
                <w:left w:val="nil"/>
                <w:bottom w:val="nil"/>
                <w:right w:val="nil"/>
                <w:between w:val="nil"/>
              </w:pBdr>
            </w:pPr>
            <w:r>
              <w:t>Current/FOAK Cost Base</w:t>
            </w:r>
          </w:p>
        </w:tc>
        <w:tc>
          <w:tcPr>
            <w:tcW w:w="1872" w:type="dxa"/>
            <w:tcMar>
              <w:top w:w="0" w:type="dxa"/>
              <w:left w:w="0" w:type="dxa"/>
              <w:bottom w:w="0" w:type="dxa"/>
              <w:right w:w="0" w:type="dxa"/>
            </w:tcMar>
          </w:tcPr>
          <w:p w14:paraId="1D9C9055" w14:textId="77777777" w:rsidR="00821D1C" w:rsidRDefault="00000000">
            <w:pPr>
              <w:pBdr>
                <w:top w:val="nil"/>
                <w:left w:val="nil"/>
                <w:bottom w:val="nil"/>
                <w:right w:val="nil"/>
                <w:between w:val="nil"/>
              </w:pBdr>
            </w:pPr>
            <w:r>
              <w:t>Projected Cost Parity Window</w:t>
            </w:r>
          </w:p>
        </w:tc>
        <w:tc>
          <w:tcPr>
            <w:tcW w:w="1872" w:type="dxa"/>
            <w:tcMar>
              <w:top w:w="0" w:type="dxa"/>
              <w:left w:w="0" w:type="dxa"/>
              <w:bottom w:w="0" w:type="dxa"/>
              <w:right w:w="0" w:type="dxa"/>
            </w:tcMar>
          </w:tcPr>
          <w:p w14:paraId="1A59BF75" w14:textId="77777777" w:rsidR="00821D1C" w:rsidRDefault="00000000">
            <w:pPr>
              <w:pBdr>
                <w:top w:val="nil"/>
                <w:left w:val="nil"/>
                <w:bottom w:val="nil"/>
                <w:right w:val="nil"/>
                <w:between w:val="nil"/>
              </w:pBdr>
            </w:pPr>
            <w:r>
              <w:t>Strategic Viability</w:t>
            </w:r>
          </w:p>
        </w:tc>
      </w:tr>
      <w:tr w:rsidR="00821D1C" w14:paraId="49ADF3B2" w14:textId="77777777">
        <w:tc>
          <w:tcPr>
            <w:tcW w:w="1872" w:type="dxa"/>
            <w:tcMar>
              <w:top w:w="0" w:type="dxa"/>
              <w:left w:w="0" w:type="dxa"/>
              <w:bottom w:w="0" w:type="dxa"/>
              <w:right w:w="0" w:type="dxa"/>
            </w:tcMar>
          </w:tcPr>
          <w:p w14:paraId="68E7CCA2" w14:textId="77777777" w:rsidR="00821D1C" w:rsidRDefault="00000000">
            <w:pPr>
              <w:pBdr>
                <w:top w:val="nil"/>
                <w:left w:val="nil"/>
                <w:bottom w:val="nil"/>
                <w:right w:val="nil"/>
                <w:between w:val="nil"/>
              </w:pBdr>
              <w:rPr>
                <w:b/>
                <w:bCs/>
              </w:rPr>
            </w:pPr>
            <w:r>
              <w:rPr>
                <w:b/>
                <w:bCs/>
              </w:rPr>
              <w:t>Solar PV + BESS</w:t>
            </w:r>
          </w:p>
        </w:tc>
        <w:tc>
          <w:tcPr>
            <w:tcW w:w="1872" w:type="dxa"/>
            <w:tcMar>
              <w:top w:w="0" w:type="dxa"/>
              <w:left w:w="0" w:type="dxa"/>
              <w:bottom w:w="0" w:type="dxa"/>
              <w:right w:w="0" w:type="dxa"/>
            </w:tcMar>
          </w:tcPr>
          <w:p w14:paraId="1FA252F3" w14:textId="77777777" w:rsidR="00821D1C" w:rsidRDefault="00000000">
            <w:pPr>
              <w:pBdr>
                <w:top w:val="nil"/>
                <w:left w:val="nil"/>
                <w:bottom w:val="nil"/>
                <w:right w:val="nil"/>
                <w:between w:val="nil"/>
              </w:pBdr>
            </w:pPr>
            <w:r>
              <w:t>~18-20%</w:t>
            </w:r>
          </w:p>
        </w:tc>
        <w:tc>
          <w:tcPr>
            <w:tcW w:w="1872" w:type="dxa"/>
            <w:tcMar>
              <w:top w:w="0" w:type="dxa"/>
              <w:left w:w="0" w:type="dxa"/>
              <w:bottom w:w="0" w:type="dxa"/>
              <w:right w:w="0" w:type="dxa"/>
            </w:tcMar>
          </w:tcPr>
          <w:p w14:paraId="3154EB33" w14:textId="77777777" w:rsidR="00821D1C" w:rsidRDefault="00000000">
            <w:pPr>
              <w:pBdr>
                <w:top w:val="nil"/>
                <w:left w:val="nil"/>
                <w:bottom w:val="nil"/>
                <w:right w:val="nil"/>
                <w:between w:val="nil"/>
              </w:pBdr>
            </w:pPr>
            <w:r>
              <w:t>$50 - $131 / MWh (LCOE)</w:t>
            </w:r>
          </w:p>
        </w:tc>
        <w:tc>
          <w:tcPr>
            <w:tcW w:w="1872" w:type="dxa"/>
            <w:tcMar>
              <w:top w:w="0" w:type="dxa"/>
              <w:left w:w="0" w:type="dxa"/>
              <w:bottom w:w="0" w:type="dxa"/>
              <w:right w:w="0" w:type="dxa"/>
            </w:tcMar>
          </w:tcPr>
          <w:p w14:paraId="21CFE2D7" w14:textId="77777777" w:rsidR="00821D1C" w:rsidRDefault="00000000">
            <w:pPr>
              <w:pBdr>
                <w:top w:val="nil"/>
                <w:left w:val="nil"/>
                <w:bottom w:val="nil"/>
                <w:right w:val="nil"/>
                <w:between w:val="nil"/>
              </w:pBdr>
            </w:pPr>
            <w:r>
              <w:t>Currently Dominant</w:t>
            </w:r>
          </w:p>
        </w:tc>
        <w:tc>
          <w:tcPr>
            <w:tcW w:w="1872" w:type="dxa"/>
            <w:tcMar>
              <w:top w:w="0" w:type="dxa"/>
              <w:left w:w="0" w:type="dxa"/>
              <w:bottom w:w="0" w:type="dxa"/>
              <w:right w:w="0" w:type="dxa"/>
            </w:tcMar>
          </w:tcPr>
          <w:p w14:paraId="3F3E0761" w14:textId="77777777" w:rsidR="00821D1C" w:rsidRDefault="00000000">
            <w:pPr>
              <w:pBdr>
                <w:top w:val="nil"/>
                <w:left w:val="nil"/>
                <w:bottom w:val="nil"/>
                <w:right w:val="nil"/>
                <w:between w:val="nil"/>
              </w:pBdr>
            </w:pPr>
            <w:r>
              <w:t>Primary investment vehicle for 2025-2040.</w:t>
            </w:r>
          </w:p>
        </w:tc>
      </w:tr>
      <w:tr w:rsidR="00821D1C" w14:paraId="4CFE3DAC" w14:textId="77777777">
        <w:tc>
          <w:tcPr>
            <w:tcW w:w="1872" w:type="dxa"/>
            <w:tcMar>
              <w:top w:w="0" w:type="dxa"/>
              <w:left w:w="0" w:type="dxa"/>
              <w:bottom w:w="0" w:type="dxa"/>
              <w:right w:w="0" w:type="dxa"/>
            </w:tcMar>
          </w:tcPr>
          <w:p w14:paraId="316ADD3D" w14:textId="77777777" w:rsidR="00821D1C" w:rsidRDefault="00000000">
            <w:pPr>
              <w:pBdr>
                <w:top w:val="nil"/>
                <w:left w:val="nil"/>
                <w:bottom w:val="nil"/>
                <w:right w:val="nil"/>
                <w:between w:val="nil"/>
              </w:pBdr>
              <w:rPr>
                <w:b/>
                <w:bCs/>
              </w:rPr>
            </w:pPr>
            <w:r>
              <w:rPr>
                <w:b/>
                <w:bCs/>
              </w:rPr>
              <w:t>Enhanced Geothermal (EGS)</w:t>
            </w:r>
          </w:p>
        </w:tc>
        <w:tc>
          <w:tcPr>
            <w:tcW w:w="1872" w:type="dxa"/>
            <w:tcMar>
              <w:top w:w="0" w:type="dxa"/>
              <w:left w:w="0" w:type="dxa"/>
              <w:bottom w:w="0" w:type="dxa"/>
              <w:right w:w="0" w:type="dxa"/>
            </w:tcMar>
          </w:tcPr>
          <w:p w14:paraId="6BB64460" w14:textId="77777777" w:rsidR="00821D1C" w:rsidRDefault="00000000">
            <w:pPr>
              <w:pBdr>
                <w:top w:val="nil"/>
                <w:left w:val="nil"/>
                <w:bottom w:val="nil"/>
                <w:right w:val="nil"/>
                <w:between w:val="nil"/>
              </w:pBdr>
            </w:pPr>
            <w:r>
              <w:t>~13-18%</w:t>
            </w:r>
          </w:p>
        </w:tc>
        <w:tc>
          <w:tcPr>
            <w:tcW w:w="1872" w:type="dxa"/>
            <w:tcMar>
              <w:top w:w="0" w:type="dxa"/>
              <w:left w:w="0" w:type="dxa"/>
              <w:bottom w:w="0" w:type="dxa"/>
              <w:right w:w="0" w:type="dxa"/>
            </w:tcMar>
          </w:tcPr>
          <w:p w14:paraId="4A6A0133" w14:textId="77777777" w:rsidR="00821D1C" w:rsidRDefault="00000000">
            <w:pPr>
              <w:pBdr>
                <w:top w:val="nil"/>
                <w:left w:val="nil"/>
                <w:bottom w:val="nil"/>
                <w:right w:val="nil"/>
                <w:between w:val="nil"/>
              </w:pBdr>
            </w:pPr>
            <w:r>
              <w:t>Highly variable; heavy exploratory Capex</w:t>
            </w:r>
          </w:p>
        </w:tc>
        <w:tc>
          <w:tcPr>
            <w:tcW w:w="1872" w:type="dxa"/>
            <w:tcMar>
              <w:top w:w="0" w:type="dxa"/>
              <w:left w:w="0" w:type="dxa"/>
              <w:bottom w:w="0" w:type="dxa"/>
              <w:right w:w="0" w:type="dxa"/>
            </w:tcMar>
          </w:tcPr>
          <w:p w14:paraId="5FBCD1C6" w14:textId="77777777" w:rsidR="00821D1C" w:rsidRDefault="00000000">
            <w:pPr>
              <w:pBdr>
                <w:top w:val="nil"/>
                <w:left w:val="nil"/>
                <w:bottom w:val="nil"/>
                <w:right w:val="nil"/>
                <w:between w:val="nil"/>
              </w:pBdr>
            </w:pPr>
            <w:r>
              <w:t>Late 2030s</w:t>
            </w:r>
          </w:p>
        </w:tc>
        <w:tc>
          <w:tcPr>
            <w:tcW w:w="1872" w:type="dxa"/>
            <w:tcMar>
              <w:top w:w="0" w:type="dxa"/>
              <w:left w:w="0" w:type="dxa"/>
              <w:bottom w:w="0" w:type="dxa"/>
              <w:right w:w="0" w:type="dxa"/>
            </w:tcMar>
          </w:tcPr>
          <w:p w14:paraId="69C8875F" w14:textId="77777777" w:rsidR="00821D1C" w:rsidRDefault="00000000">
            <w:pPr>
              <w:pBdr>
                <w:top w:val="nil"/>
                <w:left w:val="nil"/>
                <w:bottom w:val="nil"/>
                <w:right w:val="nil"/>
                <w:between w:val="nil"/>
              </w:pBdr>
            </w:pPr>
            <w:r>
              <w:t>Niche application; geologically constrained.</w:t>
            </w:r>
          </w:p>
        </w:tc>
      </w:tr>
      <w:tr w:rsidR="00821D1C" w14:paraId="7426044A" w14:textId="77777777">
        <w:tc>
          <w:tcPr>
            <w:tcW w:w="1872" w:type="dxa"/>
            <w:tcMar>
              <w:top w:w="0" w:type="dxa"/>
              <w:left w:w="0" w:type="dxa"/>
              <w:bottom w:w="0" w:type="dxa"/>
              <w:right w:w="0" w:type="dxa"/>
            </w:tcMar>
          </w:tcPr>
          <w:p w14:paraId="5090DA7B" w14:textId="77777777" w:rsidR="00821D1C" w:rsidRDefault="00000000">
            <w:pPr>
              <w:pBdr>
                <w:top w:val="nil"/>
                <w:left w:val="nil"/>
                <w:bottom w:val="nil"/>
                <w:right w:val="nil"/>
                <w:between w:val="nil"/>
              </w:pBdr>
              <w:rPr>
                <w:b/>
                <w:bCs/>
              </w:rPr>
            </w:pPr>
            <w:r>
              <w:rPr>
                <w:b/>
                <w:bCs/>
              </w:rPr>
              <w:t>Small Modular Reactors (SMR)</w:t>
            </w:r>
          </w:p>
        </w:tc>
        <w:tc>
          <w:tcPr>
            <w:tcW w:w="1872" w:type="dxa"/>
            <w:tcMar>
              <w:top w:w="0" w:type="dxa"/>
              <w:left w:w="0" w:type="dxa"/>
              <w:bottom w:w="0" w:type="dxa"/>
              <w:right w:w="0" w:type="dxa"/>
            </w:tcMar>
          </w:tcPr>
          <w:p w14:paraId="601A8935" w14:textId="77777777" w:rsidR="00821D1C" w:rsidRDefault="00000000">
            <w:pPr>
              <w:pBdr>
                <w:top w:val="nil"/>
                <w:left w:val="nil"/>
                <w:bottom w:val="nil"/>
                <w:right w:val="nil"/>
                <w:between w:val="nil"/>
              </w:pBdr>
            </w:pPr>
            <w:r>
              <w:t>~5-10%</w:t>
            </w:r>
          </w:p>
        </w:tc>
        <w:tc>
          <w:tcPr>
            <w:tcW w:w="1872" w:type="dxa"/>
            <w:tcMar>
              <w:top w:w="0" w:type="dxa"/>
              <w:left w:w="0" w:type="dxa"/>
              <w:bottom w:w="0" w:type="dxa"/>
              <w:right w:w="0" w:type="dxa"/>
            </w:tcMar>
          </w:tcPr>
          <w:p w14:paraId="750E9F00" w14:textId="77777777" w:rsidR="00821D1C" w:rsidRDefault="00000000">
            <w:pPr>
              <w:pBdr>
                <w:top w:val="nil"/>
                <w:left w:val="nil"/>
                <w:bottom w:val="nil"/>
                <w:right w:val="nil"/>
                <w:between w:val="nil"/>
              </w:pBdr>
            </w:pPr>
            <w:r>
              <w:t>$4,000 - $16,300 / kW (Capital OCC)</w:t>
            </w:r>
          </w:p>
        </w:tc>
        <w:tc>
          <w:tcPr>
            <w:tcW w:w="1872" w:type="dxa"/>
            <w:tcMar>
              <w:top w:w="0" w:type="dxa"/>
              <w:left w:w="0" w:type="dxa"/>
              <w:bottom w:w="0" w:type="dxa"/>
              <w:right w:w="0" w:type="dxa"/>
            </w:tcMar>
          </w:tcPr>
          <w:p w14:paraId="4CF6C0A7" w14:textId="77777777" w:rsidR="00821D1C" w:rsidRDefault="00000000">
            <w:pPr>
              <w:pBdr>
                <w:top w:val="nil"/>
                <w:left w:val="nil"/>
                <w:bottom w:val="nil"/>
                <w:right w:val="nil"/>
                <w:between w:val="nil"/>
              </w:pBdr>
            </w:pPr>
            <w:r>
              <w:t>Mid-to-Late 2040s</w:t>
            </w:r>
          </w:p>
        </w:tc>
        <w:tc>
          <w:tcPr>
            <w:tcW w:w="1872" w:type="dxa"/>
            <w:tcMar>
              <w:top w:w="0" w:type="dxa"/>
              <w:left w:w="0" w:type="dxa"/>
              <w:bottom w:w="0" w:type="dxa"/>
              <w:right w:w="0" w:type="dxa"/>
            </w:tcMar>
          </w:tcPr>
          <w:p w14:paraId="3149B809" w14:textId="77777777" w:rsidR="00821D1C" w:rsidRDefault="00000000">
            <w:pPr>
              <w:pBdr>
                <w:top w:val="nil"/>
                <w:left w:val="nil"/>
                <w:bottom w:val="nil"/>
                <w:right w:val="nil"/>
                <w:between w:val="nil"/>
              </w:pBdr>
            </w:pPr>
            <w:r>
              <w:t xml:space="preserve">Too slow to capture the current AI load </w:t>
            </w:r>
            <w:proofErr w:type="spellStart"/>
            <w:r>
              <w:t>supercycle</w:t>
            </w:r>
            <w:proofErr w:type="spellEnd"/>
            <w:r>
              <w:t>.</w:t>
            </w:r>
          </w:p>
        </w:tc>
      </w:tr>
    </w:tbl>
    <w:p w14:paraId="717F6E9C" w14:textId="77777777" w:rsidR="00821D1C" w:rsidRDefault="00000000">
      <w:pPr>
        <w:pBdr>
          <w:top w:val="nil"/>
          <w:left w:val="nil"/>
          <w:bottom w:val="nil"/>
          <w:right w:val="nil"/>
          <w:between w:val="nil"/>
        </w:pBdr>
        <w:spacing w:after="225"/>
      </w:pPr>
      <w:r>
        <w:rPr>
          <w:b/>
          <w:bCs/>
        </w:rPr>
        <w:t>Strategic Conclusion on Substitution Risk:</w:t>
      </w:r>
      <w:r>
        <w:t xml:space="preserve"> The mathematical application of Wright's Law dictates a definitive "affordability gap." From 2025 through at least 2035, and likely deep into the 2040s, VRE + Storage will remain the only economically viable, scalable, and rapidly deployable solution capable of meeting the massive gigawatt-</w:t>
      </w:r>
      <w:proofErr w:type="gramStart"/>
      <w:r>
        <w:t>scale load</w:t>
      </w:r>
      <w:proofErr w:type="gramEnd"/>
      <w:r>
        <w:t xml:space="preserve"> demands of data centers. SMRs and EGS will ultimately serve as premium, niche additions to the grid to handle the final few percentages of 24/7 CFE matching, but they will not cannibalize the core market share of hybrid renewables within the investment horizon of a standard Private Equity hold period or the 20-year operational lifecycle of assets deployed today.</w:t>
      </w:r>
    </w:p>
    <w:p w14:paraId="40C34DE2" w14:textId="77777777" w:rsidR="00821D1C" w:rsidRDefault="00000000">
      <w:pPr>
        <w:pStyle w:val="Heading2"/>
        <w:spacing w:before="0"/>
      </w:pPr>
      <w:r>
        <w:t xml:space="preserve">Part VI: The Enduring Role of </w:t>
      </w:r>
      <w:proofErr w:type="spellStart"/>
      <w:r>
        <w:t>VRE+Storage</w:t>
      </w:r>
      <w:proofErr w:type="spellEnd"/>
      <w:r>
        <w:t xml:space="preserve"> in Post-2035 RPS and Voluntary Markets</w:t>
      </w:r>
    </w:p>
    <w:p w14:paraId="1F8FB0A5" w14:textId="77777777" w:rsidR="00821D1C" w:rsidRDefault="00000000">
      <w:pPr>
        <w:pBdr>
          <w:top w:val="nil"/>
          <w:left w:val="nil"/>
          <w:bottom w:val="nil"/>
          <w:right w:val="nil"/>
          <w:between w:val="nil"/>
        </w:pBdr>
      </w:pPr>
      <w:r>
        <w:t xml:space="preserve">Even as Clean Firm technologies eventually scale in the 2040s, the </w:t>
      </w:r>
      <w:proofErr w:type="spellStart"/>
      <w:r>
        <w:t>VRE+Storage</w:t>
      </w:r>
      <w:proofErr w:type="spellEnd"/>
      <w:r>
        <w:t xml:space="preserve"> assets acquired and developed today will not become stranded. Instead, their market positioning will undergo a structural shift, cementing their enduring role in the U.S. energy matrix.</w:t>
      </w:r>
    </w:p>
    <w:p w14:paraId="66785FBD" w14:textId="77777777" w:rsidR="00821D1C" w:rsidRDefault="00000000">
      <w:pPr>
        <w:pBdr>
          <w:top w:val="nil"/>
          <w:left w:val="nil"/>
          <w:bottom w:val="nil"/>
          <w:right w:val="nil"/>
          <w:between w:val="nil"/>
        </w:pBdr>
      </w:pPr>
      <w:r>
        <w:t xml:space="preserve">Once SMRs and EGS achieve scale, they will operate as inflexible, must-run baseload generation due to their high capital expenditures and low marginal operating costs. </w:t>
      </w:r>
      <w:proofErr w:type="spellStart"/>
      <w:r>
        <w:t>VRE+Storage</w:t>
      </w:r>
      <w:proofErr w:type="spellEnd"/>
      <w:r>
        <w:t xml:space="preserve"> will transition to serving as the inframarginal baseload, providing the cheapest bulk energy </w:t>
      </w:r>
      <w:proofErr w:type="gramStart"/>
      <w:r>
        <w:t>during</w:t>
      </w:r>
      <w:proofErr w:type="gramEnd"/>
      <w:r>
        <w:t xml:space="preserve"> </w:t>
      </w:r>
      <w:proofErr w:type="gramStart"/>
      <w:r>
        <w:t>the majority of</w:t>
      </w:r>
      <w:proofErr w:type="gramEnd"/>
      <w:r>
        <w:t xml:space="preserve"> hours. The enduring value of these assets will be supported by two distinct, highly resilient markets:</w:t>
      </w:r>
    </w:p>
    <w:p w14:paraId="32FDBF89" w14:textId="77777777" w:rsidR="00821D1C" w:rsidRDefault="00000000">
      <w:pPr>
        <w:numPr>
          <w:ilvl w:val="0"/>
          <w:numId w:val="2"/>
        </w:numPr>
        <w:pBdr>
          <w:top w:val="nil"/>
          <w:left w:val="nil"/>
          <w:bottom w:val="nil"/>
          <w:right w:val="nil"/>
          <w:between w:val="nil"/>
        </w:pBdr>
      </w:pPr>
      <w:r>
        <w:rPr>
          <w:b/>
          <w:bCs/>
        </w:rPr>
        <w:t>Renewable Portfolio Standards (RPS) and State Mandates:</w:t>
      </w:r>
      <w:r>
        <w:t xml:space="preserve"> Regulated utilities and Load Serving Entities (LSEs) across numerous states are bound by aggressive statutory RPS requirements. Programs such as </w:t>
      </w:r>
      <w:r>
        <w:lastRenderedPageBreak/>
        <w:t>the Solar Renewable Portfolio Standard (SRPS) mandate the procurement of specific volumes of solar capacity, generating Compliance Premiums and RECs independent of wholesale energy prices. The legislative momentum toward zero-emission electric grids (e.g., New York's mandate by 2040) guarantees a continuous, captive market for VRE capacity.</w:t>
      </w:r>
    </w:p>
    <w:p w14:paraId="4BA9B77F" w14:textId="77777777" w:rsidR="00821D1C" w:rsidRDefault="00000000">
      <w:pPr>
        <w:numPr>
          <w:ilvl w:val="0"/>
          <w:numId w:val="2"/>
        </w:numPr>
        <w:pBdr>
          <w:top w:val="nil"/>
          <w:left w:val="nil"/>
          <w:bottom w:val="nil"/>
          <w:right w:val="nil"/>
          <w:between w:val="nil"/>
        </w:pBdr>
      </w:pPr>
      <w:r>
        <w:rPr>
          <w:b/>
          <w:bCs/>
        </w:rPr>
        <w:t>Corporate Voluntary and C&amp;I Markets:</w:t>
      </w:r>
      <w:r>
        <w:t xml:space="preserve"> While </w:t>
      </w:r>
      <w:proofErr w:type="spellStart"/>
      <w:r>
        <w:t>hyperscalers</w:t>
      </w:r>
      <w:proofErr w:type="spellEnd"/>
      <w:r>
        <w:t xml:space="preserve"> are pioneering 24/7 CFE, the broader Commercial and Industrial (C&amp;I) sector, representing thousands of </w:t>
      </w:r>
      <w:proofErr w:type="gramStart"/>
      <w:r>
        <w:t>Fortune</w:t>
      </w:r>
      <w:proofErr w:type="gramEnd"/>
      <w:r>
        <w:t xml:space="preserve"> 500 companies, will continue to rely on traditional, highly cost-effective annual volumetric matching for the foreseeable future. Furthermore, even for entities pursuing hourly matching, </w:t>
      </w:r>
      <w:proofErr w:type="spellStart"/>
      <w:r>
        <w:t>VRE+Storage</w:t>
      </w:r>
      <w:proofErr w:type="spellEnd"/>
      <w:r>
        <w:t xml:space="preserve"> remains the most cost-effective mechanism to satisfy the first 80% to 90% of their hourly profile. Clean Firm technologies will only be procured to fill the final, most difficult gaps. Therefore, a mature </w:t>
      </w:r>
      <w:proofErr w:type="spellStart"/>
      <w:r>
        <w:t>VRE+Storage</w:t>
      </w:r>
      <w:proofErr w:type="spellEnd"/>
      <w:r>
        <w:t xml:space="preserve"> portfolio will always possess deep liquidity in the bilateral PPA market.</w:t>
      </w:r>
    </w:p>
    <w:p w14:paraId="48F15CFA" w14:textId="77777777" w:rsidR="00821D1C" w:rsidRDefault="00000000">
      <w:pPr>
        <w:pStyle w:val="Heading2"/>
      </w:pPr>
      <w:r>
        <w:t>Part VII: Capacity Markets and the Premium Valuation of Interconnection Queues</w:t>
      </w:r>
    </w:p>
    <w:p w14:paraId="6E88B47D" w14:textId="77777777" w:rsidR="00821D1C" w:rsidRDefault="00000000">
      <w:pPr>
        <w:pBdr>
          <w:top w:val="nil"/>
          <w:left w:val="nil"/>
          <w:bottom w:val="nil"/>
          <w:right w:val="nil"/>
          <w:between w:val="nil"/>
        </w:pBdr>
        <w:spacing w:after="240"/>
      </w:pPr>
      <w:r>
        <w:t xml:space="preserve">With the enduring dominance and long-term viability of </w:t>
      </w:r>
      <w:proofErr w:type="spellStart"/>
      <w:r>
        <w:t>VRE+Storage</w:t>
      </w:r>
      <w:proofErr w:type="spellEnd"/>
      <w:r>
        <w:t xml:space="preserve"> established, evaluating a developer requires analyzing immediate market mechanics—specifically, the immense financial value currently attributed to mature grid interconnection positions. A developer is functionally only as valuable as its ability to successfully clear the queue and connect to the grid.</w:t>
      </w:r>
    </w:p>
    <w:p w14:paraId="0D811F2B" w14:textId="77777777" w:rsidR="00821D1C" w:rsidRDefault="00000000">
      <w:pPr>
        <w:pStyle w:val="Heading3"/>
        <w:spacing w:before="0"/>
      </w:pPr>
      <w:r>
        <w:t>7.1 The PJM Capacity Crisis and the Cost of Delay</w:t>
      </w:r>
    </w:p>
    <w:p w14:paraId="2D955C8F" w14:textId="77777777" w:rsidR="00821D1C" w:rsidRDefault="00000000">
      <w:pPr>
        <w:pBdr>
          <w:top w:val="nil"/>
          <w:left w:val="nil"/>
          <w:bottom w:val="nil"/>
          <w:right w:val="nil"/>
          <w:between w:val="nil"/>
        </w:pBdr>
      </w:pPr>
      <w:r>
        <w:t>The PJM Interconnection provides the clearest, most actionable illustration of grid scarcity translating directly into extreme financial value. In the 2027/2028 Base Residual Auction (BRA), PJM procured capacity at the absolute FERC-approved price cap of $333.44/MW-day (UCAP) for the entire footprint. The auction cleared short of PJM's reliability requirement by 6,623 MW, exposing a systemic inability of supply to meet data center-driven demand growth.</w:t>
      </w:r>
    </w:p>
    <w:p w14:paraId="560CACAB" w14:textId="77777777" w:rsidR="00821D1C" w:rsidRDefault="00000000">
      <w:pPr>
        <w:pBdr>
          <w:top w:val="nil"/>
          <w:left w:val="nil"/>
          <w:bottom w:val="nil"/>
          <w:right w:val="nil"/>
          <w:between w:val="nil"/>
        </w:pBdr>
        <w:spacing w:after="240"/>
      </w:pPr>
      <w:r>
        <w:t>Without this price collar, estimates suggest prices would have cleared at an astonishing $388.57/MW-day. At the capped $333.44/MW-day, a 100 MW battery storage asset with a conservative 30% Effective Load Carrying Capability (ELCC) generates over $3.6 million in annualized, highly contracted capacity revenue. This guaranteed capacity payment drastically lowers the hurdle rate required from volatile merchant energy arbitrage, de-risking the project's debt profile. Total capacity payments for the PJM region reached over $14 billion in the previous auction, underscoring the massive capital flow available to operational assets.</w:t>
      </w:r>
    </w:p>
    <w:p w14:paraId="3F490A57" w14:textId="77777777" w:rsidR="00821D1C" w:rsidRDefault="00000000">
      <w:pPr>
        <w:pStyle w:val="Heading3"/>
        <w:spacing w:before="0"/>
      </w:pPr>
      <w:r>
        <w:t>7.2 The Asset Value of a Signed Interconnection Agreement (IA)</w:t>
      </w:r>
    </w:p>
    <w:p w14:paraId="701E8CDC" w14:textId="77777777" w:rsidR="00821D1C" w:rsidRDefault="00000000">
      <w:pPr>
        <w:pBdr>
          <w:top w:val="nil"/>
          <w:left w:val="nil"/>
          <w:bottom w:val="nil"/>
          <w:right w:val="nil"/>
          <w:between w:val="nil"/>
        </w:pBdr>
      </w:pPr>
      <w:r>
        <w:t>The root cause of this capacity shortfall is the severely congested and dysfunctional interconnection queue. PJM's inability to efficiently process new generation applications cost consumers an estimated $7 billion to $14.7 billion in elevated capacity prices in recent auctions. While PJM is attempting to transition to a reformed interconnection process, the backlog remains immense, with 38 GW of projects possessing signed agreements that have not proceeded to construction due to supply chain and financing hurdles.</w:t>
      </w:r>
    </w:p>
    <w:p w14:paraId="5F0ECB48" w14:textId="77777777" w:rsidR="00821D1C" w:rsidRDefault="00000000">
      <w:pPr>
        <w:pBdr>
          <w:top w:val="nil"/>
          <w:left w:val="nil"/>
          <w:bottom w:val="nil"/>
          <w:right w:val="nil"/>
          <w:between w:val="nil"/>
        </w:pBdr>
      </w:pPr>
      <w:r>
        <w:t>Consequently, a signed Interconnection Agreement (IA) has transformed from a mere procedural milestone into a highly monetizable, premium asset. ERCOT, for instance, heavily differentiates in its modeling between planned capacity with a signed IA and speculative queue entries, recognizing the IA as the primary indicator of project viability.</w:t>
      </w:r>
    </w:p>
    <w:p w14:paraId="559970A2" w14:textId="77777777" w:rsidR="00821D1C" w:rsidRDefault="00000000">
      <w:pPr>
        <w:pBdr>
          <w:top w:val="nil"/>
          <w:left w:val="nil"/>
          <w:bottom w:val="nil"/>
          <w:right w:val="nil"/>
          <w:between w:val="nil"/>
        </w:pBdr>
        <w:spacing w:after="225"/>
      </w:pPr>
      <w:r>
        <w:t xml:space="preserve">For a Private Equity sponsor, acquiring a developer is essentially an acquisition of their interconnection queue position. A pipeline boasting 10 GW of capacity is functionally worthless if it is mired in early-stage feasibility studies and faces multi-year delays. Conversely, a developer with a high concentration of late-stage projects possessing signed IAs in constrained Locational Deliverability Areas (LDAs) commands a massive acquisition premium. These projects are the only near-term mechanisms capable of capturing ceiling capacity prices and executing lucrative </w:t>
      </w:r>
      <w:proofErr w:type="spellStart"/>
      <w:r>
        <w:t>hyperscaler</w:t>
      </w:r>
      <w:proofErr w:type="spellEnd"/>
      <w:r>
        <w:t xml:space="preserve"> PPAs in the 2025–2030 window.</w:t>
      </w:r>
    </w:p>
    <w:p w14:paraId="7A82CAC5" w14:textId="77777777" w:rsidR="00821D1C" w:rsidRDefault="00000000">
      <w:pPr>
        <w:pStyle w:val="Heading2"/>
        <w:spacing w:before="0"/>
      </w:pPr>
      <w:r>
        <w:lastRenderedPageBreak/>
        <w:t>Part VIII: Strategic M&amp;A Framework: Conditions for Developer Acquisition</w:t>
      </w:r>
    </w:p>
    <w:p w14:paraId="06A9D231" w14:textId="77777777" w:rsidR="00821D1C" w:rsidRDefault="00000000">
      <w:pPr>
        <w:pBdr>
          <w:top w:val="nil"/>
          <w:left w:val="nil"/>
          <w:bottom w:val="nil"/>
          <w:right w:val="nil"/>
          <w:between w:val="nil"/>
        </w:pBdr>
        <w:spacing w:after="240"/>
      </w:pPr>
      <w:r>
        <w:t>To maintain investable IRRs, the acquired developer’s pipeline must align with stringent technical, contractual, and geographic parameters. The transaction makes financial sense strictly under the following conditions:</w:t>
      </w:r>
    </w:p>
    <w:p w14:paraId="3BF1678F" w14:textId="77777777" w:rsidR="00821D1C" w:rsidRDefault="00000000">
      <w:pPr>
        <w:pStyle w:val="Heading3"/>
        <w:spacing w:before="0"/>
      </w:pPr>
      <w:r>
        <w:t>8.1 Geography: Targeting Constrained Hubs and Nodal Scarcity</w:t>
      </w:r>
    </w:p>
    <w:p w14:paraId="371EB6E9" w14:textId="77777777" w:rsidR="00821D1C" w:rsidRDefault="00000000">
      <w:pPr>
        <w:pBdr>
          <w:top w:val="nil"/>
          <w:left w:val="nil"/>
          <w:bottom w:val="nil"/>
          <w:right w:val="nil"/>
          <w:between w:val="nil"/>
        </w:pBdr>
      </w:pPr>
      <w:r>
        <w:t xml:space="preserve">The optimal geographic footprint targets RTOs experiencing the dual pressures of severe </w:t>
      </w:r>
      <w:proofErr w:type="spellStart"/>
      <w:r>
        <w:t>hyperscaler</w:t>
      </w:r>
      <w:proofErr w:type="spellEnd"/>
      <w:r>
        <w:t xml:space="preserve"> load growth and thermal plant retirements:</w:t>
      </w:r>
    </w:p>
    <w:p w14:paraId="305BD9F1" w14:textId="77777777" w:rsidR="00821D1C" w:rsidRDefault="00000000">
      <w:pPr>
        <w:numPr>
          <w:ilvl w:val="0"/>
          <w:numId w:val="3"/>
        </w:numPr>
        <w:pBdr>
          <w:top w:val="nil"/>
          <w:left w:val="nil"/>
          <w:bottom w:val="nil"/>
          <w:right w:val="nil"/>
          <w:between w:val="nil"/>
        </w:pBdr>
      </w:pPr>
      <w:r>
        <w:rPr>
          <w:b/>
          <w:bCs/>
        </w:rPr>
        <w:t>PJM Interconnection (Dominion, AEP, and PPL Zones):</w:t>
      </w:r>
      <w:r>
        <w:t xml:space="preserve"> Virginia is forecasted to see 30 GW of new large load. The PPL zone in Pennsylvania has already seen over 2.5 GW of data center PPAs signed, dramatically altering the local load forecast. Developers with mature assets in these specific LDAs are prime acquisition targets.</w:t>
      </w:r>
    </w:p>
    <w:p w14:paraId="4EC4CF76" w14:textId="77777777" w:rsidR="00821D1C" w:rsidRDefault="00000000">
      <w:pPr>
        <w:numPr>
          <w:ilvl w:val="0"/>
          <w:numId w:val="3"/>
        </w:numPr>
        <w:pBdr>
          <w:top w:val="nil"/>
          <w:left w:val="nil"/>
          <w:bottom w:val="nil"/>
          <w:right w:val="nil"/>
          <w:between w:val="nil"/>
        </w:pBdr>
      </w:pPr>
      <w:r>
        <w:rPr>
          <w:b/>
          <w:bCs/>
        </w:rPr>
        <w:t>ERCOT (Texas):</w:t>
      </w:r>
      <w:r>
        <w:t xml:space="preserve"> Despite basis risk and zero-pricing hours for solar, ERCOT's energy-only market provides immense upside for storage assets during scarcity events. The rapid proliferation of BESS tolling agreements provides necessary downside protection, making Texas a highly liquid market for hybrid development.</w:t>
      </w:r>
    </w:p>
    <w:p w14:paraId="6F57C4B2" w14:textId="77777777" w:rsidR="00821D1C" w:rsidRDefault="00000000">
      <w:pPr>
        <w:numPr>
          <w:ilvl w:val="0"/>
          <w:numId w:val="3"/>
        </w:numPr>
        <w:pBdr>
          <w:top w:val="nil"/>
          <w:left w:val="nil"/>
          <w:bottom w:val="nil"/>
          <w:right w:val="nil"/>
          <w:between w:val="nil"/>
        </w:pBdr>
      </w:pPr>
      <w:r>
        <w:rPr>
          <w:b/>
          <w:bCs/>
        </w:rPr>
        <w:t>CAISO and SPP (Secondary Targets):</w:t>
      </w:r>
      <w:r>
        <w:t xml:space="preserve"> While CAISO faces massive solar curtailment, its resource adequacy (RA) contracts for storage offer highly stable, bond-like returns. SPP provides excellent wind resources but suffers from severe transmission constraints, making local load co-location highly lucrative.</w:t>
      </w:r>
    </w:p>
    <w:p w14:paraId="1521D0E9" w14:textId="77777777" w:rsidR="00821D1C" w:rsidRDefault="00000000">
      <w:pPr>
        <w:pStyle w:val="Heading3"/>
      </w:pPr>
      <w:r>
        <w:t>8.2 Pipeline Composition: The Centrality of Storage and Optionality</w:t>
      </w:r>
    </w:p>
    <w:p w14:paraId="4D583204" w14:textId="77777777" w:rsidR="00821D1C" w:rsidRDefault="00000000">
      <w:pPr>
        <w:pBdr>
          <w:top w:val="nil"/>
          <w:left w:val="nil"/>
          <w:bottom w:val="nil"/>
          <w:right w:val="nil"/>
          <w:between w:val="nil"/>
        </w:pBdr>
      </w:pPr>
      <w:r>
        <w:t xml:space="preserve">As established, standalone VRE is </w:t>
      </w:r>
      <w:proofErr w:type="spellStart"/>
      <w:r>
        <w:t>uninvestable</w:t>
      </w:r>
      <w:proofErr w:type="spellEnd"/>
      <w:r>
        <w:t xml:space="preserve"> in mature markets due to LMP cannibalization. Therefore, the target developer’s pipeline must be stringently evaluated on its storage integration:</w:t>
      </w:r>
    </w:p>
    <w:p w14:paraId="4B83A635" w14:textId="77777777" w:rsidR="00821D1C" w:rsidRDefault="00000000">
      <w:pPr>
        <w:numPr>
          <w:ilvl w:val="0"/>
          <w:numId w:val="4"/>
        </w:numPr>
        <w:pBdr>
          <w:top w:val="nil"/>
          <w:left w:val="nil"/>
          <w:bottom w:val="nil"/>
          <w:right w:val="nil"/>
          <w:between w:val="nil"/>
        </w:pBdr>
      </w:pPr>
      <w:r>
        <w:rPr>
          <w:b/>
          <w:bCs/>
        </w:rPr>
        <w:t>High Storage Attachment Rates:</w:t>
      </w:r>
      <w:r>
        <w:t xml:space="preserve"> 100% of new solar projects and a significant majority of wind projects in the pipeline must be hybridized with BESS. The platform must possess deep in-house expertise in battery dispatch optimization, degradation modeling, and cell procurement. Standalone VRE pipelines should be heavily discounted, or entirely written off, in the valuation model.</w:t>
      </w:r>
    </w:p>
    <w:p w14:paraId="148C2888" w14:textId="77777777" w:rsidR="00821D1C" w:rsidRDefault="00000000">
      <w:pPr>
        <w:numPr>
          <w:ilvl w:val="0"/>
          <w:numId w:val="4"/>
        </w:numPr>
        <w:pBdr>
          <w:top w:val="nil"/>
          <w:left w:val="nil"/>
          <w:bottom w:val="nil"/>
          <w:right w:val="nil"/>
          <w:between w:val="nil"/>
        </w:pBdr>
      </w:pPr>
      <w:r>
        <w:rPr>
          <w:b/>
          <w:bCs/>
        </w:rPr>
        <w:t>Duration Scaling Architecture:</w:t>
      </w:r>
      <w:r>
        <w:t xml:space="preserve"> The pipeline must be engineered to easily augment or accommodate 8-hour storage. As the market transitions toward 24/7 CFE matching, the marginal value of 8-hour storage increases exponentially to firm generation through deep overnight hours.</w:t>
      </w:r>
    </w:p>
    <w:p w14:paraId="5FFBA4BF" w14:textId="77777777" w:rsidR="00821D1C" w:rsidRDefault="00000000">
      <w:pPr>
        <w:numPr>
          <w:ilvl w:val="0"/>
          <w:numId w:val="4"/>
        </w:numPr>
        <w:pBdr>
          <w:top w:val="nil"/>
          <w:left w:val="nil"/>
          <w:bottom w:val="nil"/>
          <w:right w:val="nil"/>
          <w:between w:val="nil"/>
        </w:pBdr>
      </w:pPr>
      <w:r>
        <w:rPr>
          <w:b/>
          <w:bCs/>
        </w:rPr>
        <w:t>Contractual Sophistication:</w:t>
      </w:r>
      <w:r>
        <w:t xml:space="preserve"> The developer must possess the internal commercial origination capabilities to execute sophisticated offtake structures, moving beyond standard volumetric RECs toward bespoke, 24/7 CFE virtual power purchase agreements (</w:t>
      </w:r>
      <w:proofErr w:type="spellStart"/>
      <w:r>
        <w:t>vPPAs</w:t>
      </w:r>
      <w:proofErr w:type="spellEnd"/>
      <w:r>
        <w:t>) or BESS tolling agreements. The optimal contract profile features "Floor + Revenue Share" tolling agreements with investment-grade tech counterparties, ensuring debt service while retaining equity upside during scarcity events.</w:t>
      </w:r>
    </w:p>
    <w:p w14:paraId="53EC2E31" w14:textId="77777777" w:rsidR="00821D1C" w:rsidRDefault="00000000">
      <w:pPr>
        <w:pStyle w:val="Heading2"/>
      </w:pPr>
      <w:r>
        <w:t>Part IX: Conclusion</w:t>
      </w:r>
    </w:p>
    <w:p w14:paraId="26B502D7" w14:textId="77777777" w:rsidR="00821D1C" w:rsidRDefault="00000000">
      <w:pPr>
        <w:pBdr>
          <w:top w:val="nil"/>
          <w:left w:val="nil"/>
          <w:bottom w:val="nil"/>
          <w:right w:val="nil"/>
          <w:between w:val="nil"/>
        </w:pBdr>
      </w:pPr>
      <w:r>
        <w:t xml:space="preserve">The convergence of hyperscale AI infrastructure deployment, the corporate mandate for 24/7 Carbon-Free Energy, and systemic grid scarcity has created a highly lucrative, yet operationally complex, environment for renewable energy development. The empirical data strongly supports the hypothesis that the corporate Willingness to Pay a "Green Premium" for firm, clean power can more than offset the revenue decay caused by LMP cannibalization—provided the assets are hybridized with energy storage and structured with sophisticated tolling mechanisms. Furthermore, the application of Wright's Law definitively proves that "Clean Firm" alternatives like SMRs and EGS will not achieve scalable cost parity to threaten </w:t>
      </w:r>
      <w:proofErr w:type="spellStart"/>
      <w:r>
        <w:t>VRE+Storage</w:t>
      </w:r>
      <w:proofErr w:type="spellEnd"/>
      <w:r>
        <w:t xml:space="preserve"> until well into the 2040s, ensuring a highly secure, multi-decade investment runway.</w:t>
      </w:r>
    </w:p>
    <w:p w14:paraId="093AC14F" w14:textId="77777777" w:rsidR="00821D1C" w:rsidRDefault="00000000">
      <w:pPr>
        <w:pBdr>
          <w:top w:val="nil"/>
          <w:left w:val="nil"/>
          <w:bottom w:val="nil"/>
          <w:right w:val="nil"/>
          <w:between w:val="nil"/>
        </w:pBdr>
        <w:spacing w:after="255"/>
      </w:pPr>
      <w:r>
        <w:t xml:space="preserve">By rigorously enforcing M&amp;A screening criteria focused on storage centricity, interconnection maturity, and off-taker sophistication, a Private Equity sponsor can acquire a developer platform capable of capturing the unprecedented capital flows of the digital infrastructure boom. This strategy effectively shields returns from </w:t>
      </w:r>
      <w:r>
        <w:lastRenderedPageBreak/>
        <w:t>wholesale market cannibalization and secures highly resilient, contracted cash flows through the next two decades of the macroeconomic energy transition.</w:t>
      </w:r>
    </w:p>
    <w:p w14:paraId="2E16A6F4" w14:textId="77777777" w:rsidR="00821D1C" w:rsidRDefault="00000000">
      <w:pPr>
        <w:pStyle w:val="Heading4"/>
        <w:spacing w:before="0"/>
      </w:pPr>
      <w:r>
        <w:t>Works cited</w:t>
      </w:r>
    </w:p>
    <w:p w14:paraId="1815A533" w14:textId="77777777" w:rsidR="006303E2" w:rsidRDefault="00000000">
      <w:pPr>
        <w:pBdr>
          <w:top w:val="nil"/>
          <w:left w:val="nil"/>
          <w:bottom w:val="nil"/>
          <w:right w:val="nil"/>
          <w:between w:val="nil"/>
        </w:pBdr>
      </w:pPr>
      <w:r>
        <w:t xml:space="preserve">1. How data </w:t>
      </w:r>
      <w:proofErr w:type="spellStart"/>
      <w:r>
        <w:t>centres</w:t>
      </w:r>
      <w:proofErr w:type="spellEnd"/>
      <w:r>
        <w:t xml:space="preserve"> can avoid doubling their energy use by 2030 | World Economic Forum, https://www.weforum.org/stories/2025/12/data-centres-and-energy-demand/ </w:t>
      </w:r>
    </w:p>
    <w:p w14:paraId="77DFDF8C" w14:textId="48CFB5A1" w:rsidR="006303E2" w:rsidRDefault="00000000">
      <w:pPr>
        <w:pBdr>
          <w:top w:val="nil"/>
          <w:left w:val="nil"/>
          <w:bottom w:val="nil"/>
          <w:right w:val="nil"/>
          <w:between w:val="nil"/>
        </w:pBdr>
      </w:pPr>
      <w:r>
        <w:t xml:space="preserve">2. AI to drive 165% increase in data center power demand by 2030 | Goldman Sachs, </w:t>
      </w:r>
      <w:hyperlink r:id="rId5" w:history="1">
        <w:r w:rsidR="006303E2" w:rsidRPr="00632862">
          <w:rPr>
            <w:rStyle w:val="Hyperlink"/>
          </w:rPr>
          <w:t>https://www.goldmansachs.com/insights/articles/ai-to-drive-165-increase-in-data-center-power-demand-by-2030</w:t>
        </w:r>
      </w:hyperlink>
      <w:r>
        <w:t xml:space="preserve"> </w:t>
      </w:r>
    </w:p>
    <w:p w14:paraId="0A4698E4" w14:textId="326A6115" w:rsidR="006303E2" w:rsidRDefault="00000000">
      <w:pPr>
        <w:pBdr>
          <w:top w:val="nil"/>
          <w:left w:val="nil"/>
          <w:bottom w:val="nil"/>
          <w:right w:val="nil"/>
          <w:between w:val="nil"/>
        </w:pBdr>
      </w:pPr>
      <w:r>
        <w:t xml:space="preserve">3. AI and the Power Grid: Where the Rubber Meets the Road ..., </w:t>
      </w:r>
      <w:hyperlink r:id="rId6" w:history="1">
        <w:r w:rsidR="006303E2" w:rsidRPr="00632862">
          <w:rPr>
            <w:rStyle w:val="Hyperlink"/>
          </w:rPr>
          <w:t>https://about.bnef.com/insights/clean-energy/ai-and-the-power-grid-where-the-rubber-meets-the-road/</w:t>
        </w:r>
      </w:hyperlink>
      <w:r>
        <w:t xml:space="preserve"> </w:t>
      </w:r>
    </w:p>
    <w:p w14:paraId="09519B07" w14:textId="5AE636F9" w:rsidR="006303E2" w:rsidRDefault="00000000">
      <w:pPr>
        <w:pBdr>
          <w:top w:val="nil"/>
          <w:left w:val="nil"/>
          <w:bottom w:val="nil"/>
          <w:right w:val="nil"/>
          <w:between w:val="nil"/>
        </w:pBdr>
      </w:pPr>
      <w:r>
        <w:t xml:space="preserve">4. Infographic: CAISO and ERCOT Power Forecasts by the Hour, </w:t>
      </w:r>
      <w:hyperlink r:id="rId7" w:history="1">
        <w:r w:rsidR="006303E2" w:rsidRPr="00632862">
          <w:rPr>
            <w:rStyle w:val="Hyperlink"/>
          </w:rPr>
          <w:t>https://pages.marketintelligence.spglobal.com/CAISO-and-ERCOT-Power-forecasts-by-the-hour-WS.html</w:t>
        </w:r>
      </w:hyperlink>
      <w:r>
        <w:t xml:space="preserve"> </w:t>
      </w:r>
    </w:p>
    <w:p w14:paraId="3909D97C" w14:textId="4E6BF8AD" w:rsidR="006303E2" w:rsidRDefault="00000000">
      <w:pPr>
        <w:pBdr>
          <w:top w:val="nil"/>
          <w:left w:val="nil"/>
          <w:bottom w:val="nil"/>
          <w:right w:val="nil"/>
          <w:between w:val="nil"/>
        </w:pBdr>
      </w:pPr>
      <w:r>
        <w:t xml:space="preserve">5. Capacity Constraints in PJM have Grown Beyond Dominion, </w:t>
      </w:r>
      <w:hyperlink r:id="rId8" w:history="1">
        <w:r w:rsidR="006303E2" w:rsidRPr="00632862">
          <w:rPr>
            <w:rStyle w:val="Hyperlink"/>
          </w:rPr>
          <w:t>https://blog.gridstatus.io/pjm-ppl-capacity-constraints-datacenters/</w:t>
        </w:r>
      </w:hyperlink>
      <w:r>
        <w:t xml:space="preserve"> </w:t>
      </w:r>
    </w:p>
    <w:p w14:paraId="325C4AD1" w14:textId="2CD0CCFB" w:rsidR="006303E2" w:rsidRDefault="00000000">
      <w:pPr>
        <w:pBdr>
          <w:top w:val="nil"/>
          <w:left w:val="nil"/>
          <w:bottom w:val="nil"/>
          <w:right w:val="nil"/>
          <w:between w:val="nil"/>
        </w:pBdr>
      </w:pPr>
      <w:r>
        <w:t xml:space="preserve">6. Brattle 2025 CONE Report for PJM - PJM.com, https://www.pjm.com/-/media/DotCom/committees-groups/committees/mic/2025/20250411-special/item-1-02-revised-cone-report-final.pdf 7. Late-Stage Project Values and Renewable Energy PPAs, </w:t>
      </w:r>
      <w:hyperlink r:id="rId9" w:history="1">
        <w:r w:rsidR="006303E2" w:rsidRPr="00632862">
          <w:rPr>
            <w:rStyle w:val="Hyperlink"/>
          </w:rPr>
          <w:t>https://www.ascendanalytics.com/blog/late-stage-project-values-and-renewable-energy-ppas</w:t>
        </w:r>
      </w:hyperlink>
      <w:r>
        <w:t xml:space="preserve"> </w:t>
      </w:r>
    </w:p>
    <w:p w14:paraId="42D1376B" w14:textId="6DCC1C63" w:rsidR="006303E2" w:rsidRDefault="00000000">
      <w:pPr>
        <w:pBdr>
          <w:top w:val="nil"/>
          <w:left w:val="nil"/>
          <w:bottom w:val="nil"/>
          <w:right w:val="nil"/>
          <w:between w:val="nil"/>
        </w:pBdr>
      </w:pPr>
      <w:r>
        <w:t xml:space="preserve">8. Exploring the 24/7 carbon-free energy (CFE) ecosystem - the future ..., </w:t>
      </w:r>
      <w:hyperlink r:id="rId10" w:history="1">
        <w:r w:rsidR="006303E2" w:rsidRPr="00632862">
          <w:rPr>
            <w:rStyle w:val="Hyperlink"/>
          </w:rPr>
          <w:t>https://www.eurelectric.org/in-detail/exploring-the-24-7-carbon-free-energy-cfe-ecosystem-the-future-of-corporate-procurement/</w:t>
        </w:r>
      </w:hyperlink>
      <w:r>
        <w:t xml:space="preserve"> </w:t>
      </w:r>
    </w:p>
    <w:p w14:paraId="66959CF8" w14:textId="22C98F11" w:rsidR="006303E2" w:rsidRDefault="00000000">
      <w:pPr>
        <w:pBdr>
          <w:top w:val="nil"/>
          <w:left w:val="nil"/>
          <w:bottom w:val="nil"/>
          <w:right w:val="nil"/>
          <w:between w:val="nil"/>
        </w:pBdr>
      </w:pPr>
      <w:r>
        <w:t xml:space="preserve">9. Small Modular Reactors: A Realist Approach to the Future of Nuclear Power | ITIF, </w:t>
      </w:r>
      <w:hyperlink r:id="rId11" w:history="1">
        <w:r w:rsidR="006303E2" w:rsidRPr="00632862">
          <w:rPr>
            <w:rStyle w:val="Hyperlink"/>
          </w:rPr>
          <w:t>https://itif.org/publications/2025/04/14/small-modular-reactors-a-realist-approach-to-the-future-of-nuclear-power/</w:t>
        </w:r>
      </w:hyperlink>
      <w:r>
        <w:t xml:space="preserve"> </w:t>
      </w:r>
    </w:p>
    <w:p w14:paraId="01D7F634" w14:textId="38469B54" w:rsidR="006303E2" w:rsidRDefault="00000000">
      <w:pPr>
        <w:pBdr>
          <w:top w:val="nil"/>
          <w:left w:val="nil"/>
          <w:bottom w:val="nil"/>
          <w:right w:val="nil"/>
          <w:between w:val="nil"/>
        </w:pBdr>
      </w:pPr>
      <w:r>
        <w:t xml:space="preserve">10. Learning curves: What does </w:t>
      </w:r>
      <w:proofErr w:type="gramStart"/>
      <w:r>
        <w:t>it mean for a technology</w:t>
      </w:r>
      <w:proofErr w:type="gramEnd"/>
      <w:r>
        <w:t xml:space="preserve"> to follow Wright's Law? - Our World in Data, </w:t>
      </w:r>
      <w:hyperlink r:id="rId12" w:history="1">
        <w:r w:rsidR="006303E2" w:rsidRPr="00632862">
          <w:rPr>
            <w:rStyle w:val="Hyperlink"/>
          </w:rPr>
          <w:t>https://ourworldindata.org/learning-curve</w:t>
        </w:r>
      </w:hyperlink>
      <w:r>
        <w:t xml:space="preserve"> </w:t>
      </w:r>
    </w:p>
    <w:p w14:paraId="3D578552" w14:textId="759751B2" w:rsidR="006303E2" w:rsidRDefault="00000000">
      <w:pPr>
        <w:pBdr>
          <w:top w:val="nil"/>
          <w:left w:val="nil"/>
          <w:bottom w:val="nil"/>
          <w:right w:val="nil"/>
          <w:between w:val="nil"/>
        </w:pBdr>
      </w:pPr>
      <w:r>
        <w:t xml:space="preserve">11. Nuclear needs to be cost competitive with alternative power generation to enable net zero, </w:t>
      </w:r>
      <w:hyperlink r:id="rId13" w:history="1">
        <w:r w:rsidR="006303E2" w:rsidRPr="00632862">
          <w:rPr>
            <w:rStyle w:val="Hyperlink"/>
          </w:rPr>
          <w:t>https://www.woodmac.com/press-releases/nuclear-needs-to-be-cost-competitive-with--alternative-power-generation-to-enable-net-zero/</w:t>
        </w:r>
      </w:hyperlink>
      <w:r>
        <w:t xml:space="preserve"> </w:t>
      </w:r>
    </w:p>
    <w:p w14:paraId="365FD7D7" w14:textId="11C8C798" w:rsidR="006303E2" w:rsidRDefault="00000000">
      <w:pPr>
        <w:pBdr>
          <w:top w:val="nil"/>
          <w:left w:val="nil"/>
          <w:bottom w:val="nil"/>
          <w:right w:val="nil"/>
          <w:between w:val="nil"/>
        </w:pBdr>
      </w:pPr>
      <w:r>
        <w:t xml:space="preserve">12. LEVELIZED COST OF ENERGY+ - Lazard, </w:t>
      </w:r>
      <w:hyperlink r:id="rId14" w:history="1">
        <w:r w:rsidR="006303E2" w:rsidRPr="00632862">
          <w:rPr>
            <w:rStyle w:val="Hyperlink"/>
          </w:rPr>
          <w:t>https://www.lazard.com/media/uounhon4/lazards-lcoeplus-june-2025.pdf</w:t>
        </w:r>
      </w:hyperlink>
      <w:r>
        <w:t xml:space="preserve"> </w:t>
      </w:r>
    </w:p>
    <w:p w14:paraId="2211E937" w14:textId="6AB17EF1" w:rsidR="006303E2" w:rsidRDefault="00000000">
      <w:pPr>
        <w:pBdr>
          <w:top w:val="nil"/>
          <w:left w:val="nil"/>
          <w:bottom w:val="nil"/>
          <w:right w:val="nil"/>
          <w:between w:val="nil"/>
        </w:pBdr>
      </w:pPr>
      <w:r>
        <w:t xml:space="preserve">13. Part 1: The state of battery offtake and tolling agreements in ERCOT ..., </w:t>
      </w:r>
      <w:hyperlink r:id="rId15" w:history="1">
        <w:r w:rsidR="006303E2" w:rsidRPr="00632862">
          <w:rPr>
            <w:rStyle w:val="Hyperlink"/>
          </w:rPr>
          <w:t>https://modoenergy.com/research/en/battery-bess-offtake-tolling-agreements-route-market-contracts-ercot-explainer-part-one</w:t>
        </w:r>
      </w:hyperlink>
      <w:r>
        <w:t xml:space="preserve"> </w:t>
      </w:r>
    </w:p>
    <w:p w14:paraId="5289607E" w14:textId="727E59E1" w:rsidR="006303E2" w:rsidRDefault="00000000">
      <w:pPr>
        <w:pBdr>
          <w:top w:val="nil"/>
          <w:left w:val="nil"/>
          <w:bottom w:val="nil"/>
          <w:right w:val="nil"/>
          <w:between w:val="nil"/>
        </w:pBdr>
      </w:pPr>
      <w:r>
        <w:t xml:space="preserve">14. The journey to net-zero | LDES Council, </w:t>
      </w:r>
      <w:hyperlink r:id="rId16" w:history="1">
        <w:r w:rsidR="006303E2" w:rsidRPr="00632862">
          <w:rPr>
            <w:rStyle w:val="Hyperlink"/>
          </w:rPr>
          <w:t>https://ldescouncil.com/wp-content/uploads/2025/05/journey-to-net-zero-june2022.pdf</w:t>
        </w:r>
      </w:hyperlink>
      <w:r>
        <w:t xml:space="preserve"> </w:t>
      </w:r>
    </w:p>
    <w:p w14:paraId="7EE0523C" w14:textId="3EAA1346" w:rsidR="006303E2" w:rsidRDefault="00000000">
      <w:pPr>
        <w:pBdr>
          <w:top w:val="nil"/>
          <w:left w:val="nil"/>
          <w:bottom w:val="nil"/>
          <w:right w:val="nil"/>
          <w:between w:val="nil"/>
        </w:pBdr>
      </w:pPr>
      <w:r>
        <w:t xml:space="preserve">15. Quantifying Power Demand from Artificial Intelligence | Breckinridge Capital Advisors, </w:t>
      </w:r>
      <w:hyperlink r:id="rId17" w:history="1">
        <w:r w:rsidR="006303E2" w:rsidRPr="00632862">
          <w:rPr>
            <w:rStyle w:val="Hyperlink"/>
          </w:rPr>
          <w:t>https://www.breckinridge.com/insights/details/quantifying-power-demand-from-artificial-intelligence/</w:t>
        </w:r>
      </w:hyperlink>
      <w:r>
        <w:t xml:space="preserve"> </w:t>
      </w:r>
    </w:p>
    <w:p w14:paraId="3FB45DC1" w14:textId="1549F4CF" w:rsidR="006303E2" w:rsidRDefault="00000000">
      <w:pPr>
        <w:pBdr>
          <w:top w:val="nil"/>
          <w:left w:val="nil"/>
          <w:bottom w:val="nil"/>
          <w:right w:val="nil"/>
          <w:between w:val="nil"/>
        </w:pBdr>
      </w:pPr>
      <w:r>
        <w:t xml:space="preserve">16. Navigating the US data center power crunch: On-site solutions offer a faster path to power, </w:t>
      </w:r>
      <w:hyperlink r:id="rId18" w:history="1">
        <w:r w:rsidR="006303E2" w:rsidRPr="00632862">
          <w:rPr>
            <w:rStyle w:val="Hyperlink"/>
          </w:rPr>
          <w:t>https://www.spglobal.com/en/research-insights/special-reports/look-forward/data-center-frontiers/navigating-us-data-center-energy-demand</w:t>
        </w:r>
      </w:hyperlink>
      <w:r>
        <w:t xml:space="preserve"> </w:t>
      </w:r>
    </w:p>
    <w:p w14:paraId="1D3B7E66" w14:textId="051A03D3" w:rsidR="006303E2" w:rsidRDefault="00000000">
      <w:pPr>
        <w:pBdr>
          <w:top w:val="nil"/>
          <w:left w:val="nil"/>
          <w:bottom w:val="nil"/>
          <w:right w:val="nil"/>
          <w:between w:val="nil"/>
        </w:pBdr>
      </w:pPr>
      <w:r>
        <w:t xml:space="preserve">17. US utility large load commitments reach 160 GW amid unprecedented PJM demand surge | Wood Mackenzie, </w:t>
      </w:r>
      <w:hyperlink r:id="rId19" w:history="1">
        <w:r w:rsidR="006303E2" w:rsidRPr="00632862">
          <w:rPr>
            <w:rStyle w:val="Hyperlink"/>
          </w:rPr>
          <w:t>https://www.woodmac.com/press-releases/us-utility-large-load-commitments-reach-160-gw-amid-unprecedented-pjm-demand-surge/</w:t>
        </w:r>
      </w:hyperlink>
      <w:r>
        <w:t xml:space="preserve"> </w:t>
      </w:r>
    </w:p>
    <w:p w14:paraId="3C854F40" w14:textId="4D003D46" w:rsidR="006303E2" w:rsidRDefault="00000000">
      <w:pPr>
        <w:pBdr>
          <w:top w:val="nil"/>
          <w:left w:val="nil"/>
          <w:bottom w:val="nil"/>
          <w:right w:val="nil"/>
          <w:between w:val="nil"/>
        </w:pBdr>
      </w:pPr>
      <w:r>
        <w:lastRenderedPageBreak/>
        <w:t xml:space="preserve">18. 'Access to power' has become 'access to energy' | Wood Mackenzie, </w:t>
      </w:r>
      <w:hyperlink r:id="rId20" w:history="1">
        <w:r w:rsidR="006303E2" w:rsidRPr="00632862">
          <w:rPr>
            <w:rStyle w:val="Hyperlink"/>
          </w:rPr>
          <w:t>https://www.woodmac.com/news/opinion/access-to-power-has-become-access-to-energy2/</w:t>
        </w:r>
      </w:hyperlink>
      <w:r>
        <w:t xml:space="preserve"> </w:t>
      </w:r>
    </w:p>
    <w:p w14:paraId="367C7B4F" w14:textId="5E7C65FE" w:rsidR="006303E2" w:rsidRDefault="00000000">
      <w:pPr>
        <w:pBdr>
          <w:top w:val="nil"/>
          <w:left w:val="nil"/>
          <w:bottom w:val="nil"/>
          <w:right w:val="nil"/>
          <w:between w:val="nil"/>
        </w:pBdr>
      </w:pPr>
      <w:r>
        <w:t xml:space="preserve">19. How Microsoft Amazon Google and Meta Are Betting Billions on Nuclear Power for AI, </w:t>
      </w:r>
      <w:hyperlink r:id="rId21" w:history="1">
        <w:r w:rsidR="006303E2" w:rsidRPr="00632862">
          <w:rPr>
            <w:rStyle w:val="Hyperlink"/>
          </w:rPr>
          <w:t>https://www.softwareseni.com/how-microsoft-amazon-google-and-meta-are-betting-billions-on-nuclear-power-for-ai/</w:t>
        </w:r>
      </w:hyperlink>
      <w:r>
        <w:t xml:space="preserve"> </w:t>
      </w:r>
    </w:p>
    <w:p w14:paraId="278B6E25" w14:textId="28F7414B" w:rsidR="006303E2" w:rsidRDefault="00000000">
      <w:pPr>
        <w:pBdr>
          <w:top w:val="nil"/>
          <w:left w:val="nil"/>
          <w:bottom w:val="nil"/>
          <w:right w:val="nil"/>
          <w:between w:val="nil"/>
        </w:pBdr>
      </w:pPr>
      <w:r>
        <w:t xml:space="preserve">20. Amazon, Meta, Google, Microsoft Account for Half of Global Clean Energy Purchase Deals in 2025: Report - ESG Today, </w:t>
      </w:r>
      <w:hyperlink r:id="rId22" w:history="1">
        <w:r w:rsidR="006303E2" w:rsidRPr="00632862">
          <w:rPr>
            <w:rStyle w:val="Hyperlink"/>
          </w:rPr>
          <w:t>https://www.esgtoday.com/amazon-meta-google-microsoft-account-for-half-of-global-clean-energy-purchase-deals-in-2025-report/</w:t>
        </w:r>
      </w:hyperlink>
      <w:r>
        <w:t xml:space="preserve"> </w:t>
      </w:r>
    </w:p>
    <w:p w14:paraId="62D9B436" w14:textId="3FCBBF31" w:rsidR="006303E2" w:rsidRDefault="00000000">
      <w:pPr>
        <w:pBdr>
          <w:top w:val="nil"/>
          <w:left w:val="nil"/>
          <w:bottom w:val="nil"/>
          <w:right w:val="nil"/>
          <w:between w:val="nil"/>
        </w:pBdr>
      </w:pPr>
      <w:r>
        <w:t xml:space="preserve">21. Can US infrastructure keep up with the AI economy? - Deloitte, </w:t>
      </w:r>
      <w:hyperlink r:id="rId23" w:history="1">
        <w:r w:rsidR="006303E2" w:rsidRPr="00632862">
          <w:rPr>
            <w:rStyle w:val="Hyperlink"/>
          </w:rPr>
          <w:t>https://www.deloitte.com/us/en/insights/industry/power-and-utilities/data-center-infrastructure-artificial-intelligence.html</w:t>
        </w:r>
      </w:hyperlink>
      <w:r>
        <w:t xml:space="preserve"> </w:t>
      </w:r>
    </w:p>
    <w:p w14:paraId="2F6F947E" w14:textId="49DD36D0" w:rsidR="006303E2" w:rsidRDefault="00000000">
      <w:pPr>
        <w:pBdr>
          <w:top w:val="nil"/>
          <w:left w:val="nil"/>
          <w:bottom w:val="nil"/>
          <w:right w:val="nil"/>
          <w:between w:val="nil"/>
        </w:pBdr>
      </w:pPr>
      <w:r>
        <w:t xml:space="preserve">22. Scaling bigger, faster, cheaper data centers with smarter designs - McKinsey, </w:t>
      </w:r>
      <w:hyperlink r:id="rId24" w:history="1">
        <w:r w:rsidR="006303E2" w:rsidRPr="00632862">
          <w:rPr>
            <w:rStyle w:val="Hyperlink"/>
          </w:rPr>
          <w:t>https://www.mckinsey.com/industries/private-capital/our-insights/scaling-bigger-faster-cheaper-data-centers-with-smarter-designs</w:t>
        </w:r>
      </w:hyperlink>
      <w:r>
        <w:t xml:space="preserve"> </w:t>
      </w:r>
    </w:p>
    <w:p w14:paraId="731FC3E7" w14:textId="77777777" w:rsidR="006303E2" w:rsidRDefault="00000000">
      <w:pPr>
        <w:pBdr>
          <w:top w:val="nil"/>
          <w:left w:val="nil"/>
          <w:bottom w:val="nil"/>
          <w:right w:val="nil"/>
          <w:between w:val="nil"/>
        </w:pBdr>
      </w:pPr>
      <w:r>
        <w:t xml:space="preserve">23. How ISOs and RTOs Are Addressing Large Load Growth in 2025 - Yes Energy, https://www.yesenergy.com/blog/how-isos-and-rtos-are-addressing-large-load-growth-in-2025 </w:t>
      </w:r>
    </w:p>
    <w:p w14:paraId="5F126AF1" w14:textId="4841FC65" w:rsidR="006303E2" w:rsidRDefault="00000000">
      <w:pPr>
        <w:pBdr>
          <w:top w:val="nil"/>
          <w:left w:val="nil"/>
          <w:bottom w:val="nil"/>
          <w:right w:val="nil"/>
          <w:between w:val="nil"/>
        </w:pBdr>
      </w:pPr>
      <w:r>
        <w:t xml:space="preserve">24. White House wins pledge from tech firms including Amazon, Google, Meta and Microsoft to fund power for AI data centers - R&amp;D World, </w:t>
      </w:r>
      <w:hyperlink r:id="rId25" w:history="1">
        <w:r w:rsidR="006303E2" w:rsidRPr="00632862">
          <w:rPr>
            <w:rStyle w:val="Hyperlink"/>
          </w:rPr>
          <w:t>https://www.rdworldonline.com/white-house-wins-pledge-from-tech-firms-including-amazon-google-meta-and-microsoft-to-fund-power-for-ai-data-centers/</w:t>
        </w:r>
      </w:hyperlink>
      <w:r>
        <w:t xml:space="preserve"> </w:t>
      </w:r>
    </w:p>
    <w:p w14:paraId="66D19D18" w14:textId="56AEA153" w:rsidR="006303E2" w:rsidRDefault="00000000">
      <w:pPr>
        <w:pBdr>
          <w:top w:val="nil"/>
          <w:left w:val="nil"/>
          <w:bottom w:val="nil"/>
          <w:right w:val="nil"/>
          <w:between w:val="nil"/>
        </w:pBdr>
      </w:pPr>
      <w:r>
        <w:t xml:space="preserve">25. Data Centre Energy Use: Critical Review of Models and Results, </w:t>
      </w:r>
      <w:hyperlink r:id="rId26" w:history="1">
        <w:r w:rsidR="006303E2" w:rsidRPr="00632862">
          <w:rPr>
            <w:rStyle w:val="Hyperlink"/>
          </w:rPr>
          <w:t>https://www.iea-4e.org/wp-content/uploads/2025/05/Data-Centre-Energy-Use-Critical-Review-of-Models-and-Results.pdf</w:t>
        </w:r>
      </w:hyperlink>
      <w:r>
        <w:t xml:space="preserve"> </w:t>
      </w:r>
    </w:p>
    <w:p w14:paraId="5DFBF49E" w14:textId="7A9FDFE6" w:rsidR="006303E2" w:rsidRDefault="00000000">
      <w:pPr>
        <w:pBdr>
          <w:top w:val="nil"/>
          <w:left w:val="nil"/>
          <w:bottom w:val="nil"/>
          <w:right w:val="nil"/>
          <w:between w:val="nil"/>
        </w:pBdr>
      </w:pPr>
      <w:r>
        <w:t xml:space="preserve">26. CAISO Market Outlook: Persistent Negative Energy Prices, Spreading Curtailment - Ascend Analytics, </w:t>
      </w:r>
      <w:hyperlink r:id="rId27" w:history="1">
        <w:r w:rsidR="006303E2" w:rsidRPr="00632862">
          <w:rPr>
            <w:rStyle w:val="Hyperlink"/>
          </w:rPr>
          <w:t>https://www.ascendanalytics.com/blog/caiso-market-outlook-persistent-negative-energy-prices-spreading-curtailment</w:t>
        </w:r>
      </w:hyperlink>
      <w:r>
        <w:t xml:space="preserve"> </w:t>
      </w:r>
    </w:p>
    <w:p w14:paraId="194C164A" w14:textId="10812F2D" w:rsidR="006303E2" w:rsidRDefault="00000000">
      <w:pPr>
        <w:pBdr>
          <w:top w:val="nil"/>
          <w:left w:val="nil"/>
          <w:bottom w:val="nil"/>
          <w:right w:val="nil"/>
          <w:between w:val="nil"/>
        </w:pBdr>
      </w:pPr>
      <w:r>
        <w:t xml:space="preserve">27. Powerhouses: monitoring grid developments from Texas to California and beyond, </w:t>
      </w:r>
      <w:hyperlink r:id="rId28" w:history="1">
        <w:r w:rsidR="006303E2" w:rsidRPr="00632862">
          <w:rPr>
            <w:rStyle w:val="Hyperlink"/>
          </w:rPr>
          <w:t>https://www.woodmac.com/news/opinion/powerhouses-monitoring-grid-developments-texas-to-california/</w:t>
        </w:r>
      </w:hyperlink>
      <w:r>
        <w:t xml:space="preserve"> </w:t>
      </w:r>
    </w:p>
    <w:p w14:paraId="4A543EC1" w14:textId="77777777" w:rsidR="006303E2" w:rsidRDefault="00000000">
      <w:pPr>
        <w:pBdr>
          <w:top w:val="nil"/>
          <w:left w:val="nil"/>
          <w:bottom w:val="nil"/>
          <w:right w:val="nil"/>
          <w:between w:val="nil"/>
        </w:pBdr>
      </w:pPr>
      <w:r>
        <w:t xml:space="preserve">28. Which Assumptions Really Set Power Purchase Prices </w:t>
      </w:r>
      <w:proofErr w:type="gramStart"/>
      <w:r>
        <w:t>And</w:t>
      </w:r>
      <w:proofErr w:type="gramEnd"/>
      <w:r>
        <w:t xml:space="preserve"> Returns </w:t>
      </w:r>
      <w:proofErr w:type="gramStart"/>
      <w:r>
        <w:t>In</w:t>
      </w:r>
      <w:proofErr w:type="gramEnd"/>
      <w:r>
        <w:t xml:space="preserve"> United States Solar Projects. | Advances in Consumer Research, https://acr-journal.com/article/down</w:t>
      </w:r>
    </w:p>
    <w:p w14:paraId="097C5D6B" w14:textId="77777777" w:rsidR="006303E2" w:rsidRDefault="00000000">
      <w:pPr>
        <w:pBdr>
          <w:top w:val="nil"/>
          <w:left w:val="nil"/>
          <w:bottom w:val="nil"/>
          <w:right w:val="nil"/>
          <w:between w:val="nil"/>
        </w:pBdr>
      </w:pPr>
      <w:r>
        <w:t xml:space="preserve">load/pdf/1893/ </w:t>
      </w:r>
    </w:p>
    <w:p w14:paraId="5D9E2610" w14:textId="72546D66" w:rsidR="006303E2" w:rsidRDefault="00000000">
      <w:pPr>
        <w:pBdr>
          <w:top w:val="nil"/>
          <w:left w:val="nil"/>
          <w:bottom w:val="nil"/>
          <w:right w:val="nil"/>
          <w:between w:val="nil"/>
        </w:pBdr>
      </w:pPr>
      <w:r>
        <w:t xml:space="preserve">29. Variable Renewable Energy Investment Conditions and the Role of Power Purchase Agreements in the Green Transition, </w:t>
      </w:r>
      <w:hyperlink r:id="rId29" w:history="1">
        <w:r w:rsidR="006303E2" w:rsidRPr="00632862">
          <w:rPr>
            <w:rStyle w:val="Hyperlink"/>
          </w:rPr>
          <w:t>https://sal.aalto.fi/publications/pdf-files//theses/mas/tlit26_public.pdf</w:t>
        </w:r>
      </w:hyperlink>
      <w:r>
        <w:t xml:space="preserve"> </w:t>
      </w:r>
    </w:p>
    <w:p w14:paraId="6B640663" w14:textId="7F62167E" w:rsidR="006303E2" w:rsidRDefault="00000000">
      <w:pPr>
        <w:pBdr>
          <w:top w:val="nil"/>
          <w:left w:val="nil"/>
          <w:bottom w:val="nil"/>
          <w:right w:val="nil"/>
          <w:between w:val="nil"/>
        </w:pBdr>
      </w:pPr>
      <w:r>
        <w:t xml:space="preserve">30. 24/7 Carbon Free Energy from AES | AES Hawai'i, </w:t>
      </w:r>
      <w:hyperlink r:id="rId30" w:history="1">
        <w:r w:rsidR="006303E2" w:rsidRPr="00632862">
          <w:rPr>
            <w:rStyle w:val="Hyperlink"/>
          </w:rPr>
          <w:t>https://www.aes-hawaii.com/247-carbon-free-energy-aes</w:t>
        </w:r>
      </w:hyperlink>
      <w:r>
        <w:t xml:space="preserve"> </w:t>
      </w:r>
    </w:p>
    <w:p w14:paraId="41377E31" w14:textId="2728DCE5" w:rsidR="006303E2" w:rsidRDefault="00000000">
      <w:pPr>
        <w:pBdr>
          <w:top w:val="nil"/>
          <w:left w:val="nil"/>
          <w:bottom w:val="nil"/>
          <w:right w:val="nil"/>
          <w:between w:val="nil"/>
        </w:pBdr>
      </w:pPr>
      <w:r>
        <w:t xml:space="preserve">31. Accelerating the addition of carbon-free energy: An update on progress | The Microsoft Cloud Blog, </w:t>
      </w:r>
      <w:hyperlink r:id="rId31" w:history="1">
        <w:r w:rsidR="006303E2" w:rsidRPr="00632862">
          <w:rPr>
            <w:rStyle w:val="Hyperlink"/>
          </w:rPr>
          <w:t>https://www.microsoft.com/en-us/microsoft-cloud/blog/2024/09/20/accelerating-the-addition-of-carbon-free-energy-an-update-on-progress/</w:t>
        </w:r>
      </w:hyperlink>
      <w:r>
        <w:t xml:space="preserve"> </w:t>
      </w:r>
    </w:p>
    <w:p w14:paraId="75687B21" w14:textId="42185FC3" w:rsidR="006303E2" w:rsidRDefault="00000000">
      <w:pPr>
        <w:pBdr>
          <w:top w:val="nil"/>
          <w:left w:val="nil"/>
          <w:bottom w:val="nil"/>
          <w:right w:val="nil"/>
          <w:between w:val="nil"/>
        </w:pBdr>
      </w:pPr>
      <w:r>
        <w:t xml:space="preserve">32. 24/7 CFE Trading - National Energy System Operator (NESO), https://www.neso.energy/document/365496/download 33. FAQ – Scope 2 Market-Based Updates - </w:t>
      </w:r>
      <w:proofErr w:type="spellStart"/>
      <w:r>
        <w:t>EnergyTag</w:t>
      </w:r>
      <w:proofErr w:type="spellEnd"/>
      <w:r>
        <w:t xml:space="preserve">, </w:t>
      </w:r>
      <w:hyperlink r:id="rId32" w:history="1">
        <w:r w:rsidR="006303E2" w:rsidRPr="00632862">
          <w:rPr>
            <w:rStyle w:val="Hyperlink"/>
          </w:rPr>
          <w:t>https://energytag.org/faq-scope-2-market-based-updates/</w:t>
        </w:r>
      </w:hyperlink>
      <w:r>
        <w:t xml:space="preserve"> </w:t>
      </w:r>
    </w:p>
    <w:p w14:paraId="0366F3D0" w14:textId="78C835A6" w:rsidR="006303E2" w:rsidRDefault="00000000">
      <w:pPr>
        <w:pBdr>
          <w:top w:val="nil"/>
          <w:left w:val="nil"/>
          <w:bottom w:val="nil"/>
          <w:right w:val="nil"/>
          <w:between w:val="nil"/>
        </w:pBdr>
      </w:pPr>
      <w:r>
        <w:t xml:space="preserve">34. Capture committed: Google and </w:t>
      </w:r>
      <w:proofErr w:type="spellStart"/>
      <w:r>
        <w:t>Broadwing</w:t>
      </w:r>
      <w:proofErr w:type="spellEnd"/>
      <w:r>
        <w:t xml:space="preserve"> sign carbon capture ..., </w:t>
      </w:r>
      <w:hyperlink r:id="rId33" w:history="1">
        <w:r w:rsidR="006303E2" w:rsidRPr="00632862">
          <w:rPr>
            <w:rStyle w:val="Hyperlink"/>
          </w:rPr>
          <w:t>https://www.carbon-direct.com/insights/capture-committed-google-and-broadwing-sign-carbon-capture-power-deal</w:t>
        </w:r>
      </w:hyperlink>
      <w:r>
        <w:t xml:space="preserve"> </w:t>
      </w:r>
    </w:p>
    <w:p w14:paraId="56A20E99" w14:textId="17E0F227" w:rsidR="006303E2" w:rsidRDefault="00000000">
      <w:pPr>
        <w:pBdr>
          <w:top w:val="nil"/>
          <w:left w:val="nil"/>
          <w:bottom w:val="nil"/>
          <w:right w:val="nil"/>
          <w:between w:val="nil"/>
        </w:pBdr>
      </w:pPr>
      <w:r>
        <w:t xml:space="preserve">35. LCOE and value-adjusted LCOE for solar PV plus battery storage, coal and natural gas in selected regions in the Stated Policies Scenario, 2022-2030 – Charts - IEA, </w:t>
      </w:r>
      <w:hyperlink r:id="rId34" w:history="1">
        <w:r w:rsidR="006303E2" w:rsidRPr="00632862">
          <w:rPr>
            <w:rStyle w:val="Hyperlink"/>
          </w:rPr>
          <w:t>https://www.iea.org/data-and-statistics/charts/lcoe-</w:t>
        </w:r>
        <w:r w:rsidR="006303E2" w:rsidRPr="00632862">
          <w:rPr>
            <w:rStyle w:val="Hyperlink"/>
          </w:rPr>
          <w:lastRenderedPageBreak/>
          <w:t>and-value-adjusted-lcoe-for-solar-pv-plus-battery-storage-coal-and-natural-gas-in-selected-regions-in-the-stated-policies-scenario-2022-2030</w:t>
        </w:r>
      </w:hyperlink>
    </w:p>
    <w:p w14:paraId="51F00BB1" w14:textId="77777777" w:rsidR="006303E2" w:rsidRDefault="00000000">
      <w:pPr>
        <w:pBdr>
          <w:top w:val="nil"/>
          <w:left w:val="nil"/>
          <w:bottom w:val="nil"/>
          <w:right w:val="nil"/>
          <w:between w:val="nil"/>
        </w:pBdr>
      </w:pPr>
      <w:r>
        <w:t xml:space="preserve">36. 7 companies helping Amazon, Google, Meta and Microsoft go nuclear - Trellis, https://trellis.net/article/amazon-google-meta-and-microsoft-go-nuclear/ </w:t>
      </w:r>
    </w:p>
    <w:p w14:paraId="12B93F72" w14:textId="5B58D8F8" w:rsidR="006303E2" w:rsidRDefault="00000000">
      <w:pPr>
        <w:pBdr>
          <w:top w:val="nil"/>
          <w:left w:val="nil"/>
          <w:bottom w:val="nil"/>
          <w:right w:val="nil"/>
          <w:between w:val="nil"/>
        </w:pBdr>
      </w:pPr>
      <w:r>
        <w:t xml:space="preserve">37. Exposing the Learning-Curve Myth: Why Enhanced Geothermal Cannot Follow Solar's Cost Trajectory - </w:t>
      </w:r>
      <w:proofErr w:type="spellStart"/>
      <w:r>
        <w:t>CleanTechnica</w:t>
      </w:r>
      <w:proofErr w:type="spellEnd"/>
      <w:r>
        <w:t xml:space="preserve">, </w:t>
      </w:r>
      <w:hyperlink r:id="rId35" w:history="1">
        <w:r w:rsidR="006303E2" w:rsidRPr="00632862">
          <w:rPr>
            <w:rStyle w:val="Hyperlink"/>
          </w:rPr>
          <w:t>https://cleantechnica.com/2025/11/27/exposing-the-learning-curve-myth-why-enhanced-geothermal-cannot-follow-solars-cost-trajectory/</w:t>
        </w:r>
      </w:hyperlink>
      <w:r>
        <w:t xml:space="preserve"> </w:t>
      </w:r>
    </w:p>
    <w:p w14:paraId="5BDB1166" w14:textId="7D6FEA8F" w:rsidR="006303E2" w:rsidRDefault="00000000">
      <w:pPr>
        <w:pBdr>
          <w:top w:val="nil"/>
          <w:left w:val="nil"/>
          <w:bottom w:val="nil"/>
          <w:right w:val="nil"/>
          <w:between w:val="nil"/>
        </w:pBdr>
      </w:pPr>
      <w:r>
        <w:t xml:space="preserve">38. Faster, Cheaper, Smarter? The Promise and Pitfalls of Small Modular Reactors | GLOBSEC, </w:t>
      </w:r>
      <w:hyperlink r:id="rId36" w:history="1">
        <w:r w:rsidR="006303E2" w:rsidRPr="00632862">
          <w:rPr>
            <w:rStyle w:val="Hyperlink"/>
          </w:rPr>
          <w:t>https://www.globsec.org/what-we-do/commentaries/faster-cheaper-smarter-promise-and-pitfalls-small-modular-reactors</w:t>
        </w:r>
      </w:hyperlink>
      <w:r>
        <w:t xml:space="preserve"> </w:t>
      </w:r>
    </w:p>
    <w:p w14:paraId="6CCD45A4" w14:textId="6FF600F6" w:rsidR="006303E2" w:rsidRDefault="00000000">
      <w:pPr>
        <w:pBdr>
          <w:top w:val="nil"/>
          <w:left w:val="nil"/>
          <w:bottom w:val="nil"/>
          <w:right w:val="nil"/>
          <w:between w:val="nil"/>
        </w:pBdr>
      </w:pPr>
      <w:r>
        <w:t xml:space="preserve">39. Is Wright's Law Wrong? - by Chris Keefer - Decouple, </w:t>
      </w:r>
      <w:hyperlink r:id="rId37" w:history="1">
        <w:r w:rsidR="006303E2" w:rsidRPr="00632862">
          <w:rPr>
            <w:rStyle w:val="Hyperlink"/>
          </w:rPr>
          <w:t>https://www.decouple.media/p/is-wrights-law-wrong</w:t>
        </w:r>
      </w:hyperlink>
      <w:r>
        <w:t xml:space="preserve"> </w:t>
      </w:r>
    </w:p>
    <w:p w14:paraId="683625F2" w14:textId="5DE4E6BB" w:rsidR="006303E2" w:rsidRDefault="00000000">
      <w:pPr>
        <w:pBdr>
          <w:top w:val="nil"/>
          <w:left w:val="nil"/>
          <w:bottom w:val="nil"/>
          <w:right w:val="nil"/>
          <w:between w:val="nil"/>
        </w:pBdr>
      </w:pPr>
      <w:r>
        <w:t xml:space="preserve">40. Pathways to national-scale adoption of enhanced geothermal power through experience-driven cost reductions, </w:t>
      </w:r>
      <w:hyperlink r:id="rId38" w:history="1">
        <w:r w:rsidR="006303E2" w:rsidRPr="00632862">
          <w:rPr>
            <w:rStyle w:val="Hyperlink"/>
          </w:rPr>
          <w:t>https://zero.lab.princeton.edu/wp-content/uploads/2025/06/Ricks-Jenkins-2025-Pathways-to-national-scale-adoption-of-enhanced-geothermal-Joule.pdf</w:t>
        </w:r>
      </w:hyperlink>
      <w:r>
        <w:t xml:space="preserve"> </w:t>
      </w:r>
    </w:p>
    <w:p w14:paraId="7AED3850" w14:textId="63799222" w:rsidR="006303E2" w:rsidRDefault="00000000">
      <w:pPr>
        <w:pBdr>
          <w:top w:val="nil"/>
          <w:left w:val="nil"/>
          <w:bottom w:val="nil"/>
          <w:right w:val="nil"/>
          <w:between w:val="nil"/>
        </w:pBdr>
      </w:pPr>
      <w:r>
        <w:t xml:space="preserve">41. Techno-economic analysis of advanced small modular nuclear reactors - OSTI.GOV, https://www.osti.gov/servlets/purl/2423972 42. Geothermal | Electricity | 2024 - ATB | NREL - National Laboratory of the Rockies, https://atb.nrel.gov/electricity/2024/geothermal 43. Nuclear | Electricity | 2024 | ATB | NLR, </w:t>
      </w:r>
      <w:hyperlink r:id="rId39" w:history="1">
        <w:r w:rsidR="006303E2" w:rsidRPr="00632862">
          <w:rPr>
            <w:rStyle w:val="Hyperlink"/>
          </w:rPr>
          <w:t>https://atb.nrel.gov/electricity/2024/nuclear</w:t>
        </w:r>
      </w:hyperlink>
      <w:r>
        <w:t xml:space="preserve"> </w:t>
      </w:r>
    </w:p>
    <w:p w14:paraId="1254CADB" w14:textId="057B10EE" w:rsidR="006303E2" w:rsidRDefault="00000000">
      <w:pPr>
        <w:pBdr>
          <w:top w:val="nil"/>
          <w:left w:val="nil"/>
          <w:bottom w:val="nil"/>
          <w:right w:val="nil"/>
          <w:between w:val="nil"/>
        </w:pBdr>
      </w:pPr>
      <w:r>
        <w:t xml:space="preserve">44. 1250NPRR-18-PUCT-Report-031325.docx - ERCOT.com, </w:t>
      </w:r>
      <w:hyperlink r:id="rId40" w:history="1">
        <w:r w:rsidR="006303E2" w:rsidRPr="00632862">
          <w:rPr>
            <w:rStyle w:val="Hyperlink"/>
          </w:rPr>
          <w:t>https://www.ercot.com/files/docs/2025/03/16/1250NPRR-18-PUCT-Report-031325.docx</w:t>
        </w:r>
      </w:hyperlink>
      <w:r>
        <w:t xml:space="preserve"> </w:t>
      </w:r>
    </w:p>
    <w:p w14:paraId="0D78451F" w14:textId="5B037835" w:rsidR="006303E2" w:rsidRDefault="00000000">
      <w:pPr>
        <w:pBdr>
          <w:top w:val="nil"/>
          <w:left w:val="nil"/>
          <w:bottom w:val="nil"/>
          <w:right w:val="nil"/>
          <w:between w:val="nil"/>
        </w:pBdr>
      </w:pPr>
      <w:r>
        <w:t xml:space="preserve">45. Energy Market Update | Constellation, </w:t>
      </w:r>
      <w:hyperlink r:id="rId41" w:history="1">
        <w:r w:rsidR="006303E2" w:rsidRPr="00632862">
          <w:rPr>
            <w:rStyle w:val="Hyperlink"/>
          </w:rPr>
          <w:t>https://www.constellation.com/solutions/for-your-commercial-business/energy-tools-and-resources/energy-market-update.html</w:t>
        </w:r>
      </w:hyperlink>
      <w:r>
        <w:t xml:space="preserve"> </w:t>
      </w:r>
    </w:p>
    <w:p w14:paraId="62FF7035" w14:textId="7C0AF3B8" w:rsidR="006303E2" w:rsidRDefault="00000000">
      <w:pPr>
        <w:pBdr>
          <w:top w:val="nil"/>
          <w:left w:val="nil"/>
          <w:bottom w:val="nil"/>
          <w:right w:val="nil"/>
          <w:between w:val="nil"/>
        </w:pBdr>
      </w:pPr>
      <w:r>
        <w:t xml:space="preserve">46. NEWS RELEASE - PJM.com, </w:t>
      </w:r>
      <w:hyperlink r:id="rId42" w:history="1">
        <w:r w:rsidR="006303E2" w:rsidRPr="00632862">
          <w:rPr>
            <w:rStyle w:val="Hyperlink"/>
          </w:rPr>
          <w:t>https://www.pjm.com/-/media/DotCom/about-pjm/newsroom/2025-releases/20251217-pjm-auction-procures-134479-mw-of-generation-resources.pdf</w:t>
        </w:r>
      </w:hyperlink>
      <w:r>
        <w:t xml:space="preserve"> </w:t>
      </w:r>
    </w:p>
    <w:p w14:paraId="4C8B8E90" w14:textId="715BB283" w:rsidR="006303E2" w:rsidRDefault="00000000">
      <w:pPr>
        <w:pBdr>
          <w:top w:val="nil"/>
          <w:left w:val="nil"/>
          <w:bottom w:val="nil"/>
          <w:right w:val="nil"/>
          <w:between w:val="nil"/>
        </w:pBdr>
      </w:pPr>
      <w:r>
        <w:t xml:space="preserve">47. Faulty Interconnection Processes Costing PJM Consumers Billions, New Report Finds, </w:t>
      </w:r>
      <w:hyperlink r:id="rId43" w:history="1">
        <w:r w:rsidR="006303E2" w:rsidRPr="00632862">
          <w:rPr>
            <w:rStyle w:val="Hyperlink"/>
          </w:rPr>
          <w:t>https://advancedenergyunited.org/blog/articles/faulty-interconnection-processes-costing-pjm-consumers-billions-new-report</w:t>
        </w:r>
      </w:hyperlink>
      <w:r>
        <w:t xml:space="preserve"> </w:t>
      </w:r>
    </w:p>
    <w:p w14:paraId="32898AD6" w14:textId="7C8D55A5" w:rsidR="006303E2" w:rsidRDefault="00000000">
      <w:pPr>
        <w:pBdr>
          <w:top w:val="nil"/>
          <w:left w:val="nil"/>
          <w:bottom w:val="nil"/>
          <w:right w:val="nil"/>
          <w:between w:val="nil"/>
        </w:pBdr>
      </w:pPr>
      <w:r>
        <w:t xml:space="preserve">48. UNITED STATES OF AMERICA BEFORE THE FEDERAL ENERGY REGULATORY COMMISSION PJM INTERCONNECTION, L.L.C. DOCKET NO. ER26-455-000 PR - Maryland Office of People's Counsel, </w:t>
      </w:r>
      <w:hyperlink r:id="rId44" w:history="1">
        <w:r w:rsidR="006303E2" w:rsidRPr="00632862">
          <w:rPr>
            <w:rStyle w:val="Hyperlink"/>
          </w:rPr>
          <w:t>https://opc.maryland.gov/LinkClick.aspx?fileticket=2_dOnqgd7sg%3D&amp;tabid=1151&amp;portalid=0&amp;mid=2652</w:t>
        </w:r>
      </w:hyperlink>
      <w:r>
        <w:t xml:space="preserve"> </w:t>
      </w:r>
    </w:p>
    <w:p w14:paraId="4F14651E" w14:textId="5888A958" w:rsidR="006303E2" w:rsidRDefault="00000000">
      <w:pPr>
        <w:pBdr>
          <w:top w:val="nil"/>
          <w:left w:val="nil"/>
          <w:bottom w:val="nil"/>
          <w:right w:val="nil"/>
          <w:between w:val="nil"/>
        </w:pBdr>
      </w:pPr>
      <w:r>
        <w:t xml:space="preserve">49. PJM Chooses 51 Generation Resource Projects To Address Near-Term Electricity Demand Growth, </w:t>
      </w:r>
      <w:hyperlink r:id="rId45" w:history="1">
        <w:r w:rsidR="006303E2" w:rsidRPr="00632862">
          <w:rPr>
            <w:rStyle w:val="Hyperlink"/>
          </w:rPr>
          <w:t>https://www.pjm.com/-/media/DotCom/about-pjm/newsroom/2025-releases/20250502-pjm-chooses-51-generation-resource-projects-to-address-near-term-electricity-demand-growth.pdf</w:t>
        </w:r>
      </w:hyperlink>
      <w:r>
        <w:t xml:space="preserve"> </w:t>
      </w:r>
    </w:p>
    <w:p w14:paraId="107EC356" w14:textId="31A255C4" w:rsidR="006303E2" w:rsidRDefault="00000000">
      <w:pPr>
        <w:pBdr>
          <w:top w:val="nil"/>
          <w:left w:val="nil"/>
          <w:bottom w:val="nil"/>
          <w:right w:val="nil"/>
          <w:between w:val="nil"/>
        </w:pBdr>
      </w:pPr>
      <w:r>
        <w:t xml:space="preserve">50. Appendix C – Dominion Annual Report Form 10-K, </w:t>
      </w:r>
      <w:hyperlink r:id="rId46" w:history="1">
        <w:r w:rsidR="006303E2" w:rsidRPr="00632862">
          <w:rPr>
            <w:rStyle w:val="Hyperlink"/>
          </w:rPr>
          <w:t>https://www.boem.gov/sites/default/files/renewable-energy-program/State-Activities/VA/Appendix-C_VOWTAP_Annual-Report-Form-10K_2013-12-06_Rev-Oct-2014.pdf</w:t>
        </w:r>
      </w:hyperlink>
      <w:r>
        <w:t xml:space="preserve"> </w:t>
      </w:r>
    </w:p>
    <w:p w14:paraId="5B74B515" w14:textId="20AC2C7D" w:rsidR="006303E2" w:rsidRDefault="00000000">
      <w:pPr>
        <w:pBdr>
          <w:top w:val="nil"/>
          <w:left w:val="nil"/>
          <w:bottom w:val="nil"/>
          <w:right w:val="nil"/>
          <w:between w:val="nil"/>
        </w:pBdr>
      </w:pPr>
      <w:r>
        <w:t xml:space="preserve">51. UNITED STATES SECURITIES AND EXCHANGE COMMISSION FORM 10-Q - Energy.gov, </w:t>
      </w:r>
      <w:hyperlink r:id="rId47" w:history="1">
        <w:r w:rsidR="006303E2" w:rsidRPr="00632862">
          <w:rPr>
            <w:rStyle w:val="Hyperlink"/>
          </w:rPr>
          <w:t>https://energy.gov/sites/prod/files/2017/09/f36/Dominion%20Energy%20Inc.%2010-Q%20filing.pdf</w:t>
        </w:r>
      </w:hyperlink>
      <w:r>
        <w:t xml:space="preserve"> </w:t>
      </w:r>
    </w:p>
    <w:p w14:paraId="4ADFBF31" w14:textId="04DB298B" w:rsidR="006303E2" w:rsidRDefault="00000000">
      <w:pPr>
        <w:pBdr>
          <w:top w:val="nil"/>
          <w:left w:val="nil"/>
          <w:bottom w:val="nil"/>
          <w:right w:val="nil"/>
          <w:between w:val="nil"/>
        </w:pBdr>
      </w:pPr>
      <w:r>
        <w:t xml:space="preserve">52. 10-Q - SEC.gov, </w:t>
      </w:r>
      <w:hyperlink r:id="rId48" w:history="1">
        <w:r w:rsidR="006303E2" w:rsidRPr="00632862">
          <w:rPr>
            <w:rStyle w:val="Hyperlink"/>
          </w:rPr>
          <w:t>https://www.sec.gov/Archives/edgar/data/103682/000119312517157920/d377987d10q.htm</w:t>
        </w:r>
      </w:hyperlink>
      <w:r>
        <w:t xml:space="preserve"> </w:t>
      </w:r>
    </w:p>
    <w:p w14:paraId="331047F0" w14:textId="23673EC5" w:rsidR="006303E2" w:rsidRDefault="00000000">
      <w:pPr>
        <w:pBdr>
          <w:top w:val="nil"/>
          <w:left w:val="nil"/>
          <w:bottom w:val="nil"/>
          <w:right w:val="nil"/>
          <w:between w:val="nil"/>
        </w:pBdr>
      </w:pPr>
      <w:r>
        <w:t xml:space="preserve">53. ERCOT CONE for 2026 - The Brattle Group, </w:t>
      </w:r>
      <w:hyperlink r:id="rId49" w:history="1">
        <w:r w:rsidR="006303E2" w:rsidRPr="00632862">
          <w:rPr>
            <w:rStyle w:val="Hyperlink"/>
          </w:rPr>
          <w:t>https://www.brattle.com/wp-content/uploads/2024/08/ERCOT-CONE-for-2026.pdf</w:t>
        </w:r>
      </w:hyperlink>
      <w:r>
        <w:t xml:space="preserve"> </w:t>
      </w:r>
    </w:p>
    <w:p w14:paraId="32AB238E" w14:textId="19738291" w:rsidR="006303E2" w:rsidRDefault="00000000">
      <w:pPr>
        <w:pBdr>
          <w:top w:val="nil"/>
          <w:left w:val="nil"/>
          <w:bottom w:val="nil"/>
          <w:right w:val="nil"/>
          <w:between w:val="nil"/>
        </w:pBdr>
      </w:pPr>
      <w:r>
        <w:lastRenderedPageBreak/>
        <w:t xml:space="preserve">54. US seasonal power outlooks Summer 2025: hot topics for ERCOT, MISO and PJM, </w:t>
      </w:r>
      <w:hyperlink r:id="rId50" w:history="1">
        <w:r w:rsidR="006303E2" w:rsidRPr="00632862">
          <w:rPr>
            <w:rStyle w:val="Hyperlink"/>
          </w:rPr>
          <w:t>https://www.woodmac.com/news/opinion/us-seasonal-outlook-webinars-summer-2025-hot-topics-for-ercot-miso-and-pjm/</w:t>
        </w:r>
      </w:hyperlink>
      <w:r>
        <w:t xml:space="preserve"> </w:t>
      </w:r>
    </w:p>
    <w:p w14:paraId="360F9B69" w14:textId="79379E8C" w:rsidR="00821D1C" w:rsidRDefault="00000000">
      <w:pPr>
        <w:pBdr>
          <w:top w:val="nil"/>
          <w:left w:val="nil"/>
          <w:bottom w:val="nil"/>
          <w:right w:val="nil"/>
          <w:between w:val="nil"/>
        </w:pBdr>
      </w:pPr>
      <w:r>
        <w:t xml:space="preserve">55. Salesforce Accelerates Energy Transition with New Climate Investments, </w:t>
      </w:r>
      <w:hyperlink r:id="rId51" w:history="1">
        <w:r w:rsidR="006303E2" w:rsidRPr="00632862">
          <w:rPr>
            <w:rStyle w:val="Hyperlink"/>
          </w:rPr>
          <w:t>https://www.salesforce.com/news/stories/energy-transition-investments/</w:t>
        </w:r>
      </w:hyperlink>
      <w:r w:rsidR="006303E2">
        <w:t xml:space="preserve"> </w:t>
      </w:r>
    </w:p>
    <w:sectPr w:rsidR="00821D1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embedRegular r:id="rId1" w:fontKey="{137E5A7A-5F71-41FA-99E6-173C26533893}"/>
    <w:embedBold r:id="rId2" w:fontKey="{258807D7-8EB6-4529-8E98-0BC546F68F9A}"/>
    <w:embedItalic r:id="rId3" w:fontKey="{FD128AF2-EC6D-4D6F-AA25-A6D81A0283F9}"/>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embedRegular r:id="rId4" w:fontKey="{517A22CB-D306-4A52-9121-02185772B13E}"/>
    <w:embedBold r:id="rId5" w:fontKey="{85F60A52-7344-4C7D-91C9-69F62D08DE31}"/>
    <w:embedItalic r:id="rId6" w:fontKey="{8FCE7729-669B-44CB-AECC-39C90FB59AAA}"/>
    <w:embedBoldItalic r:id="rId7" w:fontKey="{19D55ED2-3640-407E-BA3D-FFCF0E8B27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E7712"/>
    <w:multiLevelType w:val="multilevel"/>
    <w:tmpl w:val="70D895A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EE3589A"/>
    <w:multiLevelType w:val="multilevel"/>
    <w:tmpl w:val="BF2C9E8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D580942"/>
    <w:multiLevelType w:val="multilevel"/>
    <w:tmpl w:val="BA3AD8E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9E6720D"/>
    <w:multiLevelType w:val="multilevel"/>
    <w:tmpl w:val="556A1E6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53399875">
    <w:abstractNumId w:val="2"/>
  </w:num>
  <w:num w:numId="2" w16cid:durableId="1779640782">
    <w:abstractNumId w:val="1"/>
  </w:num>
  <w:num w:numId="3" w16cid:durableId="670525549">
    <w:abstractNumId w:val="3"/>
  </w:num>
  <w:num w:numId="4" w16cid:durableId="1632595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D1C"/>
    <w:rsid w:val="006303E2"/>
    <w:rsid w:val="00821D1C"/>
    <w:rsid w:val="00C73D73"/>
    <w:rsid w:val="00E67A6B"/>
    <w:rsid w:val="00F62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CFCF2"/>
  <w15:docId w15:val="{03FE6646-4345-4A69-9B1A-4C2B3CB6D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A6B"/>
  </w:style>
  <w:style w:type="paragraph" w:styleId="Heading1">
    <w:name w:val="heading 1"/>
    <w:basedOn w:val="Normal"/>
    <w:next w:val="Normal"/>
    <w:link w:val="Heading1Char"/>
    <w:uiPriority w:val="9"/>
    <w:qFormat/>
    <w:rsid w:val="00E67A6B"/>
    <w:pPr>
      <w:keepNext/>
      <w:keepLines/>
      <w:spacing w:before="320" w:after="0" w:line="240" w:lineRule="auto"/>
      <w:outlineLvl w:val="0"/>
    </w:pPr>
    <w:rPr>
      <w:rFonts w:asciiTheme="majorHAnsi" w:eastAsiaTheme="majorEastAsia" w:hAnsiTheme="majorHAnsi" w:cstheme="majorBidi"/>
      <w:color w:val="006935" w:themeColor="accent1" w:themeShade="BF"/>
      <w:sz w:val="32"/>
      <w:szCs w:val="32"/>
    </w:rPr>
  </w:style>
  <w:style w:type="paragraph" w:styleId="Heading2">
    <w:name w:val="heading 2"/>
    <w:basedOn w:val="Normal"/>
    <w:next w:val="Normal"/>
    <w:link w:val="Heading2Char"/>
    <w:uiPriority w:val="9"/>
    <w:unhideWhenUsed/>
    <w:qFormat/>
    <w:rsid w:val="00E67A6B"/>
    <w:pPr>
      <w:keepNext/>
      <w:keepLines/>
      <w:spacing w:before="80" w:after="0" w:line="240" w:lineRule="auto"/>
      <w:outlineLvl w:val="1"/>
    </w:pPr>
    <w:rPr>
      <w:rFonts w:asciiTheme="majorHAnsi" w:eastAsiaTheme="majorEastAsia" w:hAnsiTheme="majorHAnsi" w:cstheme="majorBidi"/>
      <w:color w:val="878787" w:themeColor="text1" w:themeTint="BF"/>
      <w:sz w:val="28"/>
      <w:szCs w:val="28"/>
    </w:rPr>
  </w:style>
  <w:style w:type="paragraph" w:styleId="Heading3">
    <w:name w:val="heading 3"/>
    <w:basedOn w:val="Normal"/>
    <w:next w:val="Normal"/>
    <w:link w:val="Heading3Char"/>
    <w:uiPriority w:val="9"/>
    <w:unhideWhenUsed/>
    <w:qFormat/>
    <w:rsid w:val="00E67A6B"/>
    <w:pPr>
      <w:keepNext/>
      <w:keepLines/>
      <w:spacing w:before="40" w:after="0" w:line="240" w:lineRule="auto"/>
      <w:outlineLvl w:val="2"/>
    </w:pPr>
    <w:rPr>
      <w:rFonts w:asciiTheme="majorHAnsi" w:eastAsiaTheme="majorEastAsia" w:hAnsiTheme="majorHAnsi" w:cstheme="majorBidi"/>
      <w:color w:val="131313" w:themeColor="text2"/>
      <w:sz w:val="24"/>
      <w:szCs w:val="24"/>
    </w:rPr>
  </w:style>
  <w:style w:type="paragraph" w:styleId="Heading4">
    <w:name w:val="heading 4"/>
    <w:basedOn w:val="Normal"/>
    <w:next w:val="Normal"/>
    <w:link w:val="Heading4Char"/>
    <w:uiPriority w:val="9"/>
    <w:unhideWhenUsed/>
    <w:qFormat/>
    <w:rsid w:val="00E67A6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67A6B"/>
    <w:pPr>
      <w:keepNext/>
      <w:keepLines/>
      <w:spacing w:before="40" w:after="0"/>
      <w:outlineLvl w:val="4"/>
    </w:pPr>
    <w:rPr>
      <w:rFonts w:asciiTheme="majorHAnsi" w:eastAsiaTheme="majorEastAsia" w:hAnsiTheme="majorHAnsi" w:cstheme="majorBidi"/>
      <w:color w:val="131313" w:themeColor="text2"/>
      <w:sz w:val="22"/>
      <w:szCs w:val="22"/>
    </w:rPr>
  </w:style>
  <w:style w:type="paragraph" w:styleId="Heading6">
    <w:name w:val="heading 6"/>
    <w:basedOn w:val="Normal"/>
    <w:next w:val="Normal"/>
    <w:link w:val="Heading6Char"/>
    <w:uiPriority w:val="9"/>
    <w:semiHidden/>
    <w:unhideWhenUsed/>
    <w:qFormat/>
    <w:rsid w:val="00E67A6B"/>
    <w:pPr>
      <w:keepNext/>
      <w:keepLines/>
      <w:spacing w:before="40" w:after="0"/>
      <w:outlineLvl w:val="5"/>
    </w:pPr>
    <w:rPr>
      <w:rFonts w:asciiTheme="majorHAnsi" w:eastAsiaTheme="majorEastAsia" w:hAnsiTheme="majorHAnsi" w:cstheme="majorBidi"/>
      <w:i/>
      <w:iCs/>
      <w:color w:val="131313" w:themeColor="text2"/>
      <w:sz w:val="21"/>
      <w:szCs w:val="21"/>
    </w:rPr>
  </w:style>
  <w:style w:type="paragraph" w:styleId="Heading7">
    <w:name w:val="heading 7"/>
    <w:basedOn w:val="Normal"/>
    <w:next w:val="Normal"/>
    <w:link w:val="Heading7Char"/>
    <w:uiPriority w:val="9"/>
    <w:semiHidden/>
    <w:unhideWhenUsed/>
    <w:qFormat/>
    <w:rsid w:val="00E67A6B"/>
    <w:pPr>
      <w:keepNext/>
      <w:keepLines/>
      <w:spacing w:before="40" w:after="0"/>
      <w:outlineLvl w:val="6"/>
    </w:pPr>
    <w:rPr>
      <w:rFonts w:asciiTheme="majorHAnsi" w:eastAsiaTheme="majorEastAsia" w:hAnsiTheme="majorHAnsi" w:cstheme="majorBidi"/>
      <w:i/>
      <w:iCs/>
      <w:color w:val="004624" w:themeColor="accent1" w:themeShade="80"/>
      <w:sz w:val="21"/>
      <w:szCs w:val="21"/>
    </w:rPr>
  </w:style>
  <w:style w:type="paragraph" w:styleId="Heading8">
    <w:name w:val="heading 8"/>
    <w:basedOn w:val="Normal"/>
    <w:next w:val="Normal"/>
    <w:link w:val="Heading8Char"/>
    <w:uiPriority w:val="9"/>
    <w:semiHidden/>
    <w:unhideWhenUsed/>
    <w:qFormat/>
    <w:rsid w:val="00E67A6B"/>
    <w:pPr>
      <w:keepNext/>
      <w:keepLines/>
      <w:spacing w:before="40" w:after="0"/>
      <w:outlineLvl w:val="7"/>
    </w:pPr>
    <w:rPr>
      <w:rFonts w:asciiTheme="majorHAnsi" w:eastAsiaTheme="majorEastAsia" w:hAnsiTheme="majorHAnsi" w:cstheme="majorBidi"/>
      <w:b/>
      <w:bCs/>
      <w:color w:val="131313" w:themeColor="text2"/>
    </w:rPr>
  </w:style>
  <w:style w:type="paragraph" w:styleId="Heading9">
    <w:name w:val="heading 9"/>
    <w:basedOn w:val="Normal"/>
    <w:next w:val="Normal"/>
    <w:link w:val="Heading9Char"/>
    <w:uiPriority w:val="9"/>
    <w:semiHidden/>
    <w:unhideWhenUsed/>
    <w:qFormat/>
    <w:rsid w:val="00E67A6B"/>
    <w:pPr>
      <w:keepNext/>
      <w:keepLines/>
      <w:spacing w:before="40" w:after="0"/>
      <w:outlineLvl w:val="8"/>
    </w:pPr>
    <w:rPr>
      <w:rFonts w:asciiTheme="majorHAnsi" w:eastAsiaTheme="majorEastAsia" w:hAnsiTheme="majorHAnsi" w:cstheme="majorBidi"/>
      <w:b/>
      <w:bCs/>
      <w:i/>
      <w:iCs/>
      <w:color w:val="131313"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E67A6B"/>
    <w:pPr>
      <w:spacing w:after="0" w:line="240" w:lineRule="auto"/>
      <w:contextualSpacing/>
    </w:pPr>
    <w:rPr>
      <w:rFonts w:asciiTheme="majorHAnsi" w:eastAsiaTheme="majorEastAsia" w:hAnsiTheme="majorHAnsi" w:cstheme="majorBidi"/>
      <w:color w:val="008D48" w:themeColor="accent1"/>
      <w:spacing w:val="-10"/>
      <w:sz w:val="56"/>
      <w:szCs w:val="56"/>
    </w:rPr>
  </w:style>
  <w:style w:type="paragraph" w:styleId="Subtitle">
    <w:name w:val="Subtitle"/>
    <w:basedOn w:val="Normal"/>
    <w:next w:val="Normal"/>
    <w:link w:val="SubtitleChar"/>
    <w:uiPriority w:val="11"/>
    <w:qFormat/>
    <w:rsid w:val="00E67A6B"/>
    <w:pPr>
      <w:numPr>
        <w:ilvl w:val="1"/>
      </w:numPr>
      <w:spacing w:line="240" w:lineRule="auto"/>
    </w:pPr>
    <w:rPr>
      <w:rFonts w:asciiTheme="majorHAnsi" w:eastAsiaTheme="majorEastAsia" w:hAnsiTheme="majorHAnsi" w:cstheme="majorBidi"/>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6303E2"/>
    <w:pPr>
      <w:ind w:left="720"/>
      <w:contextualSpacing/>
    </w:pPr>
  </w:style>
  <w:style w:type="character" w:styleId="Hyperlink">
    <w:name w:val="Hyperlink"/>
    <w:basedOn w:val="DefaultParagraphFont"/>
    <w:uiPriority w:val="99"/>
    <w:unhideWhenUsed/>
    <w:rsid w:val="006303E2"/>
    <w:rPr>
      <w:color w:val="0000FF" w:themeColor="hyperlink"/>
      <w:u w:val="single"/>
    </w:rPr>
  </w:style>
  <w:style w:type="character" w:styleId="UnresolvedMention">
    <w:name w:val="Unresolved Mention"/>
    <w:basedOn w:val="DefaultParagraphFont"/>
    <w:uiPriority w:val="99"/>
    <w:semiHidden/>
    <w:unhideWhenUsed/>
    <w:rsid w:val="006303E2"/>
    <w:rPr>
      <w:color w:val="605E5C"/>
      <w:shd w:val="clear" w:color="auto" w:fill="E1DFDD"/>
    </w:rPr>
  </w:style>
  <w:style w:type="character" w:customStyle="1" w:styleId="Heading1Char">
    <w:name w:val="Heading 1 Char"/>
    <w:basedOn w:val="DefaultParagraphFont"/>
    <w:link w:val="Heading1"/>
    <w:uiPriority w:val="9"/>
    <w:rsid w:val="00E67A6B"/>
    <w:rPr>
      <w:rFonts w:asciiTheme="majorHAnsi" w:eastAsiaTheme="majorEastAsia" w:hAnsiTheme="majorHAnsi" w:cstheme="majorBidi"/>
      <w:color w:val="006935" w:themeColor="accent1" w:themeShade="BF"/>
      <w:sz w:val="32"/>
      <w:szCs w:val="32"/>
    </w:rPr>
  </w:style>
  <w:style w:type="character" w:customStyle="1" w:styleId="Heading2Char">
    <w:name w:val="Heading 2 Char"/>
    <w:basedOn w:val="DefaultParagraphFont"/>
    <w:link w:val="Heading2"/>
    <w:uiPriority w:val="9"/>
    <w:rsid w:val="00E67A6B"/>
    <w:rPr>
      <w:rFonts w:asciiTheme="majorHAnsi" w:eastAsiaTheme="majorEastAsia" w:hAnsiTheme="majorHAnsi" w:cstheme="majorBidi"/>
      <w:color w:val="878787" w:themeColor="text1" w:themeTint="BF"/>
      <w:sz w:val="28"/>
      <w:szCs w:val="28"/>
    </w:rPr>
  </w:style>
  <w:style w:type="character" w:customStyle="1" w:styleId="Heading3Char">
    <w:name w:val="Heading 3 Char"/>
    <w:basedOn w:val="DefaultParagraphFont"/>
    <w:link w:val="Heading3"/>
    <w:uiPriority w:val="9"/>
    <w:rsid w:val="00E67A6B"/>
    <w:rPr>
      <w:rFonts w:asciiTheme="majorHAnsi" w:eastAsiaTheme="majorEastAsia" w:hAnsiTheme="majorHAnsi" w:cstheme="majorBidi"/>
      <w:color w:val="131313" w:themeColor="text2"/>
      <w:sz w:val="24"/>
      <w:szCs w:val="24"/>
    </w:rPr>
  </w:style>
  <w:style w:type="character" w:customStyle="1" w:styleId="Heading4Char">
    <w:name w:val="Heading 4 Char"/>
    <w:basedOn w:val="DefaultParagraphFont"/>
    <w:link w:val="Heading4"/>
    <w:uiPriority w:val="9"/>
    <w:rsid w:val="00E67A6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67A6B"/>
    <w:rPr>
      <w:rFonts w:asciiTheme="majorHAnsi" w:eastAsiaTheme="majorEastAsia" w:hAnsiTheme="majorHAnsi" w:cstheme="majorBidi"/>
      <w:color w:val="131313" w:themeColor="text2"/>
      <w:sz w:val="22"/>
      <w:szCs w:val="22"/>
    </w:rPr>
  </w:style>
  <w:style w:type="character" w:customStyle="1" w:styleId="Heading6Char">
    <w:name w:val="Heading 6 Char"/>
    <w:basedOn w:val="DefaultParagraphFont"/>
    <w:link w:val="Heading6"/>
    <w:uiPriority w:val="9"/>
    <w:semiHidden/>
    <w:rsid w:val="00E67A6B"/>
    <w:rPr>
      <w:rFonts w:asciiTheme="majorHAnsi" w:eastAsiaTheme="majorEastAsia" w:hAnsiTheme="majorHAnsi" w:cstheme="majorBidi"/>
      <w:i/>
      <w:iCs/>
      <w:color w:val="131313" w:themeColor="text2"/>
      <w:sz w:val="21"/>
      <w:szCs w:val="21"/>
    </w:rPr>
  </w:style>
  <w:style w:type="character" w:customStyle="1" w:styleId="Heading7Char">
    <w:name w:val="Heading 7 Char"/>
    <w:basedOn w:val="DefaultParagraphFont"/>
    <w:link w:val="Heading7"/>
    <w:uiPriority w:val="9"/>
    <w:semiHidden/>
    <w:rsid w:val="00E67A6B"/>
    <w:rPr>
      <w:rFonts w:asciiTheme="majorHAnsi" w:eastAsiaTheme="majorEastAsia" w:hAnsiTheme="majorHAnsi" w:cstheme="majorBidi"/>
      <w:i/>
      <w:iCs/>
      <w:color w:val="004624" w:themeColor="accent1" w:themeShade="80"/>
      <w:sz w:val="21"/>
      <w:szCs w:val="21"/>
    </w:rPr>
  </w:style>
  <w:style w:type="character" w:customStyle="1" w:styleId="Heading8Char">
    <w:name w:val="Heading 8 Char"/>
    <w:basedOn w:val="DefaultParagraphFont"/>
    <w:link w:val="Heading8"/>
    <w:uiPriority w:val="9"/>
    <w:semiHidden/>
    <w:rsid w:val="00E67A6B"/>
    <w:rPr>
      <w:rFonts w:asciiTheme="majorHAnsi" w:eastAsiaTheme="majorEastAsia" w:hAnsiTheme="majorHAnsi" w:cstheme="majorBidi"/>
      <w:b/>
      <w:bCs/>
      <w:color w:val="131313" w:themeColor="text2"/>
    </w:rPr>
  </w:style>
  <w:style w:type="character" w:customStyle="1" w:styleId="Heading9Char">
    <w:name w:val="Heading 9 Char"/>
    <w:basedOn w:val="DefaultParagraphFont"/>
    <w:link w:val="Heading9"/>
    <w:uiPriority w:val="9"/>
    <w:semiHidden/>
    <w:rsid w:val="00E67A6B"/>
    <w:rPr>
      <w:rFonts w:asciiTheme="majorHAnsi" w:eastAsiaTheme="majorEastAsia" w:hAnsiTheme="majorHAnsi" w:cstheme="majorBidi"/>
      <w:b/>
      <w:bCs/>
      <w:i/>
      <w:iCs/>
      <w:color w:val="131313" w:themeColor="text2"/>
    </w:rPr>
  </w:style>
  <w:style w:type="paragraph" w:styleId="Caption">
    <w:name w:val="caption"/>
    <w:basedOn w:val="Normal"/>
    <w:next w:val="Normal"/>
    <w:uiPriority w:val="35"/>
    <w:semiHidden/>
    <w:unhideWhenUsed/>
    <w:qFormat/>
    <w:rsid w:val="00E67A6B"/>
    <w:pPr>
      <w:spacing w:line="240" w:lineRule="auto"/>
    </w:pPr>
    <w:rPr>
      <w:b/>
      <w:bCs/>
      <w:smallCaps/>
      <w:color w:val="969696" w:themeColor="text1" w:themeTint="A6"/>
      <w:spacing w:val="6"/>
    </w:rPr>
  </w:style>
  <w:style w:type="character" w:customStyle="1" w:styleId="TitleChar">
    <w:name w:val="Title Char"/>
    <w:basedOn w:val="DefaultParagraphFont"/>
    <w:link w:val="Title"/>
    <w:uiPriority w:val="10"/>
    <w:rsid w:val="00E67A6B"/>
    <w:rPr>
      <w:rFonts w:asciiTheme="majorHAnsi" w:eastAsiaTheme="majorEastAsia" w:hAnsiTheme="majorHAnsi" w:cstheme="majorBidi"/>
      <w:color w:val="008D48" w:themeColor="accent1"/>
      <w:spacing w:val="-10"/>
      <w:sz w:val="56"/>
      <w:szCs w:val="56"/>
    </w:rPr>
  </w:style>
  <w:style w:type="character" w:customStyle="1" w:styleId="SubtitleChar">
    <w:name w:val="Subtitle Char"/>
    <w:basedOn w:val="DefaultParagraphFont"/>
    <w:link w:val="Subtitle"/>
    <w:uiPriority w:val="11"/>
    <w:rsid w:val="00E67A6B"/>
    <w:rPr>
      <w:rFonts w:asciiTheme="majorHAnsi" w:eastAsiaTheme="majorEastAsia" w:hAnsiTheme="majorHAnsi" w:cstheme="majorBidi"/>
      <w:sz w:val="24"/>
      <w:szCs w:val="24"/>
    </w:rPr>
  </w:style>
  <w:style w:type="character" w:styleId="Strong">
    <w:name w:val="Strong"/>
    <w:basedOn w:val="DefaultParagraphFont"/>
    <w:uiPriority w:val="22"/>
    <w:qFormat/>
    <w:rsid w:val="00E67A6B"/>
    <w:rPr>
      <w:b/>
      <w:bCs/>
    </w:rPr>
  </w:style>
  <w:style w:type="character" w:styleId="Emphasis">
    <w:name w:val="Emphasis"/>
    <w:basedOn w:val="DefaultParagraphFont"/>
    <w:uiPriority w:val="20"/>
    <w:qFormat/>
    <w:rsid w:val="00E67A6B"/>
    <w:rPr>
      <w:i/>
      <w:iCs/>
    </w:rPr>
  </w:style>
  <w:style w:type="paragraph" w:styleId="NoSpacing">
    <w:name w:val="No Spacing"/>
    <w:uiPriority w:val="1"/>
    <w:qFormat/>
    <w:rsid w:val="00E67A6B"/>
    <w:pPr>
      <w:spacing w:after="0" w:line="240" w:lineRule="auto"/>
    </w:pPr>
  </w:style>
  <w:style w:type="paragraph" w:styleId="Quote">
    <w:name w:val="Quote"/>
    <w:basedOn w:val="Normal"/>
    <w:next w:val="Normal"/>
    <w:link w:val="QuoteChar"/>
    <w:uiPriority w:val="29"/>
    <w:qFormat/>
    <w:rsid w:val="00E67A6B"/>
    <w:pPr>
      <w:spacing w:before="160"/>
      <w:ind w:left="720" w:right="720"/>
    </w:pPr>
    <w:rPr>
      <w:i/>
      <w:iCs/>
      <w:color w:val="878787" w:themeColor="text1" w:themeTint="BF"/>
    </w:rPr>
  </w:style>
  <w:style w:type="character" w:customStyle="1" w:styleId="QuoteChar">
    <w:name w:val="Quote Char"/>
    <w:basedOn w:val="DefaultParagraphFont"/>
    <w:link w:val="Quote"/>
    <w:uiPriority w:val="29"/>
    <w:rsid w:val="00E67A6B"/>
    <w:rPr>
      <w:i/>
      <w:iCs/>
      <w:color w:val="878787" w:themeColor="text1" w:themeTint="BF"/>
    </w:rPr>
  </w:style>
  <w:style w:type="paragraph" w:styleId="IntenseQuote">
    <w:name w:val="Intense Quote"/>
    <w:basedOn w:val="Normal"/>
    <w:next w:val="Normal"/>
    <w:link w:val="IntenseQuoteChar"/>
    <w:uiPriority w:val="30"/>
    <w:qFormat/>
    <w:rsid w:val="00E67A6B"/>
    <w:pPr>
      <w:pBdr>
        <w:left w:val="single" w:sz="18" w:space="12" w:color="008D48" w:themeColor="accent1"/>
      </w:pBdr>
      <w:spacing w:before="100" w:beforeAutospacing="1" w:line="300" w:lineRule="auto"/>
      <w:ind w:left="1224" w:right="1224"/>
    </w:pPr>
    <w:rPr>
      <w:rFonts w:asciiTheme="majorHAnsi" w:eastAsiaTheme="majorEastAsia" w:hAnsiTheme="majorHAnsi" w:cstheme="majorBidi"/>
      <w:color w:val="008D48" w:themeColor="accent1"/>
      <w:sz w:val="28"/>
      <w:szCs w:val="28"/>
    </w:rPr>
  </w:style>
  <w:style w:type="character" w:customStyle="1" w:styleId="IntenseQuoteChar">
    <w:name w:val="Intense Quote Char"/>
    <w:basedOn w:val="DefaultParagraphFont"/>
    <w:link w:val="IntenseQuote"/>
    <w:uiPriority w:val="30"/>
    <w:rsid w:val="00E67A6B"/>
    <w:rPr>
      <w:rFonts w:asciiTheme="majorHAnsi" w:eastAsiaTheme="majorEastAsia" w:hAnsiTheme="majorHAnsi" w:cstheme="majorBidi"/>
      <w:color w:val="008D48" w:themeColor="accent1"/>
      <w:sz w:val="28"/>
      <w:szCs w:val="28"/>
    </w:rPr>
  </w:style>
  <w:style w:type="character" w:styleId="SubtleEmphasis">
    <w:name w:val="Subtle Emphasis"/>
    <w:basedOn w:val="DefaultParagraphFont"/>
    <w:uiPriority w:val="19"/>
    <w:qFormat/>
    <w:rsid w:val="00E67A6B"/>
    <w:rPr>
      <w:i/>
      <w:iCs/>
      <w:color w:val="878787" w:themeColor="text1" w:themeTint="BF"/>
    </w:rPr>
  </w:style>
  <w:style w:type="character" w:styleId="IntenseEmphasis">
    <w:name w:val="Intense Emphasis"/>
    <w:basedOn w:val="DefaultParagraphFont"/>
    <w:uiPriority w:val="21"/>
    <w:qFormat/>
    <w:rsid w:val="00E67A6B"/>
    <w:rPr>
      <w:b/>
      <w:bCs/>
      <w:i/>
      <w:iCs/>
    </w:rPr>
  </w:style>
  <w:style w:type="character" w:styleId="SubtleReference">
    <w:name w:val="Subtle Reference"/>
    <w:basedOn w:val="DefaultParagraphFont"/>
    <w:uiPriority w:val="31"/>
    <w:qFormat/>
    <w:rsid w:val="00E67A6B"/>
    <w:rPr>
      <w:smallCaps/>
      <w:color w:val="878787" w:themeColor="text1" w:themeTint="BF"/>
      <w:u w:val="single" w:color="AEAEAE" w:themeColor="text1" w:themeTint="80"/>
    </w:rPr>
  </w:style>
  <w:style w:type="character" w:styleId="IntenseReference">
    <w:name w:val="Intense Reference"/>
    <w:basedOn w:val="DefaultParagraphFont"/>
    <w:uiPriority w:val="32"/>
    <w:qFormat/>
    <w:rsid w:val="00E67A6B"/>
    <w:rPr>
      <w:b/>
      <w:bCs/>
      <w:smallCaps/>
      <w:spacing w:val="5"/>
      <w:u w:val="single"/>
    </w:rPr>
  </w:style>
  <w:style w:type="character" w:styleId="BookTitle">
    <w:name w:val="Book Title"/>
    <w:basedOn w:val="DefaultParagraphFont"/>
    <w:uiPriority w:val="33"/>
    <w:qFormat/>
    <w:rsid w:val="00E67A6B"/>
    <w:rPr>
      <w:b/>
      <w:bCs/>
      <w:smallCaps/>
    </w:rPr>
  </w:style>
  <w:style w:type="paragraph" w:styleId="TOCHeading">
    <w:name w:val="TOC Heading"/>
    <w:basedOn w:val="Heading1"/>
    <w:next w:val="Normal"/>
    <w:uiPriority w:val="39"/>
    <w:semiHidden/>
    <w:unhideWhenUsed/>
    <w:qFormat/>
    <w:rsid w:val="00E67A6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woodmac.com/press-releases/nuclear-needs-to-be-cost-competitive-with--alternative-power-generation-to-enable-net-zero/" TargetMode="External"/><Relationship Id="rId18" Type="http://schemas.openxmlformats.org/officeDocument/2006/relationships/hyperlink" Target="https://www.spglobal.com/en/research-insights/special-reports/look-forward/data-center-frontiers/navigating-us-data-center-energy-demand" TargetMode="External"/><Relationship Id="rId26" Type="http://schemas.openxmlformats.org/officeDocument/2006/relationships/hyperlink" Target="https://www.iea-4e.org/wp-content/uploads/2025/05/Data-Centre-Energy-Use-Critical-Review-of-Models-and-Results.pdf" TargetMode="External"/><Relationship Id="rId39" Type="http://schemas.openxmlformats.org/officeDocument/2006/relationships/hyperlink" Target="https://atb.nrel.gov/electricity/2024/nuclear" TargetMode="External"/><Relationship Id="rId21" Type="http://schemas.openxmlformats.org/officeDocument/2006/relationships/hyperlink" Target="https://www.softwareseni.com/how-microsoft-amazon-google-and-meta-are-betting-billions-on-nuclear-power-for-ai/" TargetMode="External"/><Relationship Id="rId34" Type="http://schemas.openxmlformats.org/officeDocument/2006/relationships/hyperlink" Target="https://www.iea.org/data-and-statistics/charts/lcoe-and-value-adjusted-lcoe-for-solar-pv-plus-battery-storage-coal-and-natural-gas-in-selected-regions-in-the-stated-policies-scenario-2022-2030" TargetMode="External"/><Relationship Id="rId42" Type="http://schemas.openxmlformats.org/officeDocument/2006/relationships/hyperlink" Target="https://www.pjm.com/-/media/DotCom/about-pjm/newsroom/2025-releases/20251217-pjm-auction-procures-134479-mw-of-generation-resources.pdf" TargetMode="External"/><Relationship Id="rId47" Type="http://schemas.openxmlformats.org/officeDocument/2006/relationships/hyperlink" Target="https://energy.gov/sites/prod/files/2017/09/f36/Dominion%20Energy%20Inc.%2010-Q%20filing.pdf" TargetMode="External"/><Relationship Id="rId50" Type="http://schemas.openxmlformats.org/officeDocument/2006/relationships/hyperlink" Target="https://www.woodmac.com/news/opinion/us-seasonal-outlook-webinars-summer-2025-hot-topics-for-ercot-miso-and-pjm/" TargetMode="External"/><Relationship Id="rId7" Type="http://schemas.openxmlformats.org/officeDocument/2006/relationships/hyperlink" Target="https://pages.marketintelligence.spglobal.com/CAISO-and-ERCOT-Power-forecasts-by-the-hour-WS.html" TargetMode="External"/><Relationship Id="rId2" Type="http://schemas.openxmlformats.org/officeDocument/2006/relationships/styles" Target="styles.xml"/><Relationship Id="rId16" Type="http://schemas.openxmlformats.org/officeDocument/2006/relationships/hyperlink" Target="https://ldescouncil.com/wp-content/uploads/2025/05/journey-to-net-zero-june2022.pdf" TargetMode="External"/><Relationship Id="rId29" Type="http://schemas.openxmlformats.org/officeDocument/2006/relationships/hyperlink" Target="https://sal.aalto.fi/publications/pdf-files//theses/mas/tlit26_public.pdf" TargetMode="External"/><Relationship Id="rId11" Type="http://schemas.openxmlformats.org/officeDocument/2006/relationships/hyperlink" Target="https://itif.org/publications/2025/04/14/small-modular-reactors-a-realist-approach-to-the-future-of-nuclear-power/" TargetMode="External"/><Relationship Id="rId24" Type="http://schemas.openxmlformats.org/officeDocument/2006/relationships/hyperlink" Target="https://www.mckinsey.com/industries/private-capital/our-insights/scaling-bigger-faster-cheaper-data-centers-with-smarter-designs" TargetMode="External"/><Relationship Id="rId32" Type="http://schemas.openxmlformats.org/officeDocument/2006/relationships/hyperlink" Target="https://energytag.org/faq-scope-2-market-based-updates/" TargetMode="External"/><Relationship Id="rId37" Type="http://schemas.openxmlformats.org/officeDocument/2006/relationships/hyperlink" Target="https://www.decouple.media/p/is-wrights-law-wrong" TargetMode="External"/><Relationship Id="rId40" Type="http://schemas.openxmlformats.org/officeDocument/2006/relationships/hyperlink" Target="https://www.ercot.com/files/docs/2025/03/16/1250NPRR-18-PUCT-Report-031325.docx" TargetMode="External"/><Relationship Id="rId45" Type="http://schemas.openxmlformats.org/officeDocument/2006/relationships/hyperlink" Target="https://www.pjm.com/-/media/DotCom/about-pjm/newsroom/2025-releases/20250502-pjm-chooses-51-generation-resource-projects-to-address-near-term-electricity-demand-growth.pdf" TargetMode="External"/><Relationship Id="rId53" Type="http://schemas.openxmlformats.org/officeDocument/2006/relationships/theme" Target="theme/theme1.xml"/><Relationship Id="rId5" Type="http://schemas.openxmlformats.org/officeDocument/2006/relationships/hyperlink" Target="https://www.goldmansachs.com/insights/articles/ai-to-drive-165-increase-in-data-center-power-demand-by-2030" TargetMode="External"/><Relationship Id="rId10" Type="http://schemas.openxmlformats.org/officeDocument/2006/relationships/hyperlink" Target="https://www.eurelectric.org/in-detail/exploring-the-24-7-carbon-free-energy-cfe-ecosystem-the-future-of-corporate-procurement/" TargetMode="External"/><Relationship Id="rId19" Type="http://schemas.openxmlformats.org/officeDocument/2006/relationships/hyperlink" Target="https://www.woodmac.com/press-releases/us-utility-large-load-commitments-reach-160-gw-amid-unprecedented-pjm-demand-surge/" TargetMode="External"/><Relationship Id="rId31" Type="http://schemas.openxmlformats.org/officeDocument/2006/relationships/hyperlink" Target="https://www.microsoft.com/en-us/microsoft-cloud/blog/2024/09/20/accelerating-the-addition-of-carbon-free-energy-an-update-on-progress/" TargetMode="External"/><Relationship Id="rId44" Type="http://schemas.openxmlformats.org/officeDocument/2006/relationships/hyperlink" Target="https://opc.maryland.gov/LinkClick.aspx?fileticket=2_dOnqgd7sg%3D&amp;tabid=1151&amp;portalid=0&amp;mid=2652"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scendanalytics.com/blog/late-stage-project-values-and-renewable-energy-ppas" TargetMode="External"/><Relationship Id="rId14" Type="http://schemas.openxmlformats.org/officeDocument/2006/relationships/hyperlink" Target="https://www.lazard.com/media/uounhon4/lazards-lcoeplus-june-2025.pdf" TargetMode="External"/><Relationship Id="rId22" Type="http://schemas.openxmlformats.org/officeDocument/2006/relationships/hyperlink" Target="https://www.esgtoday.com/amazon-meta-google-microsoft-account-for-half-of-global-clean-energy-purchase-deals-in-2025-report/" TargetMode="External"/><Relationship Id="rId27" Type="http://schemas.openxmlformats.org/officeDocument/2006/relationships/hyperlink" Target="https://www.ascendanalytics.com/blog/caiso-market-outlook-persistent-negative-energy-prices-spreading-curtailment" TargetMode="External"/><Relationship Id="rId30" Type="http://schemas.openxmlformats.org/officeDocument/2006/relationships/hyperlink" Target="https://www.aes-hawaii.com/247-carbon-free-energy-aes" TargetMode="External"/><Relationship Id="rId35" Type="http://schemas.openxmlformats.org/officeDocument/2006/relationships/hyperlink" Target="https://cleantechnica.com/2025/11/27/exposing-the-learning-curve-myth-why-enhanced-geothermal-cannot-follow-solars-cost-trajectory/" TargetMode="External"/><Relationship Id="rId43" Type="http://schemas.openxmlformats.org/officeDocument/2006/relationships/hyperlink" Target="https://advancedenergyunited.org/blog/articles/faulty-interconnection-processes-costing-pjm-consumers-billions-new-report" TargetMode="External"/><Relationship Id="rId48" Type="http://schemas.openxmlformats.org/officeDocument/2006/relationships/hyperlink" Target="https://www.sec.gov/Archives/edgar/data/103682/000119312517157920/d377987d10q.htm" TargetMode="External"/><Relationship Id="rId8" Type="http://schemas.openxmlformats.org/officeDocument/2006/relationships/hyperlink" Target="https://blog.gridstatus.io/pjm-ppl-capacity-constraints-datacenters/" TargetMode="External"/><Relationship Id="rId51" Type="http://schemas.openxmlformats.org/officeDocument/2006/relationships/hyperlink" Target="https://www.salesforce.com/news/stories/energy-transition-investments/" TargetMode="External"/><Relationship Id="rId3" Type="http://schemas.openxmlformats.org/officeDocument/2006/relationships/settings" Target="settings.xml"/><Relationship Id="rId12" Type="http://schemas.openxmlformats.org/officeDocument/2006/relationships/hyperlink" Target="https://ourworldindata.org/learning-curve" TargetMode="External"/><Relationship Id="rId17" Type="http://schemas.openxmlformats.org/officeDocument/2006/relationships/hyperlink" Target="https://www.breckinridge.com/insights/details/quantifying-power-demand-from-artificial-intelligence/" TargetMode="External"/><Relationship Id="rId25" Type="http://schemas.openxmlformats.org/officeDocument/2006/relationships/hyperlink" Target="https://www.rdworldonline.com/white-house-wins-pledge-from-tech-firms-including-amazon-google-meta-and-microsoft-to-fund-power-for-ai-data-centers/" TargetMode="External"/><Relationship Id="rId33" Type="http://schemas.openxmlformats.org/officeDocument/2006/relationships/hyperlink" Target="https://www.carbon-direct.com/insights/capture-committed-google-and-broadwing-sign-carbon-capture-power-deal" TargetMode="External"/><Relationship Id="rId38" Type="http://schemas.openxmlformats.org/officeDocument/2006/relationships/hyperlink" Target="https://zero.lab.princeton.edu/wp-content/uploads/2025/06/Ricks-Jenkins-2025-Pathways-to-national-scale-adoption-of-enhanced-geothermal-Joule.pdf" TargetMode="External"/><Relationship Id="rId46" Type="http://schemas.openxmlformats.org/officeDocument/2006/relationships/hyperlink" Target="https://www.boem.gov/sites/default/files/renewable-energy-program/State-Activities/VA/Appendix-C_VOWTAP_Annual-Report-Form-10K_2013-12-06_Rev-Oct-2014.pdf" TargetMode="External"/><Relationship Id="rId20" Type="http://schemas.openxmlformats.org/officeDocument/2006/relationships/hyperlink" Target="https://www.woodmac.com/news/opinion/access-to-power-has-become-access-to-energy2/" TargetMode="External"/><Relationship Id="rId41" Type="http://schemas.openxmlformats.org/officeDocument/2006/relationships/hyperlink" Target="https://www.constellation.com/solutions/for-your-commercial-business/energy-tools-and-resources/energy-market-update.html" TargetMode="External"/><Relationship Id="rId1" Type="http://schemas.openxmlformats.org/officeDocument/2006/relationships/numbering" Target="numbering.xml"/><Relationship Id="rId6" Type="http://schemas.openxmlformats.org/officeDocument/2006/relationships/hyperlink" Target="https://about.bnef.com/insights/clean-energy/ai-and-the-power-grid-where-the-rubber-meets-the-road/" TargetMode="External"/><Relationship Id="rId15" Type="http://schemas.openxmlformats.org/officeDocument/2006/relationships/hyperlink" Target="https://modoenergy.com/research/en/battery-bess-offtake-tolling-agreements-route-market-contracts-ercot-explainer-part-one" TargetMode="External"/><Relationship Id="rId23" Type="http://schemas.openxmlformats.org/officeDocument/2006/relationships/hyperlink" Target="https://www.deloitte.com/us/en/insights/industry/power-and-utilities/data-center-infrastructure-artificial-intelligence.html" TargetMode="External"/><Relationship Id="rId28" Type="http://schemas.openxmlformats.org/officeDocument/2006/relationships/hyperlink" Target="https://www.woodmac.com/news/opinion/powerhouses-monitoring-grid-developments-texas-to-california/" TargetMode="External"/><Relationship Id="rId36" Type="http://schemas.openxmlformats.org/officeDocument/2006/relationships/hyperlink" Target="https://www.globsec.org/what-we-do/commentaries/faster-cheaper-smarter-promise-and-pitfalls-small-modular-reactors" TargetMode="External"/><Relationship Id="rId49" Type="http://schemas.openxmlformats.org/officeDocument/2006/relationships/hyperlink" Target="https://www.brattle.com/wp-content/uploads/2024/08/ERCOT-CONE-for-2026.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Constellation Palette">
      <a:dk1>
        <a:srgbClr val="5F5F5F"/>
      </a:dk1>
      <a:lt1>
        <a:sysClr val="window" lastClr="FFFFFF"/>
      </a:lt1>
      <a:dk2>
        <a:srgbClr val="131313"/>
      </a:dk2>
      <a:lt2>
        <a:srgbClr val="FFFFFF"/>
      </a:lt2>
      <a:accent1>
        <a:srgbClr val="008D48"/>
      </a:accent1>
      <a:accent2>
        <a:srgbClr val="B9C53A"/>
      </a:accent2>
      <a:accent3>
        <a:srgbClr val="0070C0"/>
      </a:accent3>
      <a:accent4>
        <a:srgbClr val="81CFE7"/>
      </a:accent4>
      <a:accent5>
        <a:srgbClr val="F15323"/>
      </a:accent5>
      <a:accent6>
        <a:srgbClr val="F99B2F"/>
      </a:accent6>
      <a:hlink>
        <a:srgbClr val="0000FF"/>
      </a:hlink>
      <a:folHlink>
        <a:srgbClr val="800080"/>
      </a:folHlink>
    </a:clrScheme>
    <a:fontScheme name="Custom 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9ef2ba4b-c84d-4be2-b185-2adc4e2ebd11}" enabled="1" method="Privileged" siteId="{d8fb9c07-c19e-4e8c-a1cb-717cd3cf8ffe}"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6633</Words>
  <Characters>45569</Characters>
  <Application>Microsoft Office Word</Application>
  <DocSecurity>0</DocSecurity>
  <Lines>734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Cohen, Jessica: (Constellation)</dc:creator>
  <cp:lastModifiedBy>Cohen, Jessica: (Constellation)</cp:lastModifiedBy>
  <cp:revision>2</cp:revision>
  <dcterms:created xsi:type="dcterms:W3CDTF">2026-03-12T20:07:00Z</dcterms:created>
  <dcterms:modified xsi:type="dcterms:W3CDTF">2026-03-12T20:07:00Z</dcterms:modified>
</cp:coreProperties>
</file>