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homeworkStat631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2/7/2022</w:t>
      </w:r>
    </w:p>
    <w:p>
      <w:pPr>
        <w:pStyle w:val="FirstParagraph"/>
      </w:pPr>
      <w:r>
        <w:t xml:space="preserve">#Problem 1</w:t>
      </w:r>
      <w:r>
        <w:t xml:space="preserve"> </w:t>
      </w:r>
      <w:r>
        <w:t xml:space="preserve">Q1. How many treatments are there?</w:t>
      </w:r>
      <w:r>
        <w:t xml:space="preserve"> </w:t>
      </w:r>
      <w:r>
        <w:t xml:space="preserve">Ans. There are 4 treatments.</w:t>
      </w:r>
    </w:p>
    <w:p>
      <w:pPr>
        <w:pStyle w:val="BodyText"/>
      </w:pPr>
      <w:r>
        <w:t xml:space="preserve">Q2. How many randomizations are used?</w:t>
      </w:r>
      <w:r>
        <w:t xml:space="preserve"> </w:t>
      </w:r>
      <w:r>
        <w:t xml:space="preserve">Ans. 29 randomizations are used.</w:t>
      </w:r>
    </w:p>
    <w:p>
      <w:pPr>
        <w:pStyle w:val="BodyText"/>
      </w:pPr>
      <w:r>
        <w:t xml:space="preserve">Q3. Is this a balanced design?</w:t>
      </w:r>
      <w:r>
        <w:t xml:space="preserve"> </w:t>
      </w:r>
      <w:r>
        <w:t xml:space="preserve">Ans. This is not a balanced design as we can see that observations are not of equal number.</w:t>
      </w:r>
    </w:p>
    <w:p>
      <w:pPr>
        <w:pStyle w:val="BodyText"/>
      </w:pPr>
      <w:r>
        <w:t xml:space="preserve">Q4. Does this experiment allow us to estimate error? why is it?</w:t>
      </w:r>
      <w:r>
        <w:t xml:space="preserve"> </w:t>
      </w:r>
      <w:r>
        <w:t xml:space="preserve">Ans. Yes, this experiment allow us to estimate error.</w:t>
      </w:r>
      <w:r>
        <w:t xml:space="preserve"> </w:t>
      </w:r>
      <w:r>
        <w:t xml:space="preserve">The reason is that if we take difference between any two responses is low, so the accuracy of prediction is high.</w:t>
      </w:r>
    </w:p>
    <w:p>
      <w:pPr>
        <w:pStyle w:val="BodyText"/>
      </w:pPr>
      <w:r>
        <w:t xml:space="preserve">#Problem 2</w:t>
      </w:r>
      <w:r>
        <w:t xml:space="preserve"> </w:t>
      </w:r>
      <w:r>
        <w:t xml:space="preserve">Q1. How many randomizations are used?</w:t>
      </w:r>
      <w:r>
        <w:t xml:space="preserve"> </w:t>
      </w:r>
      <w:r>
        <w:t xml:space="preserve">Ans. 02 ramdomizations are used.</w:t>
      </w:r>
    </w:p>
    <w:p>
      <w:pPr>
        <w:pStyle w:val="BodyText"/>
      </w:pPr>
      <w:r>
        <w:t xml:space="preserve">Q2. Is this a balanced design?</w:t>
      </w:r>
      <w:r>
        <w:t xml:space="preserve"> </w:t>
      </w:r>
      <w:r>
        <w:t xml:space="preserve">Ans. Yes this is a balanced design as we can see that observations are of equal number.</w:t>
      </w:r>
    </w:p>
    <w:p>
      <w:pPr>
        <w:pStyle w:val="BodyText"/>
      </w:pPr>
      <w:r>
        <w:t xml:space="preserve">Q3. What are the experimental units? How many are there?</w:t>
      </w:r>
      <w:r>
        <w:t xml:space="preserve"> </w:t>
      </w:r>
      <w:r>
        <w:t xml:space="preserve">Ans. Experimental units are the things to which we apply the treatments. There are 12 experimental units.</w:t>
      </w:r>
    </w:p>
    <w:p>
      <w:pPr>
        <w:pStyle w:val="BodyText"/>
      </w:pPr>
      <w:r>
        <w:t xml:space="preserve">Q4. How many responses do we have?</w:t>
      </w:r>
      <w:r>
        <w:t xml:space="preserve"> </w:t>
      </w:r>
      <w:r>
        <w:t xml:space="preserve">Ans. We have 48 responses.</w:t>
      </w:r>
    </w:p>
    <w:p>
      <w:pPr>
        <w:pStyle w:val="BodyText"/>
      </w:pPr>
      <w:r>
        <w:t xml:space="preserve">Q5. Are all responses statistically independent?</w:t>
      </w:r>
      <w:r>
        <w:t xml:space="preserve"> </w:t>
      </w:r>
      <w:r>
        <w:t xml:space="preserve">Ans. Yes the responses are statically independent as the treatment of one subject won’t affect the treatment of other subjects.</w:t>
      </w:r>
    </w:p>
    <w:p>
      <w:pPr>
        <w:pStyle w:val="BodyText"/>
      </w:pPr>
      <w:r>
        <w:t xml:space="preserve">#Problem 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(pacman)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(gtools, knitr)</w:t>
      </w:r>
    </w:p>
    <w:p>
      <w:pPr>
        <w:pStyle w:val="SourceCode"/>
      </w:pP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(treatment)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(control))</w:t>
      </w:r>
    </w:p>
    <w:p>
      <w:pPr>
        <w:pStyle w:val="SourceCode"/>
      </w:pPr>
      <w:r>
        <w:rPr>
          <w:rStyle w:val="VerbatimChar"/>
        </w:rPr>
        <w:t xml:space="preserve">## [1] 46.33333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NormalTok"/>
        </w:rPr>
        <w:t xml:space="preserve">combns_all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combinations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(treatment,control),</w:t>
      </w:r>
      <w:r>
        <w:br/>
      </w:r>
      <w:r>
        <w:rPr>
          <w:rStyle w:val="AttributeTok"/>
        </w:rPr>
        <w:t xml:space="preserve">repeats.allowed=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sumOfTreatment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(combns_all,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(treatment,control))</w:t>
      </w:r>
    </w:p>
    <w:p>
      <w:pPr>
        <w:pStyle w:val="SourceCode"/>
      </w:pP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sumOfControl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sum_total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sumOfTreatment</w:t>
      </w:r>
    </w:p>
    <w:p>
      <w:pPr>
        <w:pStyle w:val="SourceCode"/>
      </w:pP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meanOfTreatment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sumOfTreatment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meanOfControl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sumOfControl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meanOfDiff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meanOfTreatment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meanOfControl)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(combns_all))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"/>
        <w:gridCol w:w="352"/>
        <w:gridCol w:w="352"/>
        <w:gridCol w:w="1320"/>
        <w:gridCol w:w="880"/>
        <w:gridCol w:w="1144"/>
        <w:gridCol w:w="1408"/>
        <w:gridCol w:w="1232"/>
        <w:gridCol w:w="96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sumOfTreatment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sum_total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sumOfControl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meanOfTreatment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meanOfControl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meanOfDiff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112.33333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217.6667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105.66667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46.33333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185.3333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88.33333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29.00000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(combns_all[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(combns_all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meanOfDiff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46.33333</w:t>
      </w:r>
      <w:r>
        <w:rPr>
          <w:rStyle w:val="NormalTok"/>
        </w:rPr>
        <w:t xml:space="preserve">),]))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(combns_all))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FirstParagraph"/>
      </w:pPr>
      <w:r>
        <w:t xml:space="preserve">The randomization p-value is 8/20 = 0.4.</w:t>
      </w:r>
      <w:r>
        <w:t xml:space="preserve"> </w:t>
      </w:r>
      <w:r>
        <w:t xml:space="preserve">We fail to reject the null hypothesis at α = 0.05 significance.</w:t>
      </w:r>
    </w:p>
    <w:p>
      <w:pPr>
        <w:pStyle w:val="BodyText"/>
      </w:pPr>
      <w:r>
        <w:t xml:space="preserve">#Problem 6</w:t>
      </w:r>
    </w:p>
    <w:p>
      <w:pPr>
        <w:pStyle w:val="BodyText"/>
      </w:pPr>
      <w:r>
        <w:t xml:space="preserve">H0: µ1=µ2</w:t>
      </w:r>
      <w:r>
        <w:t xml:space="preserve"> </w:t>
      </w:r>
      <w:r>
        <w:t xml:space="preserve">H1: µ1!=µ2</w:t>
      </w:r>
    </w:p>
    <w:p>
      <w:pPr>
        <w:pStyle w:val="SourceCode"/>
      </w:pPr>
      <w:r>
        <w:rPr>
          <w:rStyle w:val="NormalTok"/>
        </w:rPr>
        <w:t xml:space="preserve">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11.176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11.739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8.963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n1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n2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(a1)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6.467   7.845   9.537   9.367  11.205  11.739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(a2)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3.772   6.377   7.216   6.847   7.629   8.963</w:t>
      </w:r>
    </w:p>
    <w:p>
      <w:pPr>
        <w:pStyle w:val="SourceCode"/>
      </w:pP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(a1)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4.40817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(a2)</w:t>
      </w:r>
      <w:r>
        <w:rPr>
          <w:rStyle w:val="SpecialCha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2.690999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(a1,a2)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a1 and a2</w:t>
      </w:r>
      <w:r>
        <w:br/>
      </w:r>
      <w:r>
        <w:rPr>
          <w:rStyle w:val="VerbatimChar"/>
        </w:rPr>
        <w:t xml:space="preserve">## t = 2.6751, df = 13.226, p-value = 0.01885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0.4884278 4.5515722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9.366625  6.846625</w:t>
      </w:r>
    </w:p>
    <w:p>
      <w:pPr>
        <w:pStyle w:val="SourceCode"/>
      </w:pP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power=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t test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12.67474</w:t>
      </w:r>
      <w:r>
        <w:br/>
      </w:r>
      <w:r>
        <w:rPr>
          <w:rStyle w:val="VerbatimChar"/>
        </w:rPr>
        <w:t xml:space="preserve">##           delta = 2.5</w:t>
      </w:r>
      <w:r>
        <w:br/>
      </w:r>
      <w:r>
        <w:rPr>
          <w:rStyle w:val="VerbatimChar"/>
        </w:rPr>
        <w:t xml:space="preserve">##              sd = 1.86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</w:t>
      </w:r>
      <w:r>
        <w:br/>
      </w:r>
      <w:r>
        <w:rPr>
          <w:rStyle w:val="VerbatimChar"/>
        </w:rPr>
        <w:t xml:space="preserve">##     alternative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p>
      <w:pPr>
        <w:pStyle w:val="SourceCode"/>
      </w:pP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power=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t test power calculation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33.30276</w:t>
      </w:r>
      <w:r>
        <w:br/>
      </w:r>
      <w:r>
        <w:rPr>
          <w:rStyle w:val="VerbatimChar"/>
        </w:rPr>
        <w:t xml:space="preserve">##           delta = 1.5</w:t>
      </w:r>
      <w:r>
        <w:br/>
      </w:r>
      <w:r>
        <w:rPr>
          <w:rStyle w:val="VerbatimChar"/>
        </w:rPr>
        <w:t xml:space="preserve">##              sd = 1.86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</w:t>
      </w:r>
      <w:r>
        <w:br/>
      </w:r>
      <w:r>
        <w:rPr>
          <w:rStyle w:val="VerbatimChar"/>
        </w:rPr>
        <w:t xml:space="preserve">##     alternative = two.sided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number in *each* group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homeworkStat631</dc:title>
  <dc:creator>Jessica Grover</dc:creator>
  <cp:keywords/>
  <dcterms:created xsi:type="dcterms:W3CDTF">2022-02-08T07:30:44Z</dcterms:created>
  <dcterms:modified xsi:type="dcterms:W3CDTF">2022-02-08T07:30:44Z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2/7/2022</vt:lpwstr>
  </property>
  <property fmtid="{D5CDD505-2E9C-101B-9397-08002B2CF9AE}" pid="3" name="output">
    <vt:lpwstr/>
  </property>
</Properties>
</file>