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right"/>
      </w:pPr>
      <w:r>
        <w:rPr>
          <w:b w:val="0"/>
          <w:i/>
          <w:sz w:val="18"/>
        </w:rPr>
        <w:t>Borrador v5.1 · Documento breve para revisión</w:t>
      </w:r>
    </w:p>
    <w:p>
      <w:pPr>
        <w:spacing w:after="40"/>
      </w:pPr>
      <w:r>
        <w:rPr>
          <w:b/>
          <w:i w:val="0"/>
          <w:sz w:val="28"/>
        </w:rPr>
        <w:t>Detección y exclusión de variables circulares en un modelo de ingreso a UCI, sobre un log de eventos de sepsis</w:t>
      </w:r>
    </w:p>
    <w:p>
      <w:pPr>
        <w:spacing w:after="200"/>
      </w:pPr>
      <w:r>
        <w:rPr>
          <w:b w:val="0"/>
          <w:i w:val="0"/>
          <w:sz w:val="19"/>
        </w:rPr>
        <w:t>Jessica Melani Romero Lora · Maestría en Ingeniería en Inteligencia Artificial · Director: Dr. Marcos Yamir Gómez</w:t>
      </w:r>
    </w:p>
    <w:p>
      <w:pPr>
        <w:pStyle w:val="Heading1"/>
      </w:pPr>
      <w:r>
        <w:t>1. Estado del arte</w:t>
      </w:r>
    </w:p>
    <w:p>
      <w:pPr>
        <w:spacing w:after="100"/>
      </w:pPr>
      <w:r>
        <w:rPr>
          <w:b w:val="0"/>
          <w:i w:val="0"/>
        </w:rPr>
        <w:t>El estado del arte reúne 27 referentes en dos bloques: minería de procesos en salud y sepsis (15) y fuga de datos en aprendizaje automático (12). La tabla completa, con objetivo relacionado, aporte por referencia y estado de verificación, está en el libro Estado_del_Arte_v3.xlsx. La búsqueda documentada (base de datos, cadena de búsqueda, fechas y criterios) está pendiente de completar.</w:t>
      </w:r>
    </w:p>
    <w:p>
      <w:pPr>
        <w:pStyle w:val="Heading1"/>
      </w:pPr>
      <w:r>
        <w:t>2. Planteamiento del problema</w:t>
      </w:r>
    </w:p>
    <w:p>
      <w:pPr>
        <w:spacing w:after="100"/>
      </w:pPr>
      <w:r>
        <w:rPr>
          <w:b w:val="0"/>
          <w:i w:val="0"/>
        </w:rPr>
        <w:t>Un modelo de riesgo entrenado con variables registradas después del desenlace, o que definen el desenlace, mide su propia consecuencia y no su capacidad predictiva. Esa circularidad infla el desempeño reportado y puede llevar a decisiones clínicas sobre métricas que no reflejan la predicción real. En un log de eventos, el orden de las actividades permite saber qué variables se registraron antes o después del ingreso a UCI, pero ese orden rara vez se usa al seleccionar predictores. El problema es cuantificar cuánto cambia el desempeño al excluir variables circulares y verificar si un procedimiento basado en el orden de las trazas identifica esas variables con precisión.</w:t>
      </w:r>
    </w:p>
    <w:p>
      <w:pPr>
        <w:pStyle w:val="Heading1"/>
      </w:pPr>
      <w:r>
        <w:t>3. Pregunta de investigación</w:t>
      </w:r>
    </w:p>
    <w:p>
      <w:pPr>
        <w:spacing w:after="120"/>
      </w:pPr>
      <w:r>
        <w:rPr>
          <w:b w:val="0"/>
          <w:i/>
        </w:rPr>
        <w:t>¿En qué medida la exclusión de variables circulares influye en el desempeño predictivo del ingreso a UCI, en el log Sepsis Cases de un hospital de Países Bajos registrado entre noviembre de 2013 y junio de 2015?</w:t>
      </w:r>
    </w:p>
    <w:tbl>
      <w:tblPr>
        <w:tblStyle w:val="TableGrid"/>
        <w:tblW w:type="auto" w:w="0"/>
        <w:tblLook w:firstColumn="1" w:firstRow="1" w:lastColumn="0" w:lastRow="0" w:noHBand="0" w:noVBand="1" w:val="04A0"/>
      </w:tblPr>
      <w:tblGrid>
        <w:gridCol w:w="4816"/>
        <w:gridCol w:w="4816"/>
      </w:tblGrid>
      <w:tr>
        <w:tc>
          <w:tcPr>
            <w:tcW w:type="dxa" w:w="2835"/>
            <w:shd w:val="clear" w:color="auto" w:fill="D9E1F2"/>
          </w:tcPr>
          <w:p>
            <w:r/>
            <w:r>
              <w:rPr>
                <w:b/>
                <w:sz w:val="19"/>
              </w:rPr>
              <w:t>Elemento</w:t>
            </w:r>
          </w:p>
        </w:tc>
        <w:tc>
          <w:tcPr>
            <w:tcW w:type="dxa" w:w="6520"/>
            <w:shd w:val="clear" w:color="auto" w:fill="D9E1F2"/>
          </w:tcPr>
          <w:p>
            <w:r/>
            <w:r>
              <w:rPr>
                <w:b/>
                <w:sz w:val="19"/>
              </w:rPr>
              <w:t>Definición en este estudio</w:t>
            </w:r>
          </w:p>
        </w:tc>
      </w:tr>
      <w:tr>
        <w:tc>
          <w:tcPr>
            <w:tcW w:type="dxa" w:w="2835"/>
          </w:tcPr>
          <w:p>
            <w:r/>
            <w:r>
              <w:rPr>
                <w:sz w:val="19"/>
              </w:rPr>
              <w:t>1. Pregunta clave</w:t>
            </w:r>
          </w:p>
        </w:tc>
        <w:tc>
          <w:tcPr>
            <w:tcW w:type="dxa" w:w="6520"/>
          </w:tcPr>
          <w:p>
            <w:r/>
            <w:r>
              <w:rPr>
                <w:sz w:val="19"/>
              </w:rPr>
              <w:t>Influencia de la exclusión de variables circulares en el desempeño predictivo</w:t>
            </w:r>
          </w:p>
        </w:tc>
      </w:tr>
      <w:tr>
        <w:tc>
          <w:tcPr>
            <w:tcW w:type="dxa" w:w="2835"/>
          </w:tcPr>
          <w:p>
            <w:r/>
            <w:r>
              <w:rPr>
                <w:sz w:val="19"/>
              </w:rPr>
              <w:t>2. Variable x</w:t>
            </w:r>
          </w:p>
        </w:tc>
        <w:tc>
          <w:tcPr>
            <w:tcW w:type="dxa" w:w="6520"/>
          </w:tcPr>
          <w:p>
            <w:r/>
            <w:r>
              <w:rPr>
                <w:sz w:val="19"/>
              </w:rPr>
              <w:t>Exclusión de variables circulares (modelo base frente a modelo corregido)</w:t>
            </w:r>
          </w:p>
        </w:tc>
      </w:tr>
      <w:tr>
        <w:tc>
          <w:tcPr>
            <w:tcW w:type="dxa" w:w="2835"/>
          </w:tcPr>
          <w:p>
            <w:r/>
            <w:r>
              <w:rPr>
                <w:sz w:val="19"/>
              </w:rPr>
              <w:t>3. Enlace</w:t>
            </w:r>
          </w:p>
        </w:tc>
        <w:tc>
          <w:tcPr>
            <w:tcW w:type="dxa" w:w="6520"/>
          </w:tcPr>
          <w:p>
            <w:r/>
            <w:r>
              <w:rPr>
                <w:sz w:val="19"/>
              </w:rPr>
              <w:t>Influye en (magnitud del efecto)</w:t>
            </w:r>
          </w:p>
        </w:tc>
      </w:tr>
      <w:tr>
        <w:tc>
          <w:tcPr>
            <w:tcW w:type="dxa" w:w="2835"/>
          </w:tcPr>
          <w:p>
            <w:r/>
            <w:r>
              <w:rPr>
                <w:sz w:val="19"/>
              </w:rPr>
              <w:t>4. Variable y</w:t>
            </w:r>
          </w:p>
        </w:tc>
        <w:tc>
          <w:tcPr>
            <w:tcW w:type="dxa" w:w="6520"/>
          </w:tcPr>
          <w:p>
            <w:r/>
            <w:r>
              <w:rPr>
                <w:sz w:val="19"/>
              </w:rPr>
              <w:t>Desempeño predictivo del ingreso a UCI (área bajo la curva y recall)</w:t>
            </w:r>
          </w:p>
        </w:tc>
      </w:tr>
      <w:tr>
        <w:tc>
          <w:tcPr>
            <w:tcW w:type="dxa" w:w="2835"/>
          </w:tcPr>
          <w:p>
            <w:r/>
            <w:r>
              <w:rPr>
                <w:sz w:val="19"/>
              </w:rPr>
              <w:t>5. Muestra / población</w:t>
            </w:r>
          </w:p>
        </w:tc>
        <w:tc>
          <w:tcPr>
            <w:tcW w:type="dxa" w:w="6520"/>
          </w:tcPr>
          <w:p>
            <w:r/>
            <w:r>
              <w:rPr>
                <w:sz w:val="19"/>
              </w:rPr>
              <w:t>1,050 casos del log; 110 con ingreso a UCI (~10%)</w:t>
            </w:r>
          </w:p>
        </w:tc>
      </w:tr>
      <w:tr>
        <w:tc>
          <w:tcPr>
            <w:tcW w:type="dxa" w:w="2835"/>
          </w:tcPr>
          <w:p>
            <w:r/>
            <w:r>
              <w:rPr>
                <w:sz w:val="19"/>
              </w:rPr>
              <w:t>6. Ámbito de datos</w:t>
            </w:r>
          </w:p>
        </w:tc>
        <w:tc>
          <w:tcPr>
            <w:tcW w:type="dxa" w:w="6520"/>
          </w:tcPr>
          <w:p>
            <w:r/>
            <w:r>
              <w:rPr>
                <w:sz w:val="19"/>
              </w:rPr>
              <w:t>Log de eventos clínicos de un sistema ERP hospitalario, de acceso público</w:t>
            </w:r>
          </w:p>
        </w:tc>
      </w:tr>
      <w:tr>
        <w:tc>
          <w:tcPr>
            <w:tcW w:type="dxa" w:w="2835"/>
          </w:tcPr>
          <w:p>
            <w:r/>
            <w:r>
              <w:rPr>
                <w:sz w:val="19"/>
              </w:rPr>
              <w:t>7. Ámbito geográfico (objetivo)</w:t>
            </w:r>
          </w:p>
        </w:tc>
        <w:tc>
          <w:tcPr>
            <w:tcW w:type="dxa" w:w="6520"/>
          </w:tcPr>
          <w:p>
            <w:r/>
            <w:r>
              <w:rPr>
                <w:sz w:val="19"/>
              </w:rPr>
              <w:t>Un hospital de Países Bajos</w:t>
            </w:r>
          </w:p>
        </w:tc>
      </w:tr>
      <w:tr>
        <w:tc>
          <w:tcPr>
            <w:tcW w:type="dxa" w:w="2835"/>
          </w:tcPr>
          <w:p>
            <w:r/>
            <w:r>
              <w:rPr>
                <w:sz w:val="19"/>
              </w:rPr>
              <w:t>8. Tiempo</w:t>
            </w:r>
          </w:p>
        </w:tc>
        <w:tc>
          <w:tcPr>
            <w:tcW w:type="dxa" w:w="6520"/>
          </w:tcPr>
          <w:p>
            <w:r/>
            <w:r>
              <w:rPr>
                <w:sz w:val="19"/>
              </w:rPr>
              <w:t>Noviembre de 2013 a junio de 2015</w:t>
            </w:r>
          </w:p>
        </w:tc>
      </w:tr>
    </w:tbl>
    <w:p>
      <w:pPr>
        <w:spacing w:after="20"/>
      </w:pPr>
    </w:p>
    <w:p>
      <w:pPr>
        <w:pStyle w:val="Heading1"/>
      </w:pPr>
      <w:r>
        <w:t>4. Objetivo general</w:t>
      </w:r>
    </w:p>
    <w:p>
      <w:pPr>
        <w:spacing w:after="100"/>
      </w:pPr>
      <w:r>
        <w:rPr>
          <w:b w:val="0"/>
          <w:i w:val="0"/>
        </w:rPr>
        <w:t>Analizar cómo la exclusión de variables circulares modifica el desempeño predictivo de un modelo de ingreso a UCI en un log de eventos de sepsis.</w:t>
      </w:r>
    </w:p>
    <w:p>
      <w:pPr>
        <w:pStyle w:val="Heading1"/>
      </w:pPr>
      <w:r>
        <w:t>5. Objetivos específicos</w:t>
      </w:r>
    </w:p>
    <w:p>
      <w:pPr>
        <w:spacing w:after="100"/>
      </w:pPr>
      <w:r>
        <w:rPr>
          <w:b w:val="0"/>
          <w:i w:val="0"/>
        </w:rPr>
        <w:t>OE1. Examinar la posición temporal de cada variable respecto al ingreso a UCI dentro de cada traza, para clasificarla como circular o no circular.</w:t>
      </w:r>
    </w:p>
    <w:p>
      <w:pPr>
        <w:spacing w:after="100"/>
      </w:pPr>
      <w:r>
        <w:rPr>
          <w:b w:val="0"/>
          <w:i w:val="0"/>
        </w:rPr>
        <w:t>OE2. Cuantificar la diferencia de área bajo la curva y de recall entre el modelo base y el modelo corregido, con validación cruzada anidada e intervalos de confianza.</w:t>
      </w:r>
    </w:p>
    <w:p>
      <w:pPr>
        <w:spacing w:after="100"/>
      </w:pPr>
      <w:r>
        <w:rPr>
          <w:b w:val="0"/>
          <w:i w:val="0"/>
        </w:rPr>
        <w:t>OE3. Contrastar la precisión y el recall del procedimiento de detección frente a variables con fuga inyectada de intensidad conocida.</w:t>
      </w:r>
    </w:p>
    <w:p>
      <w:pPr>
        <w:spacing w:after="100"/>
      </w:pPr>
      <w:r>
        <w:rPr>
          <w:b w:val="0"/>
          <w:i/>
          <w:sz w:val="19"/>
        </w:rPr>
        <w:t>Relación con el general: OE1 define la variable x, OE2 mide su efecto sobre y, y OE3 valida que x esté bien clasificada. Los objetivos se redefinirán tras la revisión del estado del arte.</w:t>
      </w:r>
    </w:p>
    <w:p>
      <w:pPr>
        <w:pStyle w:val="Heading1"/>
      </w:pPr>
      <w:r>
        <w:t>6. Justificación</w:t>
      </w:r>
    </w:p>
    <w:p>
      <w:pPr>
        <w:pStyle w:val="Heading2"/>
      </w:pPr>
      <w:r>
        <w:t>6.1 Relevancia social</w:t>
      </w:r>
    </w:p>
    <w:p>
      <w:pPr>
        <w:spacing w:after="100"/>
      </w:pPr>
      <w:r>
        <w:rPr>
          <w:b w:val="0"/>
          <w:i w:val="0"/>
        </w:rPr>
        <w:t>La sepsis es una causa relevante de ingreso a unidades de cuidados intensivos, y los modelos que anticipan ese ingreso pueden apoyar el triaje. Un modelo cuya precisión está inflada por circularidad puede orientar mal esas decisiones. Medir el efecto real de la circularidad protege contra esa decisión. Fuente: Mannhardt y Blinde (2017), sobre el log de sepsis del proyecto. [Ubicar el pasaje y la página exacta antes de citar.]</w:t>
      </w:r>
    </w:p>
    <w:p>
      <w:pPr>
        <w:pStyle w:val="Heading2"/>
      </w:pPr>
      <w:r>
        <w:t>6.2 Conveniencia</w:t>
      </w:r>
    </w:p>
    <w:p>
      <w:pPr>
        <w:spacing w:after="100"/>
      </w:pPr>
      <w:r>
        <w:rPr>
          <w:b w:val="0"/>
          <w:i w:val="0"/>
        </w:rPr>
        <w:t>El procedimiento usa un log público ya disponible, herramientas abiertas (scikit-learn, XGBoost, PM4Py) y un desenlace bien definido. Es ejecutable en el plazo de un posgrado y no requiere acuerdos institucionales. Desde el punto de vista técnico, la fuga de información está documentada como problema común en aprendizaje automático (Kapoor y Narayanan, 2023), y en logs de eventos el orden de las actividades ofrece una forma sistemática de detectarla.</w:t>
      </w:r>
    </w:p>
    <w:p>
      <w:pPr>
        <w:pStyle w:val="Heading2"/>
      </w:pPr>
      <w:r>
        <w:t>6.3 Valor teórico</w:t>
      </w:r>
    </w:p>
    <w:p>
      <w:pPr>
        <w:spacing w:after="100"/>
      </w:pPr>
      <w:r>
        <w:rPr>
          <w:b w:val="0"/>
          <w:i w:val="0"/>
        </w:rPr>
        <w:t>El estudio relaciona dos líneas que rara vez se cruzan: la literatura sobre fuga de datos en aprendizaje automático y la de minería de procesos en salud. La contribución teórica es un criterio operativo para clasificar variables según su posición en la traza, validado en un log real y en uno con fugas inyectadas.</w:t>
      </w:r>
    </w:p>
    <w:p>
      <w:pPr>
        <w:pStyle w:val="Heading2"/>
      </w:pPr>
      <w:r>
        <w:t>6.4 Implicaciones prácticas</w:t>
      </w:r>
    </w:p>
    <w:p>
      <w:pPr>
        <w:spacing w:after="100"/>
      </w:pPr>
      <w:r>
        <w:rPr>
          <w:b w:val="0"/>
          <w:i w:val="0"/>
        </w:rPr>
        <w:t>Si la corrección reduce el desempeño de forma relevante, los modelos reportados con este tipo de log pueden estar sobreestimados. El procedimiento puede reutilizarse en otros logs con desenlaces de ingreso o alta. Los resultados no se generalizan a otros hospitales sin validación externa.</w:t>
      </w:r>
    </w:p>
    <w:p>
      <w:pPr>
        <w:pStyle w:val="Heading1"/>
      </w:pPr>
      <w:r>
        <w:t>7. Hipótesis de investigación e hipótesis nula</w:t>
      </w:r>
    </w:p>
    <w:p>
      <w:pPr>
        <w:spacing w:after="100"/>
      </w:pPr>
      <w:r>
        <w:rPr>
          <w:b w:val="0"/>
          <w:i w:val="0"/>
        </w:rPr>
        <w:t>H1: el área bajo la curva del modelo corregido es menor que la del modelo base. Esta dirección se espera por la evidencia de fuga en la literatura (Kapoor y Narayanan, 2023).</w:t>
      </w:r>
    </w:p>
    <w:p>
      <w:pPr>
        <w:spacing w:after="100"/>
      </w:pPr>
      <w:r>
        <w:rPr>
          <w:b w:val="0"/>
          <w:i w:val="0"/>
        </w:rPr>
        <w:t>H0: no hay diferencia en el área bajo la curva entre el modelo base y el modelo corregido, más allá de la variación esperada por el muestreo.</w:t>
      </w:r>
    </w:p>
    <w:p>
      <w:pPr>
        <w:spacing w:after="100"/>
      </w:pPr>
      <w:r>
        <w:rPr>
          <w:b w:val="0"/>
          <w:i/>
          <w:sz w:val="19"/>
        </w:rPr>
        <w:t>Algoritmos: regresión logística, Random Forest y XGBoost, con la misma validación. Métricas principales: área bajo la curva (variante por confirmar: precisión-recall o ROC) y recall.</w:t>
      </w:r>
    </w:p>
    <w:p>
      <w:pPr>
        <w:pStyle w:val="Heading1"/>
      </w:pPr>
      <w:r>
        <w:t>8. Marco teórico</w:t>
      </w:r>
    </w:p>
    <w:p>
      <w:pPr>
        <w:spacing w:after="100"/>
      </w:pPr>
      <w:r>
        <w:rPr>
          <w:b w:val="0"/>
          <w:i w:val="0"/>
        </w:rPr>
        <w:t>El marco se organiza en cuatro bloques, que corresponden a los temas de la siguiente sección. La fuga de información se define por escenarios (definicional, temporal y por proxy) y se mide con el efecto sobre el desempeño. La minería de procesos ofrece la representación de trazas que permite ubicar cada variable en el tiempo. La validación de modelos y la calidad de datos completan el procedimiento.</w:t>
      </w:r>
    </w:p>
    <w:p>
      <w:pPr>
        <w:pStyle w:val="Heading1"/>
      </w:pPr>
      <w:r>
        <w:t>9. Temas del marco teórico</w:t>
      </w:r>
    </w:p>
    <w:tbl>
      <w:tblPr>
        <w:tblStyle w:val="TableGrid"/>
        <w:tblW w:type="auto" w:w="0"/>
        <w:tblLook w:firstColumn="1" w:firstRow="1" w:lastColumn="0" w:lastRow="0" w:noHBand="0" w:noVBand="1" w:val="04A0"/>
      </w:tblPr>
      <w:tblGrid>
        <w:gridCol w:w="3211"/>
        <w:gridCol w:w="3211"/>
        <w:gridCol w:w="3211"/>
      </w:tblGrid>
      <w:tr>
        <w:tc>
          <w:tcPr>
            <w:tcW w:type="dxa" w:w="3969"/>
            <w:shd w:val="clear" w:color="auto" w:fill="D9E1F2"/>
          </w:tcPr>
          <w:p>
            <w:r/>
            <w:r>
              <w:rPr>
                <w:b/>
                <w:sz w:val="19"/>
              </w:rPr>
              <w:t>Tema</w:t>
            </w:r>
          </w:p>
        </w:tc>
        <w:tc>
          <w:tcPr>
            <w:tcW w:type="dxa" w:w="3402"/>
            <w:shd w:val="clear" w:color="auto" w:fill="D9E1F2"/>
          </w:tcPr>
          <w:p>
            <w:r/>
            <w:r>
              <w:rPr>
                <w:b/>
                <w:sz w:val="19"/>
              </w:rPr>
              <w:t>Referentes en la tabla</w:t>
            </w:r>
          </w:p>
        </w:tc>
        <w:tc>
          <w:tcPr>
            <w:tcW w:type="dxa" w:w="1984"/>
            <w:shd w:val="clear" w:color="auto" w:fill="D9E1F2"/>
          </w:tcPr>
          <w:p>
            <w:r/>
            <w:r>
              <w:rPr>
                <w:b/>
                <w:sz w:val="19"/>
              </w:rPr>
              <w:t>Objetivo</w:t>
            </w:r>
          </w:p>
        </w:tc>
      </w:tr>
      <w:tr>
        <w:tc>
          <w:tcPr>
            <w:tcW w:type="dxa" w:w="3969"/>
          </w:tcPr>
          <w:p>
            <w:r/>
            <w:r>
              <w:rPr>
                <w:sz w:val="19"/>
              </w:rPr>
              <w:t>9.1 Fuga de información: escenarios, medición y efecto</w:t>
            </w:r>
          </w:p>
        </w:tc>
        <w:tc>
          <w:tcPr>
            <w:tcW w:type="dxa" w:w="3402"/>
          </w:tcPr>
          <w:p>
            <w:r/>
            <w:r>
              <w:rPr>
                <w:sz w:val="19"/>
              </w:rPr>
              <w:t>#16, #18, #22, #23, #24, #28, #42</w:t>
            </w:r>
          </w:p>
        </w:tc>
        <w:tc>
          <w:tcPr>
            <w:tcW w:type="dxa" w:w="1984"/>
          </w:tcPr>
          <w:p>
            <w:r/>
            <w:r>
              <w:rPr>
                <w:sz w:val="19"/>
              </w:rPr>
              <w:t>OE1, OE2, OE3</w:t>
            </w:r>
          </w:p>
        </w:tc>
      </w:tr>
      <w:tr>
        <w:tc>
          <w:tcPr>
            <w:tcW w:type="dxa" w:w="3969"/>
          </w:tcPr>
          <w:p>
            <w:r/>
            <w:r>
              <w:rPr>
                <w:sz w:val="19"/>
              </w:rPr>
              <w:t>9.2 Validación de modelos y pipelines (incluye validación anidada)</w:t>
            </w:r>
          </w:p>
        </w:tc>
        <w:tc>
          <w:tcPr>
            <w:tcW w:type="dxa" w:w="3402"/>
          </w:tcPr>
          <w:p>
            <w:r/>
            <w:r>
              <w:rPr>
                <w:sz w:val="19"/>
              </w:rPr>
              <w:t>#17, #19, #21, #29, #38</w:t>
            </w:r>
          </w:p>
        </w:tc>
        <w:tc>
          <w:tcPr>
            <w:tcW w:type="dxa" w:w="1984"/>
          </w:tcPr>
          <w:p>
            <w:r/>
            <w:r>
              <w:rPr>
                <w:sz w:val="19"/>
              </w:rPr>
              <w:t>OE2</w:t>
            </w:r>
          </w:p>
        </w:tc>
      </w:tr>
      <w:tr>
        <w:tc>
          <w:tcPr>
            <w:tcW w:type="dxa" w:w="3969"/>
          </w:tcPr>
          <w:p>
            <w:r/>
            <w:r>
              <w:rPr>
                <w:sz w:val="19"/>
              </w:rPr>
              <w:t>9.3 Minería de procesos: representación y orden de trazas en salud y sepsis</w:t>
            </w:r>
          </w:p>
        </w:tc>
        <w:tc>
          <w:tcPr>
            <w:tcW w:type="dxa" w:w="3402"/>
          </w:tcPr>
          <w:p>
            <w:r/>
            <w:r>
              <w:rPr>
                <w:sz w:val="19"/>
              </w:rPr>
              <w:t>#1, #2, #8, #9, #11, #13, #15, #31, #32, #33, #34, #35, #37, #43, #44, #45, #46</w:t>
            </w:r>
          </w:p>
        </w:tc>
        <w:tc>
          <w:tcPr>
            <w:tcW w:type="dxa" w:w="1984"/>
          </w:tcPr>
          <w:p>
            <w:r/>
            <w:r>
              <w:rPr>
                <w:sz w:val="19"/>
              </w:rPr>
              <w:t>OE1</w:t>
            </w:r>
          </w:p>
        </w:tc>
      </w:tr>
      <w:tr>
        <w:tc>
          <w:tcPr>
            <w:tcW w:type="dxa" w:w="3969"/>
          </w:tcPr>
          <w:p>
            <w:r/>
            <w:r>
              <w:rPr>
                <w:sz w:val="19"/>
              </w:rPr>
              <w:t>9.4 Detección automática de fuga</w:t>
            </w:r>
          </w:p>
        </w:tc>
        <w:tc>
          <w:tcPr>
            <w:tcW w:type="dxa" w:w="3402"/>
          </w:tcPr>
          <w:p>
            <w:r/>
            <w:r>
              <w:rPr>
                <w:sz w:val="19"/>
              </w:rPr>
              <w:t>#25, #26, #41</w:t>
            </w:r>
          </w:p>
        </w:tc>
        <w:tc>
          <w:tcPr>
            <w:tcW w:type="dxa" w:w="1984"/>
          </w:tcPr>
          <w:p>
            <w:r/>
            <w:r>
              <w:rPr>
                <w:sz w:val="19"/>
              </w:rPr>
              <w:t>OE3</w:t>
            </w:r>
          </w:p>
        </w:tc>
      </w:tr>
      <w:tr>
        <w:tc>
          <w:tcPr>
            <w:tcW w:type="dxa" w:w="3969"/>
          </w:tcPr>
          <w:p>
            <w:r/>
            <w:r>
              <w:rPr>
                <w:sz w:val="19"/>
              </w:rPr>
              <w:t>9.5 Calidad de datos y limpieza</w:t>
            </w:r>
          </w:p>
        </w:tc>
        <w:tc>
          <w:tcPr>
            <w:tcW w:type="dxa" w:w="3402"/>
          </w:tcPr>
          <w:p>
            <w:r/>
            <w:r>
              <w:rPr>
                <w:sz w:val="19"/>
              </w:rPr>
              <w:t>#20, #27</w:t>
            </w:r>
          </w:p>
        </w:tc>
        <w:tc>
          <w:tcPr>
            <w:tcW w:type="dxa" w:w="1984"/>
          </w:tcPr>
          <w:p>
            <w:r/>
            <w:r>
              <w:rPr>
                <w:sz w:val="19"/>
              </w:rPr>
              <w:t>Marco general</w:t>
            </w:r>
          </w:p>
        </w:tc>
      </w:tr>
      <w:tr>
        <w:tc>
          <w:tcPr>
            <w:tcW w:type="dxa" w:w="3969"/>
          </w:tcPr>
          <w:p>
            <w:r/>
            <w:r>
              <w:rPr>
                <w:sz w:val="19"/>
              </w:rPr>
              <w:t>9.6 Algoritmos de clasificación</w:t>
            </w:r>
          </w:p>
        </w:tc>
        <w:tc>
          <w:tcPr>
            <w:tcW w:type="dxa" w:w="3402"/>
          </w:tcPr>
          <w:p>
            <w:r/>
            <w:r>
              <w:rPr>
                <w:sz w:val="19"/>
              </w:rPr>
              <w:t>#21, #30, #39, #40; pendiente: referencia metodológica de Random Forest (Breiman, 2001) y de regresión logística</w:t>
            </w:r>
          </w:p>
        </w:tc>
        <w:tc>
          <w:tcPr>
            <w:tcW w:type="dxa" w:w="1984"/>
          </w:tcPr>
          <w:p>
            <w:r/>
            <w:r>
              <w:rPr>
                <w:sz w:val="19"/>
              </w:rPr>
              <w:t>OE2</w:t>
            </w:r>
          </w:p>
        </w:tc>
      </w:tr>
    </w:tbl>
    <w:p>
      <w:pPr>
        <w:spacing w:after="20"/>
      </w:pPr>
    </w:p>
    <w:p>
      <w:pPr>
        <w:spacing w:after="100"/>
      </w:pPr>
      <w:r>
        <w:rPr>
          <w:b w:val="0"/>
          <w:i/>
          <w:sz w:val="18"/>
        </w:rPr>
        <w:t>Nota: todas las referencias están pendientes de verificación bibliográfica completa (volumen, páginas, DOI) antes de la entrega.</w:t>
      </w:r>
    </w:p>
    <w:p>
      <w:pPr>
        <w:pStyle w:val="Heading1"/>
      </w:pPr>
      <w:r>
        <w:t>10. Relación del marco teórico con los objetivos y el estado del arte</w:t>
      </w:r>
    </w:p>
    <w:p>
      <w:pPr>
        <w:spacing w:after="120"/>
      </w:pPr>
      <w:r>
        <w:rPr>
          <w:b w:val="0"/>
          <w:i w:val="0"/>
        </w:rPr>
        <w:t>Cada tema del marco sustenta al menos un objetivo. La columna de pendientes indica lo que el marco aún no cubre con referentes verificados.</w:t>
      </w:r>
    </w:p>
    <w:tbl>
      <w:tblPr>
        <w:tblStyle w:val="TableGrid"/>
        <w:tblW w:type="auto" w:w="0"/>
        <w:tblLook w:firstColumn="1" w:firstRow="1" w:lastColumn="0" w:lastRow="0" w:noHBand="0" w:noVBand="1" w:val="04A0"/>
      </w:tblPr>
      <w:tblGrid>
        <w:gridCol w:w="2408"/>
        <w:gridCol w:w="2408"/>
        <w:gridCol w:w="2408"/>
        <w:gridCol w:w="2408"/>
      </w:tblGrid>
      <w:tr>
        <w:tc>
          <w:tcPr>
            <w:tcW w:type="dxa" w:w="2268"/>
            <w:shd w:val="clear" w:color="auto" w:fill="D9E1F2"/>
          </w:tcPr>
          <w:p>
            <w:r/>
            <w:r>
              <w:rPr>
                <w:b/>
                <w:sz w:val="19"/>
              </w:rPr>
              <w:t>Objetivo</w:t>
            </w:r>
          </w:p>
        </w:tc>
        <w:tc>
          <w:tcPr>
            <w:tcW w:type="dxa" w:w="2835"/>
            <w:shd w:val="clear" w:color="auto" w:fill="D9E1F2"/>
          </w:tcPr>
          <w:p>
            <w:r/>
            <w:r>
              <w:rPr>
                <w:b/>
                <w:sz w:val="19"/>
              </w:rPr>
              <w:t>Temas del marco que lo sustentan</w:t>
            </w:r>
          </w:p>
        </w:tc>
        <w:tc>
          <w:tcPr>
            <w:tcW w:type="dxa" w:w="1984"/>
            <w:shd w:val="clear" w:color="auto" w:fill="D9E1F2"/>
          </w:tcPr>
          <w:p>
            <w:r/>
            <w:r>
              <w:rPr>
                <w:b/>
                <w:sz w:val="19"/>
              </w:rPr>
              <w:t>Referentes (tabla)</w:t>
            </w:r>
          </w:p>
        </w:tc>
        <w:tc>
          <w:tcPr>
            <w:tcW w:type="dxa" w:w="2551"/>
            <w:shd w:val="clear" w:color="auto" w:fill="D9E1F2"/>
          </w:tcPr>
          <w:p>
            <w:r/>
            <w:r>
              <w:rPr>
                <w:b/>
                <w:sz w:val="19"/>
              </w:rPr>
              <w:t>Pendiente de fuente</w:t>
            </w:r>
          </w:p>
        </w:tc>
      </w:tr>
      <w:tr>
        <w:tc>
          <w:tcPr>
            <w:tcW w:type="dxa" w:w="2268"/>
          </w:tcPr>
          <w:p>
            <w:r/>
            <w:r>
              <w:rPr>
                <w:sz w:val="19"/>
              </w:rPr>
              <w:t>General</w:t>
            </w:r>
          </w:p>
        </w:tc>
        <w:tc>
          <w:tcPr>
            <w:tcW w:type="dxa" w:w="2835"/>
          </w:tcPr>
          <w:p>
            <w:r/>
            <w:r>
              <w:rPr>
                <w:sz w:val="19"/>
              </w:rPr>
              <w:t>9.1, 9.2, 9.3</w:t>
            </w:r>
          </w:p>
        </w:tc>
        <w:tc>
          <w:tcPr>
            <w:tcW w:type="dxa" w:w="1984"/>
          </w:tcPr>
          <w:p>
            <w:r/>
            <w:r>
              <w:rPr>
                <w:sz w:val="19"/>
              </w:rPr>
              <w:t>#1, #2, #16, #22, #23, #24</w:t>
            </w:r>
          </w:p>
        </w:tc>
        <w:tc>
          <w:tcPr>
            <w:tcW w:type="dxa" w:w="2551"/>
          </w:tcPr>
          <w:p>
            <w:r/>
            <w:r>
              <w:rPr>
                <w:sz w:val="19"/>
              </w:rPr>
              <w:t>Ninguno adicional: el general integra los tres objetivos.</w:t>
            </w:r>
          </w:p>
        </w:tc>
      </w:tr>
      <w:tr>
        <w:tc>
          <w:tcPr>
            <w:tcW w:type="dxa" w:w="2268"/>
          </w:tcPr>
          <w:p>
            <w:r/>
            <w:r>
              <w:rPr>
                <w:sz w:val="19"/>
              </w:rPr>
              <w:t>OE1. Examinar la posición temporal de cada variable</w:t>
            </w:r>
          </w:p>
        </w:tc>
        <w:tc>
          <w:tcPr>
            <w:tcW w:type="dxa" w:w="2835"/>
          </w:tcPr>
          <w:p>
            <w:r/>
            <w:r>
              <w:rPr>
                <w:sz w:val="19"/>
              </w:rPr>
              <w:t>9.1 (circularidad temporal y definicional), 9.3 (orden de actividades en la traza)</w:t>
            </w:r>
          </w:p>
        </w:tc>
        <w:tc>
          <w:tcPr>
            <w:tcW w:type="dxa" w:w="1984"/>
          </w:tcPr>
          <w:p>
            <w:r/>
            <w:r>
              <w:rPr>
                <w:sz w:val="19"/>
              </w:rPr>
              <w:t>#1, #2, #8, #9, #13, #15, #16, #22, #28, #42</w:t>
            </w:r>
          </w:p>
        </w:tc>
        <w:tc>
          <w:tcPr>
            <w:tcW w:type="dxa" w:w="2551"/>
          </w:tcPr>
          <w:p>
            <w:r/>
            <w:r>
              <w:rPr>
                <w:sz w:val="19"/>
              </w:rPr>
              <w:t>Definición operativa de "circular" y umbral del criterio proxy: referencias identificadas, pendientes de incorporar a la tabla.</w:t>
            </w:r>
          </w:p>
        </w:tc>
      </w:tr>
      <w:tr>
        <w:tc>
          <w:tcPr>
            <w:tcW w:type="dxa" w:w="2268"/>
          </w:tcPr>
          <w:p>
            <w:r/>
            <w:r>
              <w:rPr>
                <w:sz w:val="19"/>
              </w:rPr>
              <w:t>OE2. Cuantificar la diferencia de área bajo la curva y recall</w:t>
            </w:r>
          </w:p>
        </w:tc>
        <w:tc>
          <w:tcPr>
            <w:tcW w:type="dxa" w:w="2835"/>
          </w:tcPr>
          <w:p>
            <w:r/>
            <w:r>
              <w:rPr>
                <w:sz w:val="19"/>
              </w:rPr>
              <w:t>9.1 (efecto de la fuga sobre métricas), 9.2 (validación y pipelines)</w:t>
            </w:r>
          </w:p>
        </w:tc>
        <w:tc>
          <w:tcPr>
            <w:tcW w:type="dxa" w:w="1984"/>
          </w:tcPr>
          <w:p>
            <w:r/>
            <w:r>
              <w:rPr>
                <w:sz w:val="19"/>
              </w:rPr>
              <w:t>#17, #19, #21, #23, #24, #29, #30, #38, #39, #40</w:t>
            </w:r>
          </w:p>
        </w:tc>
        <w:tc>
          <w:tcPr>
            <w:tcW w:type="dxa" w:w="2551"/>
          </w:tcPr>
          <w:p>
            <w:r/>
            <w:r>
              <w:rPr>
                <w:sz w:val="19"/>
              </w:rPr>
              <w:t>Referencia metodológica de Random Forest (Breiman, 2001) y de regresión logística; las de aplicación ya están (#39, #40).</w:t>
            </w:r>
          </w:p>
        </w:tc>
      </w:tr>
      <w:tr>
        <w:tc>
          <w:tcPr>
            <w:tcW w:type="dxa" w:w="2268"/>
          </w:tcPr>
          <w:p>
            <w:r/>
            <w:r>
              <w:rPr>
                <w:sz w:val="19"/>
              </w:rPr>
              <w:t>OE3. Contrastar la precisión y recall del detector</w:t>
            </w:r>
          </w:p>
        </w:tc>
        <w:tc>
          <w:tcPr>
            <w:tcW w:type="dxa" w:w="2835"/>
          </w:tcPr>
          <w:p>
            <w:r/>
            <w:r>
              <w:rPr>
                <w:sz w:val="19"/>
              </w:rPr>
              <w:t>9.1 (medición de fuga), 9.4 (detección automática)</w:t>
            </w:r>
          </w:p>
        </w:tc>
        <w:tc>
          <w:tcPr>
            <w:tcW w:type="dxa" w:w="1984"/>
          </w:tcPr>
          <w:p>
            <w:r/>
            <w:r>
              <w:rPr>
                <w:sz w:val="19"/>
              </w:rPr>
              <w:t>#18, #25, #26, #41</w:t>
            </w:r>
          </w:p>
        </w:tc>
        <w:tc>
          <w:tcPr>
            <w:tcW w:type="dxa" w:w="2551"/>
          </w:tcPr>
          <w:p>
            <w:r/>
            <w:r>
              <w:rPr>
                <w:sz w:val="19"/>
              </w:rPr>
              <w:t>Definición de precisión y recall del detector; el método de inyección tiene referencia por analogía (#41).</w:t>
            </w:r>
          </w:p>
        </w:tc>
      </w:tr>
    </w:tbl>
    <w:p>
      <w:pPr>
        <w:spacing w:after="20"/>
      </w:pPr>
    </w:p>
    <w:p>
      <w:pPr>
        <w:spacing w:after="100"/>
      </w:pPr>
      <w:r>
        <w:rPr>
          <w:b w:val="0"/>
          <w:i w:val="0"/>
          <w:sz w:val="19"/>
        </w:rPr>
        <w:t>Relación con el estado del arte: el bloque de fuga de datos (12 referentes) sustenta OE1, OE2 y OE3; el bloque de minería de procesos en salud (15 referentes) sustenta OE1 y la justificación social. Los temas 9.5 (calidad de datos) y el marco general sostienen la preparación del log.</w:t>
      </w:r>
    </w:p>
    <w:p>
      <w:pPr>
        <w:spacing w:after="100"/>
      </w:pPr>
      <w:r>
        <w:rPr>
          <w:b w:val="0"/>
          <w:i w:val="0"/>
          <w:sz w:val="19"/>
        </w:rPr>
        <w:t>Alcance del componente de procesos: la minería de procesos se usa para representar y ordenar las trazas, que es lo que requiere OE1. El descubrimiento de modelos de proceso y el cálculo de fitness no forman parte de los objetivos vigentes y no se desarrollan en el marco.</w:t>
      </w:r>
    </w:p>
    <w:p>
      <w:pPr>
        <w:spacing w:after="40"/>
      </w:pPr>
      <w:r>
        <w:rPr>
          <w:b/>
          <w:i w:val="0"/>
          <w:sz w:val="19"/>
        </w:rPr>
        <w:t>Pendientes de incorporar o verificar:</w:t>
      </w:r>
    </w:p>
    <w:p>
      <w:pPr>
        <w:pStyle w:val="ListBullet"/>
        <w:spacing w:after="40"/>
      </w:pPr>
      <w:r>
        <w:t>Definición operativa de circularidad: más de tres referentes identificados, pendientes de incorporar a la tabla.</w:t>
      </w:r>
    </w:p>
    <w:p>
      <w:pPr>
        <w:pStyle w:val="ListBullet"/>
        <w:spacing w:after="40"/>
      </w:pPr>
      <w:r>
        <w:t>Referencia metodológica de Random Forest (Breiman, 2001) y de regresión logística; las referencias de aplicación ya están en la tabla.</w:t>
      </w:r>
    </w:p>
    <w:p>
      <w:pPr>
        <w:pStyle w:val="ListBullet"/>
        <w:spacing w:after="40"/>
      </w:pPr>
      <w:r>
        <w:t>Métricas de precisión del detector (definición formal).</w:t>
      </w:r>
    </w:p>
    <w:p>
      <w:pPr>
        <w:pStyle w:val="ListBullet"/>
        <w:spacing w:after="40"/>
      </w:pPr>
      <w:r>
        <w:t>Pasaje y página exacta de la fuente de relevancia social (Mannhardt y Blinde, 2017).</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