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rise of gun violence in the United States has led to a need for more insight on why these violent events are occurring. The purpose of this project was to determine whether a given set of socioeconomic, demographic and social vulnerability features for a U.S county could accurately predict whether a county has a “high level” of gun violence. This would allow legislators to work proactively by identifying which features influence high gun violence. </w:t>
      </w:r>
      <w:r w:rsidDel="00000000" w:rsidR="00000000" w:rsidRPr="00000000">
        <w:rPr>
          <w:rtl w:val="0"/>
        </w:rPr>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research has been conducted on socioeconomic features and their correlation to firearm violence. Many studies have found that economic attributes such as income and markers of lower income such as housing can accurately predict gun violence risk. The features chosen to examine differ between studies as some use legislation and utilize mortality as the target variable instead of instances of violence. For example, a research study titled “Firearm legislation and firearm mortality in the USA: a cross-sectional, state-level study” found that some enacted firearm laws were associated with reduced gun related mortality. Another study took “a machine learning approach-extreme gradient boosting-that enabled (them) to model 55 neighborhood features simultaneously” (Pear et al, 2021). The study took a similar approach to our model, but worked with zip codes instead of FIPS county-year data and focused on Cleveland, Ohio and Detroit, Michigan instead of the whole country. Therefore, their model targets patterns and correlations specific to these cities and cannot capture patterns that exist in non-metropolitan areas. </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Other studies that specifically target socioeconomic features have varying target features, many of which count deaths specifically or specific types of gun violence such as mass shootings, intimate partner homicide, or community gun violence. Our work differs by combining three federal data sources</w:t>
      </w:r>
      <w:r w:rsidDel="00000000" w:rsidR="00000000" w:rsidRPr="00000000">
        <w:rPr>
          <w:rFonts w:ascii="Times New Roman" w:cs="Times New Roman" w:eastAsia="Times New Roman" w:hAnsi="Times New Roman"/>
          <w:sz w:val="24"/>
          <w:szCs w:val="24"/>
          <w:highlight w:val="white"/>
          <w:rtl w:val="0"/>
        </w:rPr>
        <w:t xml:space="preserve"> (CDC WONDER, CDC SVI, Census ACS) to study the entire country, using a five-year panel (2019–2023), applying stratified train/test splits, and using SHAP to answer the secondary predictive question. Further, our target variable is based on “crude rate” which highlights the density of gun violence within a specific area instead of a count of incidences. </w:t>
      </w: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covers the entire country over a five year period with our features including socioeconomic attributes that are not directly correlated to crude rate as our target variable “violence_level” is a binary derived from the crude rate percentage of a county. The final model predicts whether a county with certain features will be a “high” or “low” risk area. </w:t>
      </w:r>
      <w:r w:rsidDel="00000000" w:rsidR="00000000" w:rsidRPr="00000000">
        <w:rPr>
          <w:rtl w:val="0"/>
        </w:rPr>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utilized a XGBClassification model. It has an 85% accuracy rating, 83% recall score, 85% F1 score, and 0.931 ROC-AUC. These results indicate a high performing model that can predict whether or not a county with specific features will experience a high or low risk of gun violence. Based on a SHAP report, the top features that impact model output include percentage of population over 65 years old, multi-unit homes, minority individuals, and English speakers.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project wanted to highlight features that predicted “high gun violence” we investigated the top 8 features that result in high gun violence. The top 8 include svi_multi_unit, acs_median_income , svi_disabled, svi_housing_burden , spike ,svi_age65_plus , svi_unemp_rate, and acs_unemp_rate.  These features show lower income areas often struggle with a higher risk of gun violence. Specifically, communities struggling with housing, unemployment and health concerns can experience a higher risk. </w:t>
      </w:r>
    </w:p>
    <w:p w:rsidR="00000000" w:rsidDel="00000000" w:rsidP="00000000" w:rsidRDefault="00000000" w:rsidRPr="00000000" w14:paraId="0000000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model results, career, education, housing, and health should be targeted by policy makers. With an importance score of 0.041, SVI and ACS unemployment rates are ranked 7th and 8th on the top features that predict high gun violence. Therefore, counties should seek to increase access to career counseling and education opportunities within the community. Furthermore, the sixth most impactful feature on the SHAP report is the percentage of the population under the age of 17. Introducing initiatives to support classrooms such as incentivizing perfect attendance, funding class supplies, and creating accessible school buses for children can decrease the risk of gun violence. Of the top 8 features, 2 involved housing, with multi unit housing and housing burden having importance scores of 0.1931 and 0.0453 respectively. Counties should enact policies that protect tenants in lower income areas. These policies could involve clauses in leases that prevent unexpected evictions or clauses that limit a change in rent over long term leases. Percentage of disabled individuals and uninsured are also of high importance on the SHAP report. Legislators should focus on increasing access to trauma care and insurance enrollment. </w:t>
      </w:r>
    </w:p>
    <w:p w:rsidR="00000000" w:rsidDel="00000000" w:rsidP="00000000" w:rsidRDefault="00000000" w:rsidRPr="00000000" w14:paraId="0000000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large scope of this study, there are limitations on the model's accuracy. Specific patterns within neighbors could not be studied and variation of these neighborhoods between more granular time series such as months or quarters could not be analyzed. Furthermore, specific legislation or executive orders that were enacted over the years were not measured. Lastly the target column involved a median-split binary label that discards variation with high and low groups. </w:t>
      </w:r>
    </w:p>
    <w:p w:rsidR="00000000" w:rsidDel="00000000" w:rsidP="00000000" w:rsidRDefault="00000000" w:rsidRPr="00000000" w14:paraId="0000000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gun violence model can accurately predict whether a county has a “high level” of gun violence and based on results, socioeconomic deprivation is the dominant signal. To create a more accurate model, creating a multi-class outcome target variable would be ideal and adding in additional features such as gun law index, social cohesion ratings, and access to education would be beneficial. </w:t>
      </w:r>
    </w:p>
    <w:p w:rsidR="00000000" w:rsidDel="00000000" w:rsidP="00000000" w:rsidRDefault="00000000" w:rsidRPr="00000000" w14:paraId="0000000A">
      <w:pPr>
        <w:spacing w:after="240" w:before="240" w:line="48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Kalesan, B., Mobily, M. E., Keiser, O., Fagan, J. A., &amp; Galea, S. (2016). </w:t>
      </w:r>
      <w:r w:rsidDel="00000000" w:rsidR="00000000" w:rsidRPr="00000000">
        <w:rPr>
          <w:rFonts w:ascii="Times New Roman" w:cs="Times New Roman" w:eastAsia="Times New Roman" w:hAnsi="Times New Roman"/>
          <w:i w:val="1"/>
          <w:iCs w:val="1"/>
          <w:sz w:val="24"/>
          <w:szCs w:val="24"/>
          <w:rtl w:val="0"/>
        </w:rPr>
        <w:t xml:space="preserve">Firearm legislation and firearm mortality in the USA: A cross-sectional, state-level study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Lancet, 387</w:t>
      </w:r>
      <w:r w:rsidDel="00000000" w:rsidR="00000000" w:rsidRPr="00000000">
        <w:rPr>
          <w:rFonts w:ascii="Times New Roman" w:cs="Times New Roman" w:eastAsia="Times New Roman" w:hAnsi="Times New Roman"/>
          <w:sz w:val="24"/>
          <w:szCs w:val="24"/>
          <w:rtl w:val="0"/>
        </w:rPr>
        <w:t xml:space="preserve">(10030), 1847–1855.</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 V. A., Smirniotis, C., &amp; Kagawa, R. M. C. (2025). </w:t>
      </w:r>
      <w:r w:rsidDel="00000000" w:rsidR="00000000" w:rsidRPr="00000000">
        <w:rPr>
          <w:rFonts w:ascii="Times New Roman" w:cs="Times New Roman" w:eastAsia="Times New Roman" w:hAnsi="Times New Roman"/>
          <w:i w:val="1"/>
          <w:iCs w:val="1"/>
          <w:sz w:val="24"/>
          <w:szCs w:val="24"/>
          <w:rtl w:val="0"/>
        </w:rPr>
        <w:t xml:space="preserve">Predicting neighborhood-level violence from features of the physical and social environment with machine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Injury Epidemiology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