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1"/>
        </w:pBd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18"/>
          <w:szCs w:val="18"/>
        </w:rPr>
        <w:t xml:space="preserve">U.S. DEPARTMENT OF HEALTH AND HUMAN SERVICES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Office of Refugee Resettlement  |  Unified Mentor Internship Program</w:t>
      </w:r>
    </w:p>
    <w:p>
      <w:pPr>
        <w:spacing w:after="32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36"/>
          <w:szCs w:val="36"/>
        </w:rPr>
        <w:t xml:space="preserve">EXECUTIVE SUMMARY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UAC Care Pipeline — Care Transition Efficiency &amp; Placement Outcome Analytics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for Government Stakeholders  |  2025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of This Report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executive summary presents findings from a data-driven analysis of the Unaccompanied Alien Children (UAC) care pipeline operated by the U.S. Department of Health and Human Services (HHS). The analysis reframes the UAC dataset from a capacity monitoring lens to a process efficiency and outcome evaluation lens.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goal is to provide government decision-makers with clear, actionable insights into where the pipeline is performing well, where critical bottlenecks exist, and what interventions are recommended to improve child welfare outcomes.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The Care Pipeline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UAC care system operates as a sequential pipeline across three stages: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"/>
        <w:gridCol w:w="2200"/>
        <w:gridCol w:w="500"/>
        <w:gridCol w:w="4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CBP Custody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Initial apprehension &amp; holding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HHS Care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Screening, sheltering &amp; case management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→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Sponsor Placement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Discharge &amp; reunification with vetted sponsor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Key Performance Indicators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Five process efficiency KPIs were derived from daily operational data to evaluate the pipeline: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Efficiency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29922"/>
                <w:sz w:val="20"/>
                <w:szCs w:val="20"/>
              </w:rPr>
              <w:t xml:space="preserve">~69%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acceptable but declining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Discharge Effectiveness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primary bottleneck identified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Throughput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29922"/>
                <w:sz w:val="20"/>
                <w:szCs w:val="20"/>
              </w:rPr>
              <w:t xml:space="preserve">&lt; 1.0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— outflow lags behind inflow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Accumulation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Negative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Improving but stagnating in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Stability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29922"/>
                <w:sz w:val="20"/>
                <w:szCs w:val="20"/>
              </w:rPr>
              <w:t xml:space="preserve">High Var.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— no sustained performance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Critical Finding — The HHS Discharge Bottleneck</w:t>
      </w:r>
    </w:p>
    <w:p>
      <w:pPr>
        <w:pBdr>
          <w:left w:val="single" w:color="C00000" w:sz="12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Only ~2% of children in HHS care are placed with sponsors on any given day, while ~69% of children are transferred from CBP to HHS — a 35x efficiency gap.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gap identifies the HHS discharge and sponsor placement stage as the critical failure point in the pipeline. Children are entering HHS care at a reasonable rate but are not exiting to sponsors efficiently. Root causes likely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Sponsor vetting and background check delays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Case management capacity constraints during peak periods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Policy and legal barriers to final placement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Administrative bottlenecks in documentation and processing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Temporal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2023–early 2024: Strong throughput — outflow consistently exceeded inflow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Mid-2024: Gap narrowed, indicating increasing system pressure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Early 2025: Sharp simultaneous drop in both inflow and outflow — systemic shift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2025 onwards: Prolonged stagnation — discharge effectiveness near zero, no recovery observed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Weekend throughput slightly higher than weekday — suggests administrative bottlenecks on weekdays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Recommendations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Accelerate sponsor vetting processes — streamline background checks and approval workflows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improvement in discharge effectiveness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HHS case management capacity during peak periods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average time-in-care per child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threshold-based monitoring — automated alerts when discharge falls below 1.5%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intervention before stagnation sets 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the 2025 systemic decline — policy-level review of simultaneous inflow/outflow drop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and address root cause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certain processing operations to weekends — leverage higher weekend throughput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improvement in overall pipeline speed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real-time pipeline flow dashboards for administrators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decision-making and resource allocation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Conclusion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UAC care pipeline demonstrates moderate capability in early-stage transitions from CBP to HHS custody (~69% transfer efficiency). However, the system critically underperforms at the final placement stage, with discharge effectiveness consistently near 2%.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2025 data reveals a system-wide stagnation that has not recovered. Addressing the HHS discharge bottleneck through process reforms, capacity expansion, and real-time monitoring is essential for improving reunification outcomes and upholding the welfare of unaccompanied children.</w:t>
      </w:r>
    </w:p>
    <w:p>
      <w:pPr>
        <w:pBdr>
          <w:top w:val="single" w:color="1F4E79" w:sz="4" w:space="4"/>
        </w:pBdr>
        <w:spacing w:after="80" w:before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Unified Mentor Internship Program  |  U.S. Department of Health and Human Services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2026-05-07T10:02:45.337Z</dcterms:created>
  <dcterms:modified xsi:type="dcterms:W3CDTF">2026-05-07T10:02:45.337Z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