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color w:val="4A6FA5"/>
          <w:sz w:val="24"/>
          <w:szCs w:val="24"/>
        </w:rPr>
        <w:t xml:space="preserve">INSTITUTO TECNOLÓGICO SUPERIOR DE ÉBANO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D4E3F"/>
          <w:sz w:val="44"/>
          <w:szCs w:val="44"/>
        </w:rPr>
        <w:t xml:space="preserve">REPORTE DE PROYECTO – UNIDAD II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Clasificación de residuos sólidos con una red neuronal MLP (dataset TrashNet)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Materia: </w:t>
      </w:r>
      <w:r>
        <w:rPr>
          <w:rFonts w:ascii="Calibri" w:cs="Calibri" w:eastAsia="Calibri" w:hAnsi="Calibri"/>
          <w:sz w:val="22"/>
          <w:szCs w:val="22"/>
        </w:rPr>
        <w:t xml:space="preserve">Visión por Computadora y Machine Learning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Carrera: </w:t>
      </w:r>
      <w:r>
        <w:rPr>
          <w:rFonts w:ascii="Calibri" w:cs="Calibri" w:eastAsia="Calibri" w:hAnsi="Calibri"/>
          <w:sz w:val="22"/>
          <w:szCs w:val="22"/>
        </w:rPr>
        <w:t xml:space="preserve">Ingeniería en Sistemas Computacionales – Noveno semestre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Docente: </w:t>
      </w:r>
      <w:r>
        <w:rPr>
          <w:rFonts w:ascii="Calibri" w:cs="Calibri" w:eastAsia="Calibri" w:hAnsi="Calibri"/>
          <w:sz w:val="22"/>
          <w:szCs w:val="22"/>
        </w:rPr>
        <w:t xml:space="preserve">MTI. José Refugio Ruiz García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Integrantes: </w:t>
      </w:r>
      <w:r>
        <w:rPr>
          <w:rFonts w:ascii="Calibri" w:cs="Calibri" w:eastAsia="Calibri" w:hAnsi="Calibri"/>
          <w:sz w:val="22"/>
          <w:szCs w:val="22"/>
        </w:rPr>
        <w:t xml:space="preserve">Jessica Johena Zuñiga Delgado, Nayely Pérez Espinosa, Edgar Alfredo Reyes Estrada, Sandra Patricia Sosa Chávez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Números de control: </w:t>
      </w:r>
      <w:r>
        <w:rPr>
          <w:rFonts w:ascii="Calibri" w:cs="Calibri" w:eastAsia="Calibri" w:hAnsi="Calibri"/>
          <w:sz w:val="22"/>
          <w:szCs w:val="22"/>
        </w:rPr>
        <w:t xml:space="preserve">22ISC010, 22ISC018, 22ISC012, 22ISC014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Resumen y cumplimiento de criterios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reporte documenta la implementación de la Unidad II del proyecto: se preprocesó el dataset TrashNet seleccionado en la Unidad I, se diseñó y entrenó un perceptrón multicapa (MLP) como modelo baseline, se ajustaron hiperparámetros, se evaluó el modelo y se comparan opciones de despliegue en la nube. Todas las cifras provienen de una ejecución real del código adjunto (mlp_trashnet_windows.py / cuaderno de Colab).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principal: </w:t>
      </w:r>
      <w:r>
        <w:rPr>
          <w:rFonts w:ascii="Calibri" w:cs="Calibri" w:eastAsia="Calibri" w:hAnsi="Calibri"/>
          <w:sz w:val="22"/>
          <w:szCs w:val="22"/>
        </w:rPr>
        <w:t xml:space="preserve">el baseline alcanzó una exactitud de 55.5 % sobre 380 imágenes de prueba (F1 macro de 0.53), frente al 16.7 % esperable al azar con seis clases. Es un resultado útil como punto de partida, pero limitado: el análisis de la sección 7 explica por qué y qué sigue.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1. Criterios de la rúbrica y sección donde se cubren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rPr>
          <w:tblHeader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Preprocesamiento (redimensionado, normalización, codificación de etiquetas)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Arquitectura MLP, con justificación de capas y neuronas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Entrenamiento del baseline (épocas, pérdida, optimizador)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Ajuste de hiperparámetros (tasa de aprendizaje y tamaño de lote) y comparación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Prevención de sobreajuste (validación, early stopping, Dropout, L2)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Evaluación con métricas (exactitud, precisión, recall, F1, matriz de confusión) e interpretación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Limitaciones del baseline (errores comunes, clases con bajo desempeño)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Comparación de al menos dos opciones de despliegue en la nube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Cubierto (3 opciones)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1. Preprocesamiento del dataset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utilizó TrashNet (Yang y Thung, 2016) en su versión redimensionada: 2,527 imágenes en seis clases. Los conteos coinciden con los documentados en la Unidad I (cardboard 403, glass 501, metal 410, paper 594, plastic 482, trash 137).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95750" cy="2181225"/>
            <wp:effectExtent t="0" r="0" b="0" l="0"/>
            <wp:docPr id="1" name="fig_distribucion.png" descr="fig_distribucion.png" title="fig_distribu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1. Distribución de imágenes por clase. La clase trash representa solo el 5.4 % del total.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2. Pasos del preprocesamiento (pipeline de la Unidad 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4710"/>
      </w:tblGrid>
      <w:tr>
        <w:trPr>
          <w:tblHeader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Fase 1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Lectura de la imagen con OpenCV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Ingesta del archivo JPG desde disco (o desde la cámara en la aplicación).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Fase 2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Conversión BGR → RGB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OpenCV lee en BGR; se estandariza al orden RGB que usan los modelos.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Fase 3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Redimensionado a 224×224 (interpolación de área)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Tamaño fijo especificado en el requisito RF-02.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Fase 4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Normalización a [0, 1] (÷255)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Escala los píxeles a un rango estable para el entrenamiento.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Reducción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Reducción a 32×32 y aplanado a 3,072 valores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 MLP exige un vector de entrada; con 224×224×3 serían 150,528 entradas y más de 38 millones de pesos solo en la primera capa, inviable y propenso a sobreajuste con ~1,800 imágenes.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Estandarización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 0 y desviación 1 por píxel, calculadas solo con entrenamiento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Corrige un fallo observado (ver abajo). Usar solo estadísticas de entrenamiento evita filtrar información de validación y prueba.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Etiquetas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LabelEncoder: cardboard=0, glass=1, metal=2, paper=3, plastic=4, trash=5</w:t>
            </w:r>
          </w:p>
        </w:tc>
        <w:tc>
          <w:tcPr>
            <w:tcW w:type="dxa" w:w="47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Codifica las clases como enteros para la pérdida sparse_categorical_crossentropy.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fig_muestras_preprocesamiento.png" descr="fig_muestras_preprocesamiento.png" title="fig_muestras_preprocesami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2. Una imagen por clase: original, 224×224 y la versión 32×32 que recibe el MLP.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Partición y desbalance de clases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dividió el dataset de forma estratificada (misma proporción de clases en cada subconjunto) y con semilla fija (42): 1,768 imágenes para entrenamiento (70 %), 379 para validación (15 %) y 380 para prueba (15 %). Para compensar el desbalance se calcularon pesos por clase con el criterio balanceado: trash pesa 3.07, paper 0.71, glass 0.84, plastic 0.87, cardboard 1.04 y metal 1.03, de modo que los errores en la clase minoritaria penalizan más durante el entrenamiento.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Hallazgo durante la implementación. </w:t>
      </w:r>
      <w:r>
        <w:rPr>
          <w:rFonts w:ascii="Calibri" w:cs="Calibri" w:eastAsia="Calibri" w:hAnsi="Calibri"/>
          <w:sz w:val="22"/>
          <w:szCs w:val="22"/>
        </w:rPr>
        <w:t xml:space="preserve">En una primera corrida sin estandarizar (solo con valores en [0, 1]) el modelo colapsó: predecía siempre la clase trash y obtuvo 5.3 % de exactitud en prueba. Al estandarizar las entradas con las estadísticas del entrenamiento, el mismo modelo aprendió con normalidad. Esto ilustra por qué la normalización a [0, 1] por sí sola puede no ser suficiente para un MLP.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2. Diseño de la arquitectura (MLP)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3. Arquitectura del MLP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900"/>
        <w:gridCol w:w="1560"/>
        <w:gridCol w:w="26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 de salida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 / propósito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Entrada (imagen aplanada)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3,072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32×32×3 valores estandarizados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Dense + ReLU (L2 = 1e-4)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786,688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Extrae combinaciones de color y textura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Dropout (0.3)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Regularización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Dense + ReLU (L2 = 1e-4)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32,896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Comprime la representación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Dropout (0.3)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Regularización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Dense + Softmax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774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Probabilidad por clase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820,358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Justificación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Dos capas ocultas. </w:t>
      </w:r>
      <w:r>
        <w:rPr>
          <w:rFonts w:ascii="Calibri" w:cs="Calibri" w:eastAsia="Calibri" w:hAnsi="Calibri"/>
          <w:sz w:val="22"/>
          <w:szCs w:val="22"/>
        </w:rPr>
        <w:t xml:space="preserve">Con solo 1,768 imágenes de entrenamiento, una red más profunda aumenta el riesgo de memorizar. Dos capas permiten combinar características no lineales sin un costo de parámetros excesivo.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256 y 128 neuronas (reducción gradual). </w:t>
      </w:r>
      <w:r>
        <w:rPr>
          <w:rFonts w:ascii="Calibri" w:cs="Calibri" w:eastAsia="Calibri" w:hAnsi="Calibri"/>
          <w:sz w:val="22"/>
          <w:szCs w:val="22"/>
        </w:rPr>
        <w:t xml:space="preserve">La primera capa debe condensar 3,072 entradas; 256 neuronas la reducen unas 12 veces conservando capacidad. La segunda (128) estrecha la representación hacia las 6 clases. El patrón decreciente es una práctica habitual para evitar cuellos de botella abruptos.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ReLU en las capas ocultas. </w:t>
      </w:r>
      <w:r>
        <w:rPr>
          <w:rFonts w:ascii="Calibri" w:cs="Calibri" w:eastAsia="Calibri" w:hAnsi="Calibri"/>
          <w:sz w:val="22"/>
          <w:szCs w:val="22"/>
        </w:rPr>
        <w:t xml:space="preserve">Es sencilla, evita el desvanecimiento del gradiente y entrena rápido.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Softmax con 6 salidas. </w:t>
      </w:r>
      <w:r>
        <w:rPr>
          <w:rFonts w:ascii="Calibri" w:cs="Calibri" w:eastAsia="Calibri" w:hAnsi="Calibri"/>
          <w:sz w:val="22"/>
          <w:szCs w:val="22"/>
        </w:rPr>
        <w:t xml:space="preserve">Las clases son mutuamente excluyentes; softmax produce una distribución de probabilidad, y su valor máximo es la métrica de confianza que exigen RF-04 y RF-05.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Dropout 0.3 y L2 de 1e-4. </w:t>
      </w:r>
      <w:r>
        <w:rPr>
          <w:rFonts w:ascii="Calibri" w:cs="Calibri" w:eastAsia="Calibri" w:hAnsi="Calibri"/>
          <w:sz w:val="22"/>
          <w:szCs w:val="22"/>
        </w:rPr>
        <w:t xml:space="preserve">La primera capa concentra el 96 % de los parámetros, por lo que es donde más se necesita regularizar.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Nota: el número de capas y neuronas se fijó por criterio de diseño y se comparó solo en términos de tasa de aprendizaje y tamaño de lote; no se exploraron otras profundidades, por lo que esta arquitectura no está demostrada como óptima.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3. Entrenamiento del modelo baseline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4. Configuración del entrenamiento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Optimizador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Adam, tasa de aprendizaje 1e-3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Función de pérdida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sparse_categorical_crossentropy (etiquetas enteras, salida softmax)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Métrica de seguimiento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Exactitud (accuracy)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Tamaño de lote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Épocas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Máximo 40; el entrenamiento se detuvo en la época 18 por early stopping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Early stopping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Monitorea val_loss, paciencia de 6 épocas, restaura los mejores pesos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Pesos por clase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Balanceados (trash = 3.07)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Semilla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42 (partición y pesos iniciales)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Entorno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Python, TensorFlow/Keras, OpenCV y scikit-learn; CPU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fig_curvas_baseline.png" descr="fig_curvas_baseline.png" title="fig_curvas_bas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3. Curvas de pérdida y exactitud del baseline (entrenamiento y validación).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pérdida de entrenamiento sigue bajando mientras la de validación se estabiliza y luego deja de mejorar, que es la señal clásica de sobreajuste moderado; el early stopping detiene el entrenamiento y recupera los pesos del mejor punto de validación. El baseline alcanzó 61.5 % de exactitud máxima en validación.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4. Ajuste de hiperparámetros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ajustaron dos hiperparámetros, uno a la vez. Primero la tasa de aprendizaje, con lote 32; después el tamaño de lote, usando la tasa con menor pérdida de validación (1e-4). Cada configuración se entrenó una sola vez con la misma semilla.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5. Efecto de la tasa de aprendizaje (lote = 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000"/>
        <w:gridCol w:w="18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Tasa de aprendizaje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Épocas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Exactitud val.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Pérdida val.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Exactitud prueba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1e-2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25.1 %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1.809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13.7 %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1e-3 (baseline)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61.5 %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1.181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55.5 %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1e-4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63.9 %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1.117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55.5 %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6. Efecto del tamaño de lote (tasa de aprendizaje = 1e-4)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000"/>
        <w:gridCol w:w="18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Tamaño de lote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Épocas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Exactitud val.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Pérdida val.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Exactitud prueba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60.4 %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1.205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54.2 %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63.9 %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1.117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55.5 %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62.5 %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1.155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58.2 %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fig_hiperparametros.png" descr="fig_hiperparametros.png" title="fig_hiperparametr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4. Exactitud de validación según la tasa de aprendizaje y el tamaño de lote.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Interpretación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Tasa de aprendizaje. </w:t>
      </w:r>
      <w:r>
        <w:rPr>
          <w:rFonts w:ascii="Calibri" w:cs="Calibri" w:eastAsia="Calibri" w:hAnsi="Calibri"/>
          <w:sz w:val="22"/>
          <w:szCs w:val="22"/>
        </w:rPr>
        <w:t xml:space="preserve">Con 1e-2 la red no converge (13.7 % en prueba, por debajo del azar); probablemente el paso es demasiado grande para Adam sobre 820 mil parámetros (no se investigó otra causa). Entre 1e-3 y 1e-4 la diferencia es pequeña: 1e-4 logra menor pérdida de validación (1.117 frente a 1.181) y entrena más épocas con una curva más suave, pero ambos obtienen 55.5 % en prueba.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Tamaño de lote. </w:t>
      </w:r>
      <w:r>
        <w:rPr>
          <w:rFonts w:ascii="Calibri" w:cs="Calibri" w:eastAsia="Calibri" w:hAnsi="Calibri"/>
          <w:sz w:val="22"/>
          <w:szCs w:val="22"/>
        </w:rPr>
        <w:t xml:space="preserve">El lote 64 obtuvo la mejor exactitud de prueba (58.2 %), unos 10 aciertos más que el lote 32 sobre 380 imágenes; el lote 16 fue ligeramente peor.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Cautela estadística. </w:t>
      </w:r>
      <w:r>
        <w:rPr>
          <w:rFonts w:ascii="Calibri" w:cs="Calibri" w:eastAsia="Calibri" w:hAnsi="Calibri"/>
          <w:sz w:val="22"/>
          <w:szCs w:val="22"/>
        </w:rPr>
        <w:t xml:space="preserve">Con 380 imágenes de prueba, el margen de error aproximado de una exactitud cercana al 56 % es de ±5 puntos porcentuales. Las diferencias de 1 a 3 puntos entre configuraciones no son concluyentes, y cada una se entrenó una sola vez. La conclusión sólida es que 1e-2 es inadecuada y que el resto de configuraciones rinde de forma similar.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5. Prevención de sobreajuste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aplicaron cuatro prácticas combinadas: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Conjunto de validación independiente </w:t>
      </w:r>
      <w:r>
        <w:rPr>
          <w:rFonts w:ascii="Calibri" w:cs="Calibri" w:eastAsia="Calibri" w:hAnsi="Calibri"/>
          <w:sz w:val="22"/>
          <w:szCs w:val="22"/>
        </w:rPr>
        <w:t xml:space="preserve">(15 %), usado para monitorear el entrenamiento y para elegir hiperparámetros, de modo que el conjunto de prueba solo se usa al final.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Early stopping </w:t>
      </w:r>
      <w:r>
        <w:rPr>
          <w:rFonts w:ascii="Calibri" w:cs="Calibri" w:eastAsia="Calibri" w:hAnsi="Calibri"/>
          <w:sz w:val="22"/>
          <w:szCs w:val="22"/>
        </w:rPr>
        <w:t xml:space="preserve">sobre la pérdida de validación (paciencia 6), con restauración de los mejores pesos; evita entrenar las 40 épocas completas.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Dropout (0.3) </w:t>
      </w:r>
      <w:r>
        <w:rPr>
          <w:rFonts w:ascii="Calibri" w:cs="Calibri" w:eastAsia="Calibri" w:hAnsi="Calibri"/>
          <w:sz w:val="22"/>
          <w:szCs w:val="22"/>
        </w:rPr>
        <w:t xml:space="preserve">en ambas capas ocultas.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Regularización L2 (1e-4) </w:t>
      </w:r>
      <w:r>
        <w:rPr>
          <w:rFonts w:ascii="Calibri" w:cs="Calibri" w:eastAsia="Calibri" w:hAnsi="Calibri"/>
          <w:sz w:val="22"/>
          <w:szCs w:val="22"/>
        </w:rPr>
        <w:t xml:space="preserve">en los pesos de las capas densas.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Aun así, persiste una brecha entre entrenamiento y validación (Figura 3): la exactitud de entrenamiento supera a la de validación, lo cual es esperable en un MLP sobre píxeles con pocos datos. No se aplicó aumento de datos (Data Augmentation) en este baseline, aunque la Unidad I lo contempla; es una de las mejoras pendientes.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6. Evaluación del baseline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Exactitud global en prueba: 55.5 % </w:t>
      </w:r>
      <w:r>
        <w:rPr>
          <w:rFonts w:ascii="Calibri" w:cs="Calibri" w:eastAsia="Calibri" w:hAnsi="Calibri"/>
          <w:sz w:val="22"/>
          <w:szCs w:val="22"/>
        </w:rPr>
        <w:t xml:space="preserve">(211 de 380 imágenes correctas). F1 macro: 0.53; F1 ponderado: 0.56.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7. Métricas por clase en el conjunto de prueba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16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Precisión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Imágenes de prueba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cardboard (cartón)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0.65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glass (vidrio)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0.38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0.42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0.46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paper (papel)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0.72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plastic (plástico)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0.57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trash (basura general)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0.33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3429000" cy="2990850"/>
            <wp:effectExtent t="0" r="0" b="0" l="0"/>
            <wp:docPr id="1" name="fig_matriz_confusion_baseline.png" descr="fig_matriz_confusion_baseline.png" title="fig_matriz_confusion_bas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5. Matriz de confusión del baseline (filas: clase real; columnas: clase predicha).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429000" cy="2952750"/>
            <wp:effectExtent t="0" r="0" b="0" l="0"/>
            <wp:docPr id="1" name="fig_matriz_confusion_normalizada.png" descr="fig_matriz_confusion_normalizada.png" title="fig_matriz_confusion_normaliz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6. Matriz de confusión normalizada por fila (equivale al recall de cada clase).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Interpretación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Mejores clases: papel y cartón. </w:t>
      </w:r>
      <w:r>
        <w:rPr>
          <w:rFonts w:ascii="Calibri" w:cs="Calibri" w:eastAsia="Calibri" w:hAnsi="Calibri"/>
          <w:sz w:val="22"/>
          <w:szCs w:val="22"/>
        </w:rPr>
        <w:t xml:space="preserve">Papel tiene el mejor F1 (0.72) y cartón el de mayor precisión (0.72). Tienen color y textura relativamente distintivos (blancos y marrones uniformes).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Clases débiles: vidrio, metal y trash. </w:t>
      </w:r>
      <w:r>
        <w:rPr>
          <w:rFonts w:ascii="Calibri" w:cs="Calibri" w:eastAsia="Calibri" w:hAnsi="Calibri"/>
          <w:sz w:val="22"/>
          <w:szCs w:val="22"/>
        </w:rPr>
        <w:t xml:space="preserve">Vidrio y metal rondan F1 de 0.42 a 0.46; trash tiene el menor (0.33).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Trash: recall alto, precisión baja. </w:t>
      </w:r>
      <w:r>
        <w:rPr>
          <w:rFonts w:ascii="Calibri" w:cs="Calibri" w:eastAsia="Calibri" w:hAnsi="Calibri"/>
          <w:sz w:val="22"/>
          <w:szCs w:val="22"/>
        </w:rPr>
        <w:t xml:space="preserve">Con solo 20 imágenes de prueba, el modelo acertó 10 (recall 0.50), pero predijo trash en 40 ocasiones, así que solo 1 de cada 4 alertas es correcta (precisión 0.25). El peso de clase de 3.07 aumenta la sensibilidad hacia esta clase a costa de falsas alarmas.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exactitud (55.5 %) supera con claridad el azar (16.7 %), por lo que el modelo sí aprendió información visual útil, aunque no es suficiente para un uso confiable sin supervisión.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7. Limitaciones del modelo baseline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7.1 Errores más comunes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8. Confusiones más frecuentes (conteo en el conjunto de prueba)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Clase real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Predicha como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Posible causa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glass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trash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Objetos de vidrio sucios o fragmentados parecen basura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glass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plastic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Botellas transparentes con formas y reflejos similares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plastic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glass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Misma ambigüedad óptica en sentido inverso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glass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Superficies brillantes con reflejos de luz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paper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Papel arrugado cuyo aspecto se parece al papel aluminio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glass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Reflejos y brillo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Estas confusiones coinciden con la ambigüedad óptica que describe la Unidad I (reflejos y transparencia entre plástico y vidrio). Las causas de la tabla son hipótesis razonables basadas en las clases involucradas; no se verificaron inspeccionando imagen por imagen.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7.2 Limitaciones del modelo y del enfoque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MLP ignora la estructura espacial. </w:t>
      </w:r>
      <w:r>
        <w:rPr>
          <w:rFonts w:ascii="Calibri" w:cs="Calibri" w:eastAsia="Calibri" w:hAnsi="Calibri"/>
          <w:sz w:val="22"/>
          <w:szCs w:val="22"/>
        </w:rPr>
        <w:t xml:space="preserve">Al aplanar la imagen, un objeto desplazado unos píxeles produce una entrada muy distinta; no hay invariancia a traslación, rotación o escala.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Baja resolución. </w:t>
      </w:r>
      <w:r>
        <w:rPr>
          <w:rFonts w:ascii="Calibri" w:cs="Calibri" w:eastAsia="Calibri" w:hAnsi="Calibri"/>
          <w:sz w:val="22"/>
          <w:szCs w:val="22"/>
        </w:rPr>
        <w:t xml:space="preserve">A 32×32 se pierden texturas finas (arrugas, etiquetas, rugosidad) que ayudan a distinguir metal, vidrio y plástico.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pequeño y poco realista. </w:t>
      </w:r>
      <w:r>
        <w:rPr>
          <w:rFonts w:ascii="Calibri" w:cs="Calibri" w:eastAsia="Calibri" w:hAnsi="Calibri"/>
          <w:sz w:val="22"/>
          <w:szCs w:val="22"/>
        </w:rPr>
        <w:t xml:space="preserve">Aproximadamente 2,500 imágenes con fondo claro y objeto centrado. En una cámara real (manos, fondos desordenados, luz variable) se espera un desempeño inferior; esta limitación ya estaba identificada en la Unidad I y no se ha resuelto.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Desbalance. </w:t>
      </w:r>
      <w:r>
        <w:rPr>
          <w:rFonts w:ascii="Calibri" w:cs="Calibri" w:eastAsia="Calibri" w:hAnsi="Calibri"/>
          <w:sz w:val="22"/>
          <w:szCs w:val="22"/>
        </w:rPr>
        <w:t xml:space="preserve">La clase trash tiene 137 imágenes (5.4 %); los pesos de clase ayudan, pero no sustituyen más datos.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aumento de datos. </w:t>
      </w:r>
      <w:r>
        <w:rPr>
          <w:rFonts w:ascii="Calibri" w:cs="Calibri" w:eastAsia="Calibri" w:hAnsi="Calibri"/>
          <w:sz w:val="22"/>
          <w:szCs w:val="22"/>
        </w:rPr>
        <w:t xml:space="preserve">No se aplicó en este baseline.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Confianza no calibrada. </w:t>
      </w:r>
      <w:r>
        <w:rPr>
          <w:rFonts w:ascii="Calibri" w:cs="Calibri" w:eastAsia="Calibri" w:hAnsi="Calibri"/>
          <w:sz w:val="22"/>
          <w:szCs w:val="22"/>
        </w:rPr>
        <w:t xml:space="preserve">Las probabilidades de softmax no son probabilidades reales de acierto; el umbral de 60 % (RF-05) debería validarse con datos reales. En pruebas informales con imágenes del propio dataset, varias predicciones quedaron por debajo de ese umbral y se reportaron como inciertas.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Evaluación limitada. </w:t>
      </w:r>
      <w:r>
        <w:rPr>
          <w:rFonts w:ascii="Calibri" w:cs="Calibri" w:eastAsia="Calibri" w:hAnsi="Calibri"/>
          <w:sz w:val="22"/>
          <w:szCs w:val="22"/>
        </w:rPr>
        <w:t xml:space="preserve">Una sola partición y una sola semilla; los resultados varían unos puntos entre ejecuciones, y el conjunto de prueba es pequeño para la clase trash (20 imágenes).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7.3 Mejoras propuestas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Reemplazar el MLP por una CNN o por transferencia de aprendizaje (por ejemplo MobileNetV2 preentrenada), que conserva la estructura espacial y suele mejorar de forma sustancial este tipo de tarea.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Aplicar aumento de datos (giros, rotaciones, brillo) y agregar imágenes con contexto real.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Usar mayor resolución (64×64 o 224×224 en una CNN) y validación cruzada para reportar resultados más estables.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Calibrar las probabilidades y ajustar el umbral de incertidumbre con datos reales.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8. Despliegue en la nube: comparación de opciones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solución planteada en la Unidad I es una aplicación móvil o web que envía la foto a un servidor en Python (FastAPI o Flask). Se compararon tres servicios de contenedores sin servidor, uno por proveedor, porque ese modelo encaja con una carga esporádica (un estudiante que fotografía un residuo de vez en cuando) y con un presupuesto académico. Los datos de precios y límites se consultaron en octubre de 2026 en páginas oficiales y de terceros; deben verificarse en las páginas oficiales antes de contratar.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9. Comparación de opciones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Google Cloud Run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AWS Lambda (imagen de contenedor)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D4E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Azure Container Apps (plan Consumo)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Contenedor administrado; escala automática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Función por evento empaquetada como imagen en Amazon ECR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Contenedor administrado; escala por solicitudes o eventos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Escala a cero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Sí; se cobra solo por uso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Sí; se cobra por invocación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Sí; sin cargo de uso cuando está en cero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 gratuita mensual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Hasta 2 millones de solicitudes; 180,000 vCPU-s y 360,000 GiB-s (facturación por solicitud). Crédito de $300 para cuentas nuevas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millón de solicitudes y 400,000 GB-s; ECR cobra almacenamiento (≈$0.10/GB-mes)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180,000 vCPU-s, 360,000 GiB-s y 2 millones de solicitudes por suscripción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Empaquetado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Cualquier contenedor Docker (FastAPI directo)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Imagen hasta 10 GB; requiere adaptar el código al formato de Lambda o usar un adaptador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Cualquier contenedor Docker (FastAPI directo)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Arranque en frío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Segundos si carga TensorFlow; mitigable con una instancia mínima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 orden de segundos con imágenes de contenedor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Similar; mitigable con réplica mínima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Complejidad para el equipo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Baja: un comando de despliegue desde el contenedor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Media: ECR, rol IAM y adaptación del manejador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Media: grupo de recursos, entorno y registro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Recomendación: Google Cloud Run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Encaja con la arquitectura de la Unidad I. </w:t>
      </w:r>
      <w:r>
        <w:rPr>
          <w:rFonts w:ascii="Calibri" w:cs="Calibri" w:eastAsia="Calibri" w:hAnsi="Calibri"/>
          <w:sz w:val="22"/>
          <w:szCs w:val="22"/>
        </w:rPr>
        <w:t xml:space="preserve">Se despliega el mismo contenedor con FastAPI y el modelo, sin reescribir el código para un formato de funciones.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cercano a cero para el proyecto. </w:t>
      </w:r>
      <w:r>
        <w:rPr>
          <w:rFonts w:ascii="Calibri" w:cs="Calibri" w:eastAsia="Calibri" w:hAnsi="Calibri"/>
          <w:sz w:val="22"/>
          <w:szCs w:val="22"/>
        </w:rPr>
        <w:t xml:space="preserve">Escala a cero y su capa gratuita cubre con holgura el volumen de un proyecto escolar o piloto.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Privacidad (RNF-03). </w:t>
      </w:r>
      <w:r>
        <w:rPr>
          <w:rFonts w:ascii="Calibri" w:cs="Calibri" w:eastAsia="Calibri" w:hAnsi="Calibri"/>
          <w:sz w:val="22"/>
          <w:szCs w:val="22"/>
        </w:rPr>
        <w:t xml:space="preserve">El servicio puede ser sin estado: la imagen se procesa en memoria y no se almacena.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Menor fricción. </w:t>
      </w:r>
      <w:r>
        <w:rPr>
          <w:rFonts w:ascii="Calibri" w:cs="Calibri" w:eastAsia="Calibri" w:hAnsi="Calibri"/>
          <w:sz w:val="22"/>
          <w:szCs w:val="22"/>
        </w:rPr>
        <w:t xml:space="preserve">Es la opción con menos pasos de configuración de las tres.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Riesgos y cómo manejarlos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Latencia (RNF-01, menos de 1.5 s). </w:t>
      </w:r>
      <w:r>
        <w:rPr>
          <w:rFonts w:ascii="Calibri" w:cs="Calibri" w:eastAsia="Calibri" w:hAnsi="Calibri"/>
          <w:sz w:val="22"/>
          <w:szCs w:val="22"/>
        </w:rPr>
        <w:t xml:space="preserve">El modelo infiere en milisegundos, pero el primer arranque en frío con TensorFlow puede tardar varios segundos. Opciones: mantener una instancia mínima (con costo), o exportar el modelo a TensorFlow Lite o ONNX para una imagen más ligera y un arranque más rápido. Esta latencia no se midió en este trabajo.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Tamaño de la imagen. </w:t>
      </w:r>
      <w:r>
        <w:rPr>
          <w:rFonts w:ascii="Calibri" w:cs="Calibri" w:eastAsia="Calibri" w:hAnsi="Calibri"/>
          <w:sz w:val="22"/>
          <w:szCs w:val="22"/>
        </w:rPr>
        <w:t xml:space="preserve">TensorFlow completo genera contenedores de más de un gigabyte; un runtime ligero reduce el tamaño y el arranque.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Calidad del modelo. </w:t>
      </w:r>
      <w:r>
        <w:rPr>
          <w:rFonts w:ascii="Calibri" w:cs="Calibri" w:eastAsia="Calibri" w:hAnsi="Calibri"/>
          <w:sz w:val="22"/>
          <w:szCs w:val="22"/>
        </w:rPr>
        <w:t xml:space="preserve">Desplegar este baseline (55.5 % de exactitud) serviría como prototipo, no como producto; la mejora principal sigue siendo el modelo (sección 7.3).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D4E3F"/>
          <w:sz w:val="26"/>
          <w:szCs w:val="26"/>
        </w:rPr>
        <w:t xml:space="preserve">Esquema de despliegue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Guardar el modelo (.keras) y los valores de preprocesamiento (media y desviación) en el contenedor.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Crear una API con FastAPI: endpoint POST /clasificar que recibe la imagen, aplica el mismo preprocesamiento y devuelve clase, confianza y contenedor sugerido.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Construir la imagen Docker y desplegarla en Cloud Run con acceso HTTPS.</w:t>
      </w:r>
    </w:p>
    <w:p>
      <w:pPr>
        <w:pStyle w:val="ListParagraph"/>
        <w:numPr>
          <w:ilvl w:val="0"/>
          <w:numId w:val="2"/>
        </w:numPr>
        <w:spacing w:after="70" w:line="27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Conectar la aplicación móvil o PWA al endpoint.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Este esquema es una propuesta de diseño; no se desplegó en la nube como parte de esta entrega.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9. Conclusiones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completó el flujo de la Unidad II: preprocesamiento, diseño e implementación de un MLP, entrenamiento de un baseline, ajuste de la tasa de aprendizaje y del tamaño de lote, prevención de sobreajuste y evaluación con métricas por clase. El baseline logra 55.5 % de exactitud en prueba, claramente superior al azar pero insuficiente para un uso autónomo, con mejor desempeño en papel y cartón y peor en vidrio, metal y basura general.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hallazgo metodológico más importante fue la necesidad de estandarizar las entradas: sin ello el modelo colapsó. En cuanto al ajuste, solo la tasa de aprendizaje de 1e-2 resultó claramente inadecuada; las demás diferencias caen dentro del margen de error del conjunto de prueba. La siguiente etapa lógica es una CNN con transferencia de aprendizaje y aumento de datos, y desplegarla en Google Cloud Run como servicio sin estado.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D4E3F"/>
          <w:sz w:val="32"/>
          <w:szCs w:val="32"/>
        </w:rPr>
        <w:t xml:space="preserve">Referencias</w:t>
      </w:r>
    </w:p>
    <w:p>
      <w:pPr>
        <w:spacing w:after="100"/>
        <w:ind w:left="540" w:hanging="5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Yang, M., &amp; Thung, G. (2016). Classification of trash for recyclability status [Dataset]. Stanford University CS229 Project Report. https://github.com/garythung/trashnet</w:t>
      </w:r>
    </w:p>
    <w:p>
      <w:pPr>
        <w:spacing w:after="100"/>
        <w:ind w:left="540" w:hanging="5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Google Cloud. (s. f.). Serverless computing: Cloud Run pricing. https://cloud.google.com/serverless</w:t>
      </w:r>
    </w:p>
    <w:p>
      <w:pPr>
        <w:spacing w:after="100"/>
        <w:ind w:left="540" w:hanging="5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Cloudchipr. (2025). Google Cloud Run pricing: A comprehensive guide. https://cloudchipr.com/blog/cloud-run-pricing</w:t>
      </w:r>
    </w:p>
    <w:p>
      <w:pPr>
        <w:spacing w:after="100"/>
        <w:ind w:left="540" w:hanging="5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Pulumi. (s. f.). Running container images in AWS Lambda. https://www.pulumi.com/blog/aws-lambda-container-support/</w:t>
      </w:r>
    </w:p>
    <w:p>
      <w:pPr>
        <w:spacing w:after="100"/>
        <w:ind w:left="540" w:hanging="5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Dashbird. (s. f.). AWS Lambda free tier: Where are the limits? https://dashbird.io/blog/aws-lambda-pricing-model-explained</w:t>
      </w:r>
    </w:p>
    <w:p>
      <w:pPr>
        <w:spacing w:after="100"/>
        <w:ind w:left="540" w:hanging="54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Microsoft. (s. f.). Azure Container Apps pricing. https://azure.microsoft.com/pricing/details/container-apps/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Unidad II – Clasificación de residuos con MLP  |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f44d8629deb547e9f90f9703d8d702c7a1c67d.png"/><Relationship Id="rId9" Type="http://schemas.openxmlformats.org/officeDocument/2006/relationships/image" Target="media/a4030d8e45364d7369c02759f4fa6d525e0db34d.png"/><Relationship Id="rId10" Type="http://schemas.openxmlformats.org/officeDocument/2006/relationships/image" Target="media/581be83da5fa88e7e72a68441296ab57f502e562.png"/><Relationship Id="rId11" Type="http://schemas.openxmlformats.org/officeDocument/2006/relationships/image" Target="media/84c0448ba720c50f272977895839892bac90d331.png"/><Relationship Id="rId12" Type="http://schemas.openxmlformats.org/officeDocument/2006/relationships/image" Target="media/c8ab3f430b05f9a17880e83aba8c4a9b02d7910b.png"/><Relationship Id="rId13" Type="http://schemas.openxmlformats.org/officeDocument/2006/relationships/image" Target="media/d7897ab3ef954b7330938c818dca43bbbaccfd8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2026-10-07T00:15:23.622Z</dcterms:created>
  <dcterms:modified xsi:type="dcterms:W3CDTF">2026-10-07T00:15:23.622Z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