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same morphological analyser enforces this directly: a distractor that also satisfies the correct tag is rejected before it is ever shown. For the remaining 8, both forms share a tag kiwipiepy cannot discriminate by itself, so uniqueness instead rests on the sentence template being constructed so only one reading is semantically acceptable, verified by direct inspection when each skill was built rather than checked automatically per item. We did build and test an automated semantic check for this—a solver model judging whether a distractor is also acceptable—and it showed a confirmed, unfixable bias toward answering yes even for genuinely wrong distractors; we report this honestly in Section V-B rather than use a check we know to be unreliable.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Scheduling across sessions follows a spacing model in the tradition of half-life regression [28], with the tracker posterior supplying the ability term.</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The solver-based semantic check for whether a distractor is also correct, mentioned in Section IV-B, was tested on known cases in two prompt framings and under reasoning mode; it answered yes in every case regardless of whether the distractor was actually ambiguous, and is therefore excluded from this verdict rather than quoted as supporting evidence.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