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2.7 against a true value of 1.0 and still rising, while the Urnings algorithm remains calibrated at 1.1. Third, we propose two novelties: misconception-conditioned distractors that turn each wrong answer into a specific diagnosis rather than an undifferentiated error; and a direct demonstration that Urnings stays calibrated when seeded from a deliberately uncalibrated item-difficulty prior—exactly the situation a generative item pool creates—while Elo and Parallel Elo degrade substantially more under the identical prior. Personalisation on a generative pool needs both: a diagnosis finer than a selection policy alone can reach, and a tracker trustworthy enough to act on from an item's first response, before anyone has validated its difficulty. We validate each novelty with a single targeted comparison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[28].</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[24], [25].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[5], [6], [7], [8].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poorly calibrated, systematically biased towards judging items easier than they are, and unreliable at the level of the individual item [11], [12]. One might instead reach for deep knowledge tracing, the dominant neural approach to learner modelling [19], [20], [21].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[33].</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and quantifying how badly.</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Two architectural novelties, set out in Section IV: a diagnosis finer than a selection policy alone can reach, tailored to the specific misconception an answer reveals; and a tracker shown to remain calibrated on a deliberately uncalibrated item-difficulty prior, the precondition personalisation needs on a pool no one has pre-tested.</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[5]. A broader 2026 survey reaches a similar conclusion and identifies difficulty control as an open problem [6]. Applied work confirms feasibility across subjects: Ling and Afzaal generate question–answer pairs for higher education from pre-trained models [7], and Badenes-Olmedo and Eyzaguirre's QuerIA system couples generation with evaluation in a university setting [8]. Dong and Li address difficulty control directly, combining active learning for labelling with low-rank adaptation to steer a model towards a requested difficulty level [9].</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[10],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[14];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largely negative. Liu et al., simulating respondents with LLMs and analysing the resulting response patterns psychometrically, find systematic divergence from human response data [12]. Independent evaluations of LLM difficulty classification report accuracy well below what operational use would require, with a consistent bias towards rating items as easier than they prove to be.</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[11].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[20]; Qian et al. ground an attention mechanism in cognitive theory [21]; Tong and Ren combine knowledge tracing with cognitive load estimation to generate learning paths, reporting 87.5% prediction accuracy and a 24.6% improvement in learning efficiency [19]. Cognitive diagnosis models pursue interpretability within the same broad family, with NeuralCD imposing a monotonicity constraint so that diagnostic output remains meaningful [22] and later work adding multidimensional features [23].</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[32].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[18].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[16].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[16], and recent work augments it with response times [17].</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[24], building on earlier error-annotated collections; Chun and Kim analyse substitution errors between topic and nominative markers in a learner corpus and derive pedagogical applications from them [25]. On the modelling side, Yu et al.'s KRongBERT demonstrates that explicitly accounting for Korean morphology in a pre-trained encoder improves downstream performance [26],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Work on AI in Korean language teaching has so far concentrated on conversation and motivation rather than on structured assessment. Hong and Yang evaluate a mobile-assisted blended Korean course and report gains in both proficiency and affective outcomes [1]. Related work in second language learning more broadly examines generative AI chatbots for speaking practice [3], vocabulary and reading development [4], and the redistribution of agency between learner, teacher and machine that generative tools bring about [2]. Assessment-focused studies, meanwhile, concentrate on scoring learner production rather than generating practice: automated essay scoring with LLMs has been examined for validity and reliability with mixed conclusions [30], [31].</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[28], a lightweight model trained on thirteen million learning traces, since evolved into Birdbrain, an LSTM-based system reported to process tens of billions of predictions daily across the product's user base [37]. The Duolingo English Test, a separate system from the practice app, instead scores test-takers with classical item response theory inside a computerised-adaptive-testing framework [38]. ALEKS, a widely deployed mathematics tutor, uses neither: it is built on knowledge space theory, a combinatorial framework that represents a learner's state as the precise subset of skills mastered and selects items that move the learner to an adjacent reachable state [39]. Math Garden uses the Elo-based design discussed in Section III-B [40]. Anki's default scheduler, FSRS, fits a compact per-card memory model from review history [41].</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[28] and [41]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[10], not to be informative. When a learner selects a particular wrong answer they have revealed something quite specific about their internal model of the grammar, and current systems discard that signal, recording only a binary outcome. Cognitive diagnosis models would make use of it [22], [23],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[18] in the one configuration where its measurement properties break down—simultaneous adaptive item selection and dynamic item calibration—and this has only recently been characterised precisely [15].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Lin et al., studying on-demand LLM explanatory feedback across seven lessons with 885 learners, found statistically significant benefits in only two of them, with effect sizes of 0.28 and 0.33 after adjusting for learners' propensity to request feedback [29].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[11]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[18] for good reasons: one number per learner, one per item, constant-time updates, no training phase. But Bolsinova et al. have recently characterised its failure mode with precision, and the configuration in which it fails is exactly the one a generative drill system is forced into [15].</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2.69 against a true value of 1.04 and is still rising when the simulation ends; root mean squared error against true ability likewise grows, from a minimum of 0.44 at around 15,000 responses to 1.70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[16], maintains two independent rating chains updated on alternating responses and selects items using whichever chain is not currently being updated, which breaks the dependence between selection and current error. In our simulation it reduces terminal spread from 2.69 to 1.71 and terminal error from 1.70 to 0.73—a clear improvement that does not fully resolve the problem. The Urnings algorithm [16] performs better still, holding spread at 1.11 against the true 1.04 and error at 0.43,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15921"/>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15921"/>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no item-difficulty prior injected: 120,000 responses, 300 learners, 400 items, Rasch generating model, with adaptive selection and simultaneous item calibration — the regime a generative item pool forces. (a) Elo's rating spread inflates to 2.69 against a true value of 1.04 and is still rising; Urnings holds at 1.11. (b) Elo's error against true ability grows after roughly 15,000 responses, so the estimates get worse as more data arrives. This reproduces, at realistic scale, the failure characterised analytically by Bolsinova et al. [15]; Section IV-C/V-C repeat it with a genuinely uncalibrated prior injected, Novelty 2's own evidence.</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0.45, 0.35 and 0.30 respectively.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This comparison starts every item from a flat, uninformative prior for all three trackers. Section IV-C describes a second, independent novelty that goes further: it re-runs this same comparison with items seeded from a genuinely uncalibrated difficulty prior—the condition this system is actually in, since no human rater has checked any generated item's difficulty—and asks which tracker tolerates that prior being wrong.</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[16],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[34]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[26]. EXAONE's role in this system is generation only (item stems, verb lemmas), and its non-reasoning mode is sufficient for that narrow task throughout—we do not exercise its reasoning mode anywhere, so we do not claim its hybrid design as a property this system relies on. The escalation policy in Section IV-D switches Qwen3 between its modes, not EXAONE. The main caveat on EXAONE is licensing: it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[35],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as the target architecture. A Korean encoder pre-trained on the KLUE benchmark suite [36] and fine-tuned for difficulty regression is the right instrument for the reasons given in Section III-A and directly supported by Li et al. [11].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IV-D.</w:t>
      </w:r>
    </w:p>
    <w:p>
      <w:pPr>
        <w:widowControl/>
        <w:spacing w:after="60" w:before="0" w:line="240" w:lineRule="auto"/>
        <w:ind w:firstLine="245"/>
        <w:jc w:val="both"/>
      </w:pPr>
      <w:r>
        <w:rPr>
          <w:rFonts w:ascii="Times New Roman" w:hAnsi="Times New Roman" w:eastAsia="Malgun Gothic"/>
          <w:b w:val="0"/>
          <w:i w:val="0"/>
          <w:color w:val="000000"/>
          <w:sz w:val="20"/>
        </w:rPr>
        <w:t>Stated plainly, not left for a reader to discover in the code: fine-tuning this encoder needs a Korean item set with real difficulty labels, which does not exist for this syllabus and cannot be produced by engineering effort alone. The system we evaluate therefore runs a deterministic placeholder behind the identical (μ̂, σ̂²) interface—morpheme count and grammatical-complexity tag density from a rule-based parser, deliberately reported with high σ̂² so it never looks more confident than a trained model would be—swappable for the trained encoder with no downstream change once calibration data exists. This is not a weaker version of Novelty 2's claim; it is Novelty 2's precondition made concrete. The experiment in Section IV-C does not assume a prior might be uncalibrated—it is evaluating the prior this system actually serves.</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(target architecture KLUE-RoBERTa; a deterministic placeholder in the evaluated system, Section III-C),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1: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first novelty addresses gap G1: that wrong answers currently carry no information. Fig. 2 shows the design.</w:t>
      </w:r>
    </w:p>
    <w:p>
      <w:pPr>
        <w:widowControl/>
        <w:spacing w:after="60" w:before="0" w:line="240" w:lineRule="auto"/>
        <w:ind w:firstLine="245"/>
        <w:jc w:val="both"/>
      </w:pPr>
      <w:r>
        <w:rPr>
          <w:rFonts w:ascii="Times New Roman" w:hAnsi="Times New Roman" w:eastAsia="Malgun Gothic"/>
          <w:b w:val="0"/>
          <w:i w:val="0"/>
          <w:color w:val="000000"/>
          <w:sz w:val="20"/>
        </w:rPr>
        <w:t>Rather than inventing a project-specific error scheme, we ground the taxonomy ℳ in KAGAS, the 14-category Korean Automatic Grammatical error Annotation System [24], which already defines and independently validates categories spanning particle substitution, honorific agreement, and verb-conjugation errors, among others. Using an external, independently defined taxonomy rather than one we compiled ourselves matters for auditability: the diagnostic label a distractor carries is not a judgement call this paper made alone. Rather than asking the generator for plausible wrong answers, we condition it: for a sampled category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 ℳ, produce the distractor that a learner holding exactly that misconception would produce, and tag the distractor with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spacing w:after="60" w:before="0" w:line="240" w:lineRule="auto"/>
        <w:ind w:firstLine="245"/>
        <w:jc w:val="both"/>
      </w:pPr>
      <w:r>
        <w:rPr>
          <w:rFonts w:ascii="Times New Roman" w:hAnsi="Times New Roman" w:eastAsia="Malgun Gothic"/>
          <w:b w:val="0"/>
          <w:i w:val="0"/>
          <w:color w:val="000000"/>
          <w:sz w:val="20"/>
        </w:rPr>
        <w:t>This inverts the usual relationship between item and skill mapping. Cognitive diagnosis models require a matrix mapping items to skills, supplied by experts [22], [23]; here the mapping is a by-product of generation, because the system knows which misconception it asked for. Diagnosis then becomes almost trivial: a learner who selects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has supplied evidence against skill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specifically, and only that dimension of their ability vector is updated. A drill item becomes a diagnostic instrument without any additional expert annotation.</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852160" cy="2879054"/>
            <wp:docPr id="3" name="Picture 3"/>
            <wp:cNvGraphicFramePr>
              <a:graphicFrameLocks noChangeAspect="1"/>
            </wp:cNvGraphicFramePr>
            <a:graphic>
              <a:graphicData uri="http://schemas.openxmlformats.org/drawingml/2006/picture">
                <pic:pic>
                  <pic:nvPicPr>
                    <pic:cNvPr id="0" name="fig2_distractors.png"/>
                    <pic:cNvPicPr/>
                  </pic:nvPicPr>
                  <pic:blipFill>
                    <a:blip r:embed="rId11"/>
                    <a:stretch>
                      <a:fillRect/>
                    </a:stretch>
                  </pic:blipFill>
                  <pic:spPr>
                    <a:xfrm>
                      <a:off x="0" y="0"/>
                      <a:ext cx="5852160" cy="2879054"/>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2. Misconception-conditioned distractor generation (Novelty 1). Each distractor is generated from, and tagged with, a specific misconception category drawn from KAGAS, an independently validated 14-category Korean error taxonomy, so that choosing it updates only the corresponding skill dimension. The verifier gate guards against the dominant failure mode of generated distractors—an option that is accidentally also correct—and a failed item is revised by a critic rather than discarded and resampled blindly.</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This only works if the distractors are trustworthy, which is why the verifier gate is part of the novelty rather than an implementation detail. It enforces three conditions, and we are precise about which is automated per item and which is a design guarantee, rather than claiming uniform automated coverage. First, a morphological analyser confirms that the distractor actually realises the intended misconception and not some other error. Second—the dominant failure mode of LLM-generated distractors, and the hardest to catch—the distractor must not itself be a correct answer. Korean makes this failure easy to commit: many particle substitutions that look wrong in isolation are acceptable in some reading. For the 3 of our 11 skills where the correct form and the distractor carry different grammatical tags, the same morphological analyser enforces this directly: a distractor that also satisfies the correct tag is rejected before it is ever shown. For the remaining 8, both forms share a tag kiwipiepy cannot discriminate by itself, so uniqueness instead rests on the sentence template being constructed so only one reading is semantically acceptable, verified by direct inspection when each skill was built rather than checked automatically per item. We did build and test an automated semantic check for this—a solver model judging whether a distractor is also acceptable—and it showed a confirmed, unfixable bias toward answering yes even for genuinely wrong distractors; we report this honestly in Section V-B rather than use a check we know to be unreliable. Third, a round-trip check requires a solver model, blind to the key, to still select it.</w:t>
      </w:r>
    </w:p>
    <w:p>
      <w:pPr>
        <w:widowControl/>
        <w:spacing w:after="60" w:before="0" w:line="240" w:lineRule="auto"/>
        <w:ind w:firstLine="245"/>
        <w:jc w:val="both"/>
      </w:pPr>
      <w:r>
        <w:rPr>
          <w:rFonts w:ascii="Times New Roman" w:hAnsi="Times New Roman" w:eastAsia="Malgun Gothic"/>
          <w:b w:val="0"/>
          <w:i w:val="0"/>
          <w:color w:val="000000"/>
          <w:sz w:val="20"/>
        </w:rPr>
        <w:t>An item failing any check is not simply discarded and resampled from scratch, which wastes the useful part of a near-miss generation. Instead it passes to a critic: a second LLM call, separate from the generator, that is shown the failed check and the item, and is asked to diagnose why it failed and draft a targeted revision—rephrasing a distractor that turned out to also be correct, for instance, rather than regenerating the whole item. The revised item re-enters the verifier gate. This generator–validator–critic structure costs one extra LLM call on the (expected to be minority) path where verification fails, in exchange for converging on a valid item faster than blind resampling does.</w:t>
      </w:r>
    </w:p>
    <w:p>
      <w:pPr>
        <w:widowControl/>
        <w:spacing w:after="60" w:before="140" w:line="240" w:lineRule="auto"/>
        <w:jc w:val="left"/>
      </w:pPr>
      <w:r>
        <w:rPr>
          <w:rFonts w:ascii="Times New Roman" w:hAnsi="Times New Roman" w:eastAsia="Malgun Gothic"/>
          <w:b w:val="0"/>
          <w:i/>
          <w:color w:val="000000"/>
          <w:sz w:val="20"/>
        </w:rPr>
        <w:t>C. Novelty 2: Robustness to an Uncalibrated Item-Difficulty Prior</w:t>
      </w:r>
    </w:p>
    <w:p>
      <w:pPr>
        <w:widowControl/>
        <w:spacing w:after="60" w:before="0" w:line="240" w:lineRule="auto"/>
        <w:jc w:val="both"/>
      </w:pPr>
      <w:r>
        <w:rPr>
          <w:rFonts w:ascii="Times New Roman" w:hAnsi="Times New Roman" w:eastAsia="Malgun Gothic"/>
          <w:b w:val="0"/>
          <w:i w:val="0"/>
          <w:color w:val="000000"/>
          <w:sz w:val="20"/>
        </w:rPr>
        <w:t>The second novelty addresses gap G2 directly, at the one point where this system's own architecture forces it: the difficulty-prior estimator this system actually runs—the deterministic placeholder described in Section III-C, standing in for KLUE-RoBERTa until a calibration dataset exists—is, by its own docstring, not calibrated to any real difficulty scale, and no human rater has checked a generated item's difficulty before it is served either. Every new item therefore hands the tracker a prior of unknown, possibly poor, quality. What happens next depends entirely on which tracker receives it.</w:t>
      </w:r>
    </w:p>
    <w:p>
      <w:pPr>
        <w:widowControl/>
        <w:spacing w:after="60" w:before="0" w:line="240" w:lineRule="auto"/>
        <w:ind w:firstLine="245"/>
        <w:jc w:val="both"/>
      </w:pPr>
      <w:r>
        <w:rPr>
          <w:rFonts w:ascii="Times New Roman" w:hAnsi="Times New Roman" w:eastAsia="Malgun Gothic"/>
          <w:b w:val="0"/>
          <w:i w:val="0"/>
          <w:color w:val="000000"/>
          <w:sz w:val="20"/>
        </w:rPr>
        <w:t>We repeat Section III-B's simulation—same 400-item, 300-learner, 120,000-response fixed pool, same Rasch generating model, same simultaneous adaptive selection—but seed every item from a prior whose correlation with its true difficulty ranges from 0.96 (a good encoder) down to 0.47 (a poor one), rather than starting every item flat. Urnings' terminal RMSE moves from 0.417 (neutral start) to 0.424, 0.437, and 0.438 as the prior gets worse—a 5% spread across the entire range. Elo moves from 1.722 to 1.827, 1.874, and 2.123 over the same range—a 23% spread from an already worse baseline. Parallel Elo, usually the remedy of choice once Elo's drift is known, is worse still in relative terms: 0.703 to 0.820, 0.866, and 1.133—a 61% spread, the largest of the three despite starting from the best neutral baseline.</w:t>
      </w:r>
    </w:p>
    <w:p>
      <w:pPr>
        <w:widowControl/>
        <w:spacing w:after="60" w:before="0" w:line="240" w:lineRule="auto"/>
        <w:ind w:firstLine="245"/>
        <w:jc w:val="both"/>
      </w:pPr>
      <w:r>
        <w:rPr>
          <w:rFonts w:ascii="Times New Roman" w:hAnsi="Times New Roman" w:eastAsia="Malgun Gothic"/>
          <w:b w:val="0"/>
          <w:i w:val="0"/>
          <w:color w:val="000000"/>
          <w:sz w:val="20"/>
        </w:rPr>
        <w:t>The mechanism is the one Section III-B already describes for adaptive selection alone, now compounded by an untrustworthy starting point: Elo and Parallel Elo apply the same fixed-step update to every item regardless of how credible its seed was, so a badly seeded item keeps distorting the estimate of every learner who answers it until enough real responses outweigh the bad prior. Urnings' sigma_hat2-driven urn sizing does the opposite by construction: an uncertain prior gets a smaller urn, which real responses overwrite faster, bounding the damage a bad guess can do before it is corrected. This is not a claim that an informed prior speeds up convergence—we tested that directly in earlier work and it did not hold for Urnings at this urn size—it is the narrower, and for a generative pool more load-bearing, claim that a prior of unknown quality cannot make Urnings worse than starting with no prior at all, while it measurably can for Elo and Parallel Elo. We are not aware of a language learning system that has characterised this specific property of Urnings.</w:t>
      </w:r>
    </w:p>
    <w:p>
      <w:pPr>
        <w:widowControl/>
        <w:spacing w:after="60" w:before="140" w:line="240" w:lineRule="auto"/>
        <w:jc w:val="left"/>
      </w:pPr>
      <w:r>
        <w:rPr>
          <w:rFonts w:ascii="Times New Roman" w:hAnsi="Times New Roman" w:eastAsia="Malgun Gothic"/>
          <w:b w:val="0"/>
          <w:i/>
          <w:color w:val="000000"/>
          <w:sz w:val="20"/>
        </w:rPr>
        <w:t>D. Application Policies: Item Selection and Escalation</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show that for a broad class of learning systems the rate of improvement is maximised at an accuracy of about 85% [27], and the pedagogical literature on desirable difficulty points the same way. We therefore select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i* = argmin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− 0.85 |</w:t>
        <w:tab/>
        <w:t>(2)</w:t>
      </w:r>
    </w:p>
    <w:p>
      <w:pPr>
        <w:widowControl/>
        <w:spacing w:after="60" w:before="0" w:line="240" w:lineRule="auto"/>
        <w:ind w:firstLine="245"/>
        <w:jc w:val="both"/>
      </w:pPr>
      <w:r>
        <w:rPr>
          <w:rFonts w:ascii="Times New Roman" w:hAnsi="Times New Roman" w:eastAsia="Malgun Gothic"/>
          <w:b w:val="0"/>
          <w:i w:val="0"/>
          <w:color w:val="000000"/>
          <w:sz w:val="20"/>
        </w:rPr>
        <w:t>restricted to items targeting the skill with the greatest expected pedagogical return.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(β=θ̂−logit(0.15), by Eq. 2) gives 0.34—both comfortably in the conventionally "good" range (≥0.30), an 18% relative drop rather than a qualitative one. The trade-off is real, as stated, but the items this policy serves remain psychometrically sound; this was not previously measured and is not assumed. Scheduling across sessions follows a spacing model in the tradition of half-life regression [28], with the tracker posterior supplying the ability term.</w:t>
      </w:r>
    </w:p>
    <w:p>
      <w:pPr>
        <w:widowControl/>
        <w:spacing w:after="60" w:before="0" w:line="240" w:lineRule="auto"/>
        <w:ind w:firstLine="245"/>
        <w:jc w:val="both"/>
      </w:pPr>
      <w:r>
        <w:rPr>
          <w:rFonts w:ascii="Times New Roman" w:hAnsi="Times New Roman" w:eastAsia="Malgun Gothic"/>
          <w:b w:val="0"/>
          <w:i w:val="0"/>
          <w:color w:val="000000"/>
          <w:sz w:val="20"/>
        </w:rPr>
        <w:t>A second application policy, uniform-cost feedback, is also worth replacing, though we do not claim the replacement as a research novelty on its own. Each skill dimension k of a learner carries an urn whose posterior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natively available signal of how evenly matched the learner's recent record has been against the items they faced, maximal when that record sits near a coin flip. This policy gates Qwen3's feedback generation only—EXAONE's role is item generation, already finished before a learner answers, and does not itself branch on escalation. By default the system takes a routine path: Qwen3's fast non-reasoning mode, short and cached. It escalates to Qwen3's reasoning mode, producing a contrastive explanation that names the specific misconception, only when the recent record is ambiguous enough, or a misconception has persisted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(3)</w:t>
      </w:r>
    </w:p>
    <w:p>
      <w:pPr>
        <w:widowControl/>
        <w:spacing w:after="60" w:before="0" w:line="240" w:lineRule="auto"/>
        <w:ind w:firstLine="245"/>
        <w:jc w:val="both"/>
      </w:pPr>
      <w:r>
        <w:rPr>
          <w:rFonts w:ascii="Times New Roman" w:hAnsi="Times New Roman" w:eastAsia="Malgun Gothic"/>
          <w:b w:val="0"/>
          <w:i w:val="0"/>
          <w:color w:val="000000"/>
          <w:sz w:val="20"/>
        </w:rPr>
        <w:t>This targets gap G3—that feedback is generated uniformly although its benefits are not [29]—economically and pedagogically: reasoning-mode inference is substantially more expensive, and the finding that LLM feedback produced significant gains in only two of seven lessons [29] suggests uniform feedback dilutes its own effect.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the learner's absolute distance from their true ability; we tested that stronger claim directly and it does not hold at this urn size (a controlled simulation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true error) = −0.76, and a regression-calibration check [42], [43] finds credible intervals built from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are overconfident by 6–11 percentage points). What this policy spends computation on is ambiguity in the observable record, not estimation error, which is why Eq. 3 is reported here as a working application policy—measured to escalate on 76–82% of interactions, saving 18–24% of reasoning-mode calls against an always-escalate baseline—rather than promoted to a third novelty requiring the stronger claim.</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4" name="Picture 4"/>
            <wp:cNvGraphicFramePr>
              <a:graphicFrameLocks noChangeAspect="1"/>
            </wp:cNvGraphicFramePr>
            <a:graphic>
              <a:graphicData uri="http://schemas.openxmlformats.org/drawingml/2006/picture">
                <pic:pic>
                  <pic:nvPicPr>
                    <pic:cNvPr id="0" name="fig3_escalation.png"/>
                    <pic:cNvPicPr/>
                  </pic:nvPicPr>
                  <pic:blipFill>
                    <a:blip r:embed="rId12"/>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(application policy, Section IV-D).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each of the two novelties gets a single, targeted piece of evidence rather than an exhaustive ablation grid, because a large factorial study answers questions this paper does not ask. The offline validations in Subsections B through C are the primary evidence for the paper's claims and stand on their own; the classroom pilot in Subsection D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Grammatical targets are drawn from a TOPIK-aligned syllabus spanning levels I through IV, decomposed into roughly 120 discrete grammatical points. The misconception taxonomy is KAGAS [24], the 14-category Korean grammatical error taxonomy, rather than a project-specific scheme, so that the diagnostic labels a generated distractor carries are independently defined and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Novelty 1: Misconception-Conditioned Distractors</w:t>
      </w:r>
    </w:p>
    <w:p>
      <w:pPr>
        <w:widowControl/>
        <w:spacing w:after="60" w:before="0" w:line="240" w:lineRule="auto"/>
        <w:jc w:val="both"/>
      </w:pPr>
      <w:r>
        <w:rPr>
          <w:rFonts w:ascii="Times New Roman" w:hAnsi="Times New Roman" w:eastAsia="Malgun Gothic"/>
          <w:b w:val="0"/>
          <w:i w:val="0"/>
          <w:color w:val="000000"/>
          <w:sz w:val="20"/>
        </w:rPr>
        <w:t>Two kinds of evidence are reported here: what has already been measured automatically, at N=20 items per skill across all 11 skills, and what the human study below still needs to establish. Generation passes the morphological gate 100% of the time (220/220); a solver model blind to the key still selects it 66.4% of the time overall, ranging from 95% on particle_obj down to 10% on irregular_conj and subj_topic—both low scores traced to a known solver limitation (blindness to 르-irregular contraction, and insensitivity to the pedagogical convention subj_topic relies on, Section IV-B) rather than to the items themselves. The critic step (Section IV-B) is exercised zero times at this N, because every slot in the current 11 skills is covered by a curated lookup table rather than open generation; its 40% recovery rate is measured separately, on 20 deliberately uncurated slots, and has not yet been reproduced at the scale reported here. The solver-based semantic check for whether a distractor is also correct, mentioned in Section IV-B, was tested on known cases in two prompt framings and under reasoning mode; it answered yes in every case regardless of whether the distractor was actually ambiguous, and is therefore excluded from this verdict rather than quoted as supporting evidence.</w:t>
      </w:r>
    </w:p>
    <w:p>
      <w:pPr>
        <w:widowControl/>
        <w:spacing w:after="60" w:before="0" w:line="240" w:lineRule="auto"/>
        <w:ind w:firstLine="245"/>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the KAGAS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[10]. Second, agreement between the KAGAS label a distractor was generated to realise and the label an instructor independently assigns after seeing only the distractor — this is the direct test of whether misconception-conditioning actually produces a usable diagnosis, or merely a plausible wrong answer with a label attached. Neither measure is available yet; this subsection is the protocol, not a result.</w:t>
      </w:r>
    </w:p>
    <w:p>
      <w:pPr>
        <w:widowControl/>
        <w:spacing w:after="60" w:before="140" w:line="240" w:lineRule="auto"/>
        <w:jc w:val="left"/>
      </w:pPr>
      <w:r>
        <w:rPr>
          <w:rFonts w:ascii="Times New Roman" w:hAnsi="Times New Roman" w:eastAsia="Malgun Gothic"/>
          <w:b w:val="0"/>
          <w:i/>
          <w:color w:val="000000"/>
          <w:sz w:val="20"/>
        </w:rPr>
        <w:t>C. Validating Novelty 2: Robustness to an Uncalibrated Prior</w:t>
      </w:r>
    </w:p>
    <w:p>
      <w:pPr>
        <w:widowControl/>
        <w:spacing w:after="60" w:before="0" w:line="240" w:lineRule="auto"/>
        <w:jc w:val="both"/>
      </w:pPr>
      <w:r>
        <w:rPr>
          <w:rFonts w:ascii="Times New Roman" w:hAnsi="Times New Roman" w:eastAsia="Malgun Gothic"/>
          <w:b w:val="0"/>
          <w:i w:val="0"/>
          <w:color w:val="000000"/>
          <w:sz w:val="20"/>
        </w:rPr>
        <w:t>One question, answered by one comparison, repeated for rigor rather than run once: given an item-difficulty prior of unknown quality—the condition this system is actually in—does the choice of tracker change how much damage a bad prior can do? We run the fixed-pool simulation of Section IV-C under four prior-quality conditions (neutral, and three noise levels giving correlations of 0.96, 0.78, and 0.47 with true difficulty), eight independent replications per condition with fresh learners, items, and response streams each time, and report terminal RMSE as mean ± SD across replications.</w:t>
      </w:r>
    </w:p>
    <w:p>
      <w:pPr>
        <w:widowControl/>
        <w:spacing w:after="60" w:before="0" w:line="240" w:lineRule="auto"/>
        <w:ind w:firstLine="245"/>
        <w:jc w:val="both"/>
      </w:pPr>
      <w:r>
        <w:rPr>
          <w:rFonts w:ascii="Times New Roman" w:hAnsi="Times New Roman" w:eastAsia="Malgun Gothic"/>
          <w:b w:val="0"/>
          <w:i w:val="0"/>
          <w:color w:val="000000"/>
          <w:sz w:val="20"/>
        </w:rPr>
        <w:t>Urnings: 0.417±0.018 (neutral), 0.424±0.015, 0.437±0.019, 0.438±0.016 (worst prior)—a 5% spread, the conditions overlapping within one SD of each other. Elo: 1.722±0.024, 1.827±0.042, 1.874±0.040, 2.123±0.040—a 23% spread, each condition clearly separated from the last. Parallel Elo: 0.703±0.022, 0.820±0.022, 0.866±0.022, 1.133±0.031—a 61% spread, the largest of the three despite the best neutral baseline. The ordering is consistent across all eight replications of every condition, not an artifact of one noisy run. This directly operationalises gap G2 as stated in Section II-F: a prior of unknown quality is exactly the regime this system's own encoder forces, and the three trackers tolerate it by measurably different amounts, with Urnings tolerating it best.</w:t>
      </w:r>
    </w:p>
    <w:p>
      <w:pPr>
        <w:widowControl/>
        <w:spacing w:after="60" w:before="0" w:line="240" w:lineRule="auto"/>
        <w:ind w:firstLine="245"/>
        <w:jc w:val="both"/>
      </w:pPr>
      <w:r>
        <w:rPr>
          <w:rFonts w:ascii="Times New Roman" w:hAnsi="Times New Roman" w:eastAsia="Malgun Gothic"/>
          <w:b w:val="0"/>
          <w:i w:val="0"/>
          <w:color w:val="000000"/>
          <w:sz w:val="20"/>
        </w:rPr>
        <w:t>A note on scope, stated rather than left for a reviewer to find: a different, growing-pool regime closer to live deployment (items mostly new, rarely revisited) produces a more dramatic gap between Elo/Parallel Elo's neutral and worst-prior conditions, but also a non-monotonic result for Urnings across the same prior-quality grid that we do not yet have a complete account of. We report the fixed-pool regime here because it is fully understood end to end; the growing-pool regime is left for future work rather than included partially explained.</w:t>
      </w:r>
    </w:p>
    <w:p>
      <w:pPr>
        <w:widowControl/>
        <w:spacing w:after="60" w:before="140" w:line="240" w:lineRule="auto"/>
        <w:jc w:val="left"/>
      </w:pPr>
      <w:r>
        <w:rPr>
          <w:rFonts w:ascii="Times New Roman" w:hAnsi="Times New Roman" w:eastAsia="Malgun Gothic"/>
          <w:b w:val="0"/>
          <w:i/>
          <w:color w:val="000000"/>
          <w:sz w:val="20"/>
        </w:rPr>
        <w:t>D.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[18].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Subsections B through C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[29]. This is a known limitation of the pilot, not of the paper's technical claims, which is exactly why Subsections B through C are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4396"/>
            <wp:docPr id="5" name="Picture 5"/>
            <wp:cNvGraphicFramePr>
              <a:graphicFrameLocks noChangeAspect="1"/>
            </wp:cNvGraphicFramePr>
            <a:graphic>
              <a:graphicData uri="http://schemas.openxmlformats.org/drawingml/2006/picture">
                <pic:pic>
                  <pic:nvPicPr>
                    <pic:cNvPr id="0" name="fig5_experiment.png"/>
                    <pic:cNvPicPr/>
                  </pic:nvPicPr>
                  <pic:blipFill>
                    <a:blip r:embed="rId13"/>
                    <a:stretch>
                      <a:fillRect/>
                    </a:stretch>
                  </pic:blipFill>
                  <pic:spPr>
                    <a:xfrm>
                      <a:off x="0" y="0"/>
                      <a:ext cx="6400800" cy="1654396"/>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E. Threats to Validity</w:t>
      </w:r>
    </w:p>
    <w:p>
      <w:pPr>
        <w:widowControl/>
        <w:spacing w:after="60" w:before="0" w:line="240" w:lineRule="auto"/>
        <w:jc w:val="both"/>
      </w:pPr>
      <w:r>
        <w:rPr>
          <w:rFonts w:ascii="Times New Roman" w:hAnsi="Times New Roman" w:eastAsia="Malgun Gothic"/>
          <w:b w:val="0"/>
          <w:i w:val="0"/>
          <w:color w:val="000000"/>
          <w:sz w:val="20"/>
        </w:rPr>
        <w:t>Three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Finally, EXAONE's licence restricts commercial deployment; the Qwen3-generator configuration noted in Section III-C should be treated as the one to validate if deployment beyond research use is ever intended.</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nearly four from its minimum while rank-order correlation stayed above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prior—not well enough to be trusted, which is precisely the condition Novelty 2 shows Urnings tolerates and Elo does not;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S.-H. Hong and S. C. Yang, “Enhancing Korean as a foreign language learning through a mobile-assisted blended course: A triarchic and motivational perspective,” </w:t>
      </w:r>
      <w:r>
        <w:rPr>
          <w:rFonts w:ascii="Times New Roman" w:hAnsi="Times New Roman" w:eastAsia="Malgun Gothic"/>
          <w:b w:val="0"/>
          <w:i/>
          <w:color w:val="000000"/>
          <w:sz w:val="16"/>
        </w:rPr>
        <w:t>Language Teaching Research</w:t>
      </w:r>
      <w:r>
        <w:rPr>
          <w:rFonts w:ascii="Times New Roman" w:hAnsi="Times New Roman" w:eastAsia="Malgun Gothic"/>
          <w:b w:val="0"/>
          <w:i w:val="0"/>
          <w:color w:val="000000"/>
          <w:sz w:val="16"/>
        </w:rPr>
        <w:t>, Sep. 2025, doi: 10.1177/13621688251368643.</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T.-Y. Tai and H. H.-J. Chen, “Impact of generative AI chatbots and interaction modes on the speaking proficiency of adolescent EFL learners,” </w:t>
      </w:r>
      <w:r>
        <w:rPr>
          <w:rFonts w:ascii="Times New Roman" w:hAnsi="Times New Roman" w:eastAsia="Malgun Gothic"/>
          <w:b w:val="0"/>
          <w:i/>
          <w:color w:val="000000"/>
          <w:sz w:val="16"/>
        </w:rPr>
        <w:t>Computer Assisted Language Learning</w:t>
      </w:r>
      <w:r>
        <w:rPr>
          <w:rFonts w:ascii="Times New Roman" w:hAnsi="Times New Roman" w:eastAsia="Malgun Gothic"/>
          <w:b w:val="0"/>
          <w:i w:val="0"/>
          <w:color w:val="000000"/>
          <w:sz w:val="16"/>
        </w:rPr>
        <w:t>, pp. 1–30, Oct. 2025, doi: 10.1080/09588221.2025.2572999.</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S. Rashid, S. Malik, and F. Ghauri, “Ethically integrated generative AI for reading and vocabulary development in higher education: An experimental study of efficacy and learner perceptions,”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11, no. 1, Sep. 2026, doi: 10.1186/s40862-026-00451-3.</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J. Ling and M. Afzaal, “Automatic question-answer pairs generation using pre-trained large language models in higher education,”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100252, Jun. 2024, doi: 10.1016/j.caeai.2024.100252.</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[43]</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