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[26].</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[22], [23].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[2], [3], [4].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[8]—and small encoders fine-tuned specifically for difficulty regression outperform far larger general-purpose models at the task outright [7]. One might instead reach for deep knowledge tracing, the dominant neural approach to learner modelling [17], [18], [19].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[31].</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[2]. A broader 2026 survey reaches a similar conclusion and identifies difficulty control as an open problem [3]. Applied work confirms feasibility: Badenes-Olmedo and Eyzaguirre's QuerIA system couples generation with evaluation in a university setting [4]. Dong and Li address difficulty control directly, combining active learning for labelling with low-rank adaptation to steer a model towards a requested difficulty level [5].</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[6],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[10];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[8].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[7].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[18]; Qian et al. ground an attention mechanism in cognitive theory [19]; Tong and Ren combine knowledge tracing with cognitive load estimation to generate learning paths, reporting 87.5% prediction accuracy and a 24.6% improvement in learning efficiency [17]. Cognitive diagnosis models pursue interpretability within the same broad family, with NeuralCD imposing a monotonicity constraint so that diagnostic output remains meaningful [20] and later work adding multidimensional features [21].</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[30].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[16]. Even inside such deployments, though, plain Elo keeps needing patches: a recent audit of a large-scale deployed system finds item drift and an unmodelled speed–accuracy tradeoff [14], and separate work finds its fixed update size forces a tradeoff between tracking real ability change and rating volatility, proposing a dynamically adjusted update size instead [15].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[12].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[12], and recent work augments it with response times [13].</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[22], building on earlier error-annotated collections; Chun and Kim analyse substitution errors between topic and nominative markers in a learner corpus and derive pedagogical applications from them [23]. On the modelling side, Yu et al.'s KRongBERT demonstrates that explicitly accounting for Korean morphology in a pre-trained encoder improves downstream performance [24],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Generative AI applied specifically to Korean language pedagogy is thin next to the NLP resources above: the broader second-language-learning literature discusses the redistribution of agency between learner, teacher and machine that generative tools bring about [1], but structured, difficulty-calibrated assessment is not its focus. Assessment-focused studies, meanwhile, concentrate on scoring learner production rather than generating practice: automated essay scoring with LLMs has been examined for validity and reliability with mixed conclusions [28], [29].</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[26], a lightweight model trained on thirteen million learning traces, since evolved into Birdbrain, an LSTM-based system reported to process tens of billions of predictions daily across the product's user base [35]. The Duolingo English Test, a separate system from the practice app, instead scores test-takers with classical item response theory inside a computerised-adaptive-testing framework [36]. ALEKS, a widely deployed mathematics tutor, uses neither: it is built on knowledge space theory, a combinatorial framework that represents a learner's state as the precise subset of skills mastered and selects items that move the learner to an adjacent reachable state [37]. Math Garden uses the Elo-based design discussed in Section III-B [38]. Anki's default scheduler, FSRS, fits a compact per-card memory model from review history [39].</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[26] and [39]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[6], not to be informative. When a learner selects a particular wrong answer they have revealed something quite specific about their internal model of the grammar, and current systems discard that signal, recording only a binary outcome. Cognitive diagnosis models would make use of it [20], [21],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[16] in the one configuration where its measurement properties break down—simultaneous adaptive item selection and dynamic item calibration—and this has only recently been characterised precisely [11].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[27].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[7]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[16] for good reasons: one number per learner, one per item, constant-time updates, no training phase. But Bolsinova et al. have recently characterised its failure mode with precision, and the configuration in which it fails is exactly the one a generative drill system is forced into [11].</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[12],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[12]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[11];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[12],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[32]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[24].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[33],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[34] and fine-tuned for difficulty regression is the right instrument for the reasons given in Section III-A and directly supported by Li et al. [7].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[22],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[20], [21];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For the remaining 8, we tried asking a solver model to JUDGE whether a distractor is also acceptable, in three framings (direct yes/no, context-anchored forced-choice, pairwise comparison); all three failed, each in a different way (persistent yes-bias, bias in both directions, below-chance accuracy respectively), and none is used—reported honestly in Section V-B rather than relied on. What works instead is changing the task from judging to scoring: reading off a model's own log-probability for the filled sentence, teacher-forced, asks the model nothing, so acquiescence bias cannot apply. kiwipiepy's own corpus-derived parse score—no LLM at all—already does this for 5 of the 8 (particle_loc, time_range, irregular_conj, adj_relativizer, verb_choice), those specifically because their correctness is governed by local sentence structure a frequency signal can see. We use Qwen3 rather than EXAONE for this, and checked rather than assumed which is better: despite EXAONE's Korean-first training, its much smaller size (1.2B vs. 4B parameters) dominates on this task—EXAONE scores the correct form higher only 48.2% of the time on the same N=20/skill set where Qwen3 reaches 87.5%, and is worse than chance specifically on particle_loc. Model capacity, not language specialisation, is what this particular judgment needs. Qwen3's log-probability, with genuine contextual understanding a simple parser lacks, extends this to 10 of 11 skills, including honorific and tense_past—where correctness depends on a social or temporal cue outside the immediate blank—with 8 of those 10 fully clean. The other two each failed on exactly one curated pair, for two different, specific, now-fixed reasons rather than general unreliability: noun_counter's correct-but-rarer counters (권, 분) twice lost to the generic 개 on raw corpus frequency alone, a confound in this check's method rather than a defect in the items (both still parse correctly by construction); mod_adverb's one failing verb, 청소하다, is a noun-plus-하다 compound, giving the wrong attributive form a noun inside the verb to attach to and read as marginally natural ("a clean cleaning") in a way the other, non-compound verbs do not allow. Both confounded pairs have been replaced (권/장 and 분/명 in place of 권/분 vs 개; 씻다 in place of 청소하다) rather than the result merely caveated; re-running this check against the replacement pairs is noted as pending, not assumed to already confirm the fix. subj_topic is the sole skill left out of scope entirely, which is not a failure of the method: §3.3's own framing already states subj_topic's correctness is a pedagogical convention, not a hard rule, and a model's natural distribution has no reason to prefer one reading when there genuinely is none. For skills this check does not cover,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[25]—we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[42].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[26],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[27]—economically and pedagogically: reasoning-mode inference is substantially more expensive, and the finding that LLM feedback produced significant gains in only two of seven lessons [27]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[40], [41]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[22],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Qwen3's log-probability version (Section IV-B), scored rather than judged the same way, covers 10 of 11 skills and was run at N=20/skill (fewer where the curated set itself is smaller): 49/52 (94.2%) overall, with 8 of the 10 skills fully clean and two each failing on one curated pair for a specific, identified reason, not noise—noun_counter (3/5) where the generic counter 개 outscores a correct but rarer counter (권, 분), and mod_adverb (4/5) where the one noun-plus-하다 compound verb in its set let the wrong attributive form attach to the embedded noun instead. These two figures describe the pairs as they stood at this measurement; both confounded pairs were replaced immediately afterward (Section IV-B), and re-measuring the replacements is recorded as outstanding rather than assumed resolved by the fix alone. subj_topic is excluded by design, not tested and omitted: a direct check confirms it scores the textbook-preferred form no higher than the alternative, which independently reconfirms rather than contradicts Section IV-B's own framing that its correctness is a convention, not a rule.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[6].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[16].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[27].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H. Vermeiren, J. Kruis, M. Bolsinova, H. L. J. van der Maas, and A. D. Hofman, “Psychometrics of an Elo-based large-scale online learning system,”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8, p. 100376, Jun. 2025, doi: 10.1016/j.caeai.2025.100376.</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H. Vermeiren, A. D. Hofman, M. Bolsinova, H. L. J. van der Maas, and W. Van Den Noortgate, “Balancing stability and flexibility: Investigating a dynamic K value approach for the Elo rating system in adaptive learning environments,” </w:t>
      </w:r>
      <w:r>
        <w:rPr>
          <w:rFonts w:ascii="Times New Roman" w:hAnsi="Times New Roman" w:eastAsia="Malgun Gothic"/>
          <w:b w:val="0"/>
          <w:i/>
          <w:color w:val="000000"/>
          <w:sz w:val="16"/>
        </w:rPr>
        <w:t>User Modeling and User-Adapted Interaction</w:t>
      </w:r>
      <w:r>
        <w:rPr>
          <w:rFonts w:ascii="Times New Roman" w:hAnsi="Times New Roman" w:eastAsia="Malgun Gothic"/>
          <w:b w:val="0"/>
          <w:i w:val="0"/>
          <w:color w:val="000000"/>
          <w:sz w:val="16"/>
        </w:rPr>
        <w:t>, vol. 36, no. 1, Art. 4, Dec. 2025, doi: 10.1007/s11257-025-09439-z.</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