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And its hybrid design, offering both a fast non-reasoning mode and a slower reasoning mode, maps unusually well onto the escalation policy we describe in Section IV-D. The main caveat is licensing: EXAONE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(KLUE-RoBERTa),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First, a morphological analyser confirms that the distractor actually realises the intended misconception and not some other error. Second—the most important check, and the dominant failure mode of LLM-generated distractors—it confirms that the distractor is not itself a correct answer. Korean makes this failure easy to commit: many particle substitutions that look wrong in isolation are acceptable in some reading, so a naive generator will regularly produce items with two correct options. Third, a round-trip check requires a solver model to still select the intended key.</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KLUE-RoBERTa's difficulty estimate is, by its own docstring, not calibrated to any real difficulty scale—no human rater has checked a generated item's difficulty before it is served.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show that for a broad class of learning systems the rate of improvement is maximised at an accuracy of about 85% [27], and the pedagogical literature on desirable difficulty points the same way.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Scheduling across sessions follows a spacing model in the tradition of half-life regression [28], with the tracker posterior supplying the ability term.</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By default the system takes a routine path—fast non-reasoning generation and short, cached feedback—and escalates to reasoning-mode generation of a minimal-pair probe and a contrastive explanation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Grammatical targets are drawn from a TOPIK-aligned syllabus spanning levels I through IV, decomposed into roughly 120 discrete grammatical points.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Three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Finally, EXAONE's licence restricts commercial deployment; the Qwen3-generator configuration noted in Section III-C should be treated as the one to validate if deployment beyond research use is ever intended.</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