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0" w:before="0" w:line="240" w:lineRule="auto"/>
        <w:jc w:val="center"/>
      </w:pPr>
      <w:r>
        <w:rPr>
          <w:rFonts w:ascii="Times New Roman" w:hAnsi="Times New Roman" w:eastAsia="Malgun Gothic"/>
          <w:b w:val="0"/>
          <w:i w:val="0"/>
          <w:color w:val="000000"/>
          <w:sz w:val="40"/>
        </w:rPr>
        <w:t>KO-DRILL: A Psychometrically Grounded Large Language Model Pipeline for Personalised Korean Drill Quizzes</w:t>
      </w:r>
    </w:p>
    <w:p>
      <w:pPr>
        <w:widowControl/>
        <w:spacing w:after="40" w:before="0" w:line="240" w:lineRule="auto"/>
        <w:jc w:val="center"/>
      </w:pPr>
      <w:r>
        <w:rPr>
          <w:rFonts w:ascii="Times New Roman" w:hAnsi="Times New Roman" w:eastAsia="Malgun Gothic"/>
          <w:b w:val="0"/>
          <w:i w:val="0"/>
          <w:color w:val="000000"/>
          <w:sz w:val="22"/>
        </w:rPr>
        <w:t>Jessie Angelica</w:t>
      </w:r>
    </w:p>
    <w:p>
      <w:pPr>
        <w:widowControl/>
        <w:spacing w:after="0" w:before="0" w:line="240" w:lineRule="auto"/>
        <w:jc w:val="center"/>
      </w:pPr>
      <w:r>
        <w:rPr>
          <w:rFonts w:ascii="Times New Roman" w:hAnsi="Times New Roman" w:eastAsia="Malgun Gothic"/>
          <w:b w:val="0"/>
          <w:i/>
          <w:color w:val="000000"/>
          <w:sz w:val="18"/>
        </w:rPr>
        <w:t>Independent Researcher</w:t>
      </w:r>
    </w:p>
    <w:p>
      <w:pPr>
        <w:widowControl/>
        <w:spacing w:after="0" w:before="0" w:line="240" w:lineRule="auto"/>
        <w:jc w:val="center"/>
      </w:pPr>
      <w:r>
        <w:rPr>
          <w:rFonts w:ascii="Times New Roman" w:hAnsi="Times New Roman" w:eastAsia="Malgun Gothic"/>
          <w:b w:val="0"/>
          <w:i/>
          <w:color w:val="000000"/>
          <w:sz w:val="18"/>
        </w:rPr>
        <w:t>Artificial Intelligence and Language Learning Technologies</w:t>
      </w:r>
    </w:p>
    <w:p>
      <w:pPr>
        <w:widowControl/>
        <w:spacing w:after="0" w:before="0" w:line="240" w:lineRule="auto"/>
        <w:jc w:val="center"/>
      </w:pPr>
      <w:r>
        <w:rPr>
          <w:rFonts w:ascii="Times New Roman" w:hAnsi="Times New Roman" w:eastAsia="Malgun Gothic"/>
          <w:b w:val="0"/>
          <w:i/>
          <w:color w:val="000000"/>
          <w:sz w:val="18"/>
        </w:rPr>
        <w:t>jessieangelica21@gmail.com</w:t>
      </w:r>
    </w:p>
    <w:p>
      <w:pPr>
        <w:widowControl/>
        <w:spacing w:after="80" w:before="0" w:line="240" w:lineRule="auto"/>
        <w:jc w:val="both"/>
      </w:pPr>
    </w:p>
    <w:p>
      <w:pPr>
        <w:sectPr>
          <w:pgSz w:w="12240" w:h="15840"/>
          <w:pgMar w:top="1080" w:right="900" w:bottom="1440" w:left="900" w:header="720" w:footer="720" w:gutter="0"/>
          <w:cols w:space="360" w:num="1" w:equalWidth="1"/>
          <w:docGrid w:linePitch="360"/>
        </w:sectPr>
      </w:pPr>
    </w:p>
    <w:p>
      <w:pPr>
        <w:widowControl/>
        <w:spacing w:after="120" w:before="0" w:line="240" w:lineRule="auto"/>
        <w:jc w:val="both"/>
      </w:pPr>
      <w:r>
        <w:rPr>
          <w:rFonts w:ascii="Times New Roman" w:hAnsi="Times New Roman" w:eastAsia="Malgun Gothic"/>
          <w:b/>
          <w:i/>
          <w:color w:val="000000"/>
          <w:sz w:val="18"/>
        </w:rPr>
        <w:t>Abstract—</w:t>
      </w:r>
      <w:r>
        <w:rPr>
          <w:rFonts w:ascii="Times New Roman" w:hAnsi="Times New Roman" w:eastAsia="Malgun Gothic"/>
          <w:b/>
          <w:i w:val="0"/>
          <w:color w:val="000000"/>
          <w:sz w:val="18"/>
        </w:rPr>
        <w:t>Drill practice—short, repeated question-and-answer exercises—is among the most reliable ways to consolidate the grammar and vocabulary of a second language, but it only works when each question is pitched at the right level for the individual learner. Large language models (LLMs) can now write such questions on demand, which removes the long-standing bottleneck of authoring exercises by hand. It also creates a new and largely unexamined problem. When questions are produced continuously, every question is new, so the system has no record of how difficult it actually is. Classical adaptive testing assumes a fixed, pre-tested question bank; deep knowledge tracing assumes dense histories in which many learners answer the same questions. In a generative setting neither assumption holds. This paper presents KO-DRILL, a pipeline for personalised Korean drill quizzes built around that difficulty. We make three design arguments and support them with evidence. First, deep learning should be used selectively: an LLM for writing Korean, a small fine-tuned encoder for predicting difficulty from text, and an explicit psychometric model—not a neural network—for tracking what a learner knows. Second, the Elo rating system, the default choice in adaptive practice platforms, is specifically unsuited here; in a simulation of 120,000 responses we reproduce its documented failure, with the spread of learner ratings inflating to 2.7 against a true value of 1.0 and still rising, while the Urnings algorithm remains calibrated at 1.1. Third, we propose two novelties: misconception-conditioned distractors that turn each wrong answer into a specific diagnosis rather than an undifferentiated error; and a direct demonstration that Urnings stays calibrated when seeded from a deliberately uncalibrated item-difficulty prior—exactly the situation a generative item pool creates—while Elo and Parallel Elo degrade substantially more under the identical prior. Personalisation on a generative pool needs both: a diagnosis finer than a selection policy alone can reach, and a tracker trustworthy enough to act on from an item's first response, before anyone has validated its difficulty. We validate each novelty with a single targeted comparison rather than a broad ablation grid, and set out an exploratory classroom pilot as secondary evidence.</w:t>
      </w:r>
    </w:p>
    <w:p>
      <w:pPr>
        <w:widowControl/>
        <w:spacing w:after="200" w:before="0" w:line="240" w:lineRule="auto"/>
        <w:jc w:val="both"/>
      </w:pPr>
      <w:r>
        <w:rPr>
          <w:rFonts w:ascii="Times New Roman" w:hAnsi="Times New Roman" w:eastAsia="Malgun Gothic"/>
          <w:b/>
          <w:i/>
          <w:color w:val="000000"/>
          <w:sz w:val="18"/>
        </w:rPr>
        <w:t>Index Terms—</w:t>
      </w:r>
      <w:r>
        <w:rPr>
          <w:rFonts w:ascii="Times New Roman" w:hAnsi="Times New Roman" w:eastAsia="Malgun Gothic"/>
          <w:b/>
          <w:i w:val="0"/>
          <w:color w:val="000000"/>
          <w:sz w:val="18"/>
        </w:rPr>
        <w:t>Adaptive learning, computerised adaptive testing, educational technology, item calibration, Korean language learning, large language models, personalised learning, psychometrics, question generation, Urnings algorithm.</w:t>
      </w:r>
    </w:p>
    <w:p>
      <w:pPr>
        <w:widowControl/>
        <w:spacing w:after="80" w:before="200" w:line="240" w:lineRule="auto"/>
        <w:jc w:val="center"/>
      </w:pPr>
      <w:r>
        <w:rPr>
          <w:rFonts w:ascii="Times New Roman" w:hAnsi="Times New Roman" w:eastAsia="Malgun Gothic"/>
          <w:b w:val="0"/>
          <w:i w:val="0"/>
          <w:color w:val="000000"/>
          <w:sz w:val="20"/>
        </w:rPr>
        <w:t>I. INTRODUCTION</w:t>
      </w:r>
    </w:p>
    <w:p>
      <w:pPr>
        <w:widowControl/>
        <w:spacing w:after="60" w:before="0" w:line="240" w:lineRule="auto"/>
        <w:jc w:val="both"/>
      </w:pPr>
      <w:r>
        <w:rPr>
          <w:rFonts w:ascii="Times New Roman" w:hAnsi="Times New Roman" w:eastAsia="Malgun Gothic"/>
          <w:b w:val="0"/>
          <w:i w:val="0"/>
          <w:color w:val="000000"/>
          <w:sz w:val="20"/>
        </w:rPr>
        <w:t>Learning a language is, to an unglamorous degree, a matter of repetition. Learners need to meet the same grammatical pattern many times, in varied contexts, spaced out over weeks, and they need to be told promptly when they get it wrong. This is the principle behind drill practice, and it is well supported: retrieval practice, in which the learner must produce an answer rather than merely re-read material, produces more durable memory than passive review, and scheduling that practice according to a model of forgetting improves retention further still [28].</w:t>
      </w:r>
    </w:p>
    <w:p>
      <w:pPr>
        <w:widowControl/>
        <w:spacing w:after="60" w:before="0" w:line="240" w:lineRule="auto"/>
        <w:ind w:firstLine="245"/>
        <w:jc w:val="both"/>
      </w:pPr>
      <w:r>
        <w:rPr>
          <w:rFonts w:ascii="Times New Roman" w:hAnsi="Times New Roman" w:eastAsia="Malgun Gothic"/>
          <w:b w:val="0"/>
          <w:i w:val="0"/>
          <w:color w:val="000000"/>
          <w:sz w:val="20"/>
        </w:rPr>
        <w:t>Korean presents a particularly strong case for drill practice, and a particularly awkward one for existing tools. Korean is an agglutinative language: grammatical information is carried by particles attached to nouns and by endings attached to verbs. A learner must choose correctly among markers that have no direct equivalent in English, decide between the topic marker and the subject marker in contexts where both are grammatical but convey different emphasis, conjugate verbs that follow irregular patterns, and select an appropriate level of politeness for the social relationship being described. Corpus studies of learner writing confirm that these are precisely the areas where errors concentrate and persist [24], [25]. They are also areas that reward exactly the kind of high-volume, finely targeted practice that is tedious for a human teacher to prepare.</w:t>
      </w:r>
    </w:p>
    <w:p>
      <w:pPr>
        <w:widowControl/>
        <w:spacing w:after="60" w:before="0" w:line="240" w:lineRule="auto"/>
        <w:ind w:firstLine="245"/>
        <w:jc w:val="both"/>
      </w:pPr>
      <w:r>
        <w:rPr>
          <w:rFonts w:ascii="Times New Roman" w:hAnsi="Times New Roman" w:eastAsia="Malgun Gothic"/>
          <w:b w:val="0"/>
          <w:i w:val="0"/>
          <w:color w:val="000000"/>
          <w:sz w:val="20"/>
        </w:rPr>
        <w:t>Until recently the limiting factor was supply. Producing a few thousand well-formed practice items, each targeting one grammatical point at a known level of difficulty, with plausible wrong answers, is weeks of expert labour. Large language models (LLMs) have changed this: systematic reviews now document a large and rapidly maturing literature on automatic question generation, with models producing multiple-choice items at a quality that is beginning to approach human-authored material [5], [6], [7], [8]. The bottleneck has moved.</w:t>
      </w:r>
    </w:p>
    <w:p>
      <w:pPr>
        <w:widowControl/>
        <w:spacing w:after="60" w:before="0" w:line="240" w:lineRule="auto"/>
        <w:ind w:firstLine="245"/>
        <w:jc w:val="both"/>
      </w:pPr>
      <w:r>
        <w:rPr>
          <w:rFonts w:ascii="Times New Roman" w:hAnsi="Times New Roman" w:eastAsia="Malgun Gothic"/>
          <w:b w:val="0"/>
          <w:i w:val="0"/>
          <w:color w:val="000000"/>
          <w:sz w:val="20"/>
        </w:rPr>
        <w:t>Where it has moved to is the subject of this paper. A personalised drill system must answer two questions on every turn: how good is this learner, and how hard is this question? Adaptive testing has mature machinery for both, but that machinery assumes a fixed bank of questions that have been administered to a calibration sample before being used in earnest. A generative system violates this assumption completely. If items are written on demand, every item is, at the moment it is first served, an item about which nothing is known. One might hope the LLM could simply be asked how hard its own question is. The evidence says otherwise: LLM self-estimates of item difficulty are poorly calibrated, systematically biased towards judging items easier than they are, and unreliable at the level of the individual item [11], [12]. One might instead reach for deep knowledge tracing, the dominant neural approach to learner modelling [19], [20], [21]. But knowledge tracing learns from many learners answering the same items; with an item pool that is effectively infinite and a long tail of items seen a handful of times, there is nothing for it to learn from. This is the cold-start problem in an unusually severe form, affecting not a minority of items but, in principle, all of them [33].</w:t>
      </w:r>
    </w:p>
    <w:p>
      <w:pPr>
        <w:widowControl/>
        <w:spacing w:after="60" w:before="0" w:line="240" w:lineRule="auto"/>
        <w:ind w:firstLine="245"/>
        <w:jc w:val="both"/>
      </w:pPr>
      <w:r>
        <w:rPr>
          <w:rFonts w:ascii="Times New Roman" w:hAnsi="Times New Roman" w:eastAsia="Malgun Gothic"/>
          <w:b w:val="0"/>
          <w:i w:val="0"/>
          <w:color w:val="000000"/>
          <w:sz w:val="20"/>
        </w:rPr>
        <w:t>This paper takes that problem as its starting point and makes four contributions.</w:t>
      </w:r>
    </w:p>
    <w:p>
      <w:pPr>
        <w:widowControl/>
        <w:spacing w:after="60" w:before="0" w:line="240" w:lineRule="auto"/>
        <w:ind w:left="245" w:hanging="245"/>
        <w:jc w:val="both"/>
      </w:pPr>
      <w:r>
        <w:rPr>
          <w:rFonts w:ascii="Times New Roman" w:hAnsi="Times New Roman" w:eastAsia="Malgun Gothic"/>
          <w:b w:val="0"/>
          <w:i w:val="0"/>
          <w:color w:val="000000"/>
          <w:sz w:val="20"/>
        </w:rPr>
        <w:t xml:space="preserve">•  </w:t>
      </w:r>
      <w:r>
        <w:rPr>
          <w:rFonts w:ascii="Times New Roman" w:hAnsi="Times New Roman" w:eastAsia="Malgun Gothic"/>
          <w:b w:val="0"/>
          <w:i w:val="0"/>
          <w:color w:val="000000"/>
          <w:sz w:val="20"/>
        </w:rPr>
        <w:t>A critical design analysis, in Section III, of which parts of this problem actually call for deep learning and which do not—an argument that the field's default of end-to-end neural modelling is the wrong instinct here.</w:t>
      </w:r>
    </w:p>
    <w:p>
      <w:pPr>
        <w:widowControl/>
        <w:spacing w:after="60" w:before="0" w:line="240" w:lineRule="auto"/>
        <w:ind w:left="245" w:hanging="245"/>
        <w:jc w:val="both"/>
      </w:pPr>
      <w:r>
        <w:rPr>
          <w:rFonts w:ascii="Times New Roman" w:hAnsi="Times New Roman" w:eastAsia="Malgun Gothic"/>
          <w:b w:val="0"/>
          <w:i w:val="0"/>
          <w:color w:val="000000"/>
          <w:sz w:val="20"/>
        </w:rPr>
        <w:t xml:space="preserve">•  </w:t>
      </w:r>
      <w:r>
        <w:rPr>
          <w:rFonts w:ascii="Times New Roman" w:hAnsi="Times New Roman" w:eastAsia="Malgun Gothic"/>
          <w:b w:val="0"/>
          <w:i w:val="0"/>
          <w:color w:val="000000"/>
          <w:sz w:val="20"/>
        </w:rPr>
        <w:t>A simulation, also in Section III, showing concretely that the Elo rating system—the most widely deployed tracker in adaptive practice platforms—fails in exactly the regime a generative item pool creates, and quantifying how badly.</w:t>
      </w:r>
    </w:p>
    <w:p>
      <w:pPr>
        <w:widowControl/>
        <w:spacing w:after="60" w:before="0" w:line="240" w:lineRule="auto"/>
        <w:ind w:left="245" w:hanging="245"/>
        <w:jc w:val="both"/>
      </w:pPr>
      <w:r>
        <w:rPr>
          <w:rFonts w:ascii="Times New Roman" w:hAnsi="Times New Roman" w:eastAsia="Malgun Gothic"/>
          <w:b w:val="0"/>
          <w:i w:val="0"/>
          <w:color w:val="000000"/>
          <w:sz w:val="20"/>
        </w:rPr>
        <w:t xml:space="preserve">•  </w:t>
      </w:r>
      <w:r>
        <w:rPr>
          <w:rFonts w:ascii="Times New Roman" w:hAnsi="Times New Roman" w:eastAsia="Malgun Gothic"/>
          <w:b w:val="0"/>
          <w:i w:val="0"/>
          <w:color w:val="000000"/>
          <w:sz w:val="20"/>
        </w:rPr>
        <w:t>Two architectural novelties, set out in Section IV: a diagnosis finer than a selection policy alone can reach, tailored to the specific misconception an answer reveals; and a tracker shown to remain calibrated on a deliberately uncalibrated item-difficulty prior, the precondition personalisation needs on a pool no one has pre-tested.</w:t>
      </w:r>
    </w:p>
    <w:p>
      <w:pPr>
        <w:widowControl/>
        <w:spacing w:after="60" w:before="0" w:line="240" w:lineRule="auto"/>
        <w:ind w:left="245" w:hanging="245"/>
        <w:jc w:val="both"/>
      </w:pPr>
      <w:r>
        <w:rPr>
          <w:rFonts w:ascii="Times New Roman" w:hAnsi="Times New Roman" w:eastAsia="Malgun Gothic"/>
          <w:b w:val="0"/>
          <w:i w:val="0"/>
          <w:color w:val="000000"/>
          <w:sz w:val="20"/>
        </w:rPr>
        <w:t xml:space="preserve">•  </w:t>
      </w:r>
      <w:r>
        <w:rPr>
          <w:rFonts w:ascii="Times New Roman" w:hAnsi="Times New Roman" w:eastAsia="Malgun Gothic"/>
          <w:b w:val="0"/>
          <w:i w:val="0"/>
          <w:color w:val="000000"/>
          <w:sz w:val="20"/>
        </w:rPr>
        <w:t>A pre-registered experimental design, in Section V, capable of distinguishing the contribution of each component rather than only evaluating the system as a whole.</w:t>
      </w:r>
    </w:p>
    <w:p>
      <w:pPr>
        <w:widowControl/>
        <w:spacing w:after="60" w:before="0" w:line="240" w:lineRule="auto"/>
        <w:ind w:firstLine="245"/>
        <w:jc w:val="both"/>
      </w:pPr>
      <w:r>
        <w:rPr>
          <w:rFonts w:ascii="Times New Roman" w:hAnsi="Times New Roman" w:eastAsia="Malgun Gothic"/>
          <w:b w:val="0"/>
          <w:i w:val="0"/>
          <w:color w:val="000000"/>
          <w:sz w:val="20"/>
        </w:rPr>
        <w:t>Throughout, we have tried to keep the prose readable by people who build language learning products as well as by people who publish on psychometrics, and we gloss technical terms on first use.</w:t>
      </w:r>
    </w:p>
    <w:p>
      <w:pPr>
        <w:widowControl/>
        <w:spacing w:after="80" w:before="200" w:line="240" w:lineRule="auto"/>
        <w:jc w:val="center"/>
      </w:pPr>
      <w:r>
        <w:rPr>
          <w:rFonts w:ascii="Times New Roman" w:hAnsi="Times New Roman" w:eastAsia="Malgun Gothic"/>
          <w:b w:val="0"/>
          <w:i w:val="0"/>
          <w:color w:val="000000"/>
          <w:sz w:val="20"/>
        </w:rPr>
        <w:t>II. RELATED WORK</w:t>
      </w:r>
    </w:p>
    <w:p>
      <w:pPr>
        <w:widowControl/>
        <w:spacing w:after="60" w:before="140" w:line="240" w:lineRule="auto"/>
        <w:jc w:val="left"/>
      </w:pPr>
      <w:r>
        <w:rPr>
          <w:rFonts w:ascii="Times New Roman" w:hAnsi="Times New Roman" w:eastAsia="Malgun Gothic"/>
          <w:b w:val="0"/>
          <w:i/>
          <w:color w:val="000000"/>
          <w:sz w:val="20"/>
        </w:rPr>
        <w:t>A. Automatic Item Generation with Language Models</w:t>
      </w:r>
    </w:p>
    <w:p>
      <w:pPr>
        <w:widowControl/>
        <w:spacing w:after="60" w:before="0" w:line="240" w:lineRule="auto"/>
        <w:jc w:val="both"/>
      </w:pPr>
      <w:r>
        <w:rPr>
          <w:rFonts w:ascii="Times New Roman" w:hAnsi="Times New Roman" w:eastAsia="Malgun Gothic"/>
          <w:b w:val="0"/>
          <w:i w:val="0"/>
          <w:color w:val="000000"/>
          <w:sz w:val="20"/>
        </w:rPr>
        <w:t>Automatic item generation—having software write test questions—long predates LLMs, but transformer-based models changed its practical reach. A 2025 systematic review of transformer and LLM approaches to multiple-choice question generation finds consistent improvement over earlier template and rule-based pipelines, while noting that evaluation in the field remains dominated by surface metrics of fluency rather than measures of pedagogical usefulness [5]. A broader 2026 survey reaches a similar conclusion and identifies difficulty control as an open problem [6]. Applied work confirms feasibility across subjects: Ling and Afzaal generate question–answer pairs for higher education from pre-trained models [7], and Badenes-Olmedo and Eyzaguirre's QuerIA system couples generation with evaluation in a university setting [8]. Dong and Li address difficulty control directly, combining active learning for labelling with low-rank adaptation to steer a model towards a requested difficulty level [9].</w:t>
      </w:r>
    </w:p>
    <w:p>
      <w:pPr>
        <w:widowControl/>
        <w:spacing w:after="60" w:before="0" w:line="240" w:lineRule="auto"/>
        <w:ind w:firstLine="245"/>
        <w:jc w:val="both"/>
      </w:pPr>
      <w:r>
        <w:rPr>
          <w:rFonts w:ascii="Times New Roman" w:hAnsi="Times New Roman" w:eastAsia="Malgun Gothic"/>
          <w:b w:val="0"/>
          <w:i w:val="0"/>
          <w:color w:val="000000"/>
          <w:sz w:val="20"/>
        </w:rPr>
        <w:t>Distractors—the plausible wrong answers in a multiple-choice item—have received separate attention, because they are harder to produce than the correct answer and matter more than is often appreciated. A wrong answer that nobody would ever choose contributes nothing; a wrong answer that is in fact also correct actively damages the test. Bitew et al. show that predictive prompting improves distractor plausibility over prior approaches [10], but the reported ceiling—roughly half of generated distractors rated high quality by teachers—indicates how much room remains. Crucially, the entire line of work optimises for plausibility. None of it asks the question we think is more useful: what does the choice of a particular wrong answer tell us about the learner? A parallel line of work uses LLMs not to generate educational content but to judge it, as Li et al. do for student-generated material in learnersourcing [14]; this is closer to the verification role we describe in Section IV-B, though it has not been applied to checking the grammatical validity of generated distractors.</w:t>
      </w:r>
    </w:p>
    <w:p>
      <w:pPr>
        <w:widowControl/>
        <w:spacing w:after="60" w:before="140" w:line="240" w:lineRule="auto"/>
        <w:jc w:val="left"/>
      </w:pPr>
      <w:r>
        <w:rPr>
          <w:rFonts w:ascii="Times New Roman" w:hAnsi="Times New Roman" w:eastAsia="Malgun Gothic"/>
          <w:b w:val="0"/>
          <w:i/>
          <w:color w:val="000000"/>
          <w:sz w:val="20"/>
        </w:rPr>
        <w:t>B. Estimating How Difficult an Item Is</w:t>
      </w:r>
    </w:p>
    <w:p>
      <w:pPr>
        <w:widowControl/>
        <w:spacing w:after="60" w:before="0" w:line="240" w:lineRule="auto"/>
        <w:jc w:val="both"/>
      </w:pPr>
      <w:r>
        <w:rPr>
          <w:rFonts w:ascii="Times New Roman" w:hAnsi="Times New Roman" w:eastAsia="Malgun Gothic"/>
          <w:b w:val="0"/>
          <w:i w:val="0"/>
          <w:color w:val="000000"/>
          <w:sz w:val="20"/>
        </w:rPr>
        <w:t>If a generated item is to be used adaptively, its difficulty must be estimated before any learner has answered it. Two strands of recent work bear on this. The first asks whether LLMs can judge difficulty directly, and the answer is largely negative. Liu et al., simulating respondents with LLMs and analysing the resulting response patterns psychometrically, find systematic divergence from human response data [12]. Independent evaluations of LLM difficulty classification report accuracy well below what operational use would require, with a consistent bias towards rating items as easier than they prove to be.</w:t>
      </w:r>
    </w:p>
    <w:p>
      <w:pPr>
        <w:widowControl/>
        <w:spacing w:after="60" w:before="0" w:line="240" w:lineRule="auto"/>
        <w:ind w:firstLine="245"/>
        <w:jc w:val="both"/>
      </w:pPr>
      <w:r>
        <w:rPr>
          <w:rFonts w:ascii="Times New Roman" w:hAnsi="Times New Roman" w:eastAsia="Malgun Gothic"/>
          <w:b w:val="0"/>
          <w:i w:val="0"/>
          <w:color w:val="000000"/>
          <w:sz w:val="20"/>
        </w:rPr>
        <w:t>The second strand is more encouraging and, for our purposes, decisive. Li et al. treat difficulty estimation as a supervised regression problem over item text and fine-tune language models to solve it [11]. Their central finding is that small encoder models—BERT and RoBERTa, with hundreds of millions of parameters rather than tens of billions—outperform much larger models on this task, achieving a root mean squared error of 0.2926 and beating the winning entry of a shared-task competition. Larger is not better here. The task is a narrow mapping from text to a scalar, with limited labelled data; a compact encoder fine-tuned on exactly that mapping is better matched to it than a general-purpose generative model prompted to introspect. This result directly supports the architecture we propose in Section IV.</w:t>
      </w:r>
    </w:p>
    <w:p>
      <w:pPr>
        <w:widowControl/>
        <w:spacing w:after="60" w:before="140" w:line="240" w:lineRule="auto"/>
        <w:jc w:val="left"/>
      </w:pPr>
      <w:r>
        <w:rPr>
          <w:rFonts w:ascii="Times New Roman" w:hAnsi="Times New Roman" w:eastAsia="Malgun Gothic"/>
          <w:b w:val="0"/>
          <w:i/>
          <w:color w:val="000000"/>
          <w:sz w:val="20"/>
        </w:rPr>
        <w:t>C. Tracking What a Learner Knows</w:t>
      </w:r>
    </w:p>
    <w:p>
      <w:pPr>
        <w:widowControl/>
        <w:spacing w:after="60" w:before="0" w:line="240" w:lineRule="auto"/>
        <w:jc w:val="both"/>
      </w:pPr>
      <w:r>
        <w:rPr>
          <w:rFonts w:ascii="Times New Roman" w:hAnsi="Times New Roman" w:eastAsia="Malgun Gothic"/>
          <w:b w:val="0"/>
          <w:i w:val="0"/>
          <w:color w:val="000000"/>
          <w:sz w:val="20"/>
        </w:rPr>
        <w:t>Two traditions address learner modelling, and they are further apart than they should be. The deep learning tradition—knowledge tracing—treats the learner's history as a sequence and trains a neural network to predict the next response. Recent work in this line is sophisticated: Jiang et al. incorporate item difficulty into a multi-view attention architecture [20]; Qian et al. ground an attention mechanism in cognitive theory [21]; Tong and Ren combine knowledge tracing with cognitive load estimation to generate learning paths, reporting 87.5% prediction accuracy and a 24.6% improvement in learning efficiency [19]. Cognitive diagnosis models pursue interpretability within the same broad family, with NeuralCD imposing a monotonicity constraint so that diagnostic output remains meaningful [22] and later work adding multidimensional features [23].</w:t>
      </w:r>
    </w:p>
    <w:p>
      <w:pPr>
        <w:widowControl/>
        <w:spacing w:after="60" w:before="0" w:line="240" w:lineRule="auto"/>
        <w:ind w:firstLine="245"/>
        <w:jc w:val="both"/>
      </w:pPr>
      <w:r>
        <w:rPr>
          <w:rFonts w:ascii="Times New Roman" w:hAnsi="Times New Roman" w:eastAsia="Malgun Gothic"/>
          <w:b w:val="0"/>
          <w:i w:val="0"/>
          <w:color w:val="000000"/>
          <w:sz w:val="20"/>
        </w:rPr>
        <w:t>A related strand models the learner as a persistent profile rather than a response sequence: Aydın and Yurdugül construct a “learner digital twin” from accumulated experience and use it to select instructional scaffolding [32]. This shares our motivation of maintaining an explicit, inspectable learner representation, though it does not address item calibration.</w:t>
      </w:r>
    </w:p>
    <w:p>
      <w:pPr>
        <w:widowControl/>
        <w:spacing w:after="60" w:before="0" w:line="240" w:lineRule="auto"/>
        <w:ind w:firstLine="245"/>
        <w:jc w:val="both"/>
      </w:pPr>
      <w:r>
        <w:rPr>
          <w:rFonts w:ascii="Times New Roman" w:hAnsi="Times New Roman" w:eastAsia="Malgun Gothic"/>
          <w:b w:val="0"/>
          <w:i w:val="0"/>
          <w:color w:val="000000"/>
          <w:sz w:val="20"/>
        </w:rPr>
        <w:t>These models are powerful, and they share a structural prerequisite: a fixed set of items or knowledge components, each observed many times across many learners. Practical evaluations have found that knowledge tracing models degrade on new learners, struggle to predict incorrect responses, and can be sensitive to item ordering in ways that are hard to justify pedagogically. In a generative setting the prerequisite simply fails.</w:t>
      </w:r>
    </w:p>
    <w:p>
      <w:pPr>
        <w:widowControl/>
        <w:spacing w:after="60" w:before="0" w:line="240" w:lineRule="auto"/>
        <w:ind w:firstLine="245"/>
        <w:jc w:val="both"/>
      </w:pPr>
      <w:r>
        <w:rPr>
          <w:rFonts w:ascii="Times New Roman" w:hAnsi="Times New Roman" w:eastAsia="Malgun Gothic"/>
          <w:b w:val="0"/>
          <w:i w:val="0"/>
          <w:color w:val="000000"/>
          <w:sz w:val="20"/>
        </w:rPr>
        <w:t>The psychometric tradition takes the opposite approach: a small number of explicit, interpretable parameters updated by a transparent rule. The Elo rating system, borrowed from chess, is the workhorse. Each learner and each item carries a single number; after every response both numbers move towards or away from each other in proportion to how surprising the outcome was. It is trivial to implement, needs no training data, and updates in constant time, which is why it underpins deployed adaptive platforms [18]. Section III-B explains why, despite these virtues, it is the wrong choice for the system we are describing.</w:t>
      </w:r>
    </w:p>
    <w:p>
      <w:pPr>
        <w:widowControl/>
        <w:spacing w:after="60" w:before="0" w:line="240" w:lineRule="auto"/>
        <w:ind w:firstLine="245"/>
        <w:jc w:val="both"/>
      </w:pPr>
      <w:r>
        <w:rPr>
          <w:rFonts w:ascii="Times New Roman" w:hAnsi="Times New Roman" w:eastAsia="Malgun Gothic"/>
          <w:b w:val="0"/>
          <w:i w:val="0"/>
          <w:color w:val="000000"/>
          <w:sz w:val="20"/>
        </w:rPr>
        <w:t>The Urnings algorithm offers an alternative with the same operational simplicity and better statistical behaviour [16]. Each learner and item is represented not by a point estimate but by an urn containing a fixed number of balls, some green and some red; the proportion of green balls is the current estimate and the number of balls controls its precision. Updates exchange balls between the learner's urn and the item's urn, with a Metropolis–Hastings correction that keeps the procedure statistically honest. Because the urn has a fixed size, the estimate comes with a known standard error—something Elo cannot provide—and the algorithm explicitly corrects for the distortion introduced when items are chosen adaptively. It extends naturally to tracking several abilities at once [16], and recent work augments it with response times [17].</w:t>
      </w:r>
    </w:p>
    <w:p>
      <w:pPr>
        <w:widowControl/>
        <w:spacing w:after="60" w:before="140" w:line="240" w:lineRule="auto"/>
        <w:jc w:val="left"/>
      </w:pPr>
      <w:r>
        <w:rPr>
          <w:rFonts w:ascii="Times New Roman" w:hAnsi="Times New Roman" w:eastAsia="Malgun Gothic"/>
          <w:b w:val="0"/>
          <w:i/>
          <w:color w:val="000000"/>
          <w:sz w:val="20"/>
        </w:rPr>
        <w:t>D. Korean Language Technology and Learner Language</w:t>
      </w:r>
    </w:p>
    <w:p>
      <w:pPr>
        <w:widowControl/>
        <w:spacing w:after="60" w:before="0" w:line="240" w:lineRule="auto"/>
        <w:jc w:val="both"/>
      </w:pPr>
      <w:r>
        <w:rPr>
          <w:rFonts w:ascii="Times New Roman" w:hAnsi="Times New Roman" w:eastAsia="Malgun Gothic"/>
          <w:b w:val="0"/>
          <w:i w:val="0"/>
          <w:color w:val="000000"/>
          <w:sz w:val="20"/>
        </w:rPr>
        <w:t>Korean-specific resources have matured considerably. Song et al. substantially enrich the Korean learner corpus for grammatical error correction and writing assessment [24], building on earlier error-annotated collections; Chun and Kim analyse substitution errors between topic and nominative markers in a learner corpus and derive pedagogical applications from them [25]. On the modelling side, Yu et al.'s KRongBERT demonstrates that explicitly accounting for Korean morphology in a pre-trained encoder improves downstream performance [26], a reminder that Korean's agglutinative structure is not something a general multilingual model handles for free.</w:t>
      </w:r>
    </w:p>
    <w:p>
      <w:pPr>
        <w:widowControl/>
        <w:spacing w:after="60" w:before="0" w:line="240" w:lineRule="auto"/>
        <w:ind w:firstLine="245"/>
        <w:jc w:val="both"/>
      </w:pPr>
      <w:r>
        <w:rPr>
          <w:rFonts w:ascii="Times New Roman" w:hAnsi="Times New Roman" w:eastAsia="Malgun Gothic"/>
          <w:b w:val="0"/>
          <w:i w:val="0"/>
          <w:color w:val="000000"/>
          <w:sz w:val="20"/>
        </w:rPr>
        <w:t>Work on AI in Korean language teaching has so far concentrated on conversation and motivation rather than on structured assessment. Hong and Yang evaluate a mobile-assisted blended Korean course and report gains in both proficiency and affective outcomes [1]. Related work in second language learning more broadly examines generative AI chatbots for speaking practice [3], vocabulary and reading development [4], and the redistribution of agency between learner, teacher and machine that generative tools bring about [2]. Assessment-focused studies, meanwhile, concentrate on scoring learner production rather than generating practice: automated essay scoring with LLMs has been examined for validity and reliability with mixed conclusions [30], [31].</w:t>
      </w:r>
    </w:p>
    <w:p>
      <w:pPr>
        <w:widowControl/>
        <w:spacing w:after="60" w:before="140" w:line="240" w:lineRule="auto"/>
        <w:jc w:val="left"/>
      </w:pPr>
      <w:r>
        <w:rPr>
          <w:rFonts w:ascii="Times New Roman" w:hAnsi="Times New Roman" w:eastAsia="Malgun Gothic"/>
          <w:b w:val="0"/>
          <w:i/>
          <w:color w:val="000000"/>
          <w:sz w:val="20"/>
        </w:rPr>
        <w:t>E. Lessons from Large-Scale Deployed Systems</w:t>
      </w:r>
    </w:p>
    <w:p>
      <w:pPr>
        <w:widowControl/>
        <w:spacing w:after="60" w:before="0" w:line="240" w:lineRule="auto"/>
        <w:jc w:val="both"/>
      </w:pPr>
      <w:r>
        <w:rPr>
          <w:rFonts w:ascii="Times New Roman" w:hAnsi="Times New Roman" w:eastAsia="Malgun Gothic"/>
          <w:b w:val="0"/>
          <w:i w:val="0"/>
          <w:color w:val="000000"/>
          <w:sz w:val="20"/>
        </w:rPr>
        <w:t>Before proposing new methods it is worth asking what the most successful deployed practice systems already do, since reviewers familiar with Duolingo or similar products will ask the same question. The honest answer is that there is no single industry standard — four of the most-cited systems solve the problem four different ways. Duolingo's practice app schedules review using Half-Life Regression [28], a lightweight model trained on thirteen million learning traces, since evolved into Birdbrain, an LSTM-based system reported to process tens of billions of predictions daily across the product's user base [37]. The Duolingo English Test, a separate system from the practice app, instead scores test-takers with classical item response theory inside a computerised-adaptive-testing framework [38]. ALEKS, a widely deployed mathematics tutor, uses neither: it is built on knowledge space theory, a combinatorial framework that represents a learner's state as the precise subset of skills mastered and selects items that move the learner to an adjacent reachable state [39]. Math Garden uses the Elo-based design discussed in Section III-B [40]. Anki's default scheduler, FSRS, fits a compact per-card memory model from review history [41].</w:t>
      </w:r>
    </w:p>
    <w:p>
      <w:pPr>
        <w:widowControl/>
        <w:spacing w:after="60" w:before="0" w:line="240" w:lineRule="auto"/>
        <w:ind w:firstLine="245"/>
        <w:jc w:val="both"/>
      </w:pPr>
      <w:r>
        <w:rPr>
          <w:rFonts w:ascii="Times New Roman" w:hAnsi="Times New Roman" w:eastAsia="Malgun Gothic"/>
          <w:b w:val="0"/>
          <w:i w:val="0"/>
          <w:color w:val="000000"/>
          <w:sz w:val="20"/>
        </w:rPr>
        <w:t>Two things are notable about this list. First, none of these four systems trains a large neural network on the scale of Birdbrain unless it has Birdbrain's data volume to support it; ALEKS and the original Math Garden design both predate the deep learning era and remain in wide use, which is itself evidence that a lighter model is not a compromise but frequently the better engineering choice. Even FSRS, parametric but far smaller than a neural tracker, is reported to show its advantage over the classical SM-2 heuristic only once a learner has accumulated a few thousand reviews; below that volume the two are reported to perform comparably. Our target population of 50 to 180 learners sits far below the data regime in which any of the heavier methods were shown to pay off, which is a second, independent argument for the model-size position taken in Section III-A.</w:t>
      </w:r>
    </w:p>
    <w:p>
      <w:pPr>
        <w:widowControl/>
        <w:spacing w:after="60" w:before="0" w:line="240" w:lineRule="auto"/>
        <w:ind w:firstLine="245"/>
        <w:jc w:val="both"/>
      </w:pPr>
      <w:r>
        <w:rPr>
          <w:rFonts w:ascii="Times New Roman" w:hAnsi="Times New Roman" w:eastAsia="Malgun Gothic"/>
          <w:b w:val="0"/>
          <w:i w:val="0"/>
          <w:color w:val="000000"/>
          <w:sz w:val="20"/>
        </w:rPr>
        <w:t>Second, and more important for motivating this paper: in every one of these systems, the exercise content is authored and quality-assured by people, at an organisational scale an academic project cannot match, before it ever reaches the adaptive engine. Birdbrain selects among existing exercises; it does not write new ones. The Duolingo English Test's items are pre-calibrated before deployment, which is precisely the precondition classical computerised adaptive testing requires. ALEKS's knowledge space and Math Garden's item bank were both built by sustained human effort over years. None of these systems has had to solve the problem this paper addresses — an item with no prior calibration data, served the moment it is written — because none of them generates items this way. Public reporting on Duolingo’s own experiments with LLM-written lesson material describes it as an active, carefully monitored pilot rather than a component of the production scheduling engine, consistent with the pattern above: even the best-resourced player in this space has not folded on-demand generation into the system that Birdbrain itself runs.</w:t>
      </w:r>
    </w:p>
    <w:p>
      <w:pPr>
        <w:widowControl/>
        <w:spacing w:after="60" w:before="0" w:line="240" w:lineRule="auto"/>
        <w:ind w:firstLine="245"/>
        <w:jc w:val="both"/>
      </w:pPr>
      <w:r>
        <w:rPr>
          <w:rFonts w:ascii="Times New Roman" w:hAnsi="Times New Roman" w:eastAsia="Malgun Gothic"/>
          <w:b w:val="0"/>
          <w:i w:val="0"/>
          <w:color w:val="000000"/>
          <w:sz w:val="20"/>
        </w:rPr>
        <w:t>This reframes the contribution of the present paper. It is not an attempt to out-engineer Birdbrain, which would be a poor use of effort given the data gap just described. It is an attempt to reproduce, for a research team without a professional content-authoring organisation, the adaptive quality that large-scale systems achieve by combining editorial labour with classical or lightly-parameterised statistical models. We therefore follow industry practice exactly where our data regime matches theirs — classical or lightweight trackers over learner ability, and a decay-based scheduler over review timing, in the spirit of [28] and [41] — and depart from it only where our resource constraint, not our technical ambition, forces a different answer: generating and calibrating items we cannot afford to commission.</w:t>
      </w:r>
    </w:p>
    <w:p>
      <w:pPr>
        <w:widowControl/>
        <w:spacing w:after="60" w:before="140" w:line="240" w:lineRule="auto"/>
        <w:jc w:val="left"/>
      </w:pPr>
      <w:r>
        <w:rPr>
          <w:rFonts w:ascii="Times New Roman" w:hAnsi="Times New Roman" w:eastAsia="Malgun Gothic"/>
          <w:b w:val="0"/>
          <w:i/>
          <w:color w:val="000000"/>
          <w:sz w:val="20"/>
        </w:rPr>
        <w:t>F. Research Gaps</w:t>
      </w:r>
    </w:p>
    <w:p>
      <w:pPr>
        <w:widowControl/>
        <w:spacing w:after="60" w:before="0" w:line="240" w:lineRule="auto"/>
        <w:jc w:val="both"/>
      </w:pPr>
      <w:r>
        <w:rPr>
          <w:rFonts w:ascii="Times New Roman" w:hAnsi="Times New Roman" w:eastAsia="Malgun Gothic"/>
          <w:b w:val="0"/>
          <w:i w:val="0"/>
          <w:color w:val="000000"/>
          <w:sz w:val="20"/>
        </w:rPr>
        <w:t>Reading these literatures together, including the deployed systems just discussed, three gaps stand out. They are not independent; each follows from the one before, and the last is precisely the gap that large-scale systems sidestep by not generating items at all.</w:t>
      </w:r>
    </w:p>
    <w:p>
      <w:pPr>
        <w:widowControl/>
        <w:spacing w:after="60" w:before="0" w:line="240" w:lineRule="auto"/>
        <w:ind w:firstLine="245"/>
        <w:jc w:val="both"/>
      </w:pPr>
      <w:r>
        <w:rPr>
          <w:rFonts w:ascii="Times New Roman" w:hAnsi="Times New Roman" w:eastAsia="Malgun Gothic"/>
          <w:b w:val="0"/>
          <w:i w:val="0"/>
          <w:color w:val="000000"/>
          <w:sz w:val="20"/>
        </w:rPr>
        <w:t>G1. Wrong answers are wasted. Distractors are optimised to be plausible [10], not to be informative. When a learner selects a particular wrong answer they have revealed something quite specific about their internal model of the grammar, and current systems discard that signal, recording only a binary outcome. Cognitive diagnosis models would make use of it [22], [23], but they require a pre-specified mapping from items to skills that generated items do not come with.</w:t>
      </w:r>
    </w:p>
    <w:p>
      <w:pPr>
        <w:widowControl/>
        <w:spacing w:after="60" w:before="0" w:line="240" w:lineRule="auto"/>
        <w:ind w:firstLine="245"/>
        <w:jc w:val="both"/>
      </w:pPr>
      <w:r>
        <w:rPr>
          <w:rFonts w:ascii="Times New Roman" w:hAnsi="Times New Roman" w:eastAsia="Malgun Gothic"/>
          <w:b w:val="0"/>
          <w:i w:val="0"/>
          <w:color w:val="000000"/>
          <w:sz w:val="20"/>
        </w:rPr>
        <w:t>G2. Rating systems are used outside their validity conditions. Elo is deployed in adaptive platforms [18] in the one configuration where its measurement properties break down—simultaneous adaptive item selection and dynamic item calibration—and this has only recently been characterised precisely [15]. A generative item pool forces exactly that configuration, because items must be calibrated as they are used. We are not aware of any language learning system that uses Urnings.</w:t>
      </w:r>
    </w:p>
    <w:p>
      <w:pPr>
        <w:widowControl/>
        <w:spacing w:after="60" w:before="0" w:line="240" w:lineRule="auto"/>
        <w:ind w:firstLine="245"/>
        <w:jc w:val="both"/>
      </w:pPr>
      <w:r>
        <w:rPr>
          <w:rFonts w:ascii="Times New Roman" w:hAnsi="Times New Roman" w:eastAsia="Malgun Gothic"/>
          <w:b w:val="0"/>
          <w:i w:val="0"/>
          <w:color w:val="000000"/>
          <w:sz w:val="20"/>
        </w:rPr>
        <w:t>G3. Feedback is generated uniformly, and its benefits are not. Lin et al., studying on-demand LLM explanatory feedback across seven lessons with 885 learners, found statistically significant benefits in only two of them, with effect sizes of 0.28 and 0.33 after adjusting for learners' propensity to request feedback [29]. Feedback is not uniformly valuable, yet systems generate it uniformly, at uniform cost. No existing work allocates generative effort according to how much the system stands to learn from the interaction.</w:t>
      </w:r>
    </w:p>
    <w:p>
      <w:pPr>
        <w:widowControl/>
        <w:spacing w:after="80" w:before="200" w:line="240" w:lineRule="auto"/>
        <w:jc w:val="center"/>
      </w:pPr>
      <w:r>
        <w:rPr>
          <w:rFonts w:ascii="Times New Roman" w:hAnsi="Times New Roman" w:eastAsia="Malgun Gothic"/>
          <w:b w:val="0"/>
          <w:i w:val="0"/>
          <w:color w:val="000000"/>
          <w:sz w:val="20"/>
        </w:rPr>
        <w:t>III. DESIGN RATIONALE: CHOOSING THE RIGHT MODEL CLASS</w:t>
      </w:r>
    </w:p>
    <w:p>
      <w:pPr>
        <w:widowControl/>
        <w:spacing w:after="60" w:before="0" w:line="240" w:lineRule="auto"/>
        <w:jc w:val="both"/>
      </w:pPr>
      <w:r>
        <w:rPr>
          <w:rFonts w:ascii="Times New Roman" w:hAnsi="Times New Roman" w:eastAsia="Malgun Gothic"/>
          <w:b w:val="0"/>
          <w:i w:val="0"/>
          <w:color w:val="000000"/>
          <w:sz w:val="20"/>
        </w:rPr>
        <w:t>This section addresses three design questions that we think are usually answered by default rather than by argument. Because the answers determine the architecture in Section IV, we set them out explicitly.</w:t>
      </w:r>
    </w:p>
    <w:p>
      <w:pPr>
        <w:widowControl/>
        <w:spacing w:after="60" w:before="140" w:line="240" w:lineRule="auto"/>
        <w:jc w:val="left"/>
      </w:pPr>
      <w:r>
        <w:rPr>
          <w:rFonts w:ascii="Times New Roman" w:hAnsi="Times New Roman" w:eastAsia="Malgun Gothic"/>
          <w:b w:val="0"/>
          <w:i/>
          <w:color w:val="000000"/>
          <w:sz w:val="20"/>
        </w:rPr>
        <w:t>A. Is Deep Learning the Right Tool Here?</w:t>
      </w:r>
    </w:p>
    <w:p>
      <w:pPr>
        <w:widowControl/>
        <w:spacing w:after="60" w:before="0" w:line="240" w:lineRule="auto"/>
        <w:jc w:val="both"/>
      </w:pPr>
      <w:r>
        <w:rPr>
          <w:rFonts w:ascii="Times New Roman" w:hAnsi="Times New Roman" w:eastAsia="Malgun Gothic"/>
          <w:b w:val="0"/>
          <w:i w:val="0"/>
          <w:color w:val="000000"/>
          <w:sz w:val="20"/>
        </w:rPr>
        <w:t>Partly. Treating 'personalised Korean quizzing' as one problem to be solved by one neural system would be a mistake. It decomposes into three sub-problems with quite different characteristics, and the right answer differs for each.</w:t>
      </w:r>
    </w:p>
    <w:p>
      <w:pPr>
        <w:widowControl/>
        <w:spacing w:after="60" w:before="0" w:line="240" w:lineRule="auto"/>
        <w:ind w:firstLine="245"/>
        <w:jc w:val="both"/>
      </w:pPr>
      <w:r>
        <w:rPr>
          <w:rFonts w:ascii="Times New Roman" w:hAnsi="Times New Roman" w:eastAsia="Malgun Gothic"/>
          <w:b w:val="0"/>
          <w:i w:val="0"/>
          <w:color w:val="000000"/>
          <w:sz w:val="20"/>
        </w:rPr>
        <w:t>Generating Korean text. Here deep learning is not merely appropriate but unavoidable. Producing natural, varied, contextually appropriate Korean sentences that target a specified grammatical point is beyond template systems, which produce stilted and repetitive output that learners quickly learn to game. An LLM is the right instrument. We note, though, that raw fluency is no longer the binding constraint—modern models all produce fluent Korean. The binding constraint is control: generating an item that targets exactly one grammatical point, at approximately a specified difficulty, with distractors that are wrong in a specified way. That is an architectural problem, not a question of which model is most fluent.</w:t>
      </w:r>
    </w:p>
    <w:p>
      <w:pPr>
        <w:widowControl/>
        <w:spacing w:after="60" w:before="0" w:line="240" w:lineRule="auto"/>
        <w:ind w:firstLine="245"/>
        <w:jc w:val="both"/>
      </w:pPr>
      <w:r>
        <w:rPr>
          <w:rFonts w:ascii="Times New Roman" w:hAnsi="Times New Roman" w:eastAsia="Malgun Gothic"/>
          <w:b w:val="0"/>
          <w:i w:val="0"/>
          <w:color w:val="000000"/>
          <w:sz w:val="20"/>
        </w:rPr>
        <w:t>Predicting difficulty from item text. Deep learning is appropriate, but the instrument should be small. This is a supervised regression from a short text to a scalar, with training data measured in thousands rather than millions of examples. Li et al.'s finding that fine-tuned BERT-class encoders outperform far larger models on precisely this task [11] is not an anomaly; it reflects the match between a compact discriminative model and a narrow mapping. A small encoder is also cheap enough to run on every generated item in real time, deterministic, and straightforward to recalibrate on local response data as it accumulates.</w:t>
      </w:r>
    </w:p>
    <w:p>
      <w:pPr>
        <w:widowControl/>
        <w:spacing w:after="60" w:before="0" w:line="240" w:lineRule="auto"/>
        <w:ind w:firstLine="245"/>
        <w:jc w:val="both"/>
      </w:pPr>
      <w:r>
        <w:rPr>
          <w:rFonts w:ascii="Times New Roman" w:hAnsi="Times New Roman" w:eastAsia="Malgun Gothic"/>
          <w:b w:val="0"/>
          <w:i w:val="0"/>
          <w:color w:val="000000"/>
          <w:sz w:val="20"/>
        </w:rPr>
        <w:t>Tracking what the learner knows. Here we argue deep learning is the wrong choice, and this is the least conventional of our positions. Three reasons. First, data economy: knowledge tracing models need large interaction logs, and a generative item pool guarantees that most items are seen by very few learners, so the dense item-by-learner matrix these models consume never materialises. Second, interpretability and auditability: a system that reports a learner's proficiency in a way that must align with an external standard such as TOPIK needs estimates that can be explained and defended, not a hidden state vector. Third, and most importantly, uncertainty: the selection policy needs to know not just its estimate of a learner's ability but how confident it is, and neural trackers do not natively provide calibrated standard errors. An explicit psychometric model provides all three properties at a tiny fraction of the computational cost.</w:t>
      </w:r>
    </w:p>
    <w:p>
      <w:pPr>
        <w:widowControl/>
        <w:spacing w:after="60" w:before="0" w:line="240" w:lineRule="auto"/>
        <w:ind w:firstLine="245"/>
        <w:jc w:val="both"/>
      </w:pPr>
      <w:r>
        <w:rPr>
          <w:rFonts w:ascii="Times New Roman" w:hAnsi="Times New Roman" w:eastAsia="Malgun Gothic"/>
          <w:b w:val="0"/>
          <w:i w:val="0"/>
          <w:color w:val="000000"/>
          <w:sz w:val="20"/>
        </w:rPr>
        <w:t>The resulting position is a division of labour rather than a rejection of deep learning: neural models generate and perceive; an explicit statistical model remembers and decides. Deep learning serves the psychometric model rather than replacing it.</w:t>
      </w:r>
    </w:p>
    <w:p>
      <w:pPr>
        <w:widowControl/>
        <w:spacing w:after="60" w:before="140" w:line="240" w:lineRule="auto"/>
        <w:jc w:val="left"/>
      </w:pPr>
      <w:r>
        <w:rPr>
          <w:rFonts w:ascii="Times New Roman" w:hAnsi="Times New Roman" w:eastAsia="Malgun Gothic"/>
          <w:b w:val="0"/>
          <w:i/>
          <w:color w:val="000000"/>
          <w:sz w:val="20"/>
        </w:rPr>
        <w:t>B. Is the Elo Rating System the Right Choice?</w:t>
      </w:r>
    </w:p>
    <w:p>
      <w:pPr>
        <w:widowControl/>
        <w:spacing w:after="60" w:before="0" w:line="240" w:lineRule="auto"/>
        <w:jc w:val="both"/>
      </w:pPr>
      <w:r>
        <w:rPr>
          <w:rFonts w:ascii="Times New Roman" w:hAnsi="Times New Roman" w:eastAsia="Malgun Gothic"/>
          <w:b w:val="0"/>
          <w:i w:val="0"/>
          <w:color w:val="000000"/>
          <w:sz w:val="20"/>
        </w:rPr>
        <w:t>No—and this is the clearest-cut of the three questions. Elo is the default in adaptive practice platforms [18] for good reasons: one number per learner, one per item, constant-time updates, no training phase. But Bolsinova et al. have recently characterised its failure mode with precision, and the configuration in which it fails is exactly the one a generative drill system is forced into [15].</w:t>
      </w:r>
    </w:p>
    <w:p>
      <w:pPr>
        <w:widowControl/>
        <w:spacing w:after="60" w:before="0" w:line="240" w:lineRule="auto"/>
        <w:ind w:firstLine="245"/>
        <w:jc w:val="both"/>
      </w:pPr>
      <w:r>
        <w:rPr>
          <w:rFonts w:ascii="Times New Roman" w:hAnsi="Times New Roman" w:eastAsia="Malgun Gothic"/>
          <w:b w:val="0"/>
          <w:i w:val="0"/>
          <w:color w:val="000000"/>
          <w:sz w:val="20"/>
        </w:rPr>
        <w:t>The mechanism is a feedback loop. Elo is well behaved when items are selected at random, and tolerable when item difficulties are held fixed. It misbehaves when items are selected adaptively on the basis of current ratings and item difficulties are themselves being updated. The reason is that selection then depends on the current estimation error: a learner whose rating is too high is preferentially served items whose difficulty is also overestimated, which reinforces rather than corrects the error. The spread of ratings inflates without converging. A generative item pool cannot avoid this configuration, because new items must be calibrated while they are in use; there is no pre-test phase in which to fix their difficulties first.</w:t>
      </w:r>
    </w:p>
    <w:p>
      <w:pPr>
        <w:widowControl/>
        <w:spacing w:after="60" w:before="0" w:line="240" w:lineRule="auto"/>
        <w:ind w:firstLine="245"/>
        <w:jc w:val="both"/>
      </w:pPr>
      <w:r>
        <w:rPr>
          <w:rFonts w:ascii="Times New Roman" w:hAnsi="Times New Roman" w:eastAsia="Malgun Gothic"/>
          <w:b w:val="0"/>
          <w:i w:val="0"/>
          <w:color w:val="000000"/>
          <w:sz w:val="20"/>
        </w:rPr>
        <w:t>To confirm that this matters at realistic scale rather than only in principle, we simulated 120,000 responses from 300 learners against a pool of 400 items under a Rasch generating model, with adaptive selection and simultaneous item updating. Fig. 4 shows the result. The standard deviation of Elo learner ratings grows monotonically to 2.69 against a true value of 1.04 and is still rising when the simulation ends; root mean squared error against true ability likewise grows, from a minimum of 0.44 at around 15,000 responses to 1.70 at the end. The system becomes less accurate the more data it sees. Notably, rank-order correlation with true ability remains high at 0.97: Elo continues to order learners correctly while the scale on which it reports them drifts. A system that only ranks learners might not notice; a system that selects items by predicted success probability will, because that prediction depends on the absolute scale.</w:t>
      </w:r>
    </w:p>
    <w:p>
      <w:pPr>
        <w:widowControl/>
        <w:spacing w:after="60" w:before="0" w:line="240" w:lineRule="auto"/>
        <w:ind w:firstLine="245"/>
        <w:jc w:val="both"/>
      </w:pPr>
      <w:r>
        <w:rPr>
          <w:rFonts w:ascii="Times New Roman" w:hAnsi="Times New Roman" w:eastAsia="Malgun Gothic"/>
          <w:b w:val="0"/>
          <w:i w:val="0"/>
          <w:color w:val="000000"/>
          <w:sz w:val="20"/>
        </w:rPr>
        <w:t>Two remedies are available. Parallel Elo, proposed in [16], maintains two independent rating chains updated on alternating responses and selects items using whichever chain is not currently being updated, which breaks the dependence between selection and current error. In our simulation it reduces terminal spread from 2.69 to 1.71 and terminal error from 1.70 to 0.73—a clear improvement that does not fully resolve the problem. The Urnings algorithm [16] performs better still, holding spread at 1.11 against the true 1.04 and error at 0.43, flat rather than rising. Urnings also provides what the selection policy actually needs and Elo cannot give: a calibrated standard error. We adopt Urnings as the tracker, and retain Elo and Parallel Elo as baselines in Section V so that the contribution of this choice can be measured rather than asserted.</w:t>
      </w:r>
    </w:p>
    <w:p>
      <w:pPr>
        <w:sectPr>
          <w:type w:val="continuous"/>
          <w:pgSz w:w="12240" w:h="15840"/>
          <w:pgMar w:top="1080" w:right="900" w:bottom="1440" w:left="900" w:header="720" w:footer="720" w:gutter="0"/>
          <w:cols w:space="360" w:num="2" w:equalWidth="1"/>
          <w:docGrid w:linePitch="360"/>
        </w:sectPr>
      </w:pPr>
    </w:p>
    <w:p>
      <w:pPr>
        <w:widowControl/>
        <w:spacing w:after="60" w:before="120" w:line="240" w:lineRule="auto"/>
        <w:jc w:val="center"/>
      </w:pPr>
      <w:r>
        <w:drawing>
          <wp:inline xmlns:a="http://schemas.openxmlformats.org/drawingml/2006/main" xmlns:pic="http://schemas.openxmlformats.org/drawingml/2006/picture">
            <wp:extent cx="6400800" cy="2215921"/>
            <wp:docPr id="1" name="Picture 1"/>
            <wp:cNvGraphicFramePr>
              <a:graphicFrameLocks noChangeAspect="1"/>
            </wp:cNvGraphicFramePr>
            <a:graphic>
              <a:graphicData uri="http://schemas.openxmlformats.org/drawingml/2006/picture">
                <pic:pic>
                  <pic:nvPicPr>
                    <pic:cNvPr id="0" name="fig4_simulation.png"/>
                    <pic:cNvPicPr/>
                  </pic:nvPicPr>
                  <pic:blipFill>
                    <a:blip r:embed="rId9"/>
                    <a:stretch>
                      <a:fillRect/>
                    </a:stretch>
                  </pic:blipFill>
                  <pic:spPr>
                    <a:xfrm>
                      <a:off x="0" y="0"/>
                      <a:ext cx="6400800" cy="2215921"/>
                    </a:xfrm>
                    <a:prstGeom prst="rect"/>
                  </pic:spPr>
                </pic:pic>
              </a:graphicData>
            </a:graphic>
          </wp:inline>
        </w:drawing>
      </w:r>
    </w:p>
    <w:p>
      <w:pPr>
        <w:widowControl/>
        <w:spacing w:after="160" w:before="0" w:line="240" w:lineRule="auto"/>
        <w:jc w:val="both"/>
      </w:pPr>
      <w:r>
        <w:rPr>
          <w:rFonts w:ascii="Times New Roman" w:hAnsi="Times New Roman" w:eastAsia="Malgun Gothic"/>
          <w:b w:val="0"/>
          <w:i w:val="0"/>
          <w:color w:val="000000"/>
          <w:sz w:val="16"/>
        </w:rPr>
        <w:t>Fig. 4. Motivating simulation, no item-difficulty prior injected: 120,000 responses, 300 learners, 400 items, Rasch generating model, with adaptive selection and simultaneous item calibration — the regime a generative item pool forces. (a) Elo's rating spread inflates to 2.69 against a true value of 1.04 and is still rising; Urnings holds at 1.11. (b) Elo's error against true ability grows after roughly 15,000 responses, so the estimates get worse as more data arrives. This reproduces, at realistic scale, the failure characterised analytically by Bolsinova et al. [15]; Section IV-C/V-C repeat it with a genuinely uncalibrated prior injected, Novelty 2's own evidence.</w:t>
      </w:r>
    </w:p>
    <w:p>
      <w:pPr>
        <w:sectPr>
          <w:type w:val="continuous"/>
          <w:pgSz w:w="12240" w:h="15840"/>
          <w:pgMar w:top="1080" w:right="900" w:bottom="1440" w:left="900" w:header="720" w:footer="720" w:gutter="0"/>
          <w:cols w:space="360" w:num="1" w:equalWidth="1"/>
          <w:docGrid w:linePitch="360"/>
        </w:sectPr>
      </w:pPr>
    </w:p>
    <w:p>
      <w:pPr>
        <w:widowControl/>
        <w:spacing w:after="60" w:before="0" w:line="240" w:lineRule="auto"/>
        <w:jc w:val="both"/>
      </w:pPr>
      <w:r>
        <w:rPr>
          <w:rFonts w:ascii="Times New Roman" w:hAnsi="Times New Roman" w:eastAsia="Malgun Gothic"/>
          <w:b w:val="0"/>
          <w:i w:val="0"/>
          <w:color w:val="000000"/>
          <w:sz w:val="20"/>
        </w:rPr>
        <w:t>One trade-off deserves mention. Because an urn holds a fixed number of balls, its resolution is quantised, and in our simulation Urnings showed slightly lower rank correlation (0.92) than Elo (0.97) even while being far better calibrated in absolute terms. Resolution is controlled by urn size: repeating the simulation with urns of 16, 32, 64 and 128 balls gives terminal errors of 0.59, 0.45, 0.35 and 0.30 respectively. Urn size is therefore a tunable accuracy–responsiveness trade-off, since larger urns also adapt more slowly to genuine change in ability.</w:t>
      </w:r>
    </w:p>
    <w:p>
      <w:pPr>
        <w:widowControl/>
        <w:spacing w:after="60" w:before="0" w:line="240" w:lineRule="auto"/>
        <w:ind w:firstLine="245"/>
        <w:jc w:val="both"/>
      </w:pPr>
      <w:r>
        <w:rPr>
          <w:rFonts w:ascii="Times New Roman" w:hAnsi="Times New Roman" w:eastAsia="Malgun Gothic"/>
          <w:b w:val="0"/>
          <w:i w:val="0"/>
          <w:color w:val="000000"/>
          <w:sz w:val="20"/>
        </w:rPr>
        <w:t>This comparison starts every item from a flat, uninformative prior for all three trackers. Section IV-C describes a second, independent novelty that goes further: it re-runs this same comparison with items seeded from a genuinely uncalibrated difficulty prior—the condition this system is actually in, since no human rater has checked any generated item's difficulty—and asks which tracker tolerates that prior being wrong.</w:t>
      </w:r>
    </w:p>
    <w:p>
      <w:pPr>
        <w:widowControl/>
        <w:spacing w:after="60" w:before="0" w:line="240" w:lineRule="auto"/>
        <w:ind w:firstLine="245"/>
        <w:jc w:val="both"/>
      </w:pPr>
      <w:r>
        <w:rPr>
          <w:rFonts w:ascii="Times New Roman" w:hAnsi="Times New Roman" w:eastAsia="Malgun Gothic"/>
          <w:b w:val="0"/>
          <w:i w:val="0"/>
          <w:color w:val="000000"/>
          <w:sz w:val="20"/>
        </w:rPr>
        <w:t>A further argument against Elo is dimensional. Elo assigns one number per learner, but Korean proficiency is not one thing. A learner may handle particles well and honorifics poorly. Collapsing this into a scalar discards the structure that makes personalisation worthwhile. Urnings extends naturally to tracking many abilities simultaneously [16], which is what the diagnostic scheme in Section IV-B requires.</w:t>
      </w:r>
    </w:p>
    <w:p>
      <w:pPr>
        <w:widowControl/>
        <w:spacing w:after="60" w:before="140" w:line="240" w:lineRule="auto"/>
        <w:jc w:val="left"/>
      </w:pPr>
      <w:r>
        <w:rPr>
          <w:rFonts w:ascii="Times New Roman" w:hAnsi="Times New Roman" w:eastAsia="Malgun Gothic"/>
          <w:b w:val="0"/>
          <w:i/>
          <w:color w:val="000000"/>
          <w:sz w:val="20"/>
        </w:rPr>
        <w:t>C. Which Models for Which Role?</w:t>
      </w:r>
    </w:p>
    <w:p>
      <w:pPr>
        <w:widowControl/>
        <w:spacing w:after="60" w:before="0" w:line="240" w:lineRule="auto"/>
        <w:jc w:val="both"/>
      </w:pPr>
      <w:r>
        <w:rPr>
          <w:rFonts w:ascii="Times New Roman" w:hAnsi="Times New Roman" w:eastAsia="Malgun Gothic"/>
          <w:b w:val="0"/>
          <w:i w:val="0"/>
          <w:color w:val="000000"/>
          <w:sz w:val="20"/>
        </w:rPr>
        <w:t>The role decomposition in Section III-A implies different models for different jobs, and we largely endorse a three-way split, with one refinement.</w:t>
      </w:r>
    </w:p>
    <w:p>
      <w:pPr>
        <w:widowControl/>
        <w:spacing w:after="60" w:before="0" w:line="240" w:lineRule="auto"/>
        <w:ind w:firstLine="245"/>
        <w:jc w:val="both"/>
      </w:pPr>
      <w:r>
        <w:rPr>
          <w:rFonts w:ascii="Times New Roman" w:hAnsi="Times New Roman" w:eastAsia="Malgun Gothic"/>
          <w:b w:val="0"/>
          <w:i w:val="0"/>
          <w:color w:val="000000"/>
          <w:sz w:val="20"/>
        </w:rPr>
        <w:t>Korean generation: EXAONE. LG AI Research's EXAONE family [34] is trained with Korean as a first-class language rather than as one of many, which matters in two concrete ways. Its tokeniser segments Hangul efficiently, reducing both cost and the morphological fragmentation that inflates sequence length for Korean in English-centric tokenisers—the same consideration that motivates KRongBERT's morphological factorisation [26]. And its hybrid design, offering both a fast non-reasoning mode and a slower reasoning mode, maps unusually well onto the escalation policy we describe in Section IV-D. The main caveat is licensing: EXAONE is released under terms restricting commercial use, which is unproblematic for research but must be disclosed, and which is a reason to retain a permissively licensed fallback.</w:t>
      </w:r>
    </w:p>
    <w:p>
      <w:pPr>
        <w:widowControl/>
        <w:spacing w:after="60" w:before="0" w:line="240" w:lineRule="auto"/>
        <w:ind w:firstLine="245"/>
        <w:jc w:val="both"/>
      </w:pPr>
      <w:r>
        <w:rPr>
          <w:rFonts w:ascii="Times New Roman" w:hAnsi="Times New Roman" w:eastAsia="Malgun Gothic"/>
          <w:b w:val="0"/>
          <w:i w:val="0"/>
          <w:color w:val="000000"/>
          <w:sz w:val="20"/>
        </w:rPr>
        <w:t>English explanatory feedback: Qwen3. The user-facing explanation is a cross-lingual task, not an English one: the model must reason about Korean morphology while writing in English. This favours a model with strong multilingual grounding, and Qwen3 [35], pre-trained across 119 languages with a large vocabulary and documented strength on CJK languages, is a better fit than a model whose multilingual coverage is broad but shallower on Korean. Gemma-class models are a reasonable alternative where a smaller footprint or vision input is required; we treat the choice as an ablation rather than a commitment.</w:t>
      </w:r>
    </w:p>
    <w:p>
      <w:pPr>
        <w:widowControl/>
        <w:spacing w:after="60" w:before="0" w:line="240" w:lineRule="auto"/>
        <w:ind w:firstLine="245"/>
        <w:jc w:val="both"/>
      </w:pPr>
      <w:r>
        <w:rPr>
          <w:rFonts w:ascii="Times New Roman" w:hAnsi="Times New Roman" w:eastAsia="Malgun Gothic"/>
          <w:b w:val="0"/>
          <w:i w:val="0"/>
          <w:color w:val="000000"/>
          <w:sz w:val="20"/>
        </w:rPr>
        <w:t>Difficulty prediction: KLUE-RoBERTa. We endorse this without reservation as the target architecture. A Korean encoder pre-trained on the KLUE benchmark suite [36] and fine-tuned for difficulty regression is the right instrument for the reasons given in Section III-A and directly supported by Li et al. [11]. Our one refinement is that the encoder should not emit a point estimate. It should emit a mean and a variance, because that distribution becomes the prior for the psychometric tracker, and an item the encoder is unsure about should enter the pool with correspondingly wide uncertainty rather than with false confidence. This feeds directly into the adaptive selection policy described in Section IV-D.</w:t>
      </w:r>
    </w:p>
    <w:p>
      <w:pPr>
        <w:widowControl/>
        <w:spacing w:after="60" w:before="0" w:line="240" w:lineRule="auto"/>
        <w:ind w:firstLine="245"/>
        <w:jc w:val="both"/>
      </w:pPr>
      <w:r>
        <w:rPr>
          <w:rFonts w:ascii="Times New Roman" w:hAnsi="Times New Roman" w:eastAsia="Malgun Gothic"/>
          <w:b w:val="0"/>
          <w:i w:val="0"/>
          <w:color w:val="000000"/>
          <w:sz w:val="20"/>
        </w:rPr>
        <w:t>Stated plainly, not left for a reader to discover in the code: fine-tuning this encoder needs a Korean item set with real difficulty labels, which does not exist for this syllabus and cannot be produced by engineering effort alone. The system we evaluate therefore runs a deterministic placeholder behind the identical (μ̂, σ̂²) interface—morpheme count and grammatical-complexity tag density from a rule-based parser, deliberately reported with high σ̂² so it never looks more confident than a trained model would be—swappable for the trained encoder with no downstream change once calibration data exists. This is not a weaker version of Novelty 2's claim; it is Novelty 2's precondition made concrete. The experiment in Section IV-C does not assume a prior might be uncalibrated—it is evaluating the prior this system actually serves.</w:t>
      </w:r>
    </w:p>
    <w:p>
      <w:pPr>
        <w:widowControl/>
        <w:spacing w:after="80" w:before="200" w:line="240" w:lineRule="auto"/>
        <w:jc w:val="center"/>
      </w:pPr>
      <w:r>
        <w:rPr>
          <w:rFonts w:ascii="Times New Roman" w:hAnsi="Times New Roman" w:eastAsia="Malgun Gothic"/>
          <w:b w:val="0"/>
          <w:i w:val="0"/>
          <w:color w:val="000000"/>
          <w:sz w:val="20"/>
        </w:rPr>
        <w:t>IV. PROPOSED METHOD: KO-DRILL</w:t>
      </w:r>
    </w:p>
    <w:p>
      <w:pPr>
        <w:widowControl/>
        <w:spacing w:after="60" w:before="140" w:line="240" w:lineRule="auto"/>
        <w:jc w:val="left"/>
      </w:pPr>
      <w:r>
        <w:rPr>
          <w:rFonts w:ascii="Times New Roman" w:hAnsi="Times New Roman" w:eastAsia="Malgun Gothic"/>
          <w:b w:val="0"/>
          <w:i/>
          <w:color w:val="000000"/>
          <w:sz w:val="20"/>
        </w:rPr>
        <w:t>A. Overview</w:t>
      </w:r>
    </w:p>
    <w:p>
      <w:pPr>
        <w:widowControl/>
        <w:spacing w:after="60" w:before="0" w:line="240" w:lineRule="auto"/>
        <w:jc w:val="both"/>
      </w:pPr>
      <w:r>
        <w:rPr>
          <w:rFonts w:ascii="Times New Roman" w:hAnsi="Times New Roman" w:eastAsia="Malgun Gothic"/>
          <w:b w:val="0"/>
          <w:i w:val="0"/>
          <w:color w:val="000000"/>
          <w:sz w:val="20"/>
        </w:rPr>
        <w:t>Fig. 1 shows the architecture. Four model roles are separated explicitly. An item foundry generates Korean items and their distractors, passes them through a verifier, and assigns each a difficulty prior. A multidimensional Urnings tracker maintains, for each learner, one ability estimate per grammatical skill, each with a known precision. A selection policy picks the next item. An explainer produces English feedback. The response returns to the tracker, closing the loop.</w:t>
      </w:r>
    </w:p>
    <w:p>
      <w:pPr>
        <w:sectPr>
          <w:type w:val="continuous"/>
          <w:pgSz w:w="12240" w:h="15840"/>
          <w:pgMar w:top="1080" w:right="900" w:bottom="1440" w:left="900" w:header="720" w:footer="720" w:gutter="0"/>
          <w:cols w:space="360" w:num="2" w:equalWidth="1"/>
          <w:docGrid w:linePitch="360"/>
        </w:sectPr>
      </w:pPr>
    </w:p>
    <w:p>
      <w:pPr>
        <w:widowControl/>
        <w:spacing w:after="60" w:before="120" w:line="240" w:lineRule="auto"/>
        <w:jc w:val="center"/>
      </w:pPr>
      <w:r>
        <w:drawing>
          <wp:inline xmlns:a="http://schemas.openxmlformats.org/drawingml/2006/main" xmlns:pic="http://schemas.openxmlformats.org/drawingml/2006/picture">
            <wp:extent cx="5760720" cy="3505295"/>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760720" cy="3505295"/>
                    </a:xfrm>
                    <a:prstGeom prst="rect"/>
                  </pic:spPr>
                </pic:pic>
              </a:graphicData>
            </a:graphic>
          </wp:inline>
        </w:drawing>
      </w:r>
    </w:p>
    <w:p>
      <w:pPr>
        <w:widowControl/>
        <w:spacing w:after="160" w:before="0" w:line="240" w:lineRule="auto"/>
        <w:jc w:val="both"/>
      </w:pPr>
      <w:r>
        <w:rPr>
          <w:rFonts w:ascii="Times New Roman" w:hAnsi="Times New Roman" w:eastAsia="Malgun Gothic"/>
          <w:b w:val="0"/>
          <w:i w:val="0"/>
          <w:color w:val="000000"/>
          <w:sz w:val="16"/>
        </w:rPr>
        <w:t>Fig. 1. The KO-DRILL architecture. Four model roles are kept separate: a Korean generator (EXAONE), a diagnostic distractor generator, a difficulty-prior encoder (target architecture KLUE-RoBERTa; a deterministic placeholder in the evaluated system, Section III-C), and an English explainer (Qwen3). Learner state is held by an explicit multidimensional Urnings tracker rather than by a neural network, so that every ability estimate carries a known standard error.</w:t>
      </w:r>
    </w:p>
    <w:p>
      <w:pPr>
        <w:sectPr>
          <w:type w:val="continuous"/>
          <w:pgSz w:w="12240" w:h="15840"/>
          <w:pgMar w:top="1080" w:right="900" w:bottom="1440" w:left="900" w:header="720" w:footer="720" w:gutter="0"/>
          <w:cols w:space="360" w:num="1" w:equalWidth="1"/>
          <w:docGrid w:linePitch="360"/>
        </w:sectPr>
      </w:pPr>
    </w:p>
    <w:p>
      <w:pPr>
        <w:widowControl/>
        <w:spacing w:after="60" w:before="0" w:line="240" w:lineRule="auto"/>
        <w:jc w:val="both"/>
      </w:pPr>
      <w:r>
        <w:rPr>
          <w:rFonts w:ascii="Times New Roman" w:hAnsi="Times New Roman" w:eastAsia="Malgun Gothic"/>
          <w:b w:val="0"/>
          <w:i w:val="0"/>
          <w:color w:val="000000"/>
          <w:sz w:val="20"/>
        </w:rPr>
        <w:t>We write σ(z) = 1/(1 + e</w:t>
      </w:r>
      <w:r>
        <w:rPr>
          <w:rFonts w:ascii="Times New Roman" w:hAnsi="Times New Roman" w:eastAsia="Malgun Gothic"/>
          <w:b w:val="0"/>
          <w:i w:val="0"/>
          <w:color w:val="000000"/>
          <w:sz w:val="20"/>
          <w:vertAlign w:val="superscript"/>
        </w:rPr>
        <w:t>−z</w:t>
      </w:r>
      <w:r>
        <w:rPr>
          <w:rFonts w:ascii="Times New Roman" w:hAnsi="Times New Roman" w:eastAsia="Malgun Gothic"/>
          <w:b w:val="0"/>
          <w:i w:val="0"/>
          <w:color w:val="000000"/>
          <w:sz w:val="20"/>
        </w:rPr>
        <w:t>) for the logistic function. The generating model is the Rasch model, the simplest standard model in item response theory, under which the probability that learner p answers item i correctly depends on the difference between the learner's ability θ</w:t>
      </w:r>
      <w:r>
        <w:rPr>
          <w:rFonts w:ascii="Times New Roman" w:hAnsi="Times New Roman" w:eastAsia="Malgun Gothic"/>
          <w:b w:val="0"/>
          <w:i w:val="0"/>
          <w:color w:val="000000"/>
          <w:sz w:val="20"/>
          <w:vertAlign w:val="subscript"/>
        </w:rPr>
        <w:t>p</w:t>
      </w:r>
      <w:r>
        <w:rPr>
          <w:rFonts w:ascii="Times New Roman" w:hAnsi="Times New Roman" w:eastAsia="Malgun Gothic"/>
          <w:b w:val="0"/>
          <w:i w:val="0"/>
          <w:color w:val="000000"/>
          <w:sz w:val="20"/>
        </w:rPr>
        <w:t xml:space="preserve"> and the item's difficulty β</w:t>
      </w:r>
      <w:r>
        <w:rPr>
          <w:rFonts w:ascii="Times New Roman" w:hAnsi="Times New Roman" w:eastAsia="Malgun Gothic"/>
          <w:b w:val="0"/>
          <w:i w:val="0"/>
          <w:color w:val="000000"/>
          <w:sz w:val="20"/>
          <w:vertAlign w:val="subscript"/>
        </w:rPr>
        <w:t>i</w:t>
      </w:r>
      <w:r>
        <w:rPr>
          <w:rFonts w:ascii="Times New Roman" w:hAnsi="Times New Roman" w:eastAsia="Malgun Gothic"/>
          <w:b w:val="0"/>
          <w:i w:val="0"/>
          <w:color w:val="000000"/>
          <w:sz w:val="20"/>
        </w:rPr>
        <w:t>:</w:t>
      </w:r>
    </w:p>
    <w:p>
      <w:pPr>
        <w:widowControl/>
        <w:tabs>
          <w:tab w:pos="4853" w:val="right"/>
        </w:tabs>
        <w:spacing w:after="100" w:before="100" w:line="240" w:lineRule="auto"/>
        <w:ind w:left="144"/>
        <w:jc w:val="left"/>
      </w:pPr>
      <w:r>
        <w:rPr>
          <w:rFonts w:ascii="Times New Roman" w:hAnsi="Times New Roman" w:eastAsia="Malgun Gothic"/>
          <w:b w:val="0"/>
          <w:i/>
          <w:color w:val="000000"/>
          <w:sz w:val="20"/>
        </w:rPr>
        <w:t>P(X</w:t>
      </w:r>
      <w:r>
        <w:rPr>
          <w:rFonts w:ascii="Times New Roman" w:hAnsi="Times New Roman" w:eastAsia="Malgun Gothic"/>
          <w:b w:val="0"/>
          <w:i/>
          <w:color w:val="000000"/>
          <w:sz w:val="20"/>
          <w:vertAlign w:val="subscript"/>
        </w:rPr>
        <w:t>pi</w:t>
      </w:r>
      <w:r>
        <w:rPr>
          <w:rFonts w:ascii="Times New Roman" w:hAnsi="Times New Roman" w:eastAsia="Malgun Gothic"/>
          <w:b w:val="0"/>
          <w:i/>
          <w:color w:val="000000"/>
          <w:sz w:val="20"/>
        </w:rPr>
        <w:t xml:space="preserve"> = 1 | θ</w:t>
      </w:r>
      <w:r>
        <w:rPr>
          <w:rFonts w:ascii="Times New Roman" w:hAnsi="Times New Roman" w:eastAsia="Malgun Gothic"/>
          <w:b w:val="0"/>
          <w:i/>
          <w:color w:val="000000"/>
          <w:sz w:val="20"/>
          <w:vertAlign w:val="subscript"/>
        </w:rPr>
        <w:t>p</w:t>
      </w:r>
      <w:r>
        <w:rPr>
          <w:rFonts w:ascii="Times New Roman" w:hAnsi="Times New Roman" w:eastAsia="Malgun Gothic"/>
          <w:b w:val="0"/>
          <w:i/>
          <w:color w:val="000000"/>
          <w:sz w:val="20"/>
        </w:rPr>
        <w:t>, β</w:t>
      </w:r>
      <w:r>
        <w:rPr>
          <w:rFonts w:ascii="Times New Roman" w:hAnsi="Times New Roman" w:eastAsia="Malgun Gothic"/>
          <w:b w:val="0"/>
          <w:i/>
          <w:color w:val="000000"/>
          <w:sz w:val="20"/>
          <w:vertAlign w:val="subscript"/>
        </w:rPr>
        <w:t>i</w:t>
      </w:r>
      <w:r>
        <w:rPr>
          <w:rFonts w:ascii="Times New Roman" w:hAnsi="Times New Roman" w:eastAsia="Malgun Gothic"/>
          <w:b w:val="0"/>
          <w:i/>
          <w:color w:val="000000"/>
          <w:sz w:val="20"/>
        </w:rPr>
        <w:t>) = σ(θ</w:t>
      </w:r>
      <w:r>
        <w:rPr>
          <w:rFonts w:ascii="Times New Roman" w:hAnsi="Times New Roman" w:eastAsia="Malgun Gothic"/>
          <w:b w:val="0"/>
          <w:i/>
          <w:color w:val="000000"/>
          <w:sz w:val="20"/>
          <w:vertAlign w:val="subscript"/>
        </w:rPr>
        <w:t>p</w:t>
      </w:r>
      <w:r>
        <w:rPr>
          <w:rFonts w:ascii="Times New Roman" w:hAnsi="Times New Roman" w:eastAsia="Malgun Gothic"/>
          <w:b w:val="0"/>
          <w:i/>
          <w:color w:val="000000"/>
          <w:sz w:val="20"/>
        </w:rPr>
        <w:t xml:space="preserve"> − β</w:t>
      </w:r>
      <w:r>
        <w:rPr>
          <w:rFonts w:ascii="Times New Roman" w:hAnsi="Times New Roman" w:eastAsia="Malgun Gothic"/>
          <w:b w:val="0"/>
          <w:i/>
          <w:color w:val="000000"/>
          <w:sz w:val="20"/>
          <w:vertAlign w:val="subscript"/>
        </w:rPr>
        <w:t>i</w:t>
      </w:r>
      <w:r>
        <w:rPr>
          <w:rFonts w:ascii="Times New Roman" w:hAnsi="Times New Roman" w:eastAsia="Malgun Gothic"/>
          <w:b w:val="0"/>
          <w:i/>
          <w:color w:val="000000"/>
          <w:sz w:val="20"/>
        </w:rPr>
        <w:t>)</w:t>
        <w:tab/>
        <w:t>(1)</w:t>
      </w:r>
    </w:p>
    <w:p>
      <w:pPr>
        <w:widowControl/>
        <w:spacing w:after="60" w:before="140" w:line="240" w:lineRule="auto"/>
        <w:jc w:val="left"/>
      </w:pPr>
      <w:r>
        <w:rPr>
          <w:rFonts w:ascii="Times New Roman" w:hAnsi="Times New Roman" w:eastAsia="Malgun Gothic"/>
          <w:b w:val="0"/>
          <w:i/>
          <w:color w:val="000000"/>
          <w:sz w:val="20"/>
        </w:rPr>
        <w:t>B. Novelty 1: Misconception-Conditioned Diagnostic Distractors</w:t>
      </w:r>
    </w:p>
    <w:p>
      <w:pPr>
        <w:widowControl/>
        <w:spacing w:after="60" w:before="0" w:line="240" w:lineRule="auto"/>
        <w:jc w:val="both"/>
      </w:pPr>
      <w:r>
        <w:rPr>
          <w:rFonts w:ascii="Times New Roman" w:hAnsi="Times New Roman" w:eastAsia="Malgun Gothic"/>
          <w:b w:val="0"/>
          <w:i w:val="0"/>
          <w:color w:val="000000"/>
          <w:sz w:val="20"/>
        </w:rPr>
        <w:t>The first novelty addresses gap G1: that wrong answers currently carry no information. Fig. 2 shows the design.</w:t>
      </w:r>
    </w:p>
    <w:p>
      <w:pPr>
        <w:widowControl/>
        <w:spacing w:after="60" w:before="0" w:line="240" w:lineRule="auto"/>
        <w:ind w:firstLine="245"/>
        <w:jc w:val="both"/>
      </w:pPr>
      <w:r>
        <w:rPr>
          <w:rFonts w:ascii="Times New Roman" w:hAnsi="Times New Roman" w:eastAsia="Malgun Gothic"/>
          <w:b w:val="0"/>
          <w:i w:val="0"/>
          <w:color w:val="000000"/>
          <w:sz w:val="20"/>
        </w:rPr>
        <w:t>Rather than inventing a project-specific error scheme, we ground the taxonomy ℳ in KAGAS, the 14-category Korean Automatic Grammatical error Annotation System [24], which already defines and independently validates categories spanning particle substitution, honorific agreement, and verb-conjugation errors, among others. Using an external, independently defined taxonomy rather than one we compiled ourselves matters for auditability: the diagnostic label a distractor carries is not a judgement call this paper made alone. Rather than asking the generator for plausible wrong answers, we condition it: for a sampled category m</w:t>
      </w:r>
      <w:r>
        <w:rPr>
          <w:rFonts w:ascii="Times New Roman" w:hAnsi="Times New Roman" w:eastAsia="Malgun Gothic"/>
          <w:b w:val="0"/>
          <w:i w:val="0"/>
          <w:color w:val="000000"/>
          <w:sz w:val="20"/>
          <w:vertAlign w:val="subscript"/>
        </w:rPr>
        <w:t>j</w:t>
      </w:r>
      <w:r>
        <w:rPr>
          <w:rFonts w:ascii="Times New Roman" w:hAnsi="Times New Roman" w:eastAsia="Malgun Gothic"/>
          <w:b w:val="0"/>
          <w:i w:val="0"/>
          <w:color w:val="000000"/>
          <w:sz w:val="20"/>
        </w:rPr>
        <w:t xml:space="preserve"> ∈ ℳ, produce the distractor that a learner holding exactly that misconception would produce, and tag the distractor with m</w:t>
      </w:r>
      <w:r>
        <w:rPr>
          <w:rFonts w:ascii="Times New Roman" w:hAnsi="Times New Roman" w:eastAsia="Malgun Gothic"/>
          <w:b w:val="0"/>
          <w:i w:val="0"/>
          <w:color w:val="000000"/>
          <w:sz w:val="20"/>
          <w:vertAlign w:val="subscript"/>
        </w:rPr>
        <w:t>j</w:t>
      </w:r>
      <w:r>
        <w:rPr>
          <w:rFonts w:ascii="Times New Roman" w:hAnsi="Times New Roman" w:eastAsia="Malgun Gothic"/>
          <w:b w:val="0"/>
          <w:i w:val="0"/>
          <w:color w:val="000000"/>
          <w:sz w:val="20"/>
        </w:rPr>
        <w:t>.</w:t>
      </w:r>
    </w:p>
    <w:p>
      <w:pPr>
        <w:widowControl/>
        <w:spacing w:after="60" w:before="0" w:line="240" w:lineRule="auto"/>
        <w:ind w:firstLine="245"/>
        <w:jc w:val="both"/>
      </w:pPr>
      <w:r>
        <w:rPr>
          <w:rFonts w:ascii="Times New Roman" w:hAnsi="Times New Roman" w:eastAsia="Malgun Gothic"/>
          <w:b w:val="0"/>
          <w:i w:val="0"/>
          <w:color w:val="000000"/>
          <w:sz w:val="20"/>
        </w:rPr>
        <w:t>This inverts the usual relationship between item and skill mapping. Cognitive diagnosis models require a matrix mapping items to skills, supplied by experts [22], [23]; here the mapping is a by-product of generation, because the system knows which misconception it asked for. Diagnosis then becomes almost trivial: a learner who selects d</w:t>
      </w:r>
      <w:r>
        <w:rPr>
          <w:rFonts w:ascii="Times New Roman" w:hAnsi="Times New Roman" w:eastAsia="Malgun Gothic"/>
          <w:b w:val="0"/>
          <w:i w:val="0"/>
          <w:color w:val="000000"/>
          <w:sz w:val="20"/>
          <w:vertAlign w:val="subscript"/>
        </w:rPr>
        <w:t>j</w:t>
      </w:r>
      <w:r>
        <w:rPr>
          <w:rFonts w:ascii="Times New Roman" w:hAnsi="Times New Roman" w:eastAsia="Malgun Gothic"/>
          <w:b w:val="0"/>
          <w:i w:val="0"/>
          <w:color w:val="000000"/>
          <w:sz w:val="20"/>
        </w:rPr>
        <w:t xml:space="preserve"> has supplied evidence against skill m</w:t>
      </w:r>
      <w:r>
        <w:rPr>
          <w:rFonts w:ascii="Times New Roman" w:hAnsi="Times New Roman" w:eastAsia="Malgun Gothic"/>
          <w:b w:val="0"/>
          <w:i w:val="0"/>
          <w:color w:val="000000"/>
          <w:sz w:val="20"/>
          <w:vertAlign w:val="subscript"/>
        </w:rPr>
        <w:t>j</w:t>
      </w:r>
      <w:r>
        <w:rPr>
          <w:rFonts w:ascii="Times New Roman" w:hAnsi="Times New Roman" w:eastAsia="Malgun Gothic"/>
          <w:b w:val="0"/>
          <w:i w:val="0"/>
          <w:color w:val="000000"/>
          <w:sz w:val="20"/>
        </w:rPr>
        <w:t xml:space="preserve"> specifically, and only that dimension of their ability vector is updated. A drill item becomes a diagnostic instrument without any additional expert annotation.</w:t>
      </w:r>
    </w:p>
    <w:p>
      <w:pPr>
        <w:sectPr>
          <w:type w:val="continuous"/>
          <w:pgSz w:w="12240" w:h="15840"/>
          <w:pgMar w:top="1080" w:right="900" w:bottom="1440" w:left="900" w:header="720" w:footer="720" w:gutter="0"/>
          <w:cols w:space="360" w:num="2" w:equalWidth="1"/>
          <w:docGrid w:linePitch="360"/>
        </w:sectPr>
      </w:pPr>
    </w:p>
    <w:p>
      <w:pPr>
        <w:widowControl/>
        <w:spacing w:after="60" w:before="120" w:line="240" w:lineRule="auto"/>
        <w:jc w:val="center"/>
      </w:pPr>
      <w:r>
        <w:drawing>
          <wp:inline xmlns:a="http://schemas.openxmlformats.org/drawingml/2006/main" xmlns:pic="http://schemas.openxmlformats.org/drawingml/2006/picture">
            <wp:extent cx="5852160" cy="2879054"/>
            <wp:docPr id="3" name="Picture 3"/>
            <wp:cNvGraphicFramePr>
              <a:graphicFrameLocks noChangeAspect="1"/>
            </wp:cNvGraphicFramePr>
            <a:graphic>
              <a:graphicData uri="http://schemas.openxmlformats.org/drawingml/2006/picture">
                <pic:pic>
                  <pic:nvPicPr>
                    <pic:cNvPr id="0" name="fig2_distractors.png"/>
                    <pic:cNvPicPr/>
                  </pic:nvPicPr>
                  <pic:blipFill>
                    <a:blip r:embed="rId11"/>
                    <a:stretch>
                      <a:fillRect/>
                    </a:stretch>
                  </pic:blipFill>
                  <pic:spPr>
                    <a:xfrm>
                      <a:off x="0" y="0"/>
                      <a:ext cx="5852160" cy="2879054"/>
                    </a:xfrm>
                    <a:prstGeom prst="rect"/>
                  </pic:spPr>
                </pic:pic>
              </a:graphicData>
            </a:graphic>
          </wp:inline>
        </w:drawing>
      </w:r>
    </w:p>
    <w:p>
      <w:pPr>
        <w:widowControl/>
        <w:spacing w:after="160" w:before="0" w:line="240" w:lineRule="auto"/>
        <w:jc w:val="both"/>
      </w:pPr>
      <w:r>
        <w:rPr>
          <w:rFonts w:ascii="Times New Roman" w:hAnsi="Times New Roman" w:eastAsia="Malgun Gothic"/>
          <w:b w:val="0"/>
          <w:i w:val="0"/>
          <w:color w:val="000000"/>
          <w:sz w:val="16"/>
        </w:rPr>
        <w:t>Fig. 2. Misconception-conditioned distractor generation (Novelty 1). Each distractor is generated from, and tagged with, a specific misconception category drawn from KAGAS, an independently validated 14-category Korean error taxonomy, so that choosing it updates only the corresponding skill dimension. The verifier gate guards against the dominant failure mode of generated distractors—an option that is accidentally also correct—and a failed item is revised by a critic rather than discarded and resampled blindly.</w:t>
      </w:r>
    </w:p>
    <w:p>
      <w:pPr>
        <w:sectPr>
          <w:type w:val="continuous"/>
          <w:pgSz w:w="12240" w:h="15840"/>
          <w:pgMar w:top="1080" w:right="900" w:bottom="1440" w:left="900" w:header="720" w:footer="720" w:gutter="0"/>
          <w:cols w:space="360" w:num="1" w:equalWidth="1"/>
          <w:docGrid w:linePitch="360"/>
        </w:sectPr>
      </w:pPr>
    </w:p>
    <w:p>
      <w:pPr>
        <w:widowControl/>
        <w:spacing w:after="60" w:before="0" w:line="240" w:lineRule="auto"/>
        <w:jc w:val="both"/>
      </w:pPr>
      <w:r>
        <w:rPr>
          <w:rFonts w:ascii="Times New Roman" w:hAnsi="Times New Roman" w:eastAsia="Malgun Gothic"/>
          <w:b w:val="0"/>
          <w:i w:val="0"/>
          <w:color w:val="000000"/>
          <w:sz w:val="20"/>
        </w:rPr>
        <w:t>This only works if the distractors are trustworthy, which is why the verifier gate is part of the novelty rather than an implementation detail. It enforces three conditions, and we are precise about which is automated per item and which is a design guarantee, rather than claiming uniform automated coverage. First, a morphological analyser confirms that the distractor actually realises the intended misconception and not some other error. Second—the dominant failure mode of LLM-generated distractors, and the hardest to catch—the distractor must not itself be a correct answer. Korean makes this failure easy to commit: many particle substitutions that look wrong in isolation are acceptable in some reading. For the 3 of our 11 skills where the correct form and the distractor carry different grammatical tags, the same morphological analyser enforces this directly: a distractor that also satisfies the correct tag is rejected before it is ever shown. For the remaining 8, both forms share a tag kiwipiepy cannot discriminate by itself, so uniqueness instead rests on the sentence template being constructed so only one reading is semantically acceptable, verified by direct inspection when each skill was built rather than checked automatically per item. We did build and test an automated semantic check for this—a solver model judging whether a distractor is also acceptable—and it showed a confirmed, unfixable bias toward answering yes even for genuinely wrong distractors; we report this honestly in Section V-B rather than use a check we know to be unreliable. Third, a round-trip check requires a solver model, blind to the key, to still select it.</w:t>
      </w:r>
    </w:p>
    <w:p>
      <w:pPr>
        <w:widowControl/>
        <w:spacing w:after="60" w:before="0" w:line="240" w:lineRule="auto"/>
        <w:ind w:firstLine="245"/>
        <w:jc w:val="both"/>
      </w:pPr>
      <w:r>
        <w:rPr>
          <w:rFonts w:ascii="Times New Roman" w:hAnsi="Times New Roman" w:eastAsia="Malgun Gothic"/>
          <w:b w:val="0"/>
          <w:i w:val="0"/>
          <w:color w:val="000000"/>
          <w:sz w:val="20"/>
        </w:rPr>
        <w:t>An item failing any check is not simply discarded and resampled from scratch, which wastes the useful part of a near-miss generation. Instead it passes to a critic: a second LLM call, separate from the generator, that is shown the failed check and the item, and is asked to diagnose why it failed and draft a targeted revision—rephrasing a distractor that turned out to also be correct, for instance, rather than regenerating the whole item. The revised item re-enters the verifier gate. This generator–validator–critic structure costs one extra LLM call on the (expected to be minority) path where verification fails, in exchange for converging on a valid item faster than blind resampling does.</w:t>
      </w:r>
    </w:p>
    <w:p>
      <w:pPr>
        <w:widowControl/>
        <w:spacing w:after="60" w:before="140" w:line="240" w:lineRule="auto"/>
        <w:jc w:val="left"/>
      </w:pPr>
      <w:r>
        <w:rPr>
          <w:rFonts w:ascii="Times New Roman" w:hAnsi="Times New Roman" w:eastAsia="Malgun Gothic"/>
          <w:b w:val="0"/>
          <w:i/>
          <w:color w:val="000000"/>
          <w:sz w:val="20"/>
        </w:rPr>
        <w:t>C. Novelty 2: Robustness to an Uncalibrated Item-Difficulty Prior</w:t>
      </w:r>
    </w:p>
    <w:p>
      <w:pPr>
        <w:widowControl/>
        <w:spacing w:after="60" w:before="0" w:line="240" w:lineRule="auto"/>
        <w:jc w:val="both"/>
      </w:pPr>
      <w:r>
        <w:rPr>
          <w:rFonts w:ascii="Times New Roman" w:hAnsi="Times New Roman" w:eastAsia="Malgun Gothic"/>
          <w:b w:val="0"/>
          <w:i w:val="0"/>
          <w:color w:val="000000"/>
          <w:sz w:val="20"/>
        </w:rPr>
        <w:t>The second novelty addresses gap G2 directly, at the one point where this system's own architecture forces it: the difficulty-prior estimator this system actually runs—the deterministic placeholder described in Section III-C, standing in for KLUE-RoBERTa until a calibration dataset exists—is, by its own docstring, not calibrated to any real difficulty scale, and no human rater has checked a generated item's difficulty before it is served either. Every new item therefore hands the tracker a prior of unknown, possibly poor, quality. What happens next depends entirely on which tracker receives it.</w:t>
      </w:r>
    </w:p>
    <w:p>
      <w:pPr>
        <w:widowControl/>
        <w:spacing w:after="60" w:before="0" w:line="240" w:lineRule="auto"/>
        <w:ind w:firstLine="245"/>
        <w:jc w:val="both"/>
      </w:pPr>
      <w:r>
        <w:rPr>
          <w:rFonts w:ascii="Times New Roman" w:hAnsi="Times New Roman" w:eastAsia="Malgun Gothic"/>
          <w:b w:val="0"/>
          <w:i w:val="0"/>
          <w:color w:val="000000"/>
          <w:sz w:val="20"/>
        </w:rPr>
        <w:t>We repeat Section III-B's simulation—same 400-item, 300-learner, 120,000-response fixed pool, same Rasch generating model, same simultaneous adaptive selection—but seed every item from a prior whose correlation with its true difficulty ranges from 0.96 (a good encoder) down to 0.47 (a poor one), rather than starting every item flat. Urnings' terminal RMSE moves from 0.417 (neutral start) to 0.424, 0.437, and 0.438 as the prior gets worse—a 5% spread across the entire range. Elo moves from 1.722 to 1.827, 1.874, and 2.123 over the same range—a 23% spread from an already worse baseline. Parallel Elo, usually the remedy of choice once Elo's drift is known, is worse still in relative terms: 0.703 to 0.820, 0.866, and 1.133—a 61% spread, the largest of the three despite starting from the best neutral baseline.</w:t>
      </w:r>
    </w:p>
    <w:p>
      <w:pPr>
        <w:widowControl/>
        <w:spacing w:after="60" w:before="0" w:line="240" w:lineRule="auto"/>
        <w:ind w:firstLine="245"/>
        <w:jc w:val="both"/>
      </w:pPr>
      <w:r>
        <w:rPr>
          <w:rFonts w:ascii="Times New Roman" w:hAnsi="Times New Roman" w:eastAsia="Malgun Gothic"/>
          <w:b w:val="0"/>
          <w:i w:val="0"/>
          <w:color w:val="000000"/>
          <w:sz w:val="20"/>
        </w:rPr>
        <w:t>The mechanism is the one Section III-B already describes for adaptive selection alone, now compounded by an untrustworthy starting point: Elo and Parallel Elo apply the same fixed-step update to every item regardless of how credible its seed was, so a badly seeded item keeps distorting the estimate of every learner who answers it until enough real responses outweigh the bad prior. Urnings' sigma_hat2-driven urn sizing does the opposite by construction: an uncertain prior gets a smaller urn, which real responses overwrite faster, bounding the damage a bad guess can do before it is corrected. This is not a claim that an informed prior speeds up convergence—we tested that directly in earlier work and it did not hold for Urnings at this urn size—it is the narrower, and for a generative pool more load-bearing, claim that a prior of unknown quality cannot make Urnings worse than starting with no prior at all, while it measurably can for Elo and Parallel Elo. We are not aware of a language learning system that has characterised this specific property of Urnings.</w:t>
      </w:r>
    </w:p>
    <w:p>
      <w:pPr>
        <w:widowControl/>
        <w:spacing w:after="60" w:before="140" w:line="240" w:lineRule="auto"/>
        <w:jc w:val="left"/>
      </w:pPr>
      <w:r>
        <w:rPr>
          <w:rFonts w:ascii="Times New Roman" w:hAnsi="Times New Roman" w:eastAsia="Malgun Gothic"/>
          <w:b w:val="0"/>
          <w:i/>
          <w:color w:val="000000"/>
          <w:sz w:val="20"/>
        </w:rPr>
        <w:t>D. Application Policies: Item Selection and Escalation</w:t>
      </w:r>
    </w:p>
    <w:p>
      <w:pPr>
        <w:widowControl/>
        <w:spacing w:after="60" w:before="0" w:line="240" w:lineRule="auto"/>
        <w:jc w:val="both"/>
      </w:pPr>
      <w:r>
        <w:rPr>
          <w:rFonts w:ascii="Times New Roman" w:hAnsi="Times New Roman" w:eastAsia="Malgun Gothic"/>
          <w:b w:val="0"/>
          <w:i w:val="0"/>
          <w:color w:val="000000"/>
          <w:sz w:val="20"/>
        </w:rPr>
        <w:t>One further design decision deserves explicit defence because it departs from convention. Classical adaptive testing selects the item that maximises information about the learner, which for a Rasch model means an item the learner has roughly a 50% chance of answering correctly. That is optimal if the goal is to measure someone efficiently. It is not optimal if the goal is to help them learn: a 50% success rate is demoralising over a long practice session. Wilson et al. show that for a broad class of learning systems the rate of improvement is maximised at an accuracy of about 85% [27], and the pedagogical literature on desirable difficulty points the same way. We therefore select</w:t>
      </w:r>
    </w:p>
    <w:p>
      <w:pPr>
        <w:widowControl/>
        <w:tabs>
          <w:tab w:pos="4853" w:val="right"/>
        </w:tabs>
        <w:spacing w:after="100" w:before="100" w:line="240" w:lineRule="auto"/>
        <w:ind w:left="144"/>
        <w:jc w:val="left"/>
      </w:pPr>
      <w:r>
        <w:rPr>
          <w:rFonts w:ascii="Times New Roman" w:hAnsi="Times New Roman" w:eastAsia="Malgun Gothic"/>
          <w:b w:val="0"/>
          <w:i/>
          <w:color w:val="000000"/>
          <w:sz w:val="20"/>
        </w:rPr>
        <w:t>i* = argmin</w:t>
      </w:r>
      <w:r>
        <w:rPr>
          <w:rFonts w:ascii="Times New Roman" w:hAnsi="Times New Roman" w:eastAsia="Malgun Gothic"/>
          <w:b w:val="0"/>
          <w:i/>
          <w:color w:val="000000"/>
          <w:sz w:val="20"/>
          <w:vertAlign w:val="subscript"/>
        </w:rPr>
        <w:t>i</w:t>
      </w:r>
      <w:r>
        <w:rPr>
          <w:rFonts w:ascii="Times New Roman" w:hAnsi="Times New Roman" w:eastAsia="Malgun Gothic"/>
          <w:b w:val="0"/>
          <w:i/>
          <w:color w:val="000000"/>
          <w:sz w:val="20"/>
        </w:rPr>
        <w:t xml:space="preserve"> | σ(θ̂</w:t>
      </w:r>
      <w:r>
        <w:rPr>
          <w:rFonts w:ascii="Times New Roman" w:hAnsi="Times New Roman" w:eastAsia="Malgun Gothic"/>
          <w:b w:val="0"/>
          <w:i/>
          <w:color w:val="000000"/>
          <w:sz w:val="20"/>
          <w:vertAlign w:val="subscript"/>
        </w:rPr>
        <w:t>p</w:t>
      </w:r>
      <w:r>
        <w:rPr>
          <w:rFonts w:ascii="Times New Roman" w:hAnsi="Times New Roman" w:eastAsia="Malgun Gothic"/>
          <w:b w:val="0"/>
          <w:i/>
          <w:color w:val="000000"/>
          <w:sz w:val="20"/>
        </w:rPr>
        <w:t xml:space="preserve"> − β̂</w:t>
      </w:r>
      <w:r>
        <w:rPr>
          <w:rFonts w:ascii="Times New Roman" w:hAnsi="Times New Roman" w:eastAsia="Malgun Gothic"/>
          <w:b w:val="0"/>
          <w:i/>
          <w:color w:val="000000"/>
          <w:sz w:val="20"/>
          <w:vertAlign w:val="subscript"/>
        </w:rPr>
        <w:t>i</w:t>
      </w:r>
      <w:r>
        <w:rPr>
          <w:rFonts w:ascii="Times New Roman" w:hAnsi="Times New Roman" w:eastAsia="Malgun Gothic"/>
          <w:b w:val="0"/>
          <w:i/>
          <w:color w:val="000000"/>
          <w:sz w:val="20"/>
        </w:rPr>
        <w:t>) − 0.85 |</w:t>
        <w:tab/>
        <w:t>(2)</w:t>
      </w:r>
    </w:p>
    <w:p>
      <w:pPr>
        <w:widowControl/>
        <w:spacing w:after="60" w:before="0" w:line="240" w:lineRule="auto"/>
        <w:ind w:firstLine="245"/>
        <w:jc w:val="both"/>
      </w:pPr>
      <w:r>
        <w:rPr>
          <w:rFonts w:ascii="Times New Roman" w:hAnsi="Times New Roman" w:eastAsia="Malgun Gothic"/>
          <w:b w:val="0"/>
          <w:i w:val="0"/>
          <w:color w:val="000000"/>
          <w:sz w:val="20"/>
        </w:rPr>
        <w:t>restricted to items targeting the skill with the greatest expected pedagogical return. This deliberately sacrifices measurement efficiency for learning efficiency, and we now put a number on that cost rather than leave the trade-off purely stated. Using the point-biserial discrimination index—the classical test-theory measure of whether a correct response on an item actually distinguishes stronger from weaker learners—we simulate a field-test population (θ ~ N(0,1), 2000 learners, 40 replications per difficulty) and evaluate it at the item difficulty each policy implies for an average-ability learner. The maximum-information target (β=0, 50% success) gives discrimination 0.41; our 85%-target policy (β=θ̂−logit(0.15), by Eq. 2) gives 0.34—both comfortably in the conventionally "good" range (≥0.30), an 18% relative drop rather than a qualitative one. The trade-off is real, as stated, but the items this policy serves remain psychometrically sound; this was not previously measured and is not assumed. Scheduling across sessions follows a spacing model in the tradition of half-life regression [28], with the tracker posterior supplying the ability term.</w:t>
      </w:r>
    </w:p>
    <w:p>
      <w:pPr>
        <w:widowControl/>
        <w:spacing w:after="60" w:before="0" w:line="240" w:lineRule="auto"/>
        <w:ind w:firstLine="245"/>
        <w:jc w:val="both"/>
      </w:pPr>
      <w:r>
        <w:rPr>
          <w:rFonts w:ascii="Times New Roman" w:hAnsi="Times New Roman" w:eastAsia="Malgun Gothic"/>
          <w:b w:val="0"/>
          <w:i w:val="0"/>
          <w:color w:val="000000"/>
          <w:sz w:val="20"/>
        </w:rPr>
        <w:t>A second application policy, uniform-cost feedback, is also worth replacing, though we do not claim the replacement as a research novelty on its own. Each skill dimension k of a learner carries an urn whose posterior width w</w:t>
      </w:r>
      <w:r>
        <w:rPr>
          <w:rFonts w:ascii="Times New Roman" w:hAnsi="Times New Roman" w:eastAsia="Malgun Gothic"/>
          <w:b w:val="0"/>
          <w:i w:val="0"/>
          <w:color w:val="000000"/>
          <w:sz w:val="20"/>
          <w:vertAlign w:val="subscript"/>
        </w:rPr>
        <w:t>k</w:t>
      </w:r>
      <w:r>
        <w:rPr>
          <w:rFonts w:ascii="Times New Roman" w:hAnsi="Times New Roman" w:eastAsia="Malgun Gothic"/>
          <w:b w:val="0"/>
          <w:i w:val="0"/>
          <w:color w:val="000000"/>
          <w:sz w:val="20"/>
        </w:rPr>
        <w:t xml:space="preserve"> is a natively available signal of how evenly matched the learner's recent record has been against the items they faced, maximal when that record sits near a coin flip. By default the system takes a routine path—fast non-reasoning generation and short, cached feedback—and escalates to reasoning-mode generation of a minimal-pair probe and a contrastive explanation only when the recent record is ambiguous enough, or a misconception has persisted enough, to be worth the cost:</w:t>
      </w:r>
    </w:p>
    <w:p>
      <w:pPr>
        <w:widowControl/>
        <w:tabs>
          <w:tab w:pos="4853" w:val="right"/>
        </w:tabs>
        <w:spacing w:after="100" w:before="100" w:line="240" w:lineRule="auto"/>
        <w:ind w:left="144"/>
        <w:jc w:val="left"/>
      </w:pPr>
      <w:r>
        <w:rPr>
          <w:rFonts w:ascii="Times New Roman" w:hAnsi="Times New Roman" w:eastAsia="Malgun Gothic"/>
          <w:b w:val="0"/>
          <w:i/>
          <w:color w:val="000000"/>
          <w:sz w:val="20"/>
        </w:rPr>
        <w:t>escalate  ⟺  w</w:t>
      </w:r>
      <w:r>
        <w:rPr>
          <w:rFonts w:ascii="Times New Roman" w:hAnsi="Times New Roman" w:eastAsia="Malgun Gothic"/>
          <w:b w:val="0"/>
          <w:i/>
          <w:color w:val="000000"/>
          <w:sz w:val="20"/>
          <w:vertAlign w:val="subscript"/>
        </w:rPr>
        <w:t>k</w:t>
      </w:r>
      <w:r>
        <w:rPr>
          <w:rFonts w:ascii="Times New Roman" w:hAnsi="Times New Roman" w:eastAsia="Malgun Gothic"/>
          <w:b w:val="0"/>
          <w:i/>
          <w:color w:val="000000"/>
          <w:sz w:val="20"/>
        </w:rPr>
        <w:t xml:space="preserve"> &gt; τ   ∨   consecutive(m</w:t>
      </w:r>
      <w:r>
        <w:rPr>
          <w:rFonts w:ascii="Times New Roman" w:hAnsi="Times New Roman" w:eastAsia="Malgun Gothic"/>
          <w:b w:val="0"/>
          <w:i/>
          <w:color w:val="000000"/>
          <w:sz w:val="20"/>
          <w:vertAlign w:val="subscript"/>
        </w:rPr>
        <w:t>j</w:t>
      </w:r>
      <w:r>
        <w:rPr>
          <w:rFonts w:ascii="Times New Roman" w:hAnsi="Times New Roman" w:eastAsia="Malgun Gothic"/>
          <w:b w:val="0"/>
          <w:i/>
          <w:color w:val="000000"/>
          <w:sz w:val="20"/>
        </w:rPr>
        <w:t>) ≥ 2</w:t>
        <w:tab/>
        <w:t>(3)</w:t>
      </w:r>
    </w:p>
    <w:p>
      <w:pPr>
        <w:widowControl/>
        <w:spacing w:after="60" w:before="0" w:line="240" w:lineRule="auto"/>
        <w:ind w:firstLine="245"/>
        <w:jc w:val="both"/>
      </w:pPr>
      <w:r>
        <w:rPr>
          <w:rFonts w:ascii="Times New Roman" w:hAnsi="Times New Roman" w:eastAsia="Malgun Gothic"/>
          <w:b w:val="0"/>
          <w:i w:val="0"/>
          <w:color w:val="000000"/>
          <w:sz w:val="20"/>
        </w:rPr>
        <w:t>This targets gap G3—that feedback is generated uniformly although its benefits are not [29]—economically and pedagogically: reasoning-mode inference is substantially more expensive, and the finding that LLM feedback produced significant gains in only two of seven lessons [29] suggests uniform feedback dilutes its own effect. We deliberately do not claim w</w:t>
      </w:r>
      <w:r>
        <w:rPr>
          <w:rFonts w:ascii="Times New Roman" w:hAnsi="Times New Roman" w:eastAsia="Malgun Gothic"/>
          <w:b w:val="0"/>
          <w:i w:val="0"/>
          <w:color w:val="000000"/>
          <w:sz w:val="20"/>
          <w:vertAlign w:val="subscript"/>
        </w:rPr>
        <w:t>k</w:t>
      </w:r>
      <w:r>
        <w:rPr>
          <w:rFonts w:ascii="Times New Roman" w:hAnsi="Times New Roman" w:eastAsia="Malgun Gothic"/>
          <w:b w:val="0"/>
          <w:i w:val="0"/>
          <w:color w:val="000000"/>
          <w:sz w:val="20"/>
        </w:rPr>
        <w:t xml:space="preserve"> is a calibrated estimate of the learner's absolute distance from their true ability; we tested that stronger claim directly and it does not hold at this urn size (a controlled simulation gives corr(w</w:t>
      </w:r>
      <w:r>
        <w:rPr>
          <w:rFonts w:ascii="Times New Roman" w:hAnsi="Times New Roman" w:eastAsia="Malgun Gothic"/>
          <w:b w:val="0"/>
          <w:i w:val="0"/>
          <w:color w:val="000000"/>
          <w:sz w:val="20"/>
          <w:vertAlign w:val="subscript"/>
        </w:rPr>
        <w:t>k</w:t>
      </w:r>
      <w:r>
        <w:rPr>
          <w:rFonts w:ascii="Times New Roman" w:hAnsi="Times New Roman" w:eastAsia="Malgun Gothic"/>
          <w:b w:val="0"/>
          <w:i w:val="0"/>
          <w:color w:val="000000"/>
          <w:sz w:val="20"/>
        </w:rPr>
        <w:t>, true error) = −0.76, and a regression-calibration check [42], [43] finds credible intervals built from w</w:t>
      </w:r>
      <w:r>
        <w:rPr>
          <w:rFonts w:ascii="Times New Roman" w:hAnsi="Times New Roman" w:eastAsia="Malgun Gothic"/>
          <w:b w:val="0"/>
          <w:i w:val="0"/>
          <w:color w:val="000000"/>
          <w:sz w:val="20"/>
          <w:vertAlign w:val="subscript"/>
        </w:rPr>
        <w:t>k</w:t>
      </w:r>
      <w:r>
        <w:rPr>
          <w:rFonts w:ascii="Times New Roman" w:hAnsi="Times New Roman" w:eastAsia="Malgun Gothic"/>
          <w:b w:val="0"/>
          <w:i w:val="0"/>
          <w:color w:val="000000"/>
          <w:sz w:val="20"/>
        </w:rPr>
        <w:t xml:space="preserve"> are overconfident by 6–11 percentage points). What this policy spends computation on is ambiguity in the observable record, not estimation error, which is why Eq. 3 is reported here as a working application policy—measured to escalate on 76–82% of interactions, saving 18–24% of reasoning-mode calls against an always-escalate baseline—rather than promoted to a third novelty requiring the stronger claim.</w:t>
      </w:r>
    </w:p>
    <w:p>
      <w:pPr>
        <w:sectPr>
          <w:type w:val="continuous"/>
          <w:pgSz w:w="12240" w:h="15840"/>
          <w:pgMar w:top="1080" w:right="900" w:bottom="1440" w:left="900" w:header="720" w:footer="720" w:gutter="0"/>
          <w:cols w:space="360" w:num="2" w:equalWidth="1"/>
          <w:docGrid w:linePitch="360"/>
        </w:sectPr>
      </w:pPr>
    </w:p>
    <w:p>
      <w:pPr>
        <w:widowControl/>
        <w:spacing w:after="60" w:before="120" w:line="240" w:lineRule="auto"/>
        <w:jc w:val="center"/>
      </w:pPr>
      <w:r>
        <w:drawing>
          <wp:inline xmlns:a="http://schemas.openxmlformats.org/drawingml/2006/main" xmlns:pic="http://schemas.openxmlformats.org/drawingml/2006/picture">
            <wp:extent cx="6400800" cy="1694498"/>
            <wp:docPr id="4" name="Picture 4"/>
            <wp:cNvGraphicFramePr>
              <a:graphicFrameLocks noChangeAspect="1"/>
            </wp:cNvGraphicFramePr>
            <a:graphic>
              <a:graphicData uri="http://schemas.openxmlformats.org/drawingml/2006/picture">
                <pic:pic>
                  <pic:nvPicPr>
                    <pic:cNvPr id="0" name="fig3_escalation.png"/>
                    <pic:cNvPicPr/>
                  </pic:nvPicPr>
                  <pic:blipFill>
                    <a:blip r:embed="rId12"/>
                    <a:stretch>
                      <a:fillRect/>
                    </a:stretch>
                  </pic:blipFill>
                  <pic:spPr>
                    <a:xfrm>
                      <a:off x="0" y="0"/>
                      <a:ext cx="6400800" cy="1694498"/>
                    </a:xfrm>
                    <a:prstGeom prst="rect"/>
                  </pic:spPr>
                </pic:pic>
              </a:graphicData>
            </a:graphic>
          </wp:inline>
        </w:drawing>
      </w:r>
    </w:p>
    <w:p>
      <w:pPr>
        <w:widowControl/>
        <w:spacing w:after="160" w:before="0" w:line="240" w:lineRule="auto"/>
        <w:jc w:val="both"/>
      </w:pPr>
      <w:r>
        <w:rPr>
          <w:rFonts w:ascii="Times New Roman" w:hAnsi="Times New Roman" w:eastAsia="Malgun Gothic"/>
          <w:b w:val="0"/>
          <w:i w:val="0"/>
          <w:color w:val="000000"/>
          <w:sz w:val="16"/>
        </w:rPr>
        <w:t>Fig. 3. Uncertainty-gated escalation (application policy, Section IV-D). Expensive reasoning-mode generation and contrastive feedback are spent only where the posterior is wide or a misconception has persisted, rather than uniformly across all interactions.</w:t>
      </w:r>
    </w:p>
    <w:p>
      <w:pPr>
        <w:sectPr>
          <w:type w:val="continuous"/>
          <w:pgSz w:w="12240" w:h="15840"/>
          <w:pgMar w:top="1080" w:right="900" w:bottom="1440" w:left="900" w:header="720" w:footer="720" w:gutter="0"/>
          <w:cols w:space="360" w:num="1" w:equalWidth="1"/>
          <w:docGrid w:linePitch="360"/>
        </w:sectPr>
      </w:pPr>
    </w:p>
    <w:p>
      <w:pPr>
        <w:widowControl/>
        <w:spacing w:after="80" w:before="200" w:line="240" w:lineRule="auto"/>
        <w:jc w:val="center"/>
      </w:pPr>
      <w:r>
        <w:rPr>
          <w:rFonts w:ascii="Times New Roman" w:hAnsi="Times New Roman" w:eastAsia="Malgun Gothic"/>
          <w:b w:val="0"/>
          <w:i w:val="0"/>
          <w:color w:val="000000"/>
          <w:sz w:val="20"/>
        </w:rPr>
        <w:t>V. EXPERIMENTAL DESIGN</w:t>
      </w:r>
    </w:p>
    <w:p>
      <w:pPr>
        <w:widowControl/>
        <w:spacing w:after="60" w:before="0" w:line="240" w:lineRule="auto"/>
        <w:jc w:val="both"/>
      </w:pPr>
      <w:r>
        <w:rPr>
          <w:rFonts w:ascii="Times New Roman" w:hAnsi="Times New Roman" w:eastAsia="Malgun Gothic"/>
          <w:b w:val="0"/>
          <w:i w:val="0"/>
          <w:color w:val="000000"/>
          <w:sz w:val="20"/>
        </w:rPr>
        <w:t>This design follows directly from Section IV: each of the two novelties gets a single, targeted piece of evidence rather than an exhaustive ablation grid, because a large factorial study answers questions this paper does not ask. The offline validations in Subsections B through C are the primary evidence for the paper's claims and stand on their own; the classroom pilot in Subsection D is a secondary, exploratory extension that is valuable but not a precondition for the technical claims being true.</w:t>
      </w:r>
    </w:p>
    <w:p>
      <w:pPr>
        <w:widowControl/>
        <w:spacing w:after="60" w:before="140" w:line="240" w:lineRule="auto"/>
        <w:jc w:val="left"/>
      </w:pPr>
      <w:r>
        <w:rPr>
          <w:rFonts w:ascii="Times New Roman" w:hAnsi="Times New Roman" w:eastAsia="Malgun Gothic"/>
          <w:b w:val="0"/>
          <w:i/>
          <w:color w:val="000000"/>
          <w:sz w:val="20"/>
        </w:rPr>
        <w:t>A. Materials and Data</w:t>
      </w:r>
    </w:p>
    <w:p>
      <w:pPr>
        <w:widowControl/>
        <w:spacing w:after="60" w:before="0" w:line="240" w:lineRule="auto"/>
        <w:jc w:val="both"/>
      </w:pPr>
      <w:r>
        <w:rPr>
          <w:rFonts w:ascii="Times New Roman" w:hAnsi="Times New Roman" w:eastAsia="Malgun Gothic"/>
          <w:b w:val="0"/>
          <w:i w:val="0"/>
          <w:color w:val="000000"/>
          <w:sz w:val="20"/>
        </w:rPr>
        <w:t>Grammatical targets are drawn from a TOPIK-aligned syllabus spanning levels I through IV, decomposed into roughly 120 discrete grammatical points. The misconception taxonomy is KAGAS [24], the 14-category Korean grammatical error taxonomy, rather than a project-specific scheme, so that the diagnostic labels a generated distractor carries are independently defined and independently auditable. All generated items entering any evaluation are reviewed by qualified Korean instructors first; we report, but do not act on, the verifier's agreement with those reviewers, so that the verifier's standalone accuracy can be measured on its own terms.</w:t>
      </w:r>
    </w:p>
    <w:p>
      <w:pPr>
        <w:widowControl/>
        <w:spacing w:after="60" w:before="140" w:line="240" w:lineRule="auto"/>
        <w:jc w:val="left"/>
      </w:pPr>
      <w:r>
        <w:rPr>
          <w:rFonts w:ascii="Times New Roman" w:hAnsi="Times New Roman" w:eastAsia="Malgun Gothic"/>
          <w:b w:val="0"/>
          <w:i/>
          <w:color w:val="000000"/>
          <w:sz w:val="20"/>
        </w:rPr>
        <w:t>B. Validating Novelty 1: Misconception-Conditioned Distractors</w:t>
      </w:r>
    </w:p>
    <w:p>
      <w:pPr>
        <w:widowControl/>
        <w:spacing w:after="60" w:before="0" w:line="240" w:lineRule="auto"/>
        <w:jc w:val="both"/>
      </w:pPr>
      <w:r>
        <w:rPr>
          <w:rFonts w:ascii="Times New Roman" w:hAnsi="Times New Roman" w:eastAsia="Malgun Gothic"/>
          <w:b w:val="0"/>
          <w:i w:val="0"/>
          <w:color w:val="000000"/>
          <w:sz w:val="20"/>
        </w:rPr>
        <w:t>Two kinds of evidence are reported here: what has already been measured automatically, at N=20 items per skill across all 11 skills, and what the human study below still needs to establish. Generation passes the morphological gate 100% of the time (220/220); a solver model blind to the key still selects it 66.4% of the time overall, ranging from 95% on particle_obj down to 10% on irregular_conj and subj_topic—both low scores traced to a known solver limitation (blindness to 르-irregular contraction, and insensitivity to the pedagogical convention subj_topic relies on, Section IV-B) rather than to the items themselves. The critic step (Section IV-B) is exercised zero times at this N, because every slot in the current 11 skills is covered by a curated lookup table rather than open generation; its 40% recovery rate is measured separately, on 20 deliberately uncurated slots, and has not yet been reproduced at the scale reported here. The solver-based semantic check for whether a distractor is also correct, mentioned in Section IV-B, was tested on known cases in two prompt framings and under reasoning mode; it answered yes in every case regardless of whether the distractor was actually ambiguous, and is therefore excluded from this verdict rather than quoted as supporting evidence.</w:t>
      </w:r>
    </w:p>
    <w:p>
      <w:pPr>
        <w:widowControl/>
        <w:spacing w:after="60" w:before="0" w:line="240" w:lineRule="auto"/>
        <w:ind w:firstLine="245"/>
        <w:jc w:val="both"/>
      </w:pPr>
      <w:r>
        <w:rPr>
          <w:rFonts w:ascii="Times New Roman" w:hAnsi="Times New Roman" w:eastAsia="Malgun Gothic"/>
          <w:b w:val="0"/>
          <w:i w:val="0"/>
          <w:color w:val="000000"/>
          <w:sz w:val="20"/>
        </w:rPr>
        <w:t>Item quality is rated by three independent Korean language instructors on four dimensions — grammaticality of the stem, uniqueness of the key, plausibility of each distractor, and correctness of the KAGAS label — with agreement reported as Fleiss' κ. Two measures matter most. First, the rate of items containing more than one defensible answer, since this is the failure the verifier gate in Section IV-B exists specifically to catch, and it is the one the general distractor-generation literature does not report [10]. Second, agreement between the KAGAS label a distractor was generated to realise and the label an instructor independently assigns after seeing only the distractor — this is the direct test of whether misconception-conditioning actually produces a usable diagnosis, or merely a plausible wrong answer with a label attached. Neither measure is available yet; this subsection is the protocol, not a result.</w:t>
      </w:r>
    </w:p>
    <w:p>
      <w:pPr>
        <w:widowControl/>
        <w:spacing w:after="60" w:before="140" w:line="240" w:lineRule="auto"/>
        <w:jc w:val="left"/>
      </w:pPr>
      <w:r>
        <w:rPr>
          <w:rFonts w:ascii="Times New Roman" w:hAnsi="Times New Roman" w:eastAsia="Malgun Gothic"/>
          <w:b w:val="0"/>
          <w:i/>
          <w:color w:val="000000"/>
          <w:sz w:val="20"/>
        </w:rPr>
        <w:t>C. Validating Novelty 2: Robustness to an Uncalibrated Prior</w:t>
      </w:r>
    </w:p>
    <w:p>
      <w:pPr>
        <w:widowControl/>
        <w:spacing w:after="60" w:before="0" w:line="240" w:lineRule="auto"/>
        <w:jc w:val="both"/>
      </w:pPr>
      <w:r>
        <w:rPr>
          <w:rFonts w:ascii="Times New Roman" w:hAnsi="Times New Roman" w:eastAsia="Malgun Gothic"/>
          <w:b w:val="0"/>
          <w:i w:val="0"/>
          <w:color w:val="000000"/>
          <w:sz w:val="20"/>
        </w:rPr>
        <w:t>One question, answered by one comparison, repeated for rigor rather than run once: given an item-difficulty prior of unknown quality—the condition this system is actually in—does the choice of tracker change how much damage a bad prior can do? We run the fixed-pool simulation of Section IV-C under four prior-quality conditions (neutral, and three noise levels giving correlations of 0.96, 0.78, and 0.47 with true difficulty), eight independent replications per condition with fresh learners, items, and response streams each time, and report terminal RMSE as mean ± SD across replications.</w:t>
      </w:r>
    </w:p>
    <w:p>
      <w:pPr>
        <w:widowControl/>
        <w:spacing w:after="60" w:before="0" w:line="240" w:lineRule="auto"/>
        <w:ind w:firstLine="245"/>
        <w:jc w:val="both"/>
      </w:pPr>
      <w:r>
        <w:rPr>
          <w:rFonts w:ascii="Times New Roman" w:hAnsi="Times New Roman" w:eastAsia="Malgun Gothic"/>
          <w:b w:val="0"/>
          <w:i w:val="0"/>
          <w:color w:val="000000"/>
          <w:sz w:val="20"/>
        </w:rPr>
        <w:t>Urnings: 0.417±0.018 (neutral), 0.424±0.015, 0.437±0.019, 0.438±0.016 (worst prior)—a 5% spread, the conditions overlapping within one SD of each other. Elo: 1.722±0.024, 1.827±0.042, 1.874±0.040, 2.123±0.040—a 23% spread, each condition clearly separated from the last. Parallel Elo: 0.703±0.022, 0.820±0.022, 0.866±0.022, 1.133±0.031—a 61% spread, the largest of the three despite the best neutral baseline. The ordering is consistent across all eight replications of every condition, not an artifact of one noisy run. This directly operationalises gap G2 as stated in Section II-F: a prior of unknown quality is exactly the regime this system's own encoder forces, and the three trackers tolerate it by measurably different amounts, with Urnings tolerating it best.</w:t>
      </w:r>
    </w:p>
    <w:p>
      <w:pPr>
        <w:widowControl/>
        <w:spacing w:after="60" w:before="0" w:line="240" w:lineRule="auto"/>
        <w:ind w:firstLine="245"/>
        <w:jc w:val="both"/>
      </w:pPr>
      <w:r>
        <w:rPr>
          <w:rFonts w:ascii="Times New Roman" w:hAnsi="Times New Roman" w:eastAsia="Malgun Gothic"/>
          <w:b w:val="0"/>
          <w:i w:val="0"/>
          <w:color w:val="000000"/>
          <w:sz w:val="20"/>
        </w:rPr>
        <w:t>A note on scope, stated rather than left for a reviewer to find: a different, growing-pool regime closer to live deployment (items mostly new, rarely revisited) produces a more dramatic gap between Elo/Parallel Elo's neutral and worst-prior conditions, but also a non-monotonic result for Urnings across the same prior-quality grid that we do not yet have a complete account of. We report the fixed-pool regime here because it is fully understood end to end; the growing-pool regime is left for future work rather than included partially explained.</w:t>
      </w:r>
    </w:p>
    <w:p>
      <w:pPr>
        <w:widowControl/>
        <w:spacing w:after="60" w:before="140" w:line="240" w:lineRule="auto"/>
        <w:jc w:val="left"/>
      </w:pPr>
      <w:r>
        <w:rPr>
          <w:rFonts w:ascii="Times New Roman" w:hAnsi="Times New Roman" w:eastAsia="Malgun Gothic"/>
          <w:b w:val="0"/>
          <w:i/>
          <w:color w:val="000000"/>
          <w:sz w:val="20"/>
        </w:rPr>
        <w:t>D. Exploratory Classroom Pilot</w:t>
      </w:r>
    </w:p>
    <w:p>
      <w:pPr>
        <w:widowControl/>
        <w:spacing w:after="60" w:before="0" w:line="240" w:lineRule="auto"/>
        <w:jc w:val="both"/>
      </w:pPr>
      <w:r>
        <w:rPr>
          <w:rFonts w:ascii="Times New Roman" w:hAnsi="Times New Roman" w:eastAsia="Malgun Gothic"/>
          <w:b w:val="0"/>
          <w:i w:val="0"/>
          <w:color w:val="000000"/>
          <w:sz w:val="20"/>
        </w:rPr>
        <w:t>Fig. 5 summarises the design, offered as secondary evidence of real-world usefulness rather than as the paper's central claim. We recruit learners of Korean as a foreign language at CEFR A2–B1 equivalent, block-randomised by placement score into three arms. Arm A receives a fixed expert-authored item bank in random order. Arm B receives the same fixed bank with Elo-based adaptive selection, representing current good practice [18]. Arm C receives the full KO-DRILL system. Arms A and B share an item bank so that the effect of generation is separable from the effect of adaptivity. Running this pilot at the full scale implied by Fig. 5 — three arms of 60 — is desirable but not required before the claims in Subsections B through C can be reported; a smaller single-cohort pilot comparing only Arm A against Arm C is a reasonable first step if resources are limited, at the cost of not separating the generation and adaptivity effects.</w:t>
      </w:r>
    </w:p>
    <w:p>
      <w:pPr>
        <w:widowControl/>
        <w:spacing w:after="60" w:before="0" w:line="240" w:lineRule="auto"/>
        <w:ind w:firstLine="245"/>
        <w:jc w:val="both"/>
      </w:pPr>
      <w:r>
        <w:rPr>
          <w:rFonts w:ascii="Times New Roman" w:hAnsi="Times New Roman" w:eastAsia="Malgun Gothic"/>
          <w:b w:val="0"/>
          <w:i w:val="0"/>
          <w:color w:val="000000"/>
          <w:sz w:val="20"/>
        </w:rPr>
        <w:t>Participants complete a TOPIK-aligned pre-test, six weeks of practice, an immediate post-test, and a delayed retention test four weeks later. The primary outcome is normalised learning gain on the post-test; secondary outcomes are retention, items-to-mastery, per-skill diagnostic accuracy against instructor judgement, and completion rate. We note plainly that a sample of 60 per arm gives 80% power to detect a standardised between-arm difference of only d = 0.51 two-sided, or d = 0.59 Bonferroni-corrected across the three pairwise comparisons — larger than the 0.28–0.33 range reported for LLM feedback alone [29]. This is a known limitation of the pilot, not of the paper's technical claims, which is exactly why Subsections B through C are designed to stand independently of it.</w:t>
      </w:r>
    </w:p>
    <w:p>
      <w:pPr>
        <w:sectPr>
          <w:type w:val="continuous"/>
          <w:pgSz w:w="12240" w:h="15840"/>
          <w:pgMar w:top="1080" w:right="900" w:bottom="1440" w:left="900" w:header="720" w:footer="720" w:gutter="0"/>
          <w:cols w:space="360" w:num="2" w:equalWidth="1"/>
          <w:docGrid w:linePitch="360"/>
        </w:sectPr>
      </w:pPr>
    </w:p>
    <w:p>
      <w:pPr>
        <w:widowControl/>
        <w:spacing w:after="60" w:before="120" w:line="240" w:lineRule="auto"/>
        <w:jc w:val="center"/>
      </w:pPr>
      <w:r>
        <w:drawing>
          <wp:inline xmlns:a="http://schemas.openxmlformats.org/drawingml/2006/main" xmlns:pic="http://schemas.openxmlformats.org/drawingml/2006/picture">
            <wp:extent cx="6400800" cy="1654396"/>
            <wp:docPr id="5" name="Picture 5"/>
            <wp:cNvGraphicFramePr>
              <a:graphicFrameLocks noChangeAspect="1"/>
            </wp:cNvGraphicFramePr>
            <a:graphic>
              <a:graphicData uri="http://schemas.openxmlformats.org/drawingml/2006/picture">
                <pic:pic>
                  <pic:nvPicPr>
                    <pic:cNvPr id="0" name="fig5_experiment.png"/>
                    <pic:cNvPicPr/>
                  </pic:nvPicPr>
                  <pic:blipFill>
                    <a:blip r:embed="rId13"/>
                    <a:stretch>
                      <a:fillRect/>
                    </a:stretch>
                  </pic:blipFill>
                  <pic:spPr>
                    <a:xfrm>
                      <a:off x="0" y="0"/>
                      <a:ext cx="6400800" cy="1654396"/>
                    </a:xfrm>
                    <a:prstGeom prst="rect"/>
                  </pic:spPr>
                </pic:pic>
              </a:graphicData>
            </a:graphic>
          </wp:inline>
        </w:drawing>
      </w:r>
    </w:p>
    <w:p>
      <w:pPr>
        <w:widowControl/>
        <w:spacing w:after="160" w:before="0" w:line="240" w:lineRule="auto"/>
        <w:jc w:val="both"/>
      </w:pPr>
      <w:r>
        <w:rPr>
          <w:rFonts w:ascii="Times New Roman" w:hAnsi="Times New Roman" w:eastAsia="Malgun Gothic"/>
          <w:b w:val="0"/>
          <w:i w:val="0"/>
          <w:color w:val="000000"/>
          <w:sz w:val="16"/>
        </w:rPr>
        <w:t>Fig. 5. Human study design. Arms A and B share a fixed expert-authored item bank so that the effect of generation is separable from the effect of adaptivity; Arm C receives the full system. Retention at four weeks, rather than immediate post-test performance, is the measure weighted most heavily, to guard against novelty effects.</w:t>
      </w:r>
    </w:p>
    <w:p>
      <w:pPr>
        <w:sectPr>
          <w:type w:val="continuous"/>
          <w:pgSz w:w="12240" w:h="15840"/>
          <w:pgMar w:top="1080" w:right="900" w:bottom="1440" w:left="900" w:header="720" w:footer="720" w:gutter="0"/>
          <w:cols w:space="360" w:num="1" w:equalWidth="1"/>
          <w:docGrid w:linePitch="360"/>
        </w:sectPr>
      </w:pPr>
    </w:p>
    <w:p>
      <w:pPr>
        <w:widowControl/>
        <w:spacing w:after="60" w:before="140" w:line="240" w:lineRule="auto"/>
        <w:jc w:val="left"/>
      </w:pPr>
      <w:r>
        <w:rPr>
          <w:rFonts w:ascii="Times New Roman" w:hAnsi="Times New Roman" w:eastAsia="Malgun Gothic"/>
          <w:b w:val="0"/>
          <w:i/>
          <w:color w:val="000000"/>
          <w:sz w:val="20"/>
        </w:rPr>
        <w:t>E. Threats to Validity</w:t>
      </w:r>
    </w:p>
    <w:p>
      <w:pPr>
        <w:widowControl/>
        <w:spacing w:after="60" w:before="0" w:line="240" w:lineRule="auto"/>
        <w:jc w:val="both"/>
      </w:pPr>
      <w:r>
        <w:rPr>
          <w:rFonts w:ascii="Times New Roman" w:hAnsi="Times New Roman" w:eastAsia="Malgun Gothic"/>
          <w:b w:val="0"/>
          <w:i w:val="0"/>
          <w:color w:val="000000"/>
          <w:sz w:val="20"/>
        </w:rPr>
        <w:t>Three threats apply regardless of which evaluation is run. Novelty effects may inflate engagement in any condition using the generative system regardless of instructional quality, which is why retention at four weeks rather than immediate engagement is the measure weighted most heavily wherever the pilot is run. Instructor reviewers cannot be blinded to whether an item was generated, since generated and authored items differ stylistically, which is why verifier–reviewer agreement is reported as the primary item-quality measure rather than reviewer ratings alone. KAGAS was developed from corpora of predominantly non-Indonesian learners and may transfer imperfectly to Indonesian speakers of Korean specifically, so error-type distributions should be reported by first-language background rather than assumed to transfer. Finally, EXAONE's licence restricts commercial deployment; the Qwen3-generator configuration noted in Section III-C should be treated as the one to validate if deployment beyond research use is ever intended.</w:t>
      </w:r>
    </w:p>
    <w:p>
      <w:pPr>
        <w:widowControl/>
        <w:spacing w:after="80" w:before="200" w:line="240" w:lineRule="auto"/>
        <w:jc w:val="center"/>
      </w:pPr>
      <w:r>
        <w:rPr>
          <w:rFonts w:ascii="Times New Roman" w:hAnsi="Times New Roman" w:eastAsia="Malgun Gothic"/>
          <w:b w:val="0"/>
          <w:i w:val="0"/>
          <w:color w:val="000000"/>
          <w:sz w:val="20"/>
        </w:rPr>
        <w:t>VI. DISCUSSION AND CONCLUSION</w:t>
      </w:r>
    </w:p>
    <w:p>
      <w:pPr>
        <w:widowControl/>
        <w:spacing w:after="60" w:before="0" w:line="240" w:lineRule="auto"/>
        <w:jc w:val="both"/>
      </w:pPr>
      <w:r>
        <w:rPr>
          <w:rFonts w:ascii="Times New Roman" w:hAnsi="Times New Roman" w:eastAsia="Malgun Gothic"/>
          <w:b w:val="0"/>
          <w:i w:val="0"/>
          <w:color w:val="000000"/>
          <w:sz w:val="20"/>
        </w:rPr>
        <w:t>The argument of this paper is that the move from fixed item banks to generated ones is not a straightforward improvement but a change of regime, and that several methods inherited from the fixed-bank era stop working when it happens. Deep knowledge tracing loses the dense interaction data it depends on. Classical adaptive testing loses the pre-calibrated bank it assumes. The Elo rating system, used in the one configuration a generative pool makes unavoidable, drifts without converging—a result we have reproduced here at realistic scale, with terminal error growing by a factor of nearly four from its minimum while rank-order correlation stayed above 0.97, which is to say while the failure stayed invisible to the diagnostics a practitioner would most naturally check.</w:t>
      </w:r>
    </w:p>
    <w:p>
      <w:pPr>
        <w:widowControl/>
        <w:spacing w:after="60" w:before="0" w:line="240" w:lineRule="auto"/>
        <w:ind w:firstLine="245"/>
        <w:jc w:val="both"/>
      </w:pPr>
      <w:r>
        <w:rPr>
          <w:rFonts w:ascii="Times New Roman" w:hAnsi="Times New Roman" w:eastAsia="Malgun Gothic"/>
          <w:b w:val="0"/>
          <w:i w:val="0"/>
          <w:color w:val="000000"/>
          <w:sz w:val="20"/>
        </w:rPr>
        <w:t>The remedies we propose are deliberately modest in their use of deep learning. A small encoder predicts difficulty well enough to initialise a psychometric prior—not well enough to be trusted, which is precisely the condition Novelty 2 shows Urnings tolerates and Elo does not; an explicit urn-based model, not a neural network, maintains learner state and supplies the uncertainty that both item selection and compute allocation depend on; and the large generative models are confined to the two jobs they are uniquely good at, writing Korean and explaining it. The resulting system is cheaper than an end-to-end neural alternative and considerably easier to audit, which for an educational tool is not a secondary consideration.</w:t>
      </w:r>
    </w:p>
    <w:p>
      <w:pPr>
        <w:widowControl/>
        <w:spacing w:after="60" w:before="0" w:line="240" w:lineRule="auto"/>
        <w:ind w:firstLine="245"/>
        <w:jc w:val="both"/>
      </w:pPr>
      <w:r>
        <w:rPr>
          <w:rFonts w:ascii="Times New Roman" w:hAnsi="Times New Roman" w:eastAsia="Malgun Gothic"/>
          <w:b w:val="0"/>
          <w:i w:val="0"/>
          <w:color w:val="000000"/>
          <w:sz w:val="20"/>
        </w:rPr>
        <w:t>Two limitations should be stated plainly. The simulation in Section III-B demonstrates a property of the trackers under a Rasch generating model; it does not demonstrate that KO-DRILL improves learning, which only the study in Section V can do. And the misconception-conditioning approach assumes that learner errors fall into a taxonomy that can be enumerated in advance, which is a better approximation for Korean particles and verb morphology than it will be for pragmatics or discourse.</w:t>
      </w:r>
    </w:p>
    <w:p>
      <w:pPr>
        <w:widowControl/>
        <w:spacing w:after="60" w:before="0" w:line="240" w:lineRule="auto"/>
        <w:ind w:firstLine="245"/>
        <w:jc w:val="both"/>
      </w:pPr>
      <w:r>
        <w:rPr>
          <w:rFonts w:ascii="Times New Roman" w:hAnsi="Times New Roman" w:eastAsia="Malgun Gothic"/>
          <w:b w:val="0"/>
          <w:i w:val="0"/>
          <w:color w:val="000000"/>
          <w:sz w:val="20"/>
        </w:rPr>
        <w:t>The architecture is not specific to Korean. Any language with a well-documented inventory of learner errors and an available language-specific encoder could be substituted. Korean is a good first case precisely because its agglutinative morphology makes the error taxonomy unusually crisp, and because the gap between what learners need to drill and what existing tools provide is unusually wide.</w:t>
      </w:r>
    </w:p>
    <w:p>
      <w:pPr>
        <w:widowControl/>
        <w:spacing w:after="80" w:before="200" w:line="240" w:lineRule="auto"/>
        <w:jc w:val="center"/>
      </w:pPr>
      <w:r>
        <w:rPr>
          <w:rFonts w:ascii="Times New Roman" w:hAnsi="Times New Roman" w:eastAsia="Malgun Gothic"/>
          <w:b w:val="0"/>
          <w:i w:val="0"/>
          <w:color w:val="000000"/>
          <w:sz w:val="20"/>
        </w:rPr>
        <w:t>REFERENCES</w:t>
      </w:r>
    </w:p>
    <w:p>
      <w:pPr>
        <w:widowControl/>
        <w:spacing w:after="40" w:before="0" w:line="240" w:lineRule="auto"/>
        <w:ind w:left="317" w:hanging="317"/>
        <w:jc w:val="both"/>
      </w:pPr>
      <w:r>
        <w:rPr>
          <w:rFonts w:ascii="Times New Roman" w:hAnsi="Times New Roman" w:eastAsia="Malgun Gothic"/>
          <w:b w:val="0"/>
          <w:i w:val="0"/>
          <w:color w:val="000000"/>
          <w:sz w:val="16"/>
        </w:rPr>
        <w:t>[1]</w:t>
        <w:tab/>
      </w:r>
      <w:r>
        <w:rPr>
          <w:rFonts w:ascii="Times New Roman" w:hAnsi="Times New Roman" w:eastAsia="Malgun Gothic"/>
          <w:b w:val="0"/>
          <w:i w:val="0"/>
          <w:color w:val="000000"/>
          <w:sz w:val="16"/>
        </w:rPr>
        <w:t xml:space="preserve">S.-H. Hong and S. C. Yang, “Enhancing Korean as a foreign language learning through a mobile-assisted blended course: A triarchic and motivational perspective,” </w:t>
      </w:r>
      <w:r>
        <w:rPr>
          <w:rFonts w:ascii="Times New Roman" w:hAnsi="Times New Roman" w:eastAsia="Malgun Gothic"/>
          <w:b w:val="0"/>
          <w:i/>
          <w:color w:val="000000"/>
          <w:sz w:val="16"/>
        </w:rPr>
        <w:t>Language Teaching Research</w:t>
      </w:r>
      <w:r>
        <w:rPr>
          <w:rFonts w:ascii="Times New Roman" w:hAnsi="Times New Roman" w:eastAsia="Malgun Gothic"/>
          <w:b w:val="0"/>
          <w:i w:val="0"/>
          <w:color w:val="000000"/>
          <w:sz w:val="16"/>
        </w:rPr>
        <w:t>, Sep. 2025, doi: 10.1177/13621688251368643.</w:t>
      </w:r>
    </w:p>
    <w:p>
      <w:pPr>
        <w:widowControl/>
        <w:spacing w:after="40" w:before="0" w:line="240" w:lineRule="auto"/>
        <w:ind w:left="317" w:hanging="317"/>
        <w:jc w:val="both"/>
      </w:pPr>
      <w:r>
        <w:rPr>
          <w:rFonts w:ascii="Times New Roman" w:hAnsi="Times New Roman" w:eastAsia="Malgun Gothic"/>
          <w:b w:val="0"/>
          <w:i w:val="0"/>
          <w:color w:val="000000"/>
          <w:sz w:val="16"/>
        </w:rPr>
        <w:t>[2]</w:t>
        <w:tab/>
      </w:r>
      <w:r>
        <w:rPr>
          <w:rFonts w:ascii="Times New Roman" w:hAnsi="Times New Roman" w:eastAsia="Malgun Gothic"/>
          <w:b w:val="0"/>
          <w:i w:val="0"/>
          <w:color w:val="000000"/>
          <w:sz w:val="16"/>
        </w:rPr>
        <w:t xml:space="preserve">R. Godwin-Jones, “Distributed agency in second language learning and teaching through generative AI,” </w:t>
      </w:r>
      <w:r>
        <w:rPr>
          <w:rFonts w:ascii="Times New Roman" w:hAnsi="Times New Roman" w:eastAsia="Malgun Gothic"/>
          <w:b w:val="0"/>
          <w:i/>
          <w:color w:val="000000"/>
          <w:sz w:val="16"/>
        </w:rPr>
        <w:t>Language Learning &amp; Technology</w:t>
      </w:r>
      <w:r>
        <w:rPr>
          <w:rFonts w:ascii="Times New Roman" w:hAnsi="Times New Roman" w:eastAsia="Malgun Gothic"/>
          <w:b w:val="0"/>
          <w:i w:val="0"/>
          <w:color w:val="000000"/>
          <w:sz w:val="16"/>
        </w:rPr>
        <w:t>, vol. 28, no. 2, pp. 5–31, Jun. 2024, doi: 10.64152/10125/73570.</w:t>
      </w:r>
    </w:p>
    <w:p>
      <w:pPr>
        <w:widowControl/>
        <w:spacing w:after="40" w:before="0" w:line="240" w:lineRule="auto"/>
        <w:ind w:left="317" w:hanging="317"/>
        <w:jc w:val="both"/>
      </w:pPr>
      <w:r>
        <w:rPr>
          <w:rFonts w:ascii="Times New Roman" w:hAnsi="Times New Roman" w:eastAsia="Malgun Gothic"/>
          <w:b w:val="0"/>
          <w:i w:val="0"/>
          <w:color w:val="000000"/>
          <w:sz w:val="16"/>
        </w:rPr>
        <w:t>[3]</w:t>
        <w:tab/>
      </w:r>
      <w:r>
        <w:rPr>
          <w:rFonts w:ascii="Times New Roman" w:hAnsi="Times New Roman" w:eastAsia="Malgun Gothic"/>
          <w:b w:val="0"/>
          <w:i w:val="0"/>
          <w:color w:val="000000"/>
          <w:sz w:val="16"/>
        </w:rPr>
        <w:t xml:space="preserve">T.-Y. Tai and H. H.-J. Chen, “Impact of generative AI chatbots and interaction modes on the speaking proficiency of adolescent EFL learners,” </w:t>
      </w:r>
      <w:r>
        <w:rPr>
          <w:rFonts w:ascii="Times New Roman" w:hAnsi="Times New Roman" w:eastAsia="Malgun Gothic"/>
          <w:b w:val="0"/>
          <w:i/>
          <w:color w:val="000000"/>
          <w:sz w:val="16"/>
        </w:rPr>
        <w:t>Computer Assisted Language Learning</w:t>
      </w:r>
      <w:r>
        <w:rPr>
          <w:rFonts w:ascii="Times New Roman" w:hAnsi="Times New Roman" w:eastAsia="Malgun Gothic"/>
          <w:b w:val="0"/>
          <w:i w:val="0"/>
          <w:color w:val="000000"/>
          <w:sz w:val="16"/>
        </w:rPr>
        <w:t>, pp. 1–30, Oct. 2025, doi: 10.1080/09588221.2025.2572999.</w:t>
      </w:r>
    </w:p>
    <w:p>
      <w:pPr>
        <w:widowControl/>
        <w:spacing w:after="40" w:before="0" w:line="240" w:lineRule="auto"/>
        <w:ind w:left="317" w:hanging="317"/>
        <w:jc w:val="both"/>
      </w:pPr>
      <w:r>
        <w:rPr>
          <w:rFonts w:ascii="Times New Roman" w:hAnsi="Times New Roman" w:eastAsia="Malgun Gothic"/>
          <w:b w:val="0"/>
          <w:i w:val="0"/>
          <w:color w:val="000000"/>
          <w:sz w:val="16"/>
        </w:rPr>
        <w:t>[4]</w:t>
        <w:tab/>
      </w:r>
      <w:r>
        <w:rPr>
          <w:rFonts w:ascii="Times New Roman" w:hAnsi="Times New Roman" w:eastAsia="Malgun Gothic"/>
          <w:b w:val="0"/>
          <w:i w:val="0"/>
          <w:color w:val="000000"/>
          <w:sz w:val="16"/>
        </w:rPr>
        <w:t xml:space="preserve">S. Rashid, S. Malik, and F. Ghauri, “Ethically integrated generative AI for reading and vocabulary development in higher education: An experimental study of efficacy and learner perceptions,” </w:t>
      </w:r>
      <w:r>
        <w:rPr>
          <w:rFonts w:ascii="Times New Roman" w:hAnsi="Times New Roman" w:eastAsia="Malgun Gothic"/>
          <w:b w:val="0"/>
          <w:i/>
          <w:color w:val="000000"/>
          <w:sz w:val="16"/>
        </w:rPr>
        <w:t>Asian-Pacific Journal of Second and Foreign Language Education</w:t>
      </w:r>
      <w:r>
        <w:rPr>
          <w:rFonts w:ascii="Times New Roman" w:hAnsi="Times New Roman" w:eastAsia="Malgun Gothic"/>
          <w:b w:val="0"/>
          <w:i w:val="0"/>
          <w:color w:val="000000"/>
          <w:sz w:val="16"/>
        </w:rPr>
        <w:t>, vol. 11, no. 1, Sep. 2026, doi: 10.1186/s40862-026-00451-3.</w:t>
      </w:r>
    </w:p>
    <w:p>
      <w:pPr>
        <w:widowControl/>
        <w:spacing w:after="40" w:before="0" w:line="240" w:lineRule="auto"/>
        <w:ind w:left="317" w:hanging="317"/>
        <w:jc w:val="both"/>
      </w:pPr>
      <w:r>
        <w:rPr>
          <w:rFonts w:ascii="Times New Roman" w:hAnsi="Times New Roman" w:eastAsia="Malgun Gothic"/>
          <w:b w:val="0"/>
          <w:i w:val="0"/>
          <w:color w:val="000000"/>
          <w:sz w:val="16"/>
        </w:rPr>
        <w:t>[5]</w:t>
        <w:tab/>
      </w:r>
      <w:r>
        <w:rPr>
          <w:rFonts w:ascii="Times New Roman" w:hAnsi="Times New Roman" w:eastAsia="Malgun Gothic"/>
          <w:b w:val="0"/>
          <w:i w:val="0"/>
          <w:color w:val="000000"/>
          <w:sz w:val="16"/>
        </w:rPr>
        <w:t xml:space="preserve">H. W. Awalurahman, R. F. Aji, and I. Budi, “Transformer and large language models for automatic multiple-choice question generation: A systematic literature review,” </w:t>
      </w:r>
      <w:r>
        <w:rPr>
          <w:rFonts w:ascii="Times New Roman" w:hAnsi="Times New Roman" w:eastAsia="Malgun Gothic"/>
          <w:b w:val="0"/>
          <w:i/>
          <w:color w:val="000000"/>
          <w:sz w:val="16"/>
        </w:rPr>
        <w:t>IEEE Access</w:t>
      </w:r>
      <w:r>
        <w:rPr>
          <w:rFonts w:ascii="Times New Roman" w:hAnsi="Times New Roman" w:eastAsia="Malgun Gothic"/>
          <w:b w:val="0"/>
          <w:i w:val="0"/>
          <w:color w:val="000000"/>
          <w:sz w:val="16"/>
        </w:rPr>
        <w:t>, vol. 13, pp. 127100–127112, 2025, doi: 10.1109/ACCESS.2025.3590423.</w:t>
      </w:r>
    </w:p>
    <w:p>
      <w:pPr>
        <w:widowControl/>
        <w:spacing w:after="40" w:before="0" w:line="240" w:lineRule="auto"/>
        <w:ind w:left="317" w:hanging="317"/>
        <w:jc w:val="both"/>
      </w:pPr>
      <w:r>
        <w:rPr>
          <w:rFonts w:ascii="Times New Roman" w:hAnsi="Times New Roman" w:eastAsia="Malgun Gothic"/>
          <w:b w:val="0"/>
          <w:i w:val="0"/>
          <w:color w:val="000000"/>
          <w:sz w:val="16"/>
        </w:rPr>
        <w:t>[6]</w:t>
        <w:tab/>
      </w:r>
      <w:r>
        <w:rPr>
          <w:rFonts w:ascii="Times New Roman" w:hAnsi="Times New Roman" w:eastAsia="Malgun Gothic"/>
          <w:b w:val="0"/>
          <w:i w:val="0"/>
          <w:color w:val="000000"/>
          <w:sz w:val="16"/>
        </w:rPr>
        <w:t xml:space="preserve">R. Oliveira, A. Hernández, M. Garbin, J. Dos Reis, and R. Azevedo, “Automatic question generation with large language models: A survey,” </w:t>
      </w:r>
      <w:r>
        <w:rPr>
          <w:rFonts w:ascii="Times New Roman" w:hAnsi="Times New Roman" w:eastAsia="Malgun Gothic"/>
          <w:b w:val="0"/>
          <w:i/>
          <w:color w:val="000000"/>
          <w:sz w:val="16"/>
        </w:rPr>
        <w:t>ACM Computing Surveys</w:t>
      </w:r>
      <w:r>
        <w:rPr>
          <w:rFonts w:ascii="Times New Roman" w:hAnsi="Times New Roman" w:eastAsia="Malgun Gothic"/>
          <w:b w:val="0"/>
          <w:i w:val="0"/>
          <w:color w:val="000000"/>
          <w:sz w:val="16"/>
        </w:rPr>
        <w:t>, vol. 58, no. 15, pp. 1–34, Nov. 2026, doi: 10.1145/3832773.</w:t>
      </w:r>
    </w:p>
    <w:p>
      <w:pPr>
        <w:widowControl/>
        <w:spacing w:after="40" w:before="0" w:line="240" w:lineRule="auto"/>
        <w:ind w:left="317" w:hanging="317"/>
        <w:jc w:val="both"/>
      </w:pPr>
      <w:r>
        <w:rPr>
          <w:rFonts w:ascii="Times New Roman" w:hAnsi="Times New Roman" w:eastAsia="Malgun Gothic"/>
          <w:b w:val="0"/>
          <w:i w:val="0"/>
          <w:color w:val="000000"/>
          <w:sz w:val="16"/>
        </w:rPr>
        <w:t>[7]</w:t>
        <w:tab/>
      </w:r>
      <w:r>
        <w:rPr>
          <w:rFonts w:ascii="Times New Roman" w:hAnsi="Times New Roman" w:eastAsia="Malgun Gothic"/>
          <w:b w:val="0"/>
          <w:i w:val="0"/>
          <w:color w:val="000000"/>
          <w:sz w:val="16"/>
        </w:rPr>
        <w:t xml:space="preserve">J. Ling and M. Afzaal, “Automatic question-answer pairs generation using pre-trained large language models in higher education,” </w:t>
      </w:r>
      <w:r>
        <w:rPr>
          <w:rFonts w:ascii="Times New Roman" w:hAnsi="Times New Roman" w:eastAsia="Malgun Gothic"/>
          <w:b w:val="0"/>
          <w:i/>
          <w:color w:val="000000"/>
          <w:sz w:val="16"/>
        </w:rPr>
        <w:t>Computers and Education: Artificial Intelligence</w:t>
      </w:r>
      <w:r>
        <w:rPr>
          <w:rFonts w:ascii="Times New Roman" w:hAnsi="Times New Roman" w:eastAsia="Malgun Gothic"/>
          <w:b w:val="0"/>
          <w:i w:val="0"/>
          <w:color w:val="000000"/>
          <w:sz w:val="16"/>
        </w:rPr>
        <w:t>, vol. 6, p. 100252, Jun. 2024, doi: 10.1016/j.caeai.2024.100252.</w:t>
      </w:r>
    </w:p>
    <w:p>
      <w:pPr>
        <w:widowControl/>
        <w:spacing w:after="40" w:before="0" w:line="240" w:lineRule="auto"/>
        <w:ind w:left="317" w:hanging="317"/>
        <w:jc w:val="both"/>
      </w:pPr>
      <w:r>
        <w:rPr>
          <w:rFonts w:ascii="Times New Roman" w:hAnsi="Times New Roman" w:eastAsia="Malgun Gothic"/>
          <w:b w:val="0"/>
          <w:i w:val="0"/>
          <w:color w:val="000000"/>
          <w:sz w:val="16"/>
        </w:rPr>
        <w:t>[8]</w:t>
        <w:tab/>
      </w:r>
      <w:r>
        <w:rPr>
          <w:rFonts w:ascii="Times New Roman" w:hAnsi="Times New Roman" w:eastAsia="Malgun Gothic"/>
          <w:b w:val="0"/>
          <w:i w:val="0"/>
          <w:color w:val="000000"/>
          <w:sz w:val="16"/>
        </w:rPr>
        <w:t xml:space="preserve">C. Badenes-Olmedo and P. Eyzaguirre, “QuerIA: Adaptive question generation and evaluation in higher education using large language models and contextual learning,” </w:t>
      </w:r>
      <w:r>
        <w:rPr>
          <w:rFonts w:ascii="Times New Roman" w:hAnsi="Times New Roman" w:eastAsia="Malgun Gothic"/>
          <w:b w:val="0"/>
          <w:i/>
          <w:color w:val="000000"/>
          <w:sz w:val="16"/>
        </w:rPr>
        <w:t>Expert Systems with Applications</w:t>
      </w:r>
      <w:r>
        <w:rPr>
          <w:rFonts w:ascii="Times New Roman" w:hAnsi="Times New Roman" w:eastAsia="Malgun Gothic"/>
          <w:b w:val="0"/>
          <w:i w:val="0"/>
          <w:color w:val="000000"/>
          <w:sz w:val="16"/>
        </w:rPr>
        <w:t>, vol. 301, p. 130140, Mar. 2026, doi: 10.1016/j.eswa.2025.130140.</w:t>
      </w:r>
    </w:p>
    <w:p>
      <w:pPr>
        <w:widowControl/>
        <w:spacing w:after="40" w:before="0" w:line="240" w:lineRule="auto"/>
        <w:ind w:left="317" w:hanging="317"/>
        <w:jc w:val="both"/>
      </w:pPr>
      <w:r>
        <w:rPr>
          <w:rFonts w:ascii="Times New Roman" w:hAnsi="Times New Roman" w:eastAsia="Malgun Gothic"/>
          <w:b w:val="0"/>
          <w:i w:val="0"/>
          <w:color w:val="000000"/>
          <w:sz w:val="16"/>
        </w:rPr>
        <w:t>[9]</w:t>
        <w:tab/>
      </w:r>
      <w:r>
        <w:rPr>
          <w:rFonts w:ascii="Times New Roman" w:hAnsi="Times New Roman" w:eastAsia="Malgun Gothic"/>
          <w:b w:val="0"/>
          <w:i w:val="0"/>
          <w:color w:val="000000"/>
          <w:sz w:val="16"/>
        </w:rPr>
        <w:t xml:space="preserve">X. Dong and Z. Li, “Efficient unified framework for difficulty-controllable question generation: Large language models enabling active learning labeling and prompt-based low-rank adaptation,” </w:t>
      </w:r>
      <w:r>
        <w:rPr>
          <w:rFonts w:ascii="Times New Roman" w:hAnsi="Times New Roman" w:eastAsia="Malgun Gothic"/>
          <w:b w:val="0"/>
          <w:i/>
          <w:color w:val="000000"/>
          <w:sz w:val="16"/>
        </w:rPr>
        <w:t>IEEE Access</w:t>
      </w:r>
      <w:r>
        <w:rPr>
          <w:rFonts w:ascii="Times New Roman" w:hAnsi="Times New Roman" w:eastAsia="Malgun Gothic"/>
          <w:b w:val="0"/>
          <w:i w:val="0"/>
          <w:color w:val="000000"/>
          <w:sz w:val="16"/>
        </w:rPr>
        <w:t>, vol. 14, pp. 76358–76371, 2026, doi: 10.1109/ACCESS.2026.3693277.</w:t>
      </w:r>
    </w:p>
    <w:p>
      <w:pPr>
        <w:widowControl/>
        <w:spacing w:after="40" w:before="0" w:line="240" w:lineRule="auto"/>
        <w:ind w:left="317" w:hanging="317"/>
        <w:jc w:val="both"/>
      </w:pPr>
      <w:r>
        <w:rPr>
          <w:rFonts w:ascii="Times New Roman" w:hAnsi="Times New Roman" w:eastAsia="Malgun Gothic"/>
          <w:b w:val="0"/>
          <w:i w:val="0"/>
          <w:color w:val="000000"/>
          <w:sz w:val="16"/>
        </w:rPr>
        <w:t>[10]</w:t>
        <w:tab/>
      </w:r>
      <w:r>
        <w:rPr>
          <w:rFonts w:ascii="Times New Roman" w:hAnsi="Times New Roman" w:eastAsia="Malgun Gothic"/>
          <w:b w:val="0"/>
          <w:i w:val="0"/>
          <w:color w:val="000000"/>
          <w:sz w:val="16"/>
        </w:rPr>
        <w:t xml:space="preserve">S. K. Bitew, J. Deleu, C. Develder, and T. Demeester, “Distractor generation for multiple-choice questions with predictive prompting and large language models,” in </w:t>
      </w:r>
      <w:r>
        <w:rPr>
          <w:rFonts w:ascii="Times New Roman" w:hAnsi="Times New Roman" w:eastAsia="Malgun Gothic"/>
          <w:b w:val="0"/>
          <w:i/>
          <w:color w:val="000000"/>
          <w:sz w:val="16"/>
        </w:rPr>
        <w:t>Communications in Computer and Information Science</w:t>
      </w:r>
      <w:r>
        <w:rPr>
          <w:rFonts w:ascii="Times New Roman" w:hAnsi="Times New Roman" w:eastAsia="Malgun Gothic"/>
          <w:b w:val="0"/>
          <w:i w:val="0"/>
          <w:color w:val="000000"/>
          <w:sz w:val="16"/>
        </w:rPr>
        <w:t>, Cham, Switzerland: Springer, 2025, pp. 48–63, doi: 10.1007/978-3-031-74627-7_4.</w:t>
      </w:r>
    </w:p>
    <w:p>
      <w:pPr>
        <w:widowControl/>
        <w:spacing w:after="40" w:before="0" w:line="240" w:lineRule="auto"/>
        <w:ind w:left="317" w:hanging="317"/>
        <w:jc w:val="both"/>
      </w:pPr>
      <w:r>
        <w:rPr>
          <w:rFonts w:ascii="Times New Roman" w:hAnsi="Times New Roman" w:eastAsia="Malgun Gothic"/>
          <w:b w:val="0"/>
          <w:i w:val="0"/>
          <w:color w:val="000000"/>
          <w:sz w:val="16"/>
        </w:rPr>
        <w:t>[11]</w:t>
        <w:tab/>
      </w:r>
      <w:r>
        <w:rPr>
          <w:rFonts w:ascii="Times New Roman" w:hAnsi="Times New Roman" w:eastAsia="Malgun Gothic"/>
          <w:b w:val="0"/>
          <w:i w:val="0"/>
          <w:color w:val="000000"/>
          <w:sz w:val="16"/>
        </w:rPr>
        <w:t xml:space="preserve">M. Li, H. Jiao, T. Zhou, N. Zhang, S. Peters, and R. W. Lissitz, “Item difficulty modeling using fine-tuned small and large language models,” </w:t>
      </w:r>
      <w:r>
        <w:rPr>
          <w:rFonts w:ascii="Times New Roman" w:hAnsi="Times New Roman" w:eastAsia="Malgun Gothic"/>
          <w:b w:val="0"/>
          <w:i/>
          <w:color w:val="000000"/>
          <w:sz w:val="16"/>
        </w:rPr>
        <w:t>Educational and Psychological Measurement</w:t>
      </w:r>
      <w:r>
        <w:rPr>
          <w:rFonts w:ascii="Times New Roman" w:hAnsi="Times New Roman" w:eastAsia="Malgun Gothic"/>
          <w:b w:val="0"/>
          <w:i w:val="0"/>
          <w:color w:val="000000"/>
          <w:sz w:val="16"/>
        </w:rPr>
        <w:t>, vol. 85, no. 6, pp. 1065–1090, Dec. 2025, doi: 10.1177/00131644251344973.</w:t>
      </w:r>
    </w:p>
    <w:p>
      <w:pPr>
        <w:widowControl/>
        <w:spacing w:after="40" w:before="0" w:line="240" w:lineRule="auto"/>
        <w:ind w:left="317" w:hanging="317"/>
        <w:jc w:val="both"/>
      </w:pPr>
      <w:r>
        <w:rPr>
          <w:rFonts w:ascii="Times New Roman" w:hAnsi="Times New Roman" w:eastAsia="Malgun Gothic"/>
          <w:b w:val="0"/>
          <w:i w:val="0"/>
          <w:color w:val="000000"/>
          <w:sz w:val="16"/>
        </w:rPr>
        <w:t>[12]</w:t>
        <w:tab/>
      </w:r>
      <w:r>
        <w:rPr>
          <w:rFonts w:ascii="Times New Roman" w:hAnsi="Times New Roman" w:eastAsia="Malgun Gothic"/>
          <w:b w:val="0"/>
          <w:i w:val="0"/>
          <w:color w:val="000000"/>
          <w:sz w:val="16"/>
        </w:rPr>
        <w:t xml:space="preserve">Y. Liu, S. Bhandari, and Z. A. Pardos, “Leveraging LLM respondents for item evaluation: A psychometric analysis,” </w:t>
      </w:r>
      <w:r>
        <w:rPr>
          <w:rFonts w:ascii="Times New Roman" w:hAnsi="Times New Roman" w:eastAsia="Malgun Gothic"/>
          <w:b w:val="0"/>
          <w:i/>
          <w:color w:val="000000"/>
          <w:sz w:val="16"/>
        </w:rPr>
        <w:t>British Journal of Educational Technology</w:t>
      </w:r>
      <w:r>
        <w:rPr>
          <w:rFonts w:ascii="Times New Roman" w:hAnsi="Times New Roman" w:eastAsia="Malgun Gothic"/>
          <w:b w:val="0"/>
          <w:i w:val="0"/>
          <w:color w:val="000000"/>
          <w:sz w:val="16"/>
        </w:rPr>
        <w:t>, vol. 56, no. 3, pp. 1028–1052, May 2025, doi: 10.1111/bjet.13570.</w:t>
      </w:r>
    </w:p>
    <w:p>
      <w:pPr>
        <w:widowControl/>
        <w:spacing w:after="40" w:before="0" w:line="240" w:lineRule="auto"/>
        <w:ind w:left="317" w:hanging="317"/>
        <w:jc w:val="both"/>
      </w:pPr>
      <w:r>
        <w:rPr>
          <w:rFonts w:ascii="Times New Roman" w:hAnsi="Times New Roman" w:eastAsia="Malgun Gothic"/>
          <w:b w:val="0"/>
          <w:i w:val="0"/>
          <w:color w:val="000000"/>
          <w:sz w:val="16"/>
        </w:rPr>
        <w:t>[13]</w:t>
        <w:tab/>
      </w:r>
      <w:r>
        <w:rPr>
          <w:rFonts w:ascii="Times New Roman" w:hAnsi="Times New Roman" w:eastAsia="Malgun Gothic"/>
          <w:b w:val="0"/>
          <w:i w:val="0"/>
          <w:color w:val="000000"/>
          <w:sz w:val="16"/>
        </w:rPr>
        <w:t xml:space="preserve">Y. Gao, Y. Ma, Y. Qi, and T. Liu, “Development of a computerized adaptive item bank for the Big Five personality based on large language models,” </w:t>
      </w:r>
      <w:r>
        <w:rPr>
          <w:rFonts w:ascii="Times New Roman" w:hAnsi="Times New Roman" w:eastAsia="Malgun Gothic"/>
          <w:b w:val="0"/>
          <w:i/>
          <w:color w:val="000000"/>
          <w:sz w:val="16"/>
        </w:rPr>
        <w:t>Assessment</w:t>
      </w:r>
      <w:r>
        <w:rPr>
          <w:rFonts w:ascii="Times New Roman" w:hAnsi="Times New Roman" w:eastAsia="Malgun Gothic"/>
          <w:b w:val="0"/>
          <w:i w:val="0"/>
          <w:color w:val="000000"/>
          <w:sz w:val="16"/>
        </w:rPr>
        <w:t>, Mar. 2026, doi: 10.1177/10731911261427877.</w:t>
      </w:r>
    </w:p>
    <w:p>
      <w:pPr>
        <w:widowControl/>
        <w:spacing w:after="40" w:before="0" w:line="240" w:lineRule="auto"/>
        <w:ind w:left="317" w:hanging="317"/>
        <w:jc w:val="both"/>
      </w:pPr>
      <w:r>
        <w:rPr>
          <w:rFonts w:ascii="Times New Roman" w:hAnsi="Times New Roman" w:eastAsia="Malgun Gothic"/>
          <w:b w:val="0"/>
          <w:i w:val="0"/>
          <w:color w:val="000000"/>
          <w:sz w:val="16"/>
        </w:rPr>
        <w:t>[14]</w:t>
        <w:tab/>
      </w:r>
      <w:r>
        <w:rPr>
          <w:rFonts w:ascii="Times New Roman" w:hAnsi="Times New Roman" w:eastAsia="Malgun Gothic"/>
          <w:b w:val="0"/>
          <w:i w:val="0"/>
          <w:color w:val="000000"/>
          <w:sz w:val="16"/>
        </w:rPr>
        <w:t xml:space="preserve">K. Li, C. Qian, and X. Yang, “Evaluating the quality of student-generated content in learnersourcing: A large language model based approach,” </w:t>
      </w:r>
      <w:r>
        <w:rPr>
          <w:rFonts w:ascii="Times New Roman" w:hAnsi="Times New Roman" w:eastAsia="Malgun Gothic"/>
          <w:b w:val="0"/>
          <w:i/>
          <w:color w:val="000000"/>
          <w:sz w:val="16"/>
        </w:rPr>
        <w:t>Education and Information Technologies</w:t>
      </w:r>
      <w:r>
        <w:rPr>
          <w:rFonts w:ascii="Times New Roman" w:hAnsi="Times New Roman" w:eastAsia="Malgun Gothic"/>
          <w:b w:val="0"/>
          <w:i w:val="0"/>
          <w:color w:val="000000"/>
          <w:sz w:val="16"/>
        </w:rPr>
        <w:t>, vol. 30, no. 2, pp. 2331–2360, Feb. 2025, doi: 10.1007/s10639-024-12851-4.</w:t>
      </w:r>
    </w:p>
    <w:p>
      <w:pPr>
        <w:widowControl/>
        <w:spacing w:after="40" w:before="0" w:line="240" w:lineRule="auto"/>
        <w:ind w:left="317" w:hanging="317"/>
        <w:jc w:val="both"/>
      </w:pPr>
      <w:r>
        <w:rPr>
          <w:rFonts w:ascii="Times New Roman" w:hAnsi="Times New Roman" w:eastAsia="Malgun Gothic"/>
          <w:b w:val="0"/>
          <w:i w:val="0"/>
          <w:color w:val="000000"/>
          <w:sz w:val="16"/>
        </w:rPr>
        <w:t>[15]</w:t>
        <w:tab/>
      </w:r>
      <w:r>
        <w:rPr>
          <w:rFonts w:ascii="Times New Roman" w:hAnsi="Times New Roman" w:eastAsia="Malgun Gothic"/>
          <w:b w:val="0"/>
          <w:i w:val="0"/>
          <w:color w:val="000000"/>
          <w:sz w:val="16"/>
        </w:rPr>
        <w:t xml:space="preserve">M. Bolsinova, B. Gergely, and M. J. S. Brinkhuis, “Keeping Elo alive: Evaluating and improving measurement properties of learning systems based on Elo ratings,” </w:t>
      </w:r>
      <w:r>
        <w:rPr>
          <w:rFonts w:ascii="Times New Roman" w:hAnsi="Times New Roman" w:eastAsia="Malgun Gothic"/>
          <w:b w:val="0"/>
          <w:i/>
          <w:color w:val="000000"/>
          <w:sz w:val="16"/>
        </w:rPr>
        <w:t>British Journal of Mathematical and Statistical Psychology</w:t>
      </w:r>
      <w:r>
        <w:rPr>
          <w:rFonts w:ascii="Times New Roman" w:hAnsi="Times New Roman" w:eastAsia="Malgun Gothic"/>
          <w:b w:val="0"/>
          <w:i w:val="0"/>
          <w:color w:val="000000"/>
          <w:sz w:val="16"/>
        </w:rPr>
        <w:t>, vol. 79, no. 1, pp. 95–110, Feb. 2026, doi: 10.1111/bmsp.12395.</w:t>
      </w:r>
    </w:p>
    <w:p>
      <w:pPr>
        <w:widowControl/>
        <w:spacing w:after="40" w:before="0" w:line="240" w:lineRule="auto"/>
        <w:ind w:left="317" w:hanging="317"/>
        <w:jc w:val="both"/>
      </w:pPr>
      <w:r>
        <w:rPr>
          <w:rFonts w:ascii="Times New Roman" w:hAnsi="Times New Roman" w:eastAsia="Malgun Gothic"/>
          <w:b w:val="0"/>
          <w:i w:val="0"/>
          <w:color w:val="000000"/>
          <w:sz w:val="16"/>
        </w:rPr>
        <w:t>[16]</w:t>
        <w:tab/>
      </w:r>
      <w:r>
        <w:rPr>
          <w:rFonts w:ascii="Times New Roman" w:hAnsi="Times New Roman" w:eastAsia="Malgun Gothic"/>
          <w:b w:val="0"/>
          <w:i w:val="0"/>
          <w:color w:val="000000"/>
          <w:sz w:val="16"/>
        </w:rPr>
        <w:t xml:space="preserve">M. Bolsinova, M. J. S. Brinkhuis, A. D. Hofman, and G. Maris, “Tracking a multitude of abilities as they develop,” </w:t>
      </w:r>
      <w:r>
        <w:rPr>
          <w:rFonts w:ascii="Times New Roman" w:hAnsi="Times New Roman" w:eastAsia="Malgun Gothic"/>
          <w:b w:val="0"/>
          <w:i/>
          <w:color w:val="000000"/>
          <w:sz w:val="16"/>
        </w:rPr>
        <w:t>British Journal of Mathematical and Statistical Psychology</w:t>
      </w:r>
      <w:r>
        <w:rPr>
          <w:rFonts w:ascii="Times New Roman" w:hAnsi="Times New Roman" w:eastAsia="Malgun Gothic"/>
          <w:b w:val="0"/>
          <w:i w:val="0"/>
          <w:color w:val="000000"/>
          <w:sz w:val="16"/>
        </w:rPr>
        <w:t>, vol. 75, no. 3, pp. 753–778, Nov. 2022, doi: 10.1111/bmsp.12276.</w:t>
      </w:r>
    </w:p>
    <w:p>
      <w:pPr>
        <w:widowControl/>
        <w:spacing w:after="40" w:before="0" w:line="240" w:lineRule="auto"/>
        <w:ind w:left="317" w:hanging="317"/>
        <w:jc w:val="both"/>
      </w:pPr>
      <w:r>
        <w:rPr>
          <w:rFonts w:ascii="Times New Roman" w:hAnsi="Times New Roman" w:eastAsia="Malgun Gothic"/>
          <w:b w:val="0"/>
          <w:i w:val="0"/>
          <w:color w:val="000000"/>
          <w:sz w:val="16"/>
        </w:rPr>
        <w:t>[17]</w:t>
        <w:tab/>
      </w:r>
      <w:r>
        <w:rPr>
          <w:rFonts w:ascii="Times New Roman" w:hAnsi="Times New Roman" w:eastAsia="Malgun Gothic"/>
          <w:b w:val="0"/>
          <w:i w:val="0"/>
          <w:color w:val="000000"/>
          <w:sz w:val="16"/>
        </w:rPr>
        <w:t xml:space="preserve">B. Gergely and M. Bolsinova, “Toward psychometric learning analytics: Augmenting the Urnings algorithm with response times,” </w:t>
      </w:r>
      <w:r>
        <w:rPr>
          <w:rFonts w:ascii="Times New Roman" w:hAnsi="Times New Roman" w:eastAsia="Malgun Gothic"/>
          <w:b w:val="0"/>
          <w:i/>
          <w:color w:val="000000"/>
          <w:sz w:val="16"/>
        </w:rPr>
        <w:t>Journal of Educational Measurement</w:t>
      </w:r>
      <w:r>
        <w:rPr>
          <w:rFonts w:ascii="Times New Roman" w:hAnsi="Times New Roman" w:eastAsia="Malgun Gothic"/>
          <w:b w:val="0"/>
          <w:i w:val="0"/>
          <w:color w:val="000000"/>
          <w:sz w:val="16"/>
        </w:rPr>
        <w:t>, vol. 63, no. 1, Mar. 2026, doi: 10.1111/jedm.70026.</w:t>
      </w:r>
    </w:p>
    <w:p>
      <w:pPr>
        <w:widowControl/>
        <w:spacing w:after="40" w:before="0" w:line="240" w:lineRule="auto"/>
        <w:ind w:left="317" w:hanging="317"/>
        <w:jc w:val="both"/>
      </w:pPr>
      <w:r>
        <w:rPr>
          <w:rFonts w:ascii="Times New Roman" w:hAnsi="Times New Roman" w:eastAsia="Malgun Gothic"/>
          <w:b w:val="0"/>
          <w:i w:val="0"/>
          <w:color w:val="000000"/>
          <w:sz w:val="16"/>
        </w:rPr>
        <w:t>[18]</w:t>
        <w:tab/>
      </w:r>
      <w:r>
        <w:rPr>
          <w:rFonts w:ascii="Times New Roman" w:hAnsi="Times New Roman" w:eastAsia="Malgun Gothic"/>
          <w:b w:val="0"/>
          <w:i w:val="0"/>
          <w:color w:val="000000"/>
          <w:sz w:val="16"/>
        </w:rPr>
        <w:t xml:space="preserve">B. Vesin, K. Mangaroska, K. Akhuseyinoglu, and M. Giannakos, “Adaptive assessment and content recommendation in online programming courses: On the use of Elo-rating,” </w:t>
      </w:r>
      <w:r>
        <w:rPr>
          <w:rFonts w:ascii="Times New Roman" w:hAnsi="Times New Roman" w:eastAsia="Malgun Gothic"/>
          <w:b w:val="0"/>
          <w:i/>
          <w:color w:val="000000"/>
          <w:sz w:val="16"/>
        </w:rPr>
        <w:t>ACM Transactions on Computing Education</w:t>
      </w:r>
      <w:r>
        <w:rPr>
          <w:rFonts w:ascii="Times New Roman" w:hAnsi="Times New Roman" w:eastAsia="Malgun Gothic"/>
          <w:b w:val="0"/>
          <w:i w:val="0"/>
          <w:color w:val="000000"/>
          <w:sz w:val="16"/>
        </w:rPr>
        <w:t>, vol. 22, no. 3, pp. 1–27, Sep. 2022, doi: 10.1145/3511886.</w:t>
      </w:r>
    </w:p>
    <w:p>
      <w:pPr>
        <w:widowControl/>
        <w:spacing w:after="40" w:before="0" w:line="240" w:lineRule="auto"/>
        <w:ind w:left="317" w:hanging="317"/>
        <w:jc w:val="both"/>
      </w:pPr>
      <w:r>
        <w:rPr>
          <w:rFonts w:ascii="Times New Roman" w:hAnsi="Times New Roman" w:eastAsia="Malgun Gothic"/>
          <w:b w:val="0"/>
          <w:i w:val="0"/>
          <w:color w:val="000000"/>
          <w:sz w:val="16"/>
        </w:rPr>
        <w:t>[19]</w:t>
        <w:tab/>
      </w:r>
      <w:r>
        <w:rPr>
          <w:rFonts w:ascii="Times New Roman" w:hAnsi="Times New Roman" w:eastAsia="Malgun Gothic"/>
          <w:b w:val="0"/>
          <w:i w:val="0"/>
          <w:color w:val="000000"/>
          <w:sz w:val="16"/>
        </w:rPr>
        <w:t xml:space="preserve">C. Tong and C. Ren, “Deep knowledge tracing and cognitive load estimation for personalized learning path generation using neural network architecture,” </w:t>
      </w:r>
      <w:r>
        <w:rPr>
          <w:rFonts w:ascii="Times New Roman" w:hAnsi="Times New Roman" w:eastAsia="Malgun Gothic"/>
          <w:b w:val="0"/>
          <w:i/>
          <w:color w:val="000000"/>
          <w:sz w:val="16"/>
        </w:rPr>
        <w:t>Scientific Reports</w:t>
      </w:r>
      <w:r>
        <w:rPr>
          <w:rFonts w:ascii="Times New Roman" w:hAnsi="Times New Roman" w:eastAsia="Malgun Gothic"/>
          <w:b w:val="0"/>
          <w:i w:val="0"/>
          <w:color w:val="000000"/>
          <w:sz w:val="16"/>
        </w:rPr>
        <w:t>, vol. 15, no. 1, Jul. 2025, doi: 10.1038/s41598-025-10497-x.</w:t>
      </w:r>
    </w:p>
    <w:p>
      <w:pPr>
        <w:widowControl/>
        <w:spacing w:after="40" w:before="0" w:line="240" w:lineRule="auto"/>
        <w:ind w:left="317" w:hanging="317"/>
        <w:jc w:val="both"/>
      </w:pPr>
      <w:r>
        <w:rPr>
          <w:rFonts w:ascii="Times New Roman" w:hAnsi="Times New Roman" w:eastAsia="Malgun Gothic"/>
          <w:b w:val="0"/>
          <w:i w:val="0"/>
          <w:color w:val="000000"/>
          <w:sz w:val="16"/>
        </w:rPr>
        <w:t>[20]</w:t>
        <w:tab/>
      </w:r>
      <w:r>
        <w:rPr>
          <w:rFonts w:ascii="Times New Roman" w:hAnsi="Times New Roman" w:eastAsia="Malgun Gothic"/>
          <w:b w:val="0"/>
          <w:i w:val="0"/>
          <w:color w:val="000000"/>
          <w:sz w:val="16"/>
        </w:rPr>
        <w:t xml:space="preserve">X. Jiang, B. Yang, and W. Liu, “DMAM: Difficulty-enhanced multi-view attention-based model for knowledge tracing,” </w:t>
      </w:r>
      <w:r>
        <w:rPr>
          <w:rFonts w:ascii="Times New Roman" w:hAnsi="Times New Roman" w:eastAsia="Malgun Gothic"/>
          <w:b w:val="0"/>
          <w:i/>
          <w:color w:val="000000"/>
          <w:sz w:val="16"/>
        </w:rPr>
        <w:t>Knowledge-Based Systems</w:t>
      </w:r>
      <w:r>
        <w:rPr>
          <w:rFonts w:ascii="Times New Roman" w:hAnsi="Times New Roman" w:eastAsia="Malgun Gothic"/>
          <w:b w:val="0"/>
          <w:i w:val="0"/>
          <w:color w:val="000000"/>
          <w:sz w:val="16"/>
        </w:rPr>
        <w:t>, vol. 324, p. 113736, Aug. 2025, doi: 10.1016/j.knosys.2025.113736.</w:t>
      </w:r>
    </w:p>
    <w:p>
      <w:pPr>
        <w:widowControl/>
        <w:spacing w:after="40" w:before="0" w:line="240" w:lineRule="auto"/>
        <w:ind w:left="317" w:hanging="317"/>
        <w:jc w:val="both"/>
      </w:pPr>
      <w:r>
        <w:rPr>
          <w:rFonts w:ascii="Times New Roman" w:hAnsi="Times New Roman" w:eastAsia="Malgun Gothic"/>
          <w:b w:val="0"/>
          <w:i w:val="0"/>
          <w:color w:val="000000"/>
          <w:sz w:val="16"/>
        </w:rPr>
        <w:t>[21]</w:t>
        <w:tab/>
      </w:r>
      <w:r>
        <w:rPr>
          <w:rFonts w:ascii="Times New Roman" w:hAnsi="Times New Roman" w:eastAsia="Malgun Gothic"/>
          <w:b w:val="0"/>
          <w:i w:val="0"/>
          <w:color w:val="000000"/>
          <w:sz w:val="16"/>
        </w:rPr>
        <w:t xml:space="preserve">L. Qian, K. Zheng, L. Wang, and S. Li, “Student state-aware knowledge tracing based on attention mechanism: A cognitive theory view,” </w:t>
      </w:r>
      <w:r>
        <w:rPr>
          <w:rFonts w:ascii="Times New Roman" w:hAnsi="Times New Roman" w:eastAsia="Malgun Gothic"/>
          <w:b w:val="0"/>
          <w:i/>
          <w:color w:val="000000"/>
          <w:sz w:val="16"/>
        </w:rPr>
        <w:t>Pattern Recognition Letters</w:t>
      </w:r>
      <w:r>
        <w:rPr>
          <w:rFonts w:ascii="Times New Roman" w:hAnsi="Times New Roman" w:eastAsia="Malgun Gothic"/>
          <w:b w:val="0"/>
          <w:i w:val="0"/>
          <w:color w:val="000000"/>
          <w:sz w:val="16"/>
        </w:rPr>
        <w:t>, vol. 184, pp. 190–196, Aug. 2024, doi: 10.1016/j.patrec.2024.06.009.</w:t>
      </w:r>
    </w:p>
    <w:p>
      <w:pPr>
        <w:widowControl/>
        <w:spacing w:after="40" w:before="0" w:line="240" w:lineRule="auto"/>
        <w:ind w:left="317" w:hanging="317"/>
        <w:jc w:val="both"/>
      </w:pPr>
      <w:r>
        <w:rPr>
          <w:rFonts w:ascii="Times New Roman" w:hAnsi="Times New Roman" w:eastAsia="Malgun Gothic"/>
          <w:b w:val="0"/>
          <w:i w:val="0"/>
          <w:color w:val="000000"/>
          <w:sz w:val="16"/>
        </w:rPr>
        <w:t>[22]</w:t>
        <w:tab/>
      </w:r>
      <w:r>
        <w:rPr>
          <w:rFonts w:ascii="Times New Roman" w:hAnsi="Times New Roman" w:eastAsia="Malgun Gothic"/>
          <w:b w:val="0"/>
          <w:i w:val="0"/>
          <w:color w:val="000000"/>
          <w:sz w:val="16"/>
        </w:rPr>
        <w:t xml:space="preserve">F. Wang, Q. Liu, E. Chen, Z. Huang, Y. Yin, S. Wang, and Y. Su, “NeuralCD: A general framework for cognitive diagnosis,” </w:t>
      </w:r>
      <w:r>
        <w:rPr>
          <w:rFonts w:ascii="Times New Roman" w:hAnsi="Times New Roman" w:eastAsia="Malgun Gothic"/>
          <w:b w:val="0"/>
          <w:i/>
          <w:color w:val="000000"/>
          <w:sz w:val="16"/>
        </w:rPr>
        <w:t>IEEE Transactions on Knowledge and Data Engineering</w:t>
      </w:r>
      <w:r>
        <w:rPr>
          <w:rFonts w:ascii="Times New Roman" w:hAnsi="Times New Roman" w:eastAsia="Malgun Gothic"/>
          <w:b w:val="0"/>
          <w:i w:val="0"/>
          <w:color w:val="000000"/>
          <w:sz w:val="16"/>
        </w:rPr>
        <w:t>, vol. 35, no. 8, pp. 8312–8327, Aug. 2023, doi: 10.1109/TKDE.2022.3201037.</w:t>
      </w:r>
    </w:p>
    <w:p>
      <w:pPr>
        <w:widowControl/>
        <w:spacing w:after="40" w:before="0" w:line="240" w:lineRule="auto"/>
        <w:ind w:left="317" w:hanging="317"/>
        <w:jc w:val="both"/>
      </w:pPr>
      <w:r>
        <w:rPr>
          <w:rFonts w:ascii="Times New Roman" w:hAnsi="Times New Roman" w:eastAsia="Malgun Gothic"/>
          <w:b w:val="0"/>
          <w:i w:val="0"/>
          <w:color w:val="000000"/>
          <w:sz w:val="16"/>
        </w:rPr>
        <w:t>[23]</w:t>
        <w:tab/>
      </w:r>
      <w:r>
        <w:rPr>
          <w:rFonts w:ascii="Times New Roman" w:hAnsi="Times New Roman" w:eastAsia="Malgun Gothic"/>
          <w:b w:val="0"/>
          <w:i w:val="0"/>
          <w:color w:val="000000"/>
          <w:sz w:val="16"/>
        </w:rPr>
        <w:t xml:space="preserve">T. Huang, J. Geng, H. Yang, S. Hu, X. Ou, J. Hu, and Z. Yang, “Interpretable neuro-cognitive diagnostic approach incorporating multidimensional features,” </w:t>
      </w:r>
      <w:r>
        <w:rPr>
          <w:rFonts w:ascii="Times New Roman" w:hAnsi="Times New Roman" w:eastAsia="Malgun Gothic"/>
          <w:b w:val="0"/>
          <w:i/>
          <w:color w:val="000000"/>
          <w:sz w:val="16"/>
        </w:rPr>
        <w:t>Knowledge-Based Systems</w:t>
      </w:r>
      <w:r>
        <w:rPr>
          <w:rFonts w:ascii="Times New Roman" w:hAnsi="Times New Roman" w:eastAsia="Malgun Gothic"/>
          <w:b w:val="0"/>
          <w:i w:val="0"/>
          <w:color w:val="000000"/>
          <w:sz w:val="16"/>
        </w:rPr>
        <w:t>, vol. 304, p. 112432, Nov. 2024, doi: 10.1016/j.knosys.2024.112432.</w:t>
      </w:r>
    </w:p>
    <w:p>
      <w:pPr>
        <w:widowControl/>
        <w:spacing w:after="40" w:before="0" w:line="240" w:lineRule="auto"/>
        <w:ind w:left="317" w:hanging="317"/>
        <w:jc w:val="both"/>
      </w:pPr>
      <w:r>
        <w:rPr>
          <w:rFonts w:ascii="Times New Roman" w:hAnsi="Times New Roman" w:eastAsia="Malgun Gothic"/>
          <w:b w:val="0"/>
          <w:i w:val="0"/>
          <w:color w:val="000000"/>
          <w:sz w:val="16"/>
        </w:rPr>
        <w:t>[24]</w:t>
        <w:tab/>
      </w:r>
      <w:r>
        <w:rPr>
          <w:rFonts w:ascii="Times New Roman" w:hAnsi="Times New Roman" w:eastAsia="Malgun Gothic"/>
          <w:b w:val="0"/>
          <w:i w:val="0"/>
          <w:color w:val="000000"/>
          <w:sz w:val="16"/>
        </w:rPr>
        <w:t xml:space="preserve">J. Song, K. Lim, and J. Park, “Enriching the Korean learner corpus for grammatical error correction and writing assessment,” </w:t>
      </w:r>
      <w:r>
        <w:rPr>
          <w:rFonts w:ascii="Times New Roman" w:hAnsi="Times New Roman" w:eastAsia="Malgun Gothic"/>
          <w:b w:val="0"/>
          <w:i/>
          <w:color w:val="000000"/>
          <w:sz w:val="16"/>
        </w:rPr>
        <w:t>Language Resources and Evaluation</w:t>
      </w:r>
      <w:r>
        <w:rPr>
          <w:rFonts w:ascii="Times New Roman" w:hAnsi="Times New Roman" w:eastAsia="Malgun Gothic"/>
          <w:b w:val="0"/>
          <w:i w:val="0"/>
          <w:color w:val="000000"/>
          <w:sz w:val="16"/>
        </w:rPr>
        <w:t>, vol. 60, no. 1, Mar. 2026, doi: 10.1007/s10579-025-09882-9.</w:t>
      </w:r>
    </w:p>
    <w:p>
      <w:pPr>
        <w:widowControl/>
        <w:spacing w:after="40" w:before="0" w:line="240" w:lineRule="auto"/>
        <w:ind w:left="317" w:hanging="317"/>
        <w:jc w:val="both"/>
      </w:pPr>
      <w:r>
        <w:rPr>
          <w:rFonts w:ascii="Times New Roman" w:hAnsi="Times New Roman" w:eastAsia="Malgun Gothic"/>
          <w:b w:val="0"/>
          <w:i w:val="0"/>
          <w:color w:val="000000"/>
          <w:sz w:val="16"/>
        </w:rPr>
        <w:t>[25]</w:t>
        <w:tab/>
      </w:r>
      <w:r>
        <w:rPr>
          <w:rFonts w:ascii="Times New Roman" w:hAnsi="Times New Roman" w:eastAsia="Malgun Gothic"/>
          <w:b w:val="0"/>
          <w:i w:val="0"/>
          <w:color w:val="000000"/>
          <w:sz w:val="16"/>
        </w:rPr>
        <w:t xml:space="preserve">J. Chun and M. H. Kim, “Corpus-informed application based on Korean Learners’ Corpus: Substitution errors of topic and nominative markers,” </w:t>
      </w:r>
      <w:r>
        <w:rPr>
          <w:rFonts w:ascii="Times New Roman" w:hAnsi="Times New Roman" w:eastAsia="Malgun Gothic"/>
          <w:b w:val="0"/>
          <w:i/>
          <w:color w:val="000000"/>
          <w:sz w:val="16"/>
        </w:rPr>
        <w:t>Asian-Pacific Journal of Second and Foreign Language Education</w:t>
      </w:r>
      <w:r>
        <w:rPr>
          <w:rFonts w:ascii="Times New Roman" w:hAnsi="Times New Roman" w:eastAsia="Malgun Gothic"/>
          <w:b w:val="0"/>
          <w:i w:val="0"/>
          <w:color w:val="000000"/>
          <w:sz w:val="16"/>
        </w:rPr>
        <w:t>, vol. 6, no. 1, Dec. 2021, doi: 10.1186/s40862-021-00112-7.</w:t>
      </w:r>
    </w:p>
    <w:p>
      <w:pPr>
        <w:widowControl/>
        <w:spacing w:after="40" w:before="0" w:line="240" w:lineRule="auto"/>
        <w:ind w:left="317" w:hanging="317"/>
        <w:jc w:val="both"/>
      </w:pPr>
      <w:r>
        <w:rPr>
          <w:rFonts w:ascii="Times New Roman" w:hAnsi="Times New Roman" w:eastAsia="Malgun Gothic"/>
          <w:b w:val="0"/>
          <w:i w:val="0"/>
          <w:color w:val="000000"/>
          <w:sz w:val="16"/>
        </w:rPr>
        <w:t>[26]</w:t>
        <w:tab/>
      </w:r>
      <w:r>
        <w:rPr>
          <w:rFonts w:ascii="Times New Roman" w:hAnsi="Times New Roman" w:eastAsia="Malgun Gothic"/>
          <w:b w:val="0"/>
          <w:i w:val="0"/>
          <w:color w:val="000000"/>
          <w:sz w:val="16"/>
        </w:rPr>
        <w:t xml:space="preserve">H. Yu, Y. Cho, G. Park, and M. Kim, “KRongBERT: Enhanced factorization-based morphological approach for the Korean pretrained language model,” </w:t>
      </w:r>
      <w:r>
        <w:rPr>
          <w:rFonts w:ascii="Times New Roman" w:hAnsi="Times New Roman" w:eastAsia="Malgun Gothic"/>
          <w:b w:val="0"/>
          <w:i/>
          <w:color w:val="000000"/>
          <w:sz w:val="16"/>
        </w:rPr>
        <w:t>Information Processing &amp; Management</w:t>
      </w:r>
      <w:r>
        <w:rPr>
          <w:rFonts w:ascii="Times New Roman" w:hAnsi="Times New Roman" w:eastAsia="Malgun Gothic"/>
          <w:b w:val="0"/>
          <w:i w:val="0"/>
          <w:color w:val="000000"/>
          <w:sz w:val="16"/>
        </w:rPr>
        <w:t>, vol. 62, no. 3, p. 104072, May 2025, doi: 10.1016/j.ipm.2025.104072.</w:t>
      </w:r>
    </w:p>
    <w:p>
      <w:pPr>
        <w:widowControl/>
        <w:spacing w:after="40" w:before="0" w:line="240" w:lineRule="auto"/>
        <w:ind w:left="317" w:hanging="317"/>
        <w:jc w:val="both"/>
      </w:pPr>
      <w:r>
        <w:rPr>
          <w:rFonts w:ascii="Times New Roman" w:hAnsi="Times New Roman" w:eastAsia="Malgun Gothic"/>
          <w:b w:val="0"/>
          <w:i w:val="0"/>
          <w:color w:val="000000"/>
          <w:sz w:val="16"/>
        </w:rPr>
        <w:t>[27]</w:t>
        <w:tab/>
      </w:r>
      <w:r>
        <w:rPr>
          <w:rFonts w:ascii="Times New Roman" w:hAnsi="Times New Roman" w:eastAsia="Malgun Gothic"/>
          <w:b w:val="0"/>
          <w:i w:val="0"/>
          <w:color w:val="000000"/>
          <w:sz w:val="16"/>
        </w:rPr>
        <w:t xml:space="preserve">R. C. Wilson, A. Shenhav, M. Straccia, and J. D. Cohen, “The eighty five percent rule for optimal learning,” </w:t>
      </w:r>
      <w:r>
        <w:rPr>
          <w:rFonts w:ascii="Times New Roman" w:hAnsi="Times New Roman" w:eastAsia="Malgun Gothic"/>
          <w:b w:val="0"/>
          <w:i/>
          <w:color w:val="000000"/>
          <w:sz w:val="16"/>
        </w:rPr>
        <w:t>Nature Communications</w:t>
      </w:r>
      <w:r>
        <w:rPr>
          <w:rFonts w:ascii="Times New Roman" w:hAnsi="Times New Roman" w:eastAsia="Malgun Gothic"/>
          <w:b w:val="0"/>
          <w:i w:val="0"/>
          <w:color w:val="000000"/>
          <w:sz w:val="16"/>
        </w:rPr>
        <w:t>, vol. 10, no. 1, Nov. 2019, doi: 10.1038/s41467-019-12552-4.</w:t>
      </w:r>
    </w:p>
    <w:p>
      <w:pPr>
        <w:widowControl/>
        <w:spacing w:after="40" w:before="0" w:line="240" w:lineRule="auto"/>
        <w:ind w:left="317" w:hanging="317"/>
        <w:jc w:val="both"/>
      </w:pPr>
      <w:r>
        <w:rPr>
          <w:rFonts w:ascii="Times New Roman" w:hAnsi="Times New Roman" w:eastAsia="Malgun Gothic"/>
          <w:b w:val="0"/>
          <w:i w:val="0"/>
          <w:color w:val="000000"/>
          <w:sz w:val="16"/>
        </w:rPr>
        <w:t>[28]</w:t>
        <w:tab/>
      </w:r>
      <w:r>
        <w:rPr>
          <w:rFonts w:ascii="Times New Roman" w:hAnsi="Times New Roman" w:eastAsia="Malgun Gothic"/>
          <w:b w:val="0"/>
          <w:i w:val="0"/>
          <w:color w:val="000000"/>
          <w:sz w:val="16"/>
        </w:rPr>
        <w:t xml:space="preserve">B. Settles and B. Meeder, “A trainable spaced repetition model for language learning,” in </w:t>
      </w:r>
      <w:r>
        <w:rPr>
          <w:rFonts w:ascii="Times New Roman" w:hAnsi="Times New Roman" w:eastAsia="Malgun Gothic"/>
          <w:b w:val="0"/>
          <w:i/>
          <w:color w:val="000000"/>
          <w:sz w:val="16"/>
        </w:rPr>
        <w:t>Proc. 54th Annu. Meeting Assoc. Comput. Linguistics (ACL)</w:t>
      </w:r>
      <w:r>
        <w:rPr>
          <w:rFonts w:ascii="Times New Roman" w:hAnsi="Times New Roman" w:eastAsia="Malgun Gothic"/>
          <w:b w:val="0"/>
          <w:i w:val="0"/>
          <w:color w:val="000000"/>
          <w:sz w:val="16"/>
        </w:rPr>
        <w:t>, Berlin, Germany, 2016, pp. 1848–1858, doi: 10.18653/v1/P16-1174.</w:t>
      </w:r>
    </w:p>
    <w:p>
      <w:pPr>
        <w:widowControl/>
        <w:spacing w:after="40" w:before="0" w:line="240" w:lineRule="auto"/>
        <w:ind w:left="317" w:hanging="317"/>
        <w:jc w:val="both"/>
      </w:pPr>
      <w:r>
        <w:rPr>
          <w:rFonts w:ascii="Times New Roman" w:hAnsi="Times New Roman" w:eastAsia="Malgun Gothic"/>
          <w:b w:val="0"/>
          <w:i w:val="0"/>
          <w:color w:val="000000"/>
          <w:sz w:val="16"/>
        </w:rPr>
        <w:t>[29]</w:t>
        <w:tab/>
      </w:r>
      <w:r>
        <w:rPr>
          <w:rFonts w:ascii="Times New Roman" w:hAnsi="Times New Roman" w:eastAsia="Malgun Gothic"/>
          <w:b w:val="0"/>
          <w:i w:val="0"/>
          <w:color w:val="000000"/>
          <w:sz w:val="16"/>
        </w:rPr>
        <w:t xml:space="preserve">D. R. Thomas, C. Borchers, S. Bhushan, E. Gatz, S. Gupta, and K. R. Koedinger, “LLM-generated feedback supports learning if learners choose to use it,” in </w:t>
      </w:r>
      <w:r>
        <w:rPr>
          <w:rFonts w:ascii="Times New Roman" w:hAnsi="Times New Roman" w:eastAsia="Malgun Gothic"/>
          <w:b w:val="0"/>
          <w:i/>
          <w:color w:val="000000"/>
          <w:sz w:val="16"/>
        </w:rPr>
        <w:t>Lecture Notes in Computer Science</w:t>
      </w:r>
      <w:r>
        <w:rPr>
          <w:rFonts w:ascii="Times New Roman" w:hAnsi="Times New Roman" w:eastAsia="Malgun Gothic"/>
          <w:b w:val="0"/>
          <w:i w:val="0"/>
          <w:color w:val="000000"/>
          <w:sz w:val="16"/>
        </w:rPr>
        <w:t>, vol. 16063, Cham, Switzerland: Springer, 2026, doi: 10.1007/978-3-032-03870-8_33.</w:t>
      </w:r>
    </w:p>
    <w:p>
      <w:pPr>
        <w:widowControl/>
        <w:spacing w:after="40" w:before="0" w:line="240" w:lineRule="auto"/>
        <w:ind w:left="317" w:hanging="317"/>
        <w:jc w:val="both"/>
      </w:pPr>
      <w:r>
        <w:rPr>
          <w:rFonts w:ascii="Times New Roman" w:hAnsi="Times New Roman" w:eastAsia="Malgun Gothic"/>
          <w:b w:val="0"/>
          <w:i w:val="0"/>
          <w:color w:val="000000"/>
          <w:sz w:val="16"/>
        </w:rPr>
        <w:t>[30]</w:t>
        <w:tab/>
      </w:r>
      <w:r>
        <w:rPr>
          <w:rFonts w:ascii="Times New Roman" w:hAnsi="Times New Roman" w:eastAsia="Malgun Gothic"/>
          <w:b w:val="0"/>
          <w:i w:val="0"/>
          <w:color w:val="000000"/>
          <w:sz w:val="16"/>
        </w:rPr>
        <w:t xml:space="preserve">A. Pack, A. Barrett, and J. Escalante, “Large language models and automated essay scoring of English language learner writing: Insights into validity and reliability,” </w:t>
      </w:r>
      <w:r>
        <w:rPr>
          <w:rFonts w:ascii="Times New Roman" w:hAnsi="Times New Roman" w:eastAsia="Malgun Gothic"/>
          <w:b w:val="0"/>
          <w:i/>
          <w:color w:val="000000"/>
          <w:sz w:val="16"/>
        </w:rPr>
        <w:t>Computers and Education: Artificial Intelligence</w:t>
      </w:r>
      <w:r>
        <w:rPr>
          <w:rFonts w:ascii="Times New Roman" w:hAnsi="Times New Roman" w:eastAsia="Malgun Gothic"/>
          <w:b w:val="0"/>
          <w:i w:val="0"/>
          <w:color w:val="000000"/>
          <w:sz w:val="16"/>
        </w:rPr>
        <w:t>, vol. 6, p. 100234, Jun. 2024, doi: 10.1016/j.caeai.2024.100234.</w:t>
      </w:r>
    </w:p>
    <w:p>
      <w:pPr>
        <w:widowControl/>
        <w:spacing w:after="40" w:before="0" w:line="240" w:lineRule="auto"/>
        <w:ind w:left="317" w:hanging="317"/>
        <w:jc w:val="both"/>
      </w:pPr>
      <w:r>
        <w:rPr>
          <w:rFonts w:ascii="Times New Roman" w:hAnsi="Times New Roman" w:eastAsia="Malgun Gothic"/>
          <w:b w:val="0"/>
          <w:i w:val="0"/>
          <w:color w:val="000000"/>
          <w:sz w:val="16"/>
        </w:rPr>
        <w:t>[31]</w:t>
        <w:tab/>
      </w:r>
      <w:r>
        <w:rPr>
          <w:rFonts w:ascii="Times New Roman" w:hAnsi="Times New Roman" w:eastAsia="Malgun Gothic"/>
          <w:b w:val="0"/>
          <w:i w:val="0"/>
          <w:color w:val="000000"/>
          <w:sz w:val="16"/>
        </w:rPr>
        <w:t xml:space="preserve">S. Crossley, L. Holmes, and W. Morris, “Assessing the reliability and validity of large language models in automatic essay scoring,” </w:t>
      </w:r>
      <w:r>
        <w:rPr>
          <w:rFonts w:ascii="Times New Roman" w:hAnsi="Times New Roman" w:eastAsia="Malgun Gothic"/>
          <w:b w:val="0"/>
          <w:i/>
          <w:color w:val="000000"/>
          <w:sz w:val="16"/>
        </w:rPr>
        <w:t>Assessing Writing</w:t>
      </w:r>
      <w:r>
        <w:rPr>
          <w:rFonts w:ascii="Times New Roman" w:hAnsi="Times New Roman" w:eastAsia="Malgun Gothic"/>
          <w:b w:val="0"/>
          <w:i w:val="0"/>
          <w:color w:val="000000"/>
          <w:sz w:val="16"/>
        </w:rPr>
        <w:t>, vol. 69, p. 101082, Jul. 2026, doi: 10.1016/j.asw.2026.101082.</w:t>
      </w:r>
    </w:p>
    <w:p>
      <w:pPr>
        <w:widowControl/>
        <w:spacing w:after="40" w:before="0" w:line="240" w:lineRule="auto"/>
        <w:ind w:left="317" w:hanging="317"/>
        <w:jc w:val="both"/>
      </w:pPr>
      <w:r>
        <w:rPr>
          <w:rFonts w:ascii="Times New Roman" w:hAnsi="Times New Roman" w:eastAsia="Malgun Gothic"/>
          <w:b w:val="0"/>
          <w:i w:val="0"/>
          <w:color w:val="000000"/>
          <w:sz w:val="16"/>
        </w:rPr>
        <w:t>[32]</w:t>
        <w:tab/>
      </w:r>
      <w:r>
        <w:rPr>
          <w:rFonts w:ascii="Times New Roman" w:hAnsi="Times New Roman" w:eastAsia="Malgun Gothic"/>
          <w:b w:val="0"/>
          <w:i w:val="0"/>
          <w:color w:val="000000"/>
          <w:sz w:val="16"/>
        </w:rPr>
        <w:t xml:space="preserve">F. Aydın and H. Yurdugül, “Tutoring model for intelligent tutoring systems: Adaptive instructional scaffoldings based on experiences of the learner digital twin,” </w:t>
      </w:r>
      <w:r>
        <w:rPr>
          <w:rFonts w:ascii="Times New Roman" w:hAnsi="Times New Roman" w:eastAsia="Malgun Gothic"/>
          <w:b w:val="0"/>
          <w:i/>
          <w:color w:val="000000"/>
          <w:sz w:val="16"/>
        </w:rPr>
        <w:t>Technology, Knowledge and Learning</w:t>
      </w:r>
      <w:r>
        <w:rPr>
          <w:rFonts w:ascii="Times New Roman" w:hAnsi="Times New Roman" w:eastAsia="Malgun Gothic"/>
          <w:b w:val="0"/>
          <w:i w:val="0"/>
          <w:color w:val="000000"/>
          <w:sz w:val="16"/>
        </w:rPr>
        <w:t>, Oct. 2026, doi: 10.1007/s10758-026-10039-y.</w:t>
      </w:r>
    </w:p>
    <w:p>
      <w:pPr>
        <w:widowControl/>
        <w:spacing w:after="40" w:before="0" w:line="240" w:lineRule="auto"/>
        <w:ind w:left="317" w:hanging="317"/>
        <w:jc w:val="both"/>
      </w:pPr>
      <w:r>
        <w:rPr>
          <w:rFonts w:ascii="Times New Roman" w:hAnsi="Times New Roman" w:eastAsia="Malgun Gothic"/>
          <w:b w:val="0"/>
          <w:i w:val="0"/>
          <w:color w:val="000000"/>
          <w:sz w:val="16"/>
        </w:rPr>
        <w:t>[33]</w:t>
        <w:tab/>
      </w:r>
      <w:r>
        <w:rPr>
          <w:rFonts w:ascii="Times New Roman" w:hAnsi="Times New Roman" w:eastAsia="Malgun Gothic"/>
          <w:b w:val="0"/>
          <w:i w:val="0"/>
          <w:color w:val="000000"/>
          <w:sz w:val="16"/>
        </w:rPr>
        <w:t xml:space="preserve">B. Hu, Y. Ma, Z. Liu, and H. Wang, “A social importance and category enhanced cold-start user recommendation system,” </w:t>
      </w:r>
      <w:r>
        <w:rPr>
          <w:rFonts w:ascii="Times New Roman" w:hAnsi="Times New Roman" w:eastAsia="Malgun Gothic"/>
          <w:b w:val="0"/>
          <w:i/>
          <w:color w:val="000000"/>
          <w:sz w:val="16"/>
        </w:rPr>
        <w:t>Expert Systems with Applications</w:t>
      </w:r>
      <w:r>
        <w:rPr>
          <w:rFonts w:ascii="Times New Roman" w:hAnsi="Times New Roman" w:eastAsia="Malgun Gothic"/>
          <w:b w:val="0"/>
          <w:i w:val="0"/>
          <w:color w:val="000000"/>
          <w:sz w:val="16"/>
        </w:rPr>
        <w:t>, vol. 277, p. 127130, Jun. 2025, doi: 10.1016/j.eswa.2025.127130.</w:t>
      </w:r>
    </w:p>
    <w:p>
      <w:pPr>
        <w:widowControl/>
        <w:spacing w:after="40" w:before="0" w:line="240" w:lineRule="auto"/>
        <w:ind w:left="317" w:hanging="317"/>
        <w:jc w:val="both"/>
      </w:pPr>
      <w:r>
        <w:rPr>
          <w:rFonts w:ascii="Times New Roman" w:hAnsi="Times New Roman" w:eastAsia="Malgun Gothic"/>
          <w:b w:val="0"/>
          <w:i w:val="0"/>
          <w:color w:val="000000"/>
          <w:sz w:val="16"/>
        </w:rPr>
        <w:t>[34]</w:t>
        <w:tab/>
      </w:r>
      <w:r>
        <w:rPr>
          <w:rFonts w:ascii="Times New Roman" w:hAnsi="Times New Roman" w:eastAsia="Malgun Gothic"/>
          <w:b w:val="0"/>
          <w:i w:val="0"/>
          <w:color w:val="000000"/>
          <w:sz w:val="16"/>
        </w:rPr>
        <w:t>LG AI Research, “EXAONE 4.0: Unified large language models integrating non-reasoning and reasoning modes,” LG AI Research, Seoul, South Korea, Tech. Rep., 2025.</w:t>
      </w:r>
    </w:p>
    <w:p>
      <w:pPr>
        <w:widowControl/>
        <w:spacing w:after="40" w:before="0" w:line="240" w:lineRule="auto"/>
        <w:ind w:left="317" w:hanging="317"/>
        <w:jc w:val="both"/>
      </w:pPr>
      <w:r>
        <w:rPr>
          <w:rFonts w:ascii="Times New Roman" w:hAnsi="Times New Roman" w:eastAsia="Malgun Gothic"/>
          <w:b w:val="0"/>
          <w:i w:val="0"/>
          <w:color w:val="000000"/>
          <w:sz w:val="16"/>
        </w:rPr>
        <w:t>[35]</w:t>
        <w:tab/>
      </w:r>
      <w:r>
        <w:rPr>
          <w:rFonts w:ascii="Times New Roman" w:hAnsi="Times New Roman" w:eastAsia="Malgun Gothic"/>
          <w:b w:val="0"/>
          <w:i w:val="0"/>
          <w:color w:val="000000"/>
          <w:sz w:val="16"/>
        </w:rPr>
        <w:t>Qwen Team, “Qwen3 technical report,” Alibaba Group, Hangzhou, China, Tech. Rep., 2025.</w:t>
      </w:r>
    </w:p>
    <w:p>
      <w:pPr>
        <w:widowControl/>
        <w:spacing w:after="40" w:before="0" w:line="240" w:lineRule="auto"/>
        <w:ind w:left="317" w:hanging="317"/>
        <w:jc w:val="both"/>
      </w:pPr>
      <w:r>
        <w:rPr>
          <w:rFonts w:ascii="Times New Roman" w:hAnsi="Times New Roman" w:eastAsia="Malgun Gothic"/>
          <w:b w:val="0"/>
          <w:i w:val="0"/>
          <w:color w:val="000000"/>
          <w:sz w:val="16"/>
        </w:rPr>
        <w:t>[36]</w:t>
        <w:tab/>
      </w:r>
      <w:r>
        <w:rPr>
          <w:rFonts w:ascii="Times New Roman" w:hAnsi="Times New Roman" w:eastAsia="Malgun Gothic"/>
          <w:b w:val="0"/>
          <w:i w:val="0"/>
          <w:color w:val="000000"/>
          <w:sz w:val="16"/>
        </w:rPr>
        <w:t xml:space="preserve">S. Park, J. Moon, S. Kim, W. I. Cho, J. Han, J. Park, C. Song, J. Kim, Y. Song, T. Oh, J. Lee, J. Oh, S. Lyu, Y. Jeong, I. Lee, S. Seo, D. Lee, H. Kim, M. Lee, S. Jang, S. Do, S. Kim, K. Lim, J. Lee, K. Park, J. Shin, S. Kim, L. Park, A. Oh, J.-W. Ha, and K. Cho, “KLUE: Korean language understanding evaluation,” in </w:t>
      </w:r>
      <w:r>
        <w:rPr>
          <w:rFonts w:ascii="Times New Roman" w:hAnsi="Times New Roman" w:eastAsia="Malgun Gothic"/>
          <w:b w:val="0"/>
          <w:i/>
          <w:color w:val="000000"/>
          <w:sz w:val="16"/>
        </w:rPr>
        <w:t>Proc. 35th Conf. Neural Information Processing Systems (NeurIPS) Datasets and Benchmarks Track</w:t>
      </w:r>
      <w:r>
        <w:rPr>
          <w:rFonts w:ascii="Times New Roman" w:hAnsi="Times New Roman" w:eastAsia="Malgun Gothic"/>
          <w:b w:val="0"/>
          <w:i w:val="0"/>
          <w:color w:val="000000"/>
          <w:sz w:val="16"/>
        </w:rPr>
        <w:t>, 2021.</w:t>
      </w:r>
    </w:p>
    <w:p>
      <w:pPr>
        <w:widowControl/>
        <w:spacing w:after="40" w:before="0" w:line="240" w:lineRule="auto"/>
        <w:ind w:left="317" w:hanging="317"/>
        <w:jc w:val="both"/>
      </w:pPr>
      <w:r>
        <w:rPr>
          <w:rFonts w:ascii="Times New Roman" w:hAnsi="Times New Roman" w:eastAsia="Malgun Gothic"/>
          <w:b w:val="0"/>
          <w:i w:val="0"/>
          <w:color w:val="000000"/>
          <w:sz w:val="16"/>
        </w:rPr>
        <w:t>[37]</w:t>
        <w:tab/>
      </w:r>
      <w:r>
        <w:rPr>
          <w:rFonts w:ascii="Times New Roman" w:hAnsi="Times New Roman" w:eastAsia="Malgun Gothic"/>
          <w:b w:val="0"/>
          <w:i w:val="0"/>
          <w:color w:val="000000"/>
          <w:sz w:val="16"/>
        </w:rPr>
        <w:t>Duolingo, Inc., “How Duolingo’s AI learns what you need to learn,” Duolingo Engineering Blog, 2023. [Online]. Available: https://blog.duolingo.com/duolingo-technology-innovations/. [Accessed: 18-Oct-2026].</w:t>
      </w:r>
    </w:p>
    <w:p>
      <w:pPr>
        <w:widowControl/>
        <w:spacing w:after="40" w:before="0" w:line="240" w:lineRule="auto"/>
        <w:ind w:left="317" w:hanging="317"/>
        <w:jc w:val="both"/>
      </w:pPr>
      <w:r>
        <w:rPr>
          <w:rFonts w:ascii="Times New Roman" w:hAnsi="Times New Roman" w:eastAsia="Malgun Gothic"/>
          <w:b w:val="0"/>
          <w:i w:val="0"/>
          <w:color w:val="000000"/>
          <w:sz w:val="16"/>
        </w:rPr>
        <w:t>[38]</w:t>
        <w:tab/>
      </w:r>
      <w:r>
        <w:rPr>
          <w:rFonts w:ascii="Times New Roman" w:hAnsi="Times New Roman" w:eastAsia="Malgun Gothic"/>
          <w:b w:val="0"/>
          <w:i w:val="0"/>
          <w:color w:val="000000"/>
          <w:sz w:val="16"/>
        </w:rPr>
        <w:t>Duolingo, Inc., “An overview of Duolingo English Test administration and scoring,” Duolingo, Pittsburgh, PA, USA, Tech. Rep., 2024. [Online]. Available: https://duolingo-papers.s3.amazonaws.com/reports/Duolingo_whitepaper_test_scoring_2024_v1.pdf.</w:t>
      </w:r>
    </w:p>
    <w:p>
      <w:pPr>
        <w:widowControl/>
        <w:spacing w:after="40" w:before="0" w:line="240" w:lineRule="auto"/>
        <w:ind w:left="317" w:hanging="317"/>
        <w:jc w:val="both"/>
      </w:pPr>
      <w:r>
        <w:rPr>
          <w:rFonts w:ascii="Times New Roman" w:hAnsi="Times New Roman" w:eastAsia="Malgun Gothic"/>
          <w:b w:val="0"/>
          <w:i w:val="0"/>
          <w:color w:val="000000"/>
          <w:sz w:val="16"/>
        </w:rPr>
        <w:t>[39]</w:t>
        <w:tab/>
      </w:r>
      <w:r>
        <w:rPr>
          <w:rFonts w:ascii="Times New Roman" w:hAnsi="Times New Roman" w:eastAsia="Malgun Gothic"/>
          <w:b w:val="0"/>
          <w:i w:val="0"/>
          <w:color w:val="000000"/>
          <w:sz w:val="16"/>
        </w:rPr>
        <w:t xml:space="preserve">E. Cosyn, H. Uzun, C. Doble, and J. Matayoshi, “A practical perspective on knowledge space theory: ALEKS and its data,” </w:t>
      </w:r>
      <w:r>
        <w:rPr>
          <w:rFonts w:ascii="Times New Roman" w:hAnsi="Times New Roman" w:eastAsia="Malgun Gothic"/>
          <w:b w:val="0"/>
          <w:i/>
          <w:color w:val="000000"/>
          <w:sz w:val="16"/>
        </w:rPr>
        <w:t>Journal of Mathematical Psychology</w:t>
      </w:r>
      <w:r>
        <w:rPr>
          <w:rFonts w:ascii="Times New Roman" w:hAnsi="Times New Roman" w:eastAsia="Malgun Gothic"/>
          <w:b w:val="0"/>
          <w:i w:val="0"/>
          <w:color w:val="000000"/>
          <w:sz w:val="16"/>
        </w:rPr>
        <w:t>, vol. 101, p. 102512, Apr. 2021, doi: 10.1016/j.jmp.2021.102512.</w:t>
      </w:r>
    </w:p>
    <w:p>
      <w:pPr>
        <w:widowControl/>
        <w:spacing w:after="40" w:before="0" w:line="240" w:lineRule="auto"/>
        <w:ind w:left="317" w:hanging="317"/>
        <w:jc w:val="both"/>
      </w:pPr>
      <w:r>
        <w:rPr>
          <w:rFonts w:ascii="Times New Roman" w:hAnsi="Times New Roman" w:eastAsia="Malgun Gothic"/>
          <w:b w:val="0"/>
          <w:i w:val="0"/>
          <w:color w:val="000000"/>
          <w:sz w:val="16"/>
        </w:rPr>
        <w:t>[40]</w:t>
        <w:tab/>
      </w:r>
      <w:r>
        <w:rPr>
          <w:rFonts w:ascii="Times New Roman" w:hAnsi="Times New Roman" w:eastAsia="Malgun Gothic"/>
          <w:b w:val="0"/>
          <w:i w:val="0"/>
          <w:color w:val="000000"/>
          <w:sz w:val="16"/>
        </w:rPr>
        <w:t xml:space="preserve">S. Klinkenberg, M. Straatemeier, and H. L. J. van der Maas, “Computer adaptive practice of maths ability using a new item response model for on the fly ability and difficulty estimation,” </w:t>
      </w:r>
      <w:r>
        <w:rPr>
          <w:rFonts w:ascii="Times New Roman" w:hAnsi="Times New Roman" w:eastAsia="Malgun Gothic"/>
          <w:b w:val="0"/>
          <w:i/>
          <w:color w:val="000000"/>
          <w:sz w:val="16"/>
        </w:rPr>
        <w:t>Computers &amp; Education</w:t>
      </w:r>
      <w:r>
        <w:rPr>
          <w:rFonts w:ascii="Times New Roman" w:hAnsi="Times New Roman" w:eastAsia="Malgun Gothic"/>
          <w:b w:val="0"/>
          <w:i w:val="0"/>
          <w:color w:val="000000"/>
          <w:sz w:val="16"/>
        </w:rPr>
        <w:t>, vol. 57, no. 2, pp. 1813–1824, Sep. 2011, doi: 10.1016/j.compedu.2011.02.003.</w:t>
      </w:r>
    </w:p>
    <w:p>
      <w:pPr>
        <w:widowControl/>
        <w:spacing w:after="40" w:before="0" w:line="240" w:lineRule="auto"/>
        <w:ind w:left="317" w:hanging="317"/>
        <w:jc w:val="both"/>
      </w:pPr>
      <w:r>
        <w:rPr>
          <w:rFonts w:ascii="Times New Roman" w:hAnsi="Times New Roman" w:eastAsia="Malgun Gothic"/>
          <w:b w:val="0"/>
          <w:i w:val="0"/>
          <w:color w:val="000000"/>
          <w:sz w:val="16"/>
        </w:rPr>
        <w:t>[41]</w:t>
        <w:tab/>
      </w:r>
      <w:r>
        <w:rPr>
          <w:rFonts w:ascii="Times New Roman" w:hAnsi="Times New Roman" w:eastAsia="Malgun Gothic"/>
          <w:b w:val="0"/>
          <w:i w:val="0"/>
          <w:color w:val="000000"/>
          <w:sz w:val="16"/>
        </w:rPr>
        <w:t>J. Ye and the Open Spaced Repetition community, “Free Spaced Repetition Scheduler (FSRS),” 2022. [Online]. Available: https://github.com/open-spaced-repetition. [Accessed: 18-Oct-2026].</w:t>
      </w:r>
    </w:p>
    <w:p>
      <w:pPr>
        <w:widowControl/>
        <w:spacing w:after="40" w:before="0" w:line="240" w:lineRule="auto"/>
        <w:ind w:left="317" w:hanging="317"/>
        <w:jc w:val="both"/>
      </w:pPr>
      <w:r>
        <w:rPr>
          <w:rFonts w:ascii="Times New Roman" w:hAnsi="Times New Roman" w:eastAsia="Malgun Gothic"/>
          <w:b w:val="0"/>
          <w:i w:val="0"/>
          <w:color w:val="000000"/>
          <w:sz w:val="16"/>
        </w:rPr>
        <w:t>[42]</w:t>
        <w:tab/>
      </w:r>
      <w:r>
        <w:rPr>
          <w:rFonts w:ascii="Times New Roman" w:hAnsi="Times New Roman" w:eastAsia="Malgun Gothic"/>
          <w:b w:val="0"/>
          <w:i w:val="0"/>
          <w:color w:val="000000"/>
          <w:sz w:val="16"/>
        </w:rPr>
        <w:t xml:space="preserve">C. Guo, G. Pleiss, Y. Sun, and K. Q. Weinberger, “On calibration of modern neural networks,” in </w:t>
      </w:r>
      <w:r>
        <w:rPr>
          <w:rFonts w:ascii="Times New Roman" w:hAnsi="Times New Roman" w:eastAsia="Malgun Gothic"/>
          <w:b w:val="0"/>
          <w:i/>
          <w:color w:val="000000"/>
          <w:sz w:val="16"/>
        </w:rPr>
        <w:t>Proc. 34th Int. Conf. Mach. Learn. (ICML)</w:t>
      </w:r>
      <w:r>
        <w:rPr>
          <w:rFonts w:ascii="Times New Roman" w:hAnsi="Times New Roman" w:eastAsia="Malgun Gothic"/>
          <w:b w:val="0"/>
          <w:i w:val="0"/>
          <w:color w:val="000000"/>
          <w:sz w:val="16"/>
        </w:rPr>
        <w:t>, Sydney, Australia, 2017, pp. 1321–1330.</w:t>
      </w:r>
    </w:p>
    <w:p>
      <w:pPr>
        <w:widowControl/>
        <w:spacing w:after="40" w:before="0" w:line="240" w:lineRule="auto"/>
        <w:ind w:left="317" w:hanging="317"/>
        <w:jc w:val="both"/>
      </w:pPr>
      <w:r>
        <w:rPr>
          <w:rFonts w:ascii="Times New Roman" w:hAnsi="Times New Roman" w:eastAsia="Malgun Gothic"/>
          <w:b w:val="0"/>
          <w:i w:val="0"/>
          <w:color w:val="000000"/>
          <w:sz w:val="16"/>
        </w:rPr>
        <w:t>[43]</w:t>
        <w:tab/>
      </w:r>
      <w:r>
        <w:rPr>
          <w:rFonts w:ascii="Times New Roman" w:hAnsi="Times New Roman" w:eastAsia="Malgun Gothic"/>
          <w:b w:val="0"/>
          <w:i w:val="0"/>
          <w:color w:val="000000"/>
          <w:sz w:val="16"/>
        </w:rPr>
        <w:t xml:space="preserve">V. Kuleshov, N. Fenner, and S. Ermon, “Accurate uncertainties for deep learning using calibrated regression,” in </w:t>
      </w:r>
      <w:r>
        <w:rPr>
          <w:rFonts w:ascii="Times New Roman" w:hAnsi="Times New Roman" w:eastAsia="Malgun Gothic"/>
          <w:b w:val="0"/>
          <w:i/>
          <w:color w:val="000000"/>
          <w:sz w:val="16"/>
        </w:rPr>
        <w:t>Proc. 35th Int. Conf. Mach. Learn. (ICML)</w:t>
      </w:r>
      <w:r>
        <w:rPr>
          <w:rFonts w:ascii="Times New Roman" w:hAnsi="Times New Roman" w:eastAsia="Malgun Gothic"/>
          <w:b w:val="0"/>
          <w:i w:val="0"/>
          <w:color w:val="000000"/>
          <w:sz w:val="16"/>
        </w:rPr>
        <w:t>, Stockholm, Sweden, 2018, pp. 2801–2809.</w:t>
      </w:r>
    </w:p>
    <w:sectPr w:rsidR="00FC693F" w:rsidRPr="0006063C" w:rsidSect="00034616">
      <w:type w:val="continuous"/>
      <w:pgSz w:w="12240" w:h="15840"/>
      <w:pgMar w:top="1080" w:right="900" w:bottom="1440" w:left="900"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