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three novelties: a Generate–Calibrate–Select loop that makes a newly generated item immediately usable by seeding its psychometric prior from a text encoder; misconception-conditioned distractors that turn each wrong answer into a specific diagnosis rather than an undifferentiated error; and an uncertainty-gated escalation policy that spends expensive model capacity only where measurement is least certain.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Three architectural novelties, set out in Section IV, that together address the calibration, diagnosis, and cost problems that the gap analysis identifies.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IV-C,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four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Generation and calibration are studied separately. The item generation literature produces items and evaluates their surface quality [5], [6], [10]. The psychometric literature calibrates items and assumes they already exist [11], [13]. No published system treats generation and calibration as a single loop, which is what an on-demand item pool requires. The consequence is that generative systems either fall back on the LLM's own unreliable difficulty judgement [12] or forgo adaptivity.</w:t>
      </w:r>
    </w:p>
    <w:p>
      <w:pPr>
        <w:widowControl/>
        <w:spacing w:after="60" w:before="0" w:line="240" w:lineRule="auto"/>
        <w:ind w:firstLine="245"/>
        <w:jc w:val="both"/>
      </w:pPr>
      <w:r>
        <w:rPr>
          <w:rFonts w:ascii="Times New Roman" w:hAnsi="Times New Roman" w:eastAsia="Malgun Gothic"/>
          <w:b w:val="0"/>
          <w:i w:val="0"/>
          <w:color w:val="000000"/>
          <w:sz w:val="20"/>
        </w:rPr>
        <w:t>G2.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G3.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G4.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5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the same paper [15],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5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Motivating simulation: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IV-C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And its hybrid design, offering both a fast non-reasoning mode and a slower reasoning mode, maps unusually well onto the escalation policy we describe in Section IV-D. The main caveat is licensing: EXAONE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is the hinge on which the first novelty turns.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(KLUE-RoBERTa),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The Generate–Calibrate–Select Loop</w:t>
      </w:r>
    </w:p>
    <w:p>
      <w:pPr>
        <w:widowControl/>
        <w:spacing w:after="60" w:before="0" w:line="240" w:lineRule="auto"/>
        <w:jc w:val="both"/>
      </w:pPr>
      <w:r>
        <w:rPr>
          <w:rFonts w:ascii="Times New Roman" w:hAnsi="Times New Roman" w:eastAsia="Malgun Gothic"/>
          <w:b w:val="0"/>
          <w:i w:val="0"/>
          <w:color w:val="000000"/>
          <w:sz w:val="20"/>
        </w:rPr>
        <w:t>The first novelty addresses gap G1: that a newly generated item has no difficulty estimate and therefore cannot be used adaptively. Our solution is to give it one before it is ever served, and to make that estimate honest about its own uncertainty. Fig. 2 shows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309360" cy="2537827"/>
            <wp:docPr id="3" name="Picture 3"/>
            <wp:cNvGraphicFramePr>
              <a:graphicFrameLocks noChangeAspect="1"/>
            </wp:cNvGraphicFramePr>
            <a:graphic>
              <a:graphicData uri="http://schemas.openxmlformats.org/drawingml/2006/picture">
                <pic:pic>
                  <pic:nvPicPr>
                    <pic:cNvPr id="0" name="fig2_gcs_loop.png"/>
                    <pic:cNvPicPr/>
                  </pic:nvPicPr>
                  <pic:blipFill>
                    <a:blip r:embed="rId11"/>
                    <a:stretch>
                      <a:fillRect/>
                    </a:stretch>
                  </pic:blipFill>
                  <pic:spPr>
                    <a:xfrm>
                      <a:off x="0" y="0"/>
                      <a:ext cx="6309360" cy="2537827"/>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The Generate–Calibrate–Select loop (Novelty 1). The encoder's predicted mean and variance are converted into the composition and size of the item's initial urn, so a newly generated item is adaptively servable immediately, with uncertainty that decays as real responses arrive. Accumulated posteriors are periodically distilled back into the encoder.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A fine-tuned KLUE-RoBERTa encoder f</w:t>
      </w:r>
      <w:r>
        <w:rPr>
          <w:rFonts w:ascii="Times New Roman" w:hAnsi="Times New Roman" w:eastAsia="Malgun Gothic"/>
          <w:b w:val="0"/>
          <w:i w:val="0"/>
          <w:color w:val="000000"/>
          <w:sz w:val="20"/>
          <w:vertAlign w:val="subscript"/>
        </w:rPr>
        <w:t>φ</w:t>
      </w:r>
      <w:r>
        <w:rPr>
          <w:rFonts w:ascii="Times New Roman" w:hAnsi="Times New Roman" w:eastAsia="Malgun Gothic"/>
          <w:b w:val="0"/>
          <w:i w:val="0"/>
          <w:color w:val="000000"/>
          <w:sz w:val="20"/>
        </w:rPr>
        <w:t xml:space="preserve"> maps the text of item i to a predicted difficulty and a predicted variance,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(μ̂</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σ̂</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vertAlign w:val="superscript"/>
        </w:rPr>
        <w:t>2</w:t>
      </w:r>
      <w:r>
        <w:rPr>
          <w:rFonts w:ascii="Times New Roman" w:hAnsi="Times New Roman" w:eastAsia="Malgun Gothic"/>
          <w:b w:val="0"/>
          <w:i/>
          <w:color w:val="000000"/>
          <w:sz w:val="20"/>
        </w:rPr>
        <w:t>) = f</w:t>
      </w:r>
      <w:r>
        <w:rPr>
          <w:rFonts w:ascii="Times New Roman" w:hAnsi="Times New Roman" w:eastAsia="Malgun Gothic"/>
          <w:b w:val="0"/>
          <w:i/>
          <w:color w:val="000000"/>
          <w:sz w:val="20"/>
          <w:vertAlign w:val="subscript"/>
        </w:rPr>
        <w:t>φ</w:t>
      </w:r>
      <w:r>
        <w:rPr>
          <w:rFonts w:ascii="Times New Roman" w:hAnsi="Times New Roman" w:eastAsia="Malgun Gothic"/>
          <w:b w:val="0"/>
          <w:i/>
          <w:color w:val="000000"/>
          <w:sz w:val="20"/>
        </w:rPr>
        <w:t>(text</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trained with a heteroscedastic Gaussian negative log-likelihood so that the variance head is meaningful rather than decorative. This distribution is then converted directly into the item's initial urn. An Urnings item urn holds n</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xml:space="preserve"> balls of which k</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xml:space="preserve"> are green; we set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k</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vertAlign w:val="superscript"/>
        </w:rPr>
        <w:t>(0)</w:t>
      </w:r>
      <w:r>
        <w:rPr>
          <w:rFonts w:ascii="Times New Roman" w:hAnsi="Times New Roman" w:eastAsia="Malgun Gothic"/>
          <w:b w:val="0"/>
          <w:i/>
          <w:color w:val="000000"/>
          <w:sz w:val="20"/>
        </w:rPr>
        <w:t xml:space="preserve"> = round(n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σ(−μ̂</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clip(c / σ̂</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vertAlign w:val="superscript"/>
        </w:rPr>
        <w:t>2</w:t>
      </w:r>
      <w:r>
        <w:rPr>
          <w:rFonts w:ascii="Times New Roman" w:hAnsi="Times New Roman" w:eastAsia="Malgun Gothic"/>
          <w:b w:val="0"/>
          <w:i/>
          <w:color w:val="000000"/>
          <w:sz w:val="20"/>
        </w:rPr>
        <w:t>, n</w:t>
      </w:r>
      <w:r>
        <w:rPr>
          <w:rFonts w:ascii="Times New Roman" w:hAnsi="Times New Roman" w:eastAsia="Malgun Gothic"/>
          <w:b w:val="0"/>
          <w:i/>
          <w:color w:val="000000"/>
          <w:sz w:val="20"/>
          <w:vertAlign w:val="subscript"/>
        </w:rPr>
        <w:t>min</w:t>
      </w:r>
      <w:r>
        <w:rPr>
          <w:rFonts w:ascii="Times New Roman" w:hAnsi="Times New Roman" w:eastAsia="Malgun Gothic"/>
          <w:b w:val="0"/>
          <w:i/>
          <w:color w:val="000000"/>
          <w:sz w:val="20"/>
        </w:rPr>
        <w:t>, n</w:t>
      </w:r>
      <w:r>
        <w:rPr>
          <w:rFonts w:ascii="Times New Roman" w:hAnsi="Times New Roman" w:eastAsia="Malgun Gothic"/>
          <w:b w:val="0"/>
          <w:i/>
          <w:color w:val="000000"/>
          <w:sz w:val="20"/>
          <w:vertAlign w:val="subscript"/>
        </w:rPr>
        <w:t>max</w:t>
      </w:r>
      <w:r>
        <w:rPr>
          <w:rFonts w:ascii="Times New Roman" w:hAnsi="Times New Roman" w:eastAsia="Malgun Gothic"/>
          <w:b w:val="0"/>
          <w:i/>
          <w:color w:val="000000"/>
          <w:sz w:val="20"/>
        </w:rPr>
        <w:t>)</w:t>
        <w:tab/>
        <w:t>(3)</w:t>
      </w:r>
    </w:p>
    <w:p>
      <w:pPr>
        <w:widowControl/>
        <w:spacing w:after="60" w:before="0" w:line="240" w:lineRule="auto"/>
        <w:ind w:firstLine="245"/>
        <w:jc w:val="both"/>
      </w:pPr>
      <w:r>
        <w:rPr>
          <w:rFonts w:ascii="Times New Roman" w:hAnsi="Times New Roman" w:eastAsia="Malgun Gothic"/>
          <w:b w:val="0"/>
          <w:i w:val="0"/>
          <w:color w:val="000000"/>
          <w:sz w:val="20"/>
        </w:rPr>
        <w:t>The interpretation is direct. The proportion of green balls encodes the predicted difficulty, and the number of balls encodes how much the system trusts that prediction: a confident prediction yields a large urn that real responses will move only slowly, while an uncertain prediction yields a small urn that observed data will quickly dominate. The prior is thus not merely an initialisation but a weight, and it decays automatically as evidence accumulates. Standard Urnings updates then proceed unchanged, exchanging balls between the learner's urn and the item's urn on each response: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k</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 k</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X − Y,   k</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k</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X + Y</w:t>
        <w:tab/>
        <w:t>(4)</w:t>
      </w:r>
    </w:p>
    <w:p>
      <w:pPr>
        <w:widowControl/>
        <w:spacing w:after="60" w:before="0" w:line="240" w:lineRule="auto"/>
        <w:ind w:firstLine="245"/>
        <w:jc w:val="both"/>
      </w:pPr>
      <w:r>
        <w:rPr>
          <w:rFonts w:ascii="Times New Roman" w:hAnsi="Times New Roman" w:eastAsia="Malgun Gothic"/>
          <w:b w:val="0"/>
          <w:i w:val="0"/>
          <w:color w:val="000000"/>
          <w:sz w:val="20"/>
        </w:rPr>
        <w:t>where X is the observed response and Y a response simulated from the current urn states, with a Metropolis–Hastings step accepting or rejecting the proposal.</w:t>
      </w:r>
    </w:p>
    <w:p>
      <w:pPr>
        <w:widowControl/>
        <w:spacing w:after="60" w:before="0" w:line="240" w:lineRule="auto"/>
        <w:ind w:firstLine="245"/>
        <w:jc w:val="both"/>
      </w:pPr>
      <w:r>
        <w:rPr>
          <w:rFonts w:ascii="Times New Roman" w:hAnsi="Times New Roman" w:eastAsia="Malgun Gothic"/>
          <w:b w:val="0"/>
          <w:i w:val="0"/>
          <w:color w:val="000000"/>
          <w:sz w:val="20"/>
        </w:rPr>
        <w:t>The loop closes with periodic re-distillation. Once items have accumulated real responses, their Urnings posteriors constitute ground-truth difficulty labels; the encoder is retrained on them, so its priors for genuinely unseen items sharpen over time. The system bootstraps its own calibration data. To our knowledge no existing system treats item generation and psychometric calibration as a single closed loop in this way; the closest analogues either generate without calibrating [5], [10] or calibrate a fixed bank without generating [13].</w:t>
      </w:r>
    </w:p>
    <w:p>
      <w:pPr>
        <w:widowControl/>
        <w:spacing w:after="60" w:before="140" w:line="240" w:lineRule="auto"/>
        <w:jc w:val="left"/>
      </w:pPr>
      <w:r>
        <w:rPr>
          <w:rFonts w:ascii="Times New Roman" w:hAnsi="Times New Roman" w:eastAsia="Malgun Gothic"/>
          <w:b w:val="0"/>
          <w:i/>
          <w:color w:val="000000"/>
          <w:sz w:val="20"/>
        </w:rPr>
        <w:t>C. Novelty 2: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second novelty addresses gap G2: that wrong answers currently carry no information. Fig. 3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4" name="Picture 4"/>
            <wp:cNvGraphicFramePr>
              <a:graphicFrameLocks noChangeAspect="1"/>
            </wp:cNvGraphicFramePr>
            <a:graphic>
              <a:graphicData uri="http://schemas.openxmlformats.org/drawingml/2006/picture">
                <pic:pic>
                  <pic:nvPicPr>
                    <pic:cNvPr id="0" name="fig3_distractors.png"/>
                    <pic:cNvPicPr/>
                  </pic:nvPicPr>
                  <pic:blipFill>
                    <a:blip r:embed="rId12"/>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Misconception-conditioned distractor generation (Novelty 2).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First, a morphological analyser confirms that the distractor actually realises the intended misconception and not some other error. Second—the most important check, and the dominant failure mode of LLM-generated distractors—it confirms that the distractor is not itself a correct answer. Korean makes this failure easy to commit: many particle substitutions that look wrong in isolation are acceptable in some reading, so a naive generator will regularly produce items with two correct options. Third, a round-trip check requires a solver model to still select the intended key.</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D. Novelty 3: Uncertainty-Gated Escalation</w:t>
      </w:r>
    </w:p>
    <w:p>
      <w:pPr>
        <w:widowControl/>
        <w:spacing w:after="60" w:before="0" w:line="240" w:lineRule="auto"/>
        <w:jc w:val="both"/>
      </w:pPr>
      <w:r>
        <w:rPr>
          <w:rFonts w:ascii="Times New Roman" w:hAnsi="Times New Roman" w:eastAsia="Malgun Gothic"/>
          <w:b w:val="0"/>
          <w:i w:val="0"/>
          <w:color w:val="000000"/>
          <w:sz w:val="20"/>
        </w:rPr>
        <w:t>The third novelty addresses gap G4: that feedback is generated uniformly although its benefits are not [29]. Fig. 4 shows the policy.</w:t>
      </w:r>
    </w:p>
    <w:p>
      <w:pPr>
        <w:widowControl/>
        <w:spacing w:after="60" w:before="0" w:line="240" w:lineRule="auto"/>
        <w:ind w:firstLine="245"/>
        <w:jc w:val="both"/>
      </w:pPr>
      <w:r>
        <w:rPr>
          <w:rFonts w:ascii="Times New Roman" w:hAnsi="Times New Roman" w:eastAsia="Malgun Gothic"/>
          <w:b w:val="0"/>
          <w:i w:val="0"/>
          <w:color w:val="000000"/>
          <w:sz w:val="20"/>
        </w:rPr>
        <w:t>Each skill dimension k of a learner carries an urn whose size determines the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of the posterior—a direct, natively available measure of how uncertain the system is about that learner on that skill. We use it to allocate computation. By default the system takes a routine path: generation in EXAONE's fast non-reasoning mode and short, cached feedback. It escalates—to reasoning-mode generation of a minimal-pair probe and a contrastive English explanation naming the specific misconception—only when the measurement would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That is, when the system is genuinely uncertain about the learner on this skill, or when the learner has repeated the same diagnosed misconception and a persistent misunderstanding is therefore indicated.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5" name="Picture 5"/>
            <wp:cNvGraphicFramePr>
              <a:graphicFrameLocks noChangeAspect="1"/>
            </wp:cNvGraphicFramePr>
            <a:graphic>
              <a:graphicData uri="http://schemas.openxmlformats.org/drawingml/2006/picture">
                <pic:pic>
                  <pic:nvPicPr>
                    <pic:cNvPr id="0" name="fig4_escalation.png"/>
                    <pic:cNvPicPr/>
                  </pic:nvPicPr>
                  <pic:blipFill>
                    <a:blip r:embed="rId13"/>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Uncertainty-gated escalation (Novelty 3).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The argument for this is both economic and pedagogical. Economically, reasoning-mode inference is substantially more expensive than standard decoding, and spending it uniformly is waste. Pedagogically, the finding that LLM feedback produced significant gains in only two of seven lessons [29] suggests that uniform feedback dilutes effect: much of it goes to learners who did not need it. Routing elaborate explanation towards persistent, specifically diagnosed misconceptions is a principled way to concentrate it where it should do most good. We are not aware of prior work that allocates generative compute in an educational system according to psychometric uncertainty.</w:t>
      </w:r>
    </w:p>
    <w:p>
      <w:pPr>
        <w:widowControl/>
        <w:spacing w:after="60" w:before="140" w:line="240" w:lineRule="auto"/>
        <w:jc w:val="left"/>
      </w:pPr>
      <w:r>
        <w:rPr>
          <w:rFonts w:ascii="Times New Roman" w:hAnsi="Times New Roman" w:eastAsia="Malgun Gothic"/>
          <w:b w:val="0"/>
          <w:i/>
          <w:color w:val="000000"/>
          <w:sz w:val="20"/>
        </w:rPr>
        <w:t>E. Selection Policy: Measurement Versus Learning</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show that for a broad class of learning systems the rate of improvement is maximised at an accuracy of about 85% [27], and the pedagogical literature on desirable difficulty points the same way.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(6)</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Because the trade-off is real rather than free—a drill system is also, implicitly, an assessment—this choice over the conventional maximum-information target is a design decision we state rather than resolve empirically in the present evaluation; it is a natural comparison for future work rather than one of the three claims this paper sets out to validate in Section V. Scheduling across sessions follows a spacing model in the tradition of half-life regression [28], with the tracker posterior supplying the ability term.</w:t>
      </w: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three novelties gets a single, targeted piece of evidence rather than an exhaustive ablation grid, because a large factorial study answers questions this paper does not ask. The offline validations in Subsections B through D are the primary evidence for the paper's claims and stand on their own; the classroom pilot in Subsection E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Grammatical targets are drawn from a TOPIK-aligned syllabus spanning levels I through IV, decomposed into roughly 120 discrete grammatical points. The misconception taxonomy is KAGAS [24], the 14-category Korean grammatical error taxonomy, rather than a project-specific scheme, so that the diagnostic labels a generated distractor carries are independently defined and independently auditable. For supervised difficulty calibration we use retired TOPIK items with published response statistics.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The Generate–Calibrate–Select Loop</w:t>
      </w:r>
    </w:p>
    <w:p>
      <w:pPr>
        <w:widowControl/>
        <w:spacing w:after="60" w:before="0" w:line="240" w:lineRule="auto"/>
        <w:jc w:val="both"/>
      </w:pPr>
      <w:r>
        <w:rPr>
          <w:rFonts w:ascii="Times New Roman" w:hAnsi="Times New Roman" w:eastAsia="Malgun Gothic"/>
          <w:b w:val="0"/>
          <w:i w:val="0"/>
          <w:color w:val="000000"/>
          <w:sz w:val="20"/>
        </w:rPr>
        <w:t>The claim to validate is narrow: does seeding a new item's urn from the encoder's predicted (μ̂ᵢ, σ̂ᵢ²) make that item usable sooner than treating it as unknown? We test this with one controlled comparison, not a factorial sweep — a held-out set of generated items is served under two conditions, encoder-seeded urns and uninformative urns, with every other part of the pipeline identical, and we report the number of responses each condition needs before the item's estimated difficulty reaches a fixed precision. This single number is the direct operational claim of Novelty 1, and it is what we measure — not tracker behaviour in general, which Section III-B already establishes with the simulation in Fig. 5 and does not need repeating here.</w:t>
      </w:r>
    </w:p>
    <w:p>
      <w:pPr>
        <w:widowControl/>
        <w:spacing w:after="60" w:before="0" w:line="240" w:lineRule="auto"/>
        <w:ind w:firstLine="245"/>
        <w:jc w:val="both"/>
      </w:pPr>
      <w:r>
        <w:rPr>
          <w:rFonts w:ascii="Times New Roman" w:hAnsi="Times New Roman" w:eastAsia="Malgun Gothic"/>
          <w:b w:val="0"/>
          <w:i w:val="0"/>
          <w:color w:val="000000"/>
          <w:sz w:val="20"/>
        </w:rPr>
        <w:t>Calibration quality is assessed by comparing encoder priors against tracker posteriors once items have accumulated real responses, reporting root mean squared error and, importantly, whether the predicted variances are themselves calibrated — whether items the encoder claimed to be unsure about are in fact the ones it got wrong. We also check the re-distillation effect once, at one retraining round, rather than tracking it across many rounds: does prior quality on held-out items improve after the encoder is retrained on accumulated posteriors, yes or no.</w:t>
      </w:r>
    </w:p>
    <w:p>
      <w:pPr>
        <w:widowControl/>
        <w:spacing w:after="60" w:before="0" w:line="240" w:lineRule="auto"/>
        <w:ind w:firstLine="245"/>
        <w:jc w:val="both"/>
      </w:pPr>
      <w:r>
        <w:rPr>
          <w:rFonts w:ascii="Times New Roman" w:hAnsi="Times New Roman" w:eastAsia="Malgun Gothic"/>
          <w:b w:val="0"/>
          <w:i w:val="0"/>
          <w:color w:val="000000"/>
          <w:sz w:val="20"/>
        </w:rPr>
        <w:t>A preliminary simulation, run ahead of the encoder-on-real-data study above and reported here for transparency rather than omitted, complicates the headline claim. Using the same Rasch generating model and adaptive-selection regime as Fig. 5, seeding item urns from a noisy but unbiased difficulty estimate did not measurably speed convergence of learner ability estimates under Urnings, across simulated estimator quality ranging from weak to strong (correlation 0.47-0.96 with true difficulty) and in both a fixed and a continuously growing item pool. A parallel check under Elo-style tracking showed the expected speedup clearly when the estimator was accurate, but also showed severe degradation — final RMSE several times worse than an uninformative start — once the estimator was only moderately or poorly correlated with the truth, because Elo has no mechanism analogous to σ̂ᵢ² for discounting an untrustworthy prior. We read this as evidence for a different, and arguably more load-bearing, property than the one originally framed: Urnings' confidence-weighted urn sizing makes prior injection safe under estimator uncertainty — the condition this system actually faces, since the encoder described above is not yet trained — rather than a guaranteed speedup, which presupposes an estimator quality not yet established. The encoder-on-real-data study above is designed to test both the original convergence claim and this robustness property, not the convergence claim alone.</w:t>
      </w:r>
    </w:p>
    <w:p>
      <w:pPr>
        <w:widowControl/>
        <w:spacing w:after="60" w:before="140" w:line="240" w:lineRule="auto"/>
        <w:jc w:val="left"/>
      </w:pPr>
      <w:r>
        <w:rPr>
          <w:rFonts w:ascii="Times New Roman" w:hAnsi="Times New Roman" w:eastAsia="Malgun Gothic"/>
          <w:b w:val="0"/>
          <w:i/>
          <w:color w:val="000000"/>
          <w:sz w:val="20"/>
        </w:rPr>
        <w:t>C. Validating Novelty 2: Misconception-Conditioned Distractors</w:t>
      </w:r>
    </w:p>
    <w:p>
      <w:pPr>
        <w:widowControl/>
        <w:spacing w:after="60" w:before="0" w:line="240" w:lineRule="auto"/>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IV-C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w:t>
      </w:r>
    </w:p>
    <w:p>
      <w:pPr>
        <w:widowControl/>
        <w:spacing w:after="60" w:before="140" w:line="240" w:lineRule="auto"/>
        <w:jc w:val="left"/>
      </w:pPr>
      <w:r>
        <w:rPr>
          <w:rFonts w:ascii="Times New Roman" w:hAnsi="Times New Roman" w:eastAsia="Malgun Gothic"/>
          <w:b w:val="0"/>
          <w:i/>
          <w:color w:val="000000"/>
          <w:sz w:val="20"/>
        </w:rPr>
        <w:t>D. Validating Novelty 3: Uncertainty-Gated Escalation</w:t>
      </w:r>
    </w:p>
    <w:p>
      <w:pPr>
        <w:widowControl/>
        <w:spacing w:after="60" w:before="0" w:line="240" w:lineRule="auto"/>
        <w:jc w:val="both"/>
      </w:pPr>
      <w:r>
        <w:rPr>
          <w:rFonts w:ascii="Times New Roman" w:hAnsi="Times New Roman" w:eastAsia="Malgun Gothic"/>
          <w:b w:val="0"/>
          <w:i w:val="0"/>
          <w:color w:val="000000"/>
          <w:sz w:val="20"/>
        </w:rPr>
        <w:t>Two questions, each answered by one comparison. First, is the escalation trigger actually diagnostic of where measurement is weak: we correlate the posterior width that triggers escalation with the subsequent reduction in that width, across a sample of skill-learner pairs, and report whether wide-urn escalations close more uncertainty than routine-path interactions do. Second, is the gating worth its complexity: we compare total inference cost and resulting measurement precision between the gated policy and an always-escalate baseline that runs reasoning-mode generation on every interaction. If gating saves substantial cost at little loss of precision, that is the claim; if it does not, that is a negative result worth reporting plainly rather than omitting.</w:t>
      </w:r>
    </w:p>
    <w:p>
      <w:pPr>
        <w:widowControl/>
        <w:spacing w:after="60" w:before="140" w:line="240" w:lineRule="auto"/>
        <w:jc w:val="left"/>
      </w:pPr>
      <w:r>
        <w:rPr>
          <w:rFonts w:ascii="Times New Roman" w:hAnsi="Times New Roman" w:eastAsia="Malgun Gothic"/>
          <w:b w:val="0"/>
          <w:i/>
          <w:color w:val="000000"/>
          <w:sz w:val="20"/>
        </w:rPr>
        <w:t>E. Exploratory Classroom Pilot</w:t>
      </w:r>
    </w:p>
    <w:p>
      <w:pPr>
        <w:widowControl/>
        <w:spacing w:after="60" w:before="0" w:line="240" w:lineRule="auto"/>
        <w:jc w:val="both"/>
      </w:pPr>
      <w:r>
        <w:rPr>
          <w:rFonts w:ascii="Times New Roman" w:hAnsi="Times New Roman" w:eastAsia="Malgun Gothic"/>
          <w:b w:val="0"/>
          <w:i w:val="0"/>
          <w:color w:val="000000"/>
          <w:sz w:val="20"/>
        </w:rPr>
        <w:t>Fig. 6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6 — three arms of 60 — is desirable but not required before the claims in Subsections B through D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D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6" name="Picture 6"/>
            <wp:cNvGraphicFramePr>
              <a:graphicFrameLocks noChangeAspect="1"/>
            </wp:cNvGraphicFramePr>
            <a:graphic>
              <a:graphicData uri="http://schemas.openxmlformats.org/drawingml/2006/picture">
                <pic:pic>
                  <pic:nvPicPr>
                    <pic:cNvPr id="0" name="fig6_experiment.png"/>
                    <pic:cNvPicPr/>
                  </pic:nvPicPr>
                  <pic:blipFill>
                    <a:blip r:embed="rId14"/>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6.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F. Threats to Validity</w:t>
      </w:r>
    </w:p>
    <w:p>
      <w:pPr>
        <w:widowControl/>
        <w:spacing w:after="60" w:before="0" w:line="240" w:lineRule="auto"/>
        <w:jc w:val="both"/>
      </w:pPr>
      <w:r>
        <w:rPr>
          <w:rFonts w:ascii="Times New Roman" w:hAnsi="Times New Roman" w:eastAsia="Malgun Gothic"/>
          <w:b w:val="0"/>
          <w:i w:val="0"/>
          <w:color w:val="000000"/>
          <w:sz w:val="20"/>
        </w:rPr>
        <w:t>Three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Finally, EXAONE's licence restricts commercial deployment; the Qwen3-generator configuration noted in Section III-C should be treated as the one to validate if deployment beyond research use is ever intended.</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J. Lin, S. Y. Zhao, A. Gurung, X. Meng, and K. R. Koedinger, “Retrieval-augmented lesson generation with large language models for scenario-based tutor training,” </w:t>
      </w:r>
      <w:r>
        <w:rPr>
          <w:rFonts w:ascii="Times New Roman" w:hAnsi="Times New Roman" w:eastAsia="Malgun Gothic"/>
          <w:b w:val="0"/>
          <w:i/>
          <w:color w:val="000000"/>
          <w:sz w:val="16"/>
        </w:rPr>
        <w:t>Journal of Computer Assisted Learning</w:t>
      </w:r>
      <w:r>
        <w:rPr>
          <w:rFonts w:ascii="Times New Roman" w:hAnsi="Times New Roman" w:eastAsia="Malgun Gothic"/>
          <w:b w:val="0"/>
          <w:i w:val="0"/>
          <w:color w:val="000000"/>
          <w:sz w:val="16"/>
        </w:rPr>
        <w:t>, vol. 42, no. 6, Dec. 2026, doi: 10.1002/jcal.70343.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